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071" w:tblpY="-379"/>
        <w:tblW w:w="0" w:type="auto"/>
        <w:tblLook w:val="0000" w:firstRow="0" w:lastRow="0" w:firstColumn="0" w:lastColumn="0" w:noHBand="0" w:noVBand="0"/>
      </w:tblPr>
      <w:tblGrid>
        <w:gridCol w:w="2270"/>
      </w:tblGrid>
      <w:tr w:rsidR="00854431" w14:paraId="19C90A3E" w14:textId="77777777" w:rsidTr="00854431">
        <w:tblPrEx>
          <w:tblCellMar>
            <w:top w:w="0" w:type="dxa"/>
            <w:bottom w:w="0" w:type="dxa"/>
          </w:tblCellMar>
        </w:tblPrEx>
        <w:trPr>
          <w:trHeight w:val="850"/>
        </w:trPr>
        <w:tc>
          <w:tcPr>
            <w:tcW w:w="2270" w:type="dxa"/>
          </w:tcPr>
          <w:p w14:paraId="7D289AD6" w14:textId="14AD81EF" w:rsidR="00854431" w:rsidRPr="00854431" w:rsidRDefault="00854431" w:rsidP="00854431">
            <w:pPr>
              <w:autoSpaceDE w:val="0"/>
              <w:autoSpaceDN w:val="0"/>
              <w:adjustRightInd w:val="0"/>
              <w:spacing w:after="0"/>
              <w:rPr>
                <w:rFonts w:ascii="Arial" w:hAnsi="Arial" w:cs="Arial"/>
                <w:bCs/>
                <w:sz w:val="44"/>
                <w:szCs w:val="44"/>
              </w:rPr>
            </w:pPr>
            <w:r w:rsidRPr="00854431">
              <w:rPr>
                <w:rFonts w:ascii="Arial" w:hAnsi="Arial" w:cs="Arial"/>
                <w:bCs/>
                <w:sz w:val="44"/>
                <w:szCs w:val="44"/>
              </w:rPr>
              <w:t>105177</w:t>
            </w:r>
          </w:p>
        </w:tc>
      </w:tr>
    </w:tbl>
    <w:sdt>
      <w:sdtPr>
        <w:rPr>
          <w:rFonts w:ascii="Times New Roman" w:eastAsia="MS Mincho" w:hAnsi="Times New Roman" w:cs="Times New Roman"/>
          <w:noProof/>
          <w:color w:val="5B9BD5" w:themeColor="accent1"/>
          <w:sz w:val="24"/>
          <w:szCs w:val="24"/>
          <w:lang w:eastAsia="fr-FR"/>
        </w:rPr>
        <w:id w:val="347149029"/>
        <w:docPartObj>
          <w:docPartGallery w:val="Cover Pages"/>
          <w:docPartUnique/>
        </w:docPartObj>
      </w:sdtPr>
      <w:sdtEndPr>
        <w:rPr>
          <w:b/>
          <w:bCs/>
          <w:color w:val="auto"/>
        </w:rPr>
      </w:sdtEndPr>
      <w:sdtContent>
        <w:p w14:paraId="0C06EAE0" w14:textId="7F62D1C2" w:rsidR="00BD5693" w:rsidRPr="00AC0414" w:rsidRDefault="00BD5693" w:rsidP="00BD5693">
          <w:pPr>
            <w:pStyle w:val="NoSpacing"/>
            <w:tabs>
              <w:tab w:val="center" w:pos="4680"/>
              <w:tab w:val="left" w:pos="8133"/>
            </w:tabs>
            <w:spacing w:before="1540" w:after="240"/>
            <w:rPr>
              <w:rFonts w:ascii="Times New Roman" w:hAnsi="Times New Roman" w:cs="Times New Roman"/>
              <w:b/>
              <w:sz w:val="24"/>
              <w:szCs w:val="24"/>
            </w:rPr>
          </w:pPr>
        </w:p>
        <w:p w14:paraId="006D5072" w14:textId="77777777" w:rsidR="00BD5693" w:rsidRDefault="00BD5693" w:rsidP="00BD5693">
          <w:pPr>
            <w:autoSpaceDE w:val="0"/>
            <w:autoSpaceDN w:val="0"/>
            <w:adjustRightInd w:val="0"/>
            <w:spacing w:after="0"/>
            <w:jc w:val="center"/>
            <w:rPr>
              <w:rFonts w:ascii="Times New Roman" w:hAnsi="Times New Roman"/>
              <w:b/>
              <w:sz w:val="32"/>
              <w:szCs w:val="32"/>
            </w:rPr>
          </w:pPr>
        </w:p>
        <w:p w14:paraId="7CB3DA4F" w14:textId="77777777" w:rsidR="00BD5693" w:rsidRPr="00C45F16" w:rsidRDefault="00BD5693" w:rsidP="00BD5693">
          <w:pPr>
            <w:autoSpaceDE w:val="0"/>
            <w:autoSpaceDN w:val="0"/>
            <w:adjustRightInd w:val="0"/>
            <w:spacing w:after="0"/>
            <w:jc w:val="center"/>
            <w:rPr>
              <w:rFonts w:ascii="Times New Roman" w:hAnsi="Times New Roman"/>
              <w:b/>
              <w:sz w:val="36"/>
              <w:szCs w:val="36"/>
            </w:rPr>
          </w:pPr>
          <w:r w:rsidRPr="00C45F16">
            <w:rPr>
              <w:rFonts w:ascii="Times New Roman" w:hAnsi="Times New Roman"/>
              <w:b/>
              <w:sz w:val="36"/>
              <w:szCs w:val="36"/>
            </w:rPr>
            <w:t>Serbia</w:t>
          </w:r>
        </w:p>
        <w:p w14:paraId="1ACB120C" w14:textId="77777777" w:rsidR="00BD5693" w:rsidRPr="00FA67E8" w:rsidRDefault="00BD5693" w:rsidP="00BD5693">
          <w:pPr>
            <w:autoSpaceDE w:val="0"/>
            <w:autoSpaceDN w:val="0"/>
            <w:adjustRightInd w:val="0"/>
            <w:spacing w:after="0"/>
            <w:jc w:val="center"/>
            <w:rPr>
              <w:rFonts w:ascii="Times New Roman" w:hAnsi="Times New Roman"/>
              <w:b/>
            </w:rPr>
          </w:pPr>
        </w:p>
        <w:p w14:paraId="7B80136C" w14:textId="77777777" w:rsidR="00BD5693" w:rsidRDefault="00BD5693" w:rsidP="00BD5693">
          <w:pPr>
            <w:autoSpaceDE w:val="0"/>
            <w:autoSpaceDN w:val="0"/>
            <w:adjustRightInd w:val="0"/>
            <w:spacing w:after="0"/>
            <w:jc w:val="center"/>
            <w:rPr>
              <w:rFonts w:ascii="Times New Roman" w:hAnsi="Times New Roman"/>
              <w:b/>
              <w:sz w:val="32"/>
              <w:szCs w:val="32"/>
            </w:rPr>
          </w:pPr>
          <w:r w:rsidRPr="00C45F16">
            <w:rPr>
              <w:rFonts w:ascii="Times New Roman" w:hAnsi="Times New Roman"/>
              <w:b/>
              <w:sz w:val="32"/>
              <w:szCs w:val="32"/>
            </w:rPr>
            <w:t>Modernization and Optimization of Public Administration Program</w:t>
          </w:r>
        </w:p>
        <w:p w14:paraId="7B7617DB" w14:textId="77777777" w:rsidR="00BD5693" w:rsidRDefault="00BD5693" w:rsidP="00BD5693">
          <w:pPr>
            <w:autoSpaceDE w:val="0"/>
            <w:autoSpaceDN w:val="0"/>
            <w:adjustRightInd w:val="0"/>
            <w:spacing w:after="0"/>
            <w:jc w:val="center"/>
            <w:rPr>
              <w:rFonts w:ascii="Times New Roman" w:hAnsi="Times New Roman"/>
              <w:b/>
              <w:sz w:val="32"/>
              <w:szCs w:val="32"/>
            </w:rPr>
          </w:pPr>
        </w:p>
        <w:p w14:paraId="7C7E360C" w14:textId="77777777" w:rsidR="00BD5693" w:rsidRPr="00C45F16" w:rsidRDefault="00BD5693" w:rsidP="00BD5693">
          <w:pPr>
            <w:autoSpaceDE w:val="0"/>
            <w:autoSpaceDN w:val="0"/>
            <w:adjustRightInd w:val="0"/>
            <w:spacing w:after="0"/>
            <w:jc w:val="center"/>
            <w:rPr>
              <w:rFonts w:ascii="Times New Roman" w:hAnsi="Times New Roman"/>
              <w:b/>
              <w:sz w:val="32"/>
              <w:szCs w:val="32"/>
            </w:rPr>
          </w:pPr>
        </w:p>
        <w:sdt>
          <w:sdtPr>
            <w:rPr>
              <w:rFonts w:ascii="Times New Roman" w:hAnsi="Times New Roman" w:cs="Times New Roman"/>
              <w:b/>
              <w:bCs/>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10EC768E" w14:textId="636C8C99" w:rsidR="00BD5693" w:rsidRPr="00C45F16" w:rsidRDefault="00BD5693" w:rsidP="00BD5693">
              <w:pPr>
                <w:pStyle w:val="NoSpacing"/>
                <w:jc w:val="center"/>
                <w:rPr>
                  <w:rFonts w:ascii="Times New Roman" w:hAnsi="Times New Roman" w:cs="Times New Roman"/>
                  <w:b/>
                  <w:color w:val="5B9BD5" w:themeColor="accent1"/>
                  <w:sz w:val="28"/>
                  <w:szCs w:val="28"/>
                </w:rPr>
              </w:pPr>
              <w:r>
                <w:rPr>
                  <w:rFonts w:ascii="Times New Roman" w:hAnsi="Times New Roman" w:cs="Times New Roman"/>
                  <w:b/>
                  <w:bCs/>
                  <w:sz w:val="28"/>
                  <w:szCs w:val="28"/>
                </w:rPr>
                <w:t>Fiduciary Assessment</w:t>
              </w:r>
            </w:p>
          </w:sdtContent>
        </w:sdt>
        <w:p w14:paraId="5A8CD35E" w14:textId="77777777" w:rsidR="00BD5693" w:rsidRPr="00FA67E8" w:rsidRDefault="00BD5693" w:rsidP="00BD5693">
          <w:pPr>
            <w:pStyle w:val="NoSpacing"/>
            <w:spacing w:before="480"/>
            <w:jc w:val="center"/>
            <w:rPr>
              <w:rFonts w:ascii="Times New Roman" w:hAnsi="Times New Roman" w:cs="Times New Roman"/>
              <w:color w:val="5B9BD5" w:themeColor="accent1"/>
              <w:sz w:val="24"/>
              <w:szCs w:val="24"/>
            </w:rPr>
          </w:pPr>
          <w:r w:rsidRPr="00FA67E8">
            <w:rPr>
              <w:rFonts w:ascii="Times New Roman" w:hAnsi="Times New Roman" w:cs="Times New Roman"/>
              <w:sz w:val="24"/>
              <w:szCs w:val="24"/>
            </w:rPr>
            <w:t xml:space="preserve"> </w:t>
          </w:r>
        </w:p>
        <w:p w14:paraId="520A2980" w14:textId="77777777" w:rsidR="00BD5693" w:rsidRDefault="00BD5693" w:rsidP="00BD5693">
          <w:pPr>
            <w:rPr>
              <w:rFonts w:ascii="Times New Roman" w:hAnsi="Times New Roman"/>
              <w:bCs/>
            </w:rPr>
          </w:pPr>
        </w:p>
        <w:p w14:paraId="6AE704B7" w14:textId="77777777" w:rsidR="00BD5693" w:rsidRDefault="00BD5693" w:rsidP="00BD5693">
          <w:pPr>
            <w:rPr>
              <w:rFonts w:ascii="Times New Roman" w:hAnsi="Times New Roman"/>
              <w:bCs/>
            </w:rPr>
          </w:pPr>
          <w:r>
            <w:rPr>
              <w:rFonts w:ascii="Times New Roman" w:hAnsi="Times New Roman"/>
              <w:bCs/>
            </w:rPr>
            <w:t>April 20, 2016</w:t>
          </w:r>
        </w:p>
        <w:p w14:paraId="3BACCBEE" w14:textId="77777777" w:rsidR="00BD5693" w:rsidRDefault="00BD5693" w:rsidP="00BD5693">
          <w:pPr>
            <w:rPr>
              <w:rFonts w:ascii="Times New Roman" w:hAnsi="Times New Roman"/>
              <w:bCs/>
            </w:rPr>
          </w:pPr>
        </w:p>
        <w:p w14:paraId="6F182F37" w14:textId="77777777" w:rsidR="00BD5693" w:rsidRPr="00C45F16" w:rsidRDefault="00BD5693" w:rsidP="00BD5693">
          <w:pPr>
            <w:rPr>
              <w:rFonts w:ascii="Times New Roman" w:hAnsi="Times New Roman"/>
              <w:bCs/>
            </w:rPr>
          </w:pPr>
          <w:r w:rsidRPr="00C45F16">
            <w:rPr>
              <w:rFonts w:ascii="Times New Roman" w:hAnsi="Times New Roman"/>
              <w:bCs/>
            </w:rPr>
            <w:t>Global Governance Practice</w:t>
          </w:r>
          <w:bookmarkStart w:id="0" w:name="_GoBack"/>
          <w:bookmarkEnd w:id="0"/>
        </w:p>
        <w:p w14:paraId="0DD8554F" w14:textId="77777777" w:rsidR="00BD5693" w:rsidRDefault="00BD5693" w:rsidP="00BD5693">
          <w:pPr>
            <w:rPr>
              <w:rFonts w:ascii="Times New Roman" w:hAnsi="Times New Roman"/>
              <w:b/>
              <w:bCs/>
            </w:rPr>
          </w:pPr>
          <w:r w:rsidRPr="00C45F16">
            <w:rPr>
              <w:rFonts w:ascii="Times New Roman" w:hAnsi="Times New Roman"/>
              <w:bCs/>
            </w:rPr>
            <w:t>Europe and Central Asia Region</w:t>
          </w:r>
        </w:p>
        <w:p w14:paraId="3F4D62C9" w14:textId="77777777" w:rsidR="00BD5693" w:rsidRDefault="00BD5693" w:rsidP="00BD5693">
          <w:pPr>
            <w:rPr>
              <w:rFonts w:ascii="Times New Roman" w:hAnsi="Times New Roman"/>
              <w:b/>
              <w:bCs/>
            </w:rPr>
          </w:pPr>
        </w:p>
        <w:p w14:paraId="16D37D82" w14:textId="77777777" w:rsidR="00BD5693" w:rsidRDefault="00BD5693" w:rsidP="00BD5693">
          <w:pPr>
            <w:rPr>
              <w:rFonts w:ascii="Times New Roman" w:hAnsi="Times New Roman"/>
              <w:b/>
              <w:bCs/>
            </w:rPr>
          </w:pPr>
          <w:r w:rsidRPr="00C345F7">
            <w:rPr>
              <w:rFonts w:ascii="Times New Roman" w:hAnsi="Times New Roman"/>
              <w:color w:val="1F497D"/>
              <w:lang w:eastAsia="en-US"/>
            </w:rPr>
            <w:drawing>
              <wp:anchor distT="0" distB="0" distL="114300" distR="114300" simplePos="0" relativeHeight="251661312" behindDoc="0" locked="0" layoutInCell="1" allowOverlap="1" wp14:anchorId="4E5D362A" wp14:editId="68F3C0B2">
                <wp:simplePos x="0" y="0"/>
                <wp:positionH relativeFrom="column">
                  <wp:posOffset>-214768</wp:posOffset>
                </wp:positionH>
                <wp:positionV relativeFrom="paragraph">
                  <wp:posOffset>289919</wp:posOffset>
                </wp:positionV>
                <wp:extent cx="2381250" cy="552450"/>
                <wp:effectExtent l="0" t="0" r="0" b="0"/>
                <wp:wrapSquare wrapText="bothSides"/>
                <wp:docPr id="6" name="Picture 6"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D5D7.A4957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anchor>
            </w:drawing>
          </w:r>
        </w:p>
        <w:p w14:paraId="4A829874" w14:textId="77777777" w:rsidR="00BD5693" w:rsidRDefault="00BD5693" w:rsidP="00BD5693">
          <w:pPr>
            <w:rPr>
              <w:rFonts w:ascii="Times New Roman" w:hAnsi="Times New Roman"/>
              <w:b/>
              <w:bCs/>
            </w:rPr>
          </w:pPr>
        </w:p>
        <w:p w14:paraId="0F1F64C6" w14:textId="77777777" w:rsidR="00BD5693" w:rsidRDefault="00BD5693" w:rsidP="00BD5693">
          <w:pPr>
            <w:rPr>
              <w:rFonts w:ascii="Times New Roman" w:hAnsi="Times New Roman"/>
              <w:b/>
              <w:bCs/>
            </w:rPr>
          </w:pPr>
        </w:p>
        <w:p w14:paraId="4269B01C" w14:textId="77777777" w:rsidR="00BD5693" w:rsidRDefault="00BD5693" w:rsidP="00BD5693">
          <w:pPr>
            <w:rPr>
              <w:rFonts w:ascii="Times New Roman" w:hAnsi="Times New Roman"/>
              <w:b/>
              <w:bCs/>
            </w:rPr>
          </w:pPr>
        </w:p>
        <w:p w14:paraId="6B95F424" w14:textId="77777777" w:rsidR="00BD5693" w:rsidRDefault="00BD5693" w:rsidP="00BD5693">
          <w:pPr>
            <w:rPr>
              <w:rFonts w:ascii="Times New Roman" w:hAnsi="Times New Roman"/>
              <w:b/>
              <w:bCs/>
            </w:rPr>
          </w:pPr>
        </w:p>
        <w:p w14:paraId="72C3FE57" w14:textId="77777777" w:rsidR="00BD5693" w:rsidRDefault="00BD5693" w:rsidP="00BD5693">
          <w:pPr>
            <w:rPr>
              <w:rFonts w:ascii="Times New Roman" w:hAnsi="Times New Roman"/>
              <w:b/>
              <w:bCs/>
            </w:rPr>
          </w:pPr>
        </w:p>
        <w:p w14:paraId="640133C8" w14:textId="77777777" w:rsidR="00BD5693" w:rsidRDefault="00BD5693" w:rsidP="00BD5693">
          <w:pPr>
            <w:rPr>
              <w:rFonts w:ascii="Times New Roman" w:hAnsi="Times New Roman"/>
              <w:b/>
              <w:bCs/>
            </w:rPr>
          </w:pPr>
        </w:p>
        <w:p w14:paraId="374203F4" w14:textId="6EE37F58" w:rsidR="00BD5693" w:rsidRDefault="00BD5693" w:rsidP="00BD5693">
          <w:pPr>
            <w:rPr>
              <w:rFonts w:ascii="Times New Roman" w:hAnsi="Times New Roman"/>
              <w:b/>
              <w:bCs/>
            </w:rPr>
          </w:pPr>
          <w:r>
            <w:rPr>
              <w:rFonts w:ascii="Times New Roman" w:hAnsi="Times New Roman"/>
              <w:b/>
              <w:bCs/>
            </w:rPr>
            <w:t>Document of the World Bank</w:t>
          </w:r>
        </w:p>
      </w:sdtContent>
    </w:sdt>
    <w:p w14:paraId="6D8B3187" w14:textId="3837298E" w:rsidR="00F32D7D" w:rsidRPr="00BD5693" w:rsidRDefault="00BD5693" w:rsidP="00BD5693">
      <w:pPr>
        <w:jc w:val="center"/>
        <w:rPr>
          <w:rFonts w:ascii="Times New Roman" w:hAnsi="Times New Roman"/>
          <w:b/>
        </w:rPr>
      </w:pPr>
      <w:r>
        <w:rPr>
          <w:rFonts w:ascii="Times-Bold" w:hAnsi="Times-Bold" w:cs="Times-Bold"/>
          <w:b/>
          <w:bCs/>
        </w:rPr>
        <w:br w:type="page"/>
      </w:r>
      <w:r w:rsidR="00F32D7D" w:rsidRPr="00BD5693">
        <w:rPr>
          <w:rFonts w:ascii="Times New Roman" w:hAnsi="Times New Roman"/>
          <w:b/>
        </w:rPr>
        <w:lastRenderedPageBreak/>
        <w:t>CURRENCY EQUIVALENTS</w:t>
      </w:r>
    </w:p>
    <w:p w14:paraId="0FF7F3DE" w14:textId="77777777" w:rsidR="00F32D7D" w:rsidRPr="006B70A6" w:rsidRDefault="00F32D7D" w:rsidP="00F32D7D">
      <w:pPr>
        <w:jc w:val="center"/>
        <w:rPr>
          <w:rFonts w:ascii="Times New Roman" w:hAnsi="Times New Roman"/>
        </w:rPr>
      </w:pPr>
      <w:r w:rsidRPr="006B70A6">
        <w:rPr>
          <w:rFonts w:ascii="Times New Roman" w:hAnsi="Times New Roman"/>
        </w:rPr>
        <w:t xml:space="preserve"> (Exchange Rate Effective as of February 29, 2016)</w:t>
      </w:r>
    </w:p>
    <w:p w14:paraId="36534DD0" w14:textId="77777777" w:rsidR="00F32D7D" w:rsidRPr="006B70A6" w:rsidRDefault="00F32D7D" w:rsidP="00F32D7D">
      <w:pPr>
        <w:spacing w:after="120"/>
        <w:jc w:val="center"/>
        <w:rPr>
          <w:rFonts w:ascii="Times New Roman" w:hAnsi="Times New Roman"/>
        </w:rPr>
      </w:pPr>
      <w:r w:rsidRPr="006B70A6">
        <w:rPr>
          <w:rFonts w:ascii="Times New Roman" w:hAnsi="Times New Roman"/>
        </w:rPr>
        <w:t>RSD 113.44=US$ 1</w:t>
      </w:r>
    </w:p>
    <w:p w14:paraId="1994CF92" w14:textId="77777777" w:rsidR="00F32D7D" w:rsidRPr="006B70A6" w:rsidRDefault="00F32D7D" w:rsidP="00F32D7D">
      <w:pPr>
        <w:spacing w:after="120"/>
        <w:jc w:val="center"/>
        <w:rPr>
          <w:rFonts w:ascii="Times New Roman" w:hAnsi="Times New Roman"/>
        </w:rPr>
      </w:pPr>
      <w:r w:rsidRPr="006B70A6">
        <w:rPr>
          <w:rFonts w:ascii="Times New Roman" w:hAnsi="Times New Roman"/>
        </w:rPr>
        <w:t>FISCAL YEAR</w:t>
      </w:r>
    </w:p>
    <w:p w14:paraId="7CEBDEF7" w14:textId="77777777" w:rsidR="00F32D7D" w:rsidRPr="006B70A6" w:rsidRDefault="00F32D7D" w:rsidP="00F32D7D">
      <w:pPr>
        <w:spacing w:after="120"/>
        <w:jc w:val="center"/>
        <w:rPr>
          <w:rFonts w:ascii="Times New Roman" w:hAnsi="Times New Roman"/>
        </w:rPr>
      </w:pPr>
      <w:r w:rsidRPr="006B70A6">
        <w:rPr>
          <w:rFonts w:ascii="Times New Roman" w:hAnsi="Times New Roman"/>
        </w:rPr>
        <w:t>January 1 – December 31</w:t>
      </w:r>
    </w:p>
    <w:p w14:paraId="3F1E0360" w14:textId="06D2F7E3" w:rsidR="005B00D9" w:rsidRPr="00E168A1" w:rsidRDefault="007D77FB" w:rsidP="004F5154">
      <w:pPr>
        <w:jc w:val="center"/>
        <w:rPr>
          <w:rFonts w:ascii="Times New Roman" w:hAnsi="Times New Roman"/>
        </w:rPr>
      </w:pPr>
      <w:r>
        <w:rPr>
          <w:rFonts w:ascii="Times New Roman" w:hAnsi="Times New Roman"/>
          <w:b/>
        </w:rPr>
        <w:t xml:space="preserve">ABBREVIATIONS AND </w:t>
      </w:r>
      <w:r w:rsidR="009E1FEE" w:rsidRPr="00E168A1">
        <w:rPr>
          <w:rFonts w:ascii="Times New Roman" w:hAnsi="Times New Roman"/>
          <w:b/>
        </w:rPr>
        <w:t>ACRONYMS</w:t>
      </w:r>
    </w:p>
    <w:tbl>
      <w:tblPr>
        <w:tblStyle w:val="TableGrid"/>
        <w:tblW w:w="50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8013"/>
      </w:tblGrid>
      <w:tr w:rsidR="00B71C7F" w:rsidRPr="00E168A1" w14:paraId="40240B50" w14:textId="77777777" w:rsidTr="00BD5693">
        <w:trPr>
          <w:trHeight w:val="281"/>
          <w:jc w:val="center"/>
        </w:trPr>
        <w:tc>
          <w:tcPr>
            <w:tcW w:w="767" w:type="pct"/>
          </w:tcPr>
          <w:p w14:paraId="7D746252"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ACA </w:t>
            </w:r>
          </w:p>
        </w:tc>
        <w:tc>
          <w:tcPr>
            <w:tcW w:w="4233" w:type="pct"/>
          </w:tcPr>
          <w:p w14:paraId="74ECEBEE" w14:textId="1C87CC7F" w:rsidR="00B71C7F" w:rsidRPr="00E168A1" w:rsidRDefault="00B71C7F" w:rsidP="00B9390F">
            <w:pPr>
              <w:spacing w:line="360" w:lineRule="auto"/>
              <w:rPr>
                <w:rFonts w:ascii="Times New Roman" w:hAnsi="Times New Roman"/>
              </w:rPr>
            </w:pPr>
            <w:r w:rsidRPr="00E168A1">
              <w:rPr>
                <w:rFonts w:ascii="Times New Roman" w:hAnsi="Times New Roman"/>
              </w:rPr>
              <w:t xml:space="preserve">Anticorrupion Agency </w:t>
            </w:r>
          </w:p>
        </w:tc>
      </w:tr>
      <w:tr w:rsidR="00B71C7F" w:rsidRPr="00E168A1" w14:paraId="64618A45" w14:textId="77777777" w:rsidTr="00BD5693">
        <w:trPr>
          <w:trHeight w:val="296"/>
          <w:jc w:val="center"/>
        </w:trPr>
        <w:tc>
          <w:tcPr>
            <w:tcW w:w="767" w:type="pct"/>
          </w:tcPr>
          <w:p w14:paraId="41D2CDA9" w14:textId="20BCF656" w:rsidR="00B71C7F" w:rsidRPr="00E67C6B" w:rsidRDefault="00B71C7F" w:rsidP="00B9390F">
            <w:pPr>
              <w:spacing w:line="360" w:lineRule="auto"/>
              <w:rPr>
                <w:rFonts w:ascii="Times New Roman" w:hAnsi="Times New Roman"/>
              </w:rPr>
            </w:pPr>
            <w:r w:rsidRPr="00E168A1">
              <w:rPr>
                <w:rFonts w:ascii="Times New Roman" w:hAnsi="Times New Roman"/>
              </w:rPr>
              <w:t>ACG</w:t>
            </w:r>
          </w:p>
        </w:tc>
        <w:tc>
          <w:tcPr>
            <w:tcW w:w="4233" w:type="pct"/>
          </w:tcPr>
          <w:p w14:paraId="4F289ED1" w14:textId="5CEF8CCD" w:rsidR="00B71C7F" w:rsidRPr="00E168A1" w:rsidRDefault="00B71C7F" w:rsidP="00B9390F">
            <w:pPr>
              <w:spacing w:line="360" w:lineRule="auto"/>
              <w:rPr>
                <w:rFonts w:ascii="Times New Roman" w:hAnsi="Times New Roman"/>
              </w:rPr>
            </w:pPr>
            <w:r w:rsidRPr="00E168A1">
              <w:rPr>
                <w:rFonts w:ascii="Times New Roman" w:hAnsi="Times New Roman"/>
              </w:rPr>
              <w:t>Anti</w:t>
            </w:r>
            <w:r w:rsidR="001C207D" w:rsidRPr="00E168A1">
              <w:rPr>
                <w:rFonts w:ascii="Times New Roman" w:hAnsi="Times New Roman"/>
              </w:rPr>
              <w:t>c</w:t>
            </w:r>
            <w:r w:rsidRPr="00E168A1">
              <w:rPr>
                <w:rFonts w:ascii="Times New Roman" w:hAnsi="Times New Roman"/>
              </w:rPr>
              <w:t xml:space="preserve">orruption Guideline </w:t>
            </w:r>
          </w:p>
        </w:tc>
      </w:tr>
      <w:tr w:rsidR="00B71C7F" w:rsidRPr="00E168A1" w14:paraId="10B2E028" w14:textId="77777777" w:rsidTr="00BD5693">
        <w:trPr>
          <w:trHeight w:val="281"/>
          <w:jc w:val="center"/>
        </w:trPr>
        <w:tc>
          <w:tcPr>
            <w:tcW w:w="767" w:type="pct"/>
          </w:tcPr>
          <w:p w14:paraId="0D026AD0" w14:textId="77777777" w:rsidR="00B71C7F" w:rsidRPr="00E168A1" w:rsidRDefault="00B71C7F" w:rsidP="00B9390F">
            <w:pPr>
              <w:spacing w:line="360" w:lineRule="auto"/>
              <w:rPr>
                <w:rFonts w:ascii="Times New Roman" w:eastAsiaTheme="minorHAnsi" w:hAnsi="Times New Roman"/>
                <w:lang w:eastAsia="en-US"/>
              </w:rPr>
            </w:pPr>
            <w:r w:rsidRPr="00E168A1">
              <w:rPr>
                <w:rFonts w:ascii="Times New Roman" w:eastAsiaTheme="minorHAnsi" w:hAnsi="Times New Roman"/>
                <w:lang w:eastAsia="en-US"/>
              </w:rPr>
              <w:t xml:space="preserve">AFCOS </w:t>
            </w:r>
          </w:p>
        </w:tc>
        <w:tc>
          <w:tcPr>
            <w:tcW w:w="4233" w:type="pct"/>
          </w:tcPr>
          <w:p w14:paraId="30C856B3" w14:textId="77777777" w:rsidR="00B71C7F" w:rsidRPr="00E168A1" w:rsidRDefault="00B71C7F" w:rsidP="00B9390F">
            <w:pPr>
              <w:spacing w:line="360" w:lineRule="auto"/>
              <w:rPr>
                <w:rFonts w:ascii="Times New Roman" w:hAnsi="Times New Roman"/>
              </w:rPr>
            </w:pPr>
            <w:r w:rsidRPr="00E168A1">
              <w:rPr>
                <w:rFonts w:ascii="Times New Roman" w:eastAsiaTheme="minorHAnsi" w:hAnsi="Times New Roman"/>
                <w:lang w:eastAsia="en-US"/>
              </w:rPr>
              <w:t xml:space="preserve">Anti-Fraud Coordination Service </w:t>
            </w:r>
          </w:p>
        </w:tc>
      </w:tr>
      <w:tr w:rsidR="00D034B3" w:rsidRPr="00E168A1" w14:paraId="168274F1" w14:textId="77777777" w:rsidTr="00BD5693">
        <w:trPr>
          <w:trHeight w:val="296"/>
          <w:jc w:val="center"/>
        </w:trPr>
        <w:tc>
          <w:tcPr>
            <w:tcW w:w="767" w:type="pct"/>
          </w:tcPr>
          <w:p w14:paraId="394E0AD1" w14:textId="77777777" w:rsidR="00D034B3" w:rsidRPr="00E168A1" w:rsidRDefault="00D034B3" w:rsidP="00B9390F">
            <w:pPr>
              <w:spacing w:line="360" w:lineRule="auto"/>
              <w:rPr>
                <w:rFonts w:ascii="Times New Roman" w:eastAsiaTheme="minorHAnsi" w:hAnsi="Times New Roman"/>
                <w:lang w:eastAsia="en-US"/>
              </w:rPr>
            </w:pPr>
            <w:r w:rsidRPr="00E168A1">
              <w:rPr>
                <w:rFonts w:ascii="Times New Roman" w:eastAsiaTheme="minorHAnsi" w:hAnsi="Times New Roman"/>
                <w:lang w:eastAsia="en-US"/>
              </w:rPr>
              <w:t>APML</w:t>
            </w:r>
          </w:p>
        </w:tc>
        <w:tc>
          <w:tcPr>
            <w:tcW w:w="4233" w:type="pct"/>
          </w:tcPr>
          <w:p w14:paraId="0201B4D1" w14:textId="77777777" w:rsidR="00D034B3" w:rsidRPr="00E168A1" w:rsidRDefault="00D034B3" w:rsidP="00B9390F">
            <w:pPr>
              <w:spacing w:line="360" w:lineRule="auto"/>
              <w:rPr>
                <w:rFonts w:ascii="Times New Roman" w:eastAsiaTheme="minorHAnsi" w:hAnsi="Times New Roman"/>
                <w:lang w:eastAsia="en-US"/>
              </w:rPr>
            </w:pPr>
            <w:r w:rsidRPr="00E168A1">
              <w:rPr>
                <w:rFonts w:ascii="Times New Roman" w:hAnsi="Times New Roman"/>
              </w:rPr>
              <w:t>Administration for the Prevention of Money Laundering</w:t>
            </w:r>
          </w:p>
        </w:tc>
      </w:tr>
      <w:tr w:rsidR="00B71C7F" w:rsidRPr="00E168A1" w14:paraId="5C517A22" w14:textId="77777777" w:rsidTr="00BD5693">
        <w:trPr>
          <w:trHeight w:val="281"/>
          <w:jc w:val="center"/>
        </w:trPr>
        <w:tc>
          <w:tcPr>
            <w:tcW w:w="767" w:type="pct"/>
          </w:tcPr>
          <w:p w14:paraId="25CD122E" w14:textId="77777777" w:rsidR="00B71C7F" w:rsidRPr="00E168A1" w:rsidRDefault="00B71C7F" w:rsidP="00B9390F">
            <w:pPr>
              <w:spacing w:line="360" w:lineRule="auto"/>
              <w:rPr>
                <w:rFonts w:ascii="Times New Roman" w:hAnsi="Times New Roman"/>
              </w:rPr>
            </w:pPr>
            <w:r w:rsidRPr="00E168A1">
              <w:rPr>
                <w:rFonts w:ascii="Times New Roman" w:hAnsi="Times New Roman"/>
              </w:rPr>
              <w:t>BES</w:t>
            </w:r>
          </w:p>
        </w:tc>
        <w:tc>
          <w:tcPr>
            <w:tcW w:w="4233" w:type="pct"/>
          </w:tcPr>
          <w:p w14:paraId="473F23E9" w14:textId="77777777" w:rsidR="00B71C7F" w:rsidRPr="00E168A1" w:rsidRDefault="00B71C7F" w:rsidP="00B9390F">
            <w:pPr>
              <w:spacing w:line="360" w:lineRule="auto"/>
              <w:rPr>
                <w:rFonts w:ascii="Times New Roman" w:hAnsi="Times New Roman"/>
              </w:rPr>
            </w:pPr>
            <w:r w:rsidRPr="00E168A1">
              <w:rPr>
                <w:rFonts w:ascii="Times New Roman" w:hAnsi="Times New Roman"/>
              </w:rPr>
              <w:t>Budget Execution System</w:t>
            </w:r>
          </w:p>
        </w:tc>
      </w:tr>
      <w:tr w:rsidR="00B71C7F" w:rsidRPr="00E168A1" w14:paraId="2813E160" w14:textId="77777777" w:rsidTr="00BD5693">
        <w:trPr>
          <w:trHeight w:val="281"/>
          <w:jc w:val="center"/>
        </w:trPr>
        <w:tc>
          <w:tcPr>
            <w:tcW w:w="767" w:type="pct"/>
          </w:tcPr>
          <w:p w14:paraId="3CC7580C" w14:textId="77777777" w:rsidR="00B71C7F" w:rsidRPr="00E168A1" w:rsidRDefault="00B71C7F" w:rsidP="00B9390F">
            <w:pPr>
              <w:spacing w:line="360" w:lineRule="auto"/>
              <w:rPr>
                <w:rFonts w:ascii="Times New Roman" w:hAnsi="Times New Roman"/>
              </w:rPr>
            </w:pPr>
            <w:r w:rsidRPr="00E168A1">
              <w:rPr>
                <w:rFonts w:ascii="Times New Roman" w:hAnsi="Times New Roman"/>
              </w:rPr>
              <w:t>BSL</w:t>
            </w:r>
          </w:p>
        </w:tc>
        <w:tc>
          <w:tcPr>
            <w:tcW w:w="4233" w:type="pct"/>
          </w:tcPr>
          <w:p w14:paraId="46899B34"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Budget System Law </w:t>
            </w:r>
          </w:p>
        </w:tc>
      </w:tr>
      <w:tr w:rsidR="005D0BB9" w:rsidRPr="00E168A1" w14:paraId="20847663" w14:textId="77777777" w:rsidTr="00BD5693">
        <w:trPr>
          <w:trHeight w:val="296"/>
          <w:jc w:val="center"/>
        </w:trPr>
        <w:tc>
          <w:tcPr>
            <w:tcW w:w="767" w:type="pct"/>
          </w:tcPr>
          <w:p w14:paraId="1B71A564" w14:textId="77777777" w:rsidR="005D0BB9" w:rsidRPr="00E168A1" w:rsidRDefault="005D0BB9" w:rsidP="00B9390F">
            <w:pPr>
              <w:spacing w:line="360" w:lineRule="auto"/>
              <w:rPr>
                <w:rFonts w:ascii="Times New Roman" w:hAnsi="Times New Roman"/>
              </w:rPr>
            </w:pPr>
            <w:r w:rsidRPr="00E168A1">
              <w:rPr>
                <w:rFonts w:ascii="Times New Roman" w:hAnsi="Times New Roman"/>
              </w:rPr>
              <w:t>CTA</w:t>
            </w:r>
          </w:p>
        </w:tc>
        <w:tc>
          <w:tcPr>
            <w:tcW w:w="4233" w:type="pct"/>
          </w:tcPr>
          <w:p w14:paraId="71E2AFF0" w14:textId="77777777" w:rsidR="005D0BB9" w:rsidRPr="00E168A1" w:rsidRDefault="005D0BB9" w:rsidP="00B9390F">
            <w:pPr>
              <w:spacing w:line="360" w:lineRule="auto"/>
              <w:rPr>
                <w:rFonts w:ascii="Times New Roman" w:hAnsi="Times New Roman"/>
              </w:rPr>
            </w:pPr>
            <w:r w:rsidRPr="00E168A1">
              <w:rPr>
                <w:rFonts w:ascii="Times New Roman" w:hAnsi="Times New Roman"/>
              </w:rPr>
              <w:t>Consolidated Treasury Account</w:t>
            </w:r>
          </w:p>
        </w:tc>
      </w:tr>
      <w:tr w:rsidR="00B71C7F" w:rsidRPr="00E168A1" w14:paraId="54B6696A" w14:textId="77777777" w:rsidTr="00BD5693">
        <w:trPr>
          <w:trHeight w:val="281"/>
          <w:jc w:val="center"/>
        </w:trPr>
        <w:tc>
          <w:tcPr>
            <w:tcW w:w="767" w:type="pct"/>
          </w:tcPr>
          <w:p w14:paraId="14BE7288"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CTAS </w:t>
            </w:r>
          </w:p>
        </w:tc>
        <w:tc>
          <w:tcPr>
            <w:tcW w:w="4233" w:type="pct"/>
          </w:tcPr>
          <w:p w14:paraId="693C9895"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Consolidated Treasury Account System </w:t>
            </w:r>
          </w:p>
        </w:tc>
      </w:tr>
      <w:tr w:rsidR="00D3232D" w:rsidRPr="00E168A1" w14:paraId="408562D9" w14:textId="77777777" w:rsidTr="00BD5693">
        <w:trPr>
          <w:trHeight w:val="296"/>
          <w:jc w:val="center"/>
        </w:trPr>
        <w:tc>
          <w:tcPr>
            <w:tcW w:w="767" w:type="pct"/>
          </w:tcPr>
          <w:p w14:paraId="74F6E6D0" w14:textId="77777777" w:rsidR="00D3232D" w:rsidRPr="00E168A1" w:rsidRDefault="00D3232D" w:rsidP="00B9390F">
            <w:pPr>
              <w:spacing w:line="360" w:lineRule="auto"/>
              <w:rPr>
                <w:rFonts w:ascii="Times New Roman" w:hAnsi="Times New Roman"/>
              </w:rPr>
            </w:pPr>
            <w:r w:rsidRPr="00E168A1">
              <w:rPr>
                <w:rFonts w:ascii="Times New Roman" w:hAnsi="Times New Roman"/>
              </w:rPr>
              <w:t>DBB</w:t>
            </w:r>
          </w:p>
        </w:tc>
        <w:tc>
          <w:tcPr>
            <w:tcW w:w="4233" w:type="pct"/>
          </w:tcPr>
          <w:p w14:paraId="3F01BB90" w14:textId="77777777" w:rsidR="00D3232D" w:rsidRPr="00E168A1" w:rsidRDefault="00D3232D" w:rsidP="00B9390F">
            <w:pPr>
              <w:spacing w:line="360" w:lineRule="auto"/>
              <w:rPr>
                <w:rFonts w:ascii="Times New Roman" w:hAnsi="Times New Roman"/>
              </w:rPr>
            </w:pPr>
            <w:r w:rsidRPr="00E168A1">
              <w:rPr>
                <w:rFonts w:ascii="Times New Roman" w:hAnsi="Times New Roman"/>
              </w:rPr>
              <w:t>Direct Budget Beneficiary</w:t>
            </w:r>
          </w:p>
        </w:tc>
      </w:tr>
      <w:tr w:rsidR="00B71C7F" w:rsidRPr="00E168A1" w14:paraId="5F5B54C5" w14:textId="77777777" w:rsidTr="00BD5693">
        <w:trPr>
          <w:trHeight w:val="281"/>
          <w:jc w:val="center"/>
        </w:trPr>
        <w:tc>
          <w:tcPr>
            <w:tcW w:w="767" w:type="pct"/>
          </w:tcPr>
          <w:p w14:paraId="582DE903" w14:textId="77777777" w:rsidR="00B71C7F" w:rsidRPr="00E168A1" w:rsidRDefault="00B71C7F" w:rsidP="00B9390F">
            <w:pPr>
              <w:spacing w:line="360" w:lineRule="auto"/>
              <w:rPr>
                <w:rFonts w:ascii="Times New Roman" w:hAnsi="Times New Roman"/>
              </w:rPr>
            </w:pPr>
            <w:r w:rsidRPr="00E168A1">
              <w:rPr>
                <w:rFonts w:ascii="Times New Roman" w:hAnsi="Times New Roman"/>
              </w:rPr>
              <w:t>DLI</w:t>
            </w:r>
          </w:p>
        </w:tc>
        <w:tc>
          <w:tcPr>
            <w:tcW w:w="4233" w:type="pct"/>
          </w:tcPr>
          <w:p w14:paraId="7450EB2F" w14:textId="6CF96E29" w:rsidR="00B71C7F" w:rsidRPr="00E168A1" w:rsidRDefault="00B71C7F" w:rsidP="00B9390F">
            <w:pPr>
              <w:spacing w:line="360" w:lineRule="auto"/>
              <w:rPr>
                <w:rFonts w:ascii="Times New Roman" w:hAnsi="Times New Roman"/>
              </w:rPr>
            </w:pPr>
            <w:r w:rsidRPr="00E168A1">
              <w:rPr>
                <w:rFonts w:ascii="Times New Roman" w:hAnsi="Times New Roman"/>
              </w:rPr>
              <w:t xml:space="preserve">Disbursement-linked </w:t>
            </w:r>
            <w:r w:rsidR="00485EA2" w:rsidRPr="00E168A1">
              <w:rPr>
                <w:rFonts w:ascii="Times New Roman" w:hAnsi="Times New Roman"/>
              </w:rPr>
              <w:t>I</w:t>
            </w:r>
            <w:r w:rsidRPr="00E168A1">
              <w:rPr>
                <w:rFonts w:ascii="Times New Roman" w:hAnsi="Times New Roman"/>
              </w:rPr>
              <w:t>ndicator</w:t>
            </w:r>
          </w:p>
        </w:tc>
      </w:tr>
      <w:tr w:rsidR="00B71C7F" w:rsidRPr="00E168A1" w14:paraId="66BE24E6" w14:textId="77777777" w:rsidTr="00BD5693">
        <w:trPr>
          <w:trHeight w:val="281"/>
          <w:jc w:val="center"/>
        </w:trPr>
        <w:tc>
          <w:tcPr>
            <w:tcW w:w="767" w:type="pct"/>
          </w:tcPr>
          <w:p w14:paraId="3E28F14D" w14:textId="77777777" w:rsidR="00B71C7F" w:rsidRPr="00E168A1" w:rsidRDefault="00B71C7F" w:rsidP="00B9390F">
            <w:pPr>
              <w:spacing w:line="360" w:lineRule="auto"/>
              <w:rPr>
                <w:rFonts w:ascii="Times New Roman" w:hAnsi="Times New Roman"/>
              </w:rPr>
            </w:pPr>
            <w:r w:rsidRPr="00E168A1">
              <w:rPr>
                <w:rFonts w:ascii="Times New Roman" w:hAnsi="Times New Roman"/>
              </w:rPr>
              <w:t>EU</w:t>
            </w:r>
          </w:p>
        </w:tc>
        <w:tc>
          <w:tcPr>
            <w:tcW w:w="4233" w:type="pct"/>
          </w:tcPr>
          <w:p w14:paraId="43BDE31A" w14:textId="77777777" w:rsidR="00B71C7F" w:rsidRPr="00E168A1" w:rsidRDefault="00B71C7F" w:rsidP="00B9390F">
            <w:pPr>
              <w:spacing w:line="360" w:lineRule="auto"/>
              <w:rPr>
                <w:rFonts w:ascii="Times New Roman" w:hAnsi="Times New Roman"/>
              </w:rPr>
            </w:pPr>
            <w:r w:rsidRPr="00E168A1">
              <w:rPr>
                <w:rFonts w:ascii="Times New Roman" w:hAnsi="Times New Roman"/>
              </w:rPr>
              <w:t>European Union</w:t>
            </w:r>
          </w:p>
        </w:tc>
      </w:tr>
      <w:tr w:rsidR="00B71C7F" w:rsidRPr="00E168A1" w14:paraId="15A0818B" w14:textId="77777777" w:rsidTr="00BD5693">
        <w:trPr>
          <w:trHeight w:val="296"/>
          <w:jc w:val="center"/>
        </w:trPr>
        <w:tc>
          <w:tcPr>
            <w:tcW w:w="767" w:type="pct"/>
          </w:tcPr>
          <w:p w14:paraId="4D52D1B0" w14:textId="77777777" w:rsidR="00B71C7F" w:rsidRPr="00E168A1" w:rsidRDefault="00B71C7F" w:rsidP="00B9390F">
            <w:pPr>
              <w:spacing w:line="360" w:lineRule="auto"/>
              <w:rPr>
                <w:rFonts w:ascii="Times New Roman" w:hAnsi="Times New Roman"/>
              </w:rPr>
            </w:pPr>
            <w:r w:rsidRPr="00E168A1">
              <w:rPr>
                <w:rFonts w:ascii="Times New Roman" w:hAnsi="Times New Roman"/>
              </w:rPr>
              <w:t>F&amp;C</w:t>
            </w:r>
          </w:p>
        </w:tc>
        <w:tc>
          <w:tcPr>
            <w:tcW w:w="4233" w:type="pct"/>
          </w:tcPr>
          <w:p w14:paraId="7D43304A" w14:textId="77777777" w:rsidR="00B71C7F" w:rsidRPr="00E168A1" w:rsidRDefault="00B71C7F" w:rsidP="00B9390F">
            <w:pPr>
              <w:spacing w:line="360" w:lineRule="auto"/>
              <w:rPr>
                <w:rFonts w:ascii="Times New Roman" w:hAnsi="Times New Roman"/>
              </w:rPr>
            </w:pPr>
            <w:r w:rsidRPr="00E168A1">
              <w:rPr>
                <w:rFonts w:ascii="Times New Roman" w:hAnsi="Times New Roman"/>
              </w:rPr>
              <w:t>Fraud and Corruption</w:t>
            </w:r>
          </w:p>
        </w:tc>
      </w:tr>
      <w:tr w:rsidR="00B71C7F" w:rsidRPr="00E168A1" w14:paraId="053249EB" w14:textId="77777777" w:rsidTr="00BD5693">
        <w:trPr>
          <w:trHeight w:val="281"/>
          <w:jc w:val="center"/>
        </w:trPr>
        <w:tc>
          <w:tcPr>
            <w:tcW w:w="767" w:type="pct"/>
          </w:tcPr>
          <w:p w14:paraId="4996724F" w14:textId="77777777" w:rsidR="00B71C7F" w:rsidRPr="00E168A1" w:rsidRDefault="00B71C7F" w:rsidP="00B9390F">
            <w:pPr>
              <w:spacing w:line="360" w:lineRule="auto"/>
              <w:rPr>
                <w:rFonts w:ascii="Times New Roman" w:hAnsi="Times New Roman"/>
              </w:rPr>
            </w:pPr>
            <w:r w:rsidRPr="00E168A1">
              <w:rPr>
                <w:rFonts w:ascii="Times New Roman" w:hAnsi="Times New Roman"/>
              </w:rPr>
              <w:t>FM</w:t>
            </w:r>
          </w:p>
        </w:tc>
        <w:tc>
          <w:tcPr>
            <w:tcW w:w="4233" w:type="pct"/>
          </w:tcPr>
          <w:p w14:paraId="2BAC1F1C" w14:textId="38041075" w:rsidR="00B71C7F" w:rsidRPr="00E168A1" w:rsidRDefault="00B71C7F" w:rsidP="00B9390F">
            <w:pPr>
              <w:spacing w:line="360" w:lineRule="auto"/>
              <w:rPr>
                <w:rFonts w:ascii="Times New Roman" w:hAnsi="Times New Roman"/>
              </w:rPr>
            </w:pPr>
            <w:r w:rsidRPr="00E168A1">
              <w:rPr>
                <w:rFonts w:ascii="Times New Roman" w:hAnsi="Times New Roman"/>
              </w:rPr>
              <w:t xml:space="preserve">Financial </w:t>
            </w:r>
            <w:r w:rsidR="002A33C2" w:rsidRPr="00E168A1">
              <w:rPr>
                <w:rFonts w:ascii="Times New Roman" w:hAnsi="Times New Roman"/>
              </w:rPr>
              <w:t>M</w:t>
            </w:r>
            <w:r w:rsidRPr="00E168A1">
              <w:rPr>
                <w:rFonts w:ascii="Times New Roman" w:hAnsi="Times New Roman"/>
              </w:rPr>
              <w:t>anagement</w:t>
            </w:r>
          </w:p>
        </w:tc>
      </w:tr>
      <w:tr w:rsidR="00B71C7F" w:rsidRPr="00E168A1" w14:paraId="2116D0F3" w14:textId="77777777" w:rsidTr="00BD5693">
        <w:trPr>
          <w:trHeight w:val="296"/>
          <w:jc w:val="center"/>
        </w:trPr>
        <w:tc>
          <w:tcPr>
            <w:tcW w:w="767" w:type="pct"/>
          </w:tcPr>
          <w:p w14:paraId="754A808E"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FMC </w:t>
            </w:r>
          </w:p>
        </w:tc>
        <w:tc>
          <w:tcPr>
            <w:tcW w:w="4233" w:type="pct"/>
          </w:tcPr>
          <w:p w14:paraId="4632ACAA" w14:textId="62AA6BE6" w:rsidR="00B71C7F" w:rsidRPr="00E168A1" w:rsidRDefault="00B71C7F" w:rsidP="00B9390F">
            <w:pPr>
              <w:spacing w:line="360" w:lineRule="auto"/>
              <w:rPr>
                <w:rFonts w:ascii="Times New Roman" w:hAnsi="Times New Roman"/>
              </w:rPr>
            </w:pPr>
            <w:r w:rsidRPr="00E168A1">
              <w:rPr>
                <w:rFonts w:ascii="Times New Roman" w:hAnsi="Times New Roman"/>
              </w:rPr>
              <w:t xml:space="preserve">Financial </w:t>
            </w:r>
            <w:r w:rsidR="00814F62" w:rsidRPr="00E168A1">
              <w:rPr>
                <w:rFonts w:ascii="Times New Roman" w:hAnsi="Times New Roman"/>
              </w:rPr>
              <w:t>M</w:t>
            </w:r>
            <w:r w:rsidRPr="00E168A1">
              <w:rPr>
                <w:rFonts w:ascii="Times New Roman" w:hAnsi="Times New Roman"/>
              </w:rPr>
              <w:t xml:space="preserve">anagement and </w:t>
            </w:r>
            <w:r w:rsidR="00814F62" w:rsidRPr="00E168A1">
              <w:rPr>
                <w:rFonts w:ascii="Times New Roman" w:hAnsi="Times New Roman"/>
              </w:rPr>
              <w:t>C</w:t>
            </w:r>
            <w:r w:rsidRPr="00E168A1">
              <w:rPr>
                <w:rFonts w:ascii="Times New Roman" w:hAnsi="Times New Roman"/>
              </w:rPr>
              <w:t>ontrol</w:t>
            </w:r>
          </w:p>
        </w:tc>
      </w:tr>
      <w:tr w:rsidR="00A2644D" w:rsidRPr="00E168A1" w14:paraId="5047753D" w14:textId="77777777" w:rsidTr="00BD5693">
        <w:trPr>
          <w:trHeight w:val="281"/>
          <w:jc w:val="center"/>
        </w:trPr>
        <w:tc>
          <w:tcPr>
            <w:tcW w:w="767" w:type="pct"/>
          </w:tcPr>
          <w:p w14:paraId="035AAFEE" w14:textId="77777777" w:rsidR="00A2644D" w:rsidRPr="00E168A1" w:rsidRDefault="00A2644D" w:rsidP="00B9390F">
            <w:pPr>
              <w:spacing w:line="360" w:lineRule="auto"/>
              <w:rPr>
                <w:rFonts w:ascii="Times New Roman" w:hAnsi="Times New Roman"/>
              </w:rPr>
            </w:pPr>
            <w:r w:rsidRPr="00E168A1">
              <w:rPr>
                <w:rFonts w:ascii="Times New Roman" w:hAnsi="Times New Roman"/>
              </w:rPr>
              <w:t>FMIS</w:t>
            </w:r>
          </w:p>
        </w:tc>
        <w:tc>
          <w:tcPr>
            <w:tcW w:w="4233" w:type="pct"/>
          </w:tcPr>
          <w:p w14:paraId="491BF309" w14:textId="77777777" w:rsidR="00A2644D" w:rsidRPr="00E168A1" w:rsidRDefault="00A2644D" w:rsidP="00B9390F">
            <w:pPr>
              <w:spacing w:line="360" w:lineRule="auto"/>
              <w:rPr>
                <w:rFonts w:ascii="Times New Roman" w:hAnsi="Times New Roman"/>
              </w:rPr>
            </w:pPr>
            <w:r w:rsidRPr="00E168A1">
              <w:rPr>
                <w:rFonts w:ascii="Times New Roman" w:hAnsi="Times New Roman"/>
              </w:rPr>
              <w:t>Financial Management Information System</w:t>
            </w:r>
          </w:p>
        </w:tc>
      </w:tr>
      <w:tr w:rsidR="00D3232D" w:rsidRPr="00E168A1" w14:paraId="02461644" w14:textId="77777777" w:rsidTr="00BD5693">
        <w:trPr>
          <w:trHeight w:val="281"/>
          <w:jc w:val="center"/>
        </w:trPr>
        <w:tc>
          <w:tcPr>
            <w:tcW w:w="767" w:type="pct"/>
          </w:tcPr>
          <w:p w14:paraId="58A63A2F" w14:textId="77777777" w:rsidR="00D3232D" w:rsidRPr="00E168A1" w:rsidRDefault="00D3232D" w:rsidP="00B9390F">
            <w:pPr>
              <w:spacing w:line="360" w:lineRule="auto"/>
              <w:rPr>
                <w:rFonts w:ascii="Times New Roman" w:hAnsi="Times New Roman"/>
              </w:rPr>
            </w:pPr>
            <w:r w:rsidRPr="00E168A1">
              <w:rPr>
                <w:rFonts w:ascii="Times New Roman" w:hAnsi="Times New Roman"/>
              </w:rPr>
              <w:t>IBB</w:t>
            </w:r>
          </w:p>
        </w:tc>
        <w:tc>
          <w:tcPr>
            <w:tcW w:w="4233" w:type="pct"/>
          </w:tcPr>
          <w:p w14:paraId="7C130F7D" w14:textId="77777777" w:rsidR="00D3232D" w:rsidRPr="00E168A1" w:rsidRDefault="00D3232D" w:rsidP="00B9390F">
            <w:pPr>
              <w:spacing w:line="360" w:lineRule="auto"/>
              <w:rPr>
                <w:rFonts w:ascii="Times New Roman" w:hAnsi="Times New Roman"/>
              </w:rPr>
            </w:pPr>
            <w:r w:rsidRPr="00E168A1">
              <w:rPr>
                <w:rFonts w:ascii="Times New Roman" w:hAnsi="Times New Roman"/>
              </w:rPr>
              <w:t>Indirect Budget Beneficiary</w:t>
            </w:r>
          </w:p>
        </w:tc>
      </w:tr>
      <w:tr w:rsidR="00B71C7F" w:rsidRPr="00E168A1" w14:paraId="2A08E58E" w14:textId="77777777" w:rsidTr="00BD5693">
        <w:trPr>
          <w:trHeight w:val="296"/>
          <w:jc w:val="center"/>
        </w:trPr>
        <w:tc>
          <w:tcPr>
            <w:tcW w:w="767" w:type="pct"/>
          </w:tcPr>
          <w:p w14:paraId="55D0D8E3" w14:textId="77777777" w:rsidR="00B71C7F" w:rsidRPr="00E168A1" w:rsidRDefault="00B71C7F" w:rsidP="00B9390F">
            <w:pPr>
              <w:spacing w:line="360" w:lineRule="auto"/>
              <w:rPr>
                <w:rFonts w:ascii="Times New Roman" w:hAnsi="Times New Roman"/>
              </w:rPr>
            </w:pPr>
            <w:r w:rsidRPr="00E168A1">
              <w:rPr>
                <w:rFonts w:ascii="Times New Roman" w:hAnsi="Times New Roman"/>
              </w:rPr>
              <w:t>INT</w:t>
            </w:r>
          </w:p>
        </w:tc>
        <w:tc>
          <w:tcPr>
            <w:tcW w:w="4233" w:type="pct"/>
          </w:tcPr>
          <w:p w14:paraId="481D606C" w14:textId="3EFA3830" w:rsidR="00B71C7F" w:rsidRPr="00E168A1" w:rsidRDefault="00B71C7F" w:rsidP="00B9390F">
            <w:pPr>
              <w:spacing w:line="360" w:lineRule="auto"/>
              <w:rPr>
                <w:rFonts w:ascii="Times New Roman" w:hAnsi="Times New Roman"/>
              </w:rPr>
            </w:pPr>
            <w:r w:rsidRPr="00E168A1">
              <w:rPr>
                <w:rFonts w:ascii="Times New Roman" w:hAnsi="Times New Roman"/>
              </w:rPr>
              <w:t>Integrity Vice Presidency</w:t>
            </w:r>
          </w:p>
        </w:tc>
      </w:tr>
      <w:tr w:rsidR="00B71C7F" w:rsidRPr="00E168A1" w14:paraId="337C51C4" w14:textId="77777777" w:rsidTr="00BD5693">
        <w:trPr>
          <w:trHeight w:val="281"/>
          <w:jc w:val="center"/>
        </w:trPr>
        <w:tc>
          <w:tcPr>
            <w:tcW w:w="767" w:type="pct"/>
          </w:tcPr>
          <w:p w14:paraId="5FF63214" w14:textId="77777777" w:rsidR="00B71C7F" w:rsidRPr="00E168A1" w:rsidRDefault="00B71C7F" w:rsidP="00B9390F">
            <w:pPr>
              <w:spacing w:line="360" w:lineRule="auto"/>
              <w:rPr>
                <w:rFonts w:ascii="Times New Roman" w:hAnsi="Times New Roman"/>
              </w:rPr>
            </w:pPr>
            <w:r w:rsidRPr="00E168A1">
              <w:rPr>
                <w:rFonts w:ascii="Times New Roman" w:hAnsi="Times New Roman"/>
              </w:rPr>
              <w:t>IPSAS</w:t>
            </w:r>
          </w:p>
        </w:tc>
        <w:tc>
          <w:tcPr>
            <w:tcW w:w="4233" w:type="pct"/>
          </w:tcPr>
          <w:p w14:paraId="02EC04AF" w14:textId="77777777" w:rsidR="00B71C7F" w:rsidRPr="00E168A1" w:rsidRDefault="00B71C7F" w:rsidP="00B9390F">
            <w:pPr>
              <w:spacing w:line="360" w:lineRule="auto"/>
              <w:rPr>
                <w:rFonts w:ascii="Times New Roman" w:hAnsi="Times New Roman"/>
              </w:rPr>
            </w:pPr>
            <w:r w:rsidRPr="00E168A1">
              <w:rPr>
                <w:rFonts w:ascii="Times New Roman" w:hAnsi="Times New Roman"/>
              </w:rPr>
              <w:t>International Public Sector Accounting Standards</w:t>
            </w:r>
          </w:p>
        </w:tc>
      </w:tr>
      <w:tr w:rsidR="00B8350F" w:rsidRPr="00E168A1" w14:paraId="04284636" w14:textId="77777777" w:rsidTr="00BD5693">
        <w:trPr>
          <w:trHeight w:val="296"/>
          <w:jc w:val="center"/>
        </w:trPr>
        <w:tc>
          <w:tcPr>
            <w:tcW w:w="767" w:type="pct"/>
          </w:tcPr>
          <w:p w14:paraId="00C79CAB" w14:textId="77777777" w:rsidR="00B8350F" w:rsidRPr="00E168A1" w:rsidRDefault="00B8350F" w:rsidP="00B9390F">
            <w:pPr>
              <w:spacing w:line="360" w:lineRule="auto"/>
              <w:rPr>
                <w:rFonts w:ascii="Times New Roman" w:hAnsi="Times New Roman"/>
              </w:rPr>
            </w:pPr>
            <w:r w:rsidRPr="00E168A1">
              <w:rPr>
                <w:rFonts w:ascii="Times New Roman" w:hAnsi="Times New Roman"/>
              </w:rPr>
              <w:t>IT</w:t>
            </w:r>
          </w:p>
        </w:tc>
        <w:tc>
          <w:tcPr>
            <w:tcW w:w="4233" w:type="pct"/>
          </w:tcPr>
          <w:p w14:paraId="04D1EAC5" w14:textId="77777777" w:rsidR="00B8350F" w:rsidRPr="00E168A1" w:rsidRDefault="00B8350F" w:rsidP="00B9390F">
            <w:pPr>
              <w:spacing w:line="360" w:lineRule="auto"/>
              <w:rPr>
                <w:rFonts w:ascii="Times New Roman" w:hAnsi="Times New Roman"/>
              </w:rPr>
            </w:pPr>
            <w:r w:rsidRPr="00E168A1">
              <w:rPr>
                <w:rFonts w:ascii="Times New Roman" w:hAnsi="Times New Roman"/>
              </w:rPr>
              <w:t>Information Technology</w:t>
            </w:r>
          </w:p>
        </w:tc>
      </w:tr>
      <w:tr w:rsidR="00B71C7F" w:rsidRPr="00E168A1" w14:paraId="0AE6C0A2" w14:textId="77777777" w:rsidTr="00BD5693">
        <w:trPr>
          <w:trHeight w:val="281"/>
          <w:jc w:val="center"/>
        </w:trPr>
        <w:tc>
          <w:tcPr>
            <w:tcW w:w="767" w:type="pct"/>
          </w:tcPr>
          <w:p w14:paraId="181A3EE6" w14:textId="204A56EA" w:rsidR="00B71C7F" w:rsidRPr="00E67C6B" w:rsidRDefault="00B71C7F" w:rsidP="00B9390F">
            <w:pPr>
              <w:spacing w:line="360" w:lineRule="auto"/>
              <w:rPr>
                <w:rFonts w:ascii="Times New Roman" w:hAnsi="Times New Roman"/>
              </w:rPr>
            </w:pPr>
            <w:r w:rsidRPr="00E168A1">
              <w:rPr>
                <w:rFonts w:ascii="Times New Roman" w:hAnsi="Times New Roman"/>
              </w:rPr>
              <w:t>M</w:t>
            </w:r>
            <w:r w:rsidR="0012064C" w:rsidRPr="00E168A1">
              <w:rPr>
                <w:rFonts w:ascii="Times New Roman" w:hAnsi="Times New Roman"/>
              </w:rPr>
              <w:t>o</w:t>
            </w:r>
            <w:r w:rsidRPr="00E67C6B">
              <w:rPr>
                <w:rFonts w:ascii="Times New Roman" w:hAnsi="Times New Roman"/>
              </w:rPr>
              <w:t>F</w:t>
            </w:r>
          </w:p>
        </w:tc>
        <w:tc>
          <w:tcPr>
            <w:tcW w:w="4233" w:type="pct"/>
          </w:tcPr>
          <w:p w14:paraId="41EBB760" w14:textId="77777777" w:rsidR="00B71C7F" w:rsidRPr="00E168A1" w:rsidRDefault="00B71C7F" w:rsidP="00B9390F">
            <w:pPr>
              <w:spacing w:line="360" w:lineRule="auto"/>
              <w:rPr>
                <w:rFonts w:ascii="Times New Roman" w:hAnsi="Times New Roman"/>
              </w:rPr>
            </w:pPr>
            <w:r w:rsidRPr="00E168A1">
              <w:rPr>
                <w:rFonts w:ascii="Times New Roman" w:hAnsi="Times New Roman"/>
              </w:rPr>
              <w:t>Ministry of Finance</w:t>
            </w:r>
          </w:p>
        </w:tc>
      </w:tr>
      <w:tr w:rsidR="00B71C7F" w:rsidRPr="00E168A1" w14:paraId="2E57FB80" w14:textId="77777777" w:rsidTr="00BD5693">
        <w:trPr>
          <w:trHeight w:val="281"/>
          <w:jc w:val="center"/>
        </w:trPr>
        <w:tc>
          <w:tcPr>
            <w:tcW w:w="767" w:type="pct"/>
          </w:tcPr>
          <w:p w14:paraId="69BF0902"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MPALSG </w:t>
            </w:r>
          </w:p>
        </w:tc>
        <w:tc>
          <w:tcPr>
            <w:tcW w:w="4233" w:type="pct"/>
          </w:tcPr>
          <w:p w14:paraId="60C9874A" w14:textId="77777777" w:rsidR="00B71C7F" w:rsidRPr="00E168A1" w:rsidRDefault="00B71C7F" w:rsidP="00B9390F">
            <w:pPr>
              <w:spacing w:line="360" w:lineRule="auto"/>
              <w:rPr>
                <w:rFonts w:ascii="Times New Roman" w:hAnsi="Times New Roman"/>
              </w:rPr>
            </w:pPr>
            <w:r w:rsidRPr="00E168A1">
              <w:rPr>
                <w:rFonts w:ascii="Times New Roman" w:hAnsi="Times New Roman"/>
              </w:rPr>
              <w:t>Ministry of Public Administration and Local Self Government</w:t>
            </w:r>
          </w:p>
        </w:tc>
      </w:tr>
      <w:tr w:rsidR="00B71C7F" w:rsidRPr="00E168A1" w14:paraId="1623BD9C" w14:textId="77777777" w:rsidTr="00BD5693">
        <w:trPr>
          <w:trHeight w:val="296"/>
          <w:jc w:val="center"/>
        </w:trPr>
        <w:tc>
          <w:tcPr>
            <w:tcW w:w="767" w:type="pct"/>
          </w:tcPr>
          <w:p w14:paraId="00581A45"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MTEF </w:t>
            </w:r>
          </w:p>
        </w:tc>
        <w:tc>
          <w:tcPr>
            <w:tcW w:w="4233" w:type="pct"/>
          </w:tcPr>
          <w:p w14:paraId="4EF48875" w14:textId="7D1EAAA8" w:rsidR="00B71C7F" w:rsidRPr="00E168A1" w:rsidRDefault="00B71C7F" w:rsidP="00B9390F">
            <w:pPr>
              <w:spacing w:line="360" w:lineRule="auto"/>
              <w:rPr>
                <w:rFonts w:ascii="Times New Roman" w:hAnsi="Times New Roman"/>
              </w:rPr>
            </w:pPr>
            <w:r w:rsidRPr="00E168A1">
              <w:rPr>
                <w:rFonts w:ascii="Times New Roman" w:hAnsi="Times New Roman"/>
              </w:rPr>
              <w:t xml:space="preserve">Medium-term </w:t>
            </w:r>
            <w:r w:rsidR="00423C4E" w:rsidRPr="00E168A1">
              <w:rPr>
                <w:rFonts w:ascii="Times New Roman" w:hAnsi="Times New Roman"/>
              </w:rPr>
              <w:t>E</w:t>
            </w:r>
            <w:r w:rsidRPr="00E168A1">
              <w:rPr>
                <w:rFonts w:ascii="Times New Roman" w:hAnsi="Times New Roman"/>
              </w:rPr>
              <w:t xml:space="preserve">xpenditure </w:t>
            </w:r>
            <w:r w:rsidR="00423C4E" w:rsidRPr="00E168A1">
              <w:rPr>
                <w:rFonts w:ascii="Times New Roman" w:hAnsi="Times New Roman"/>
              </w:rPr>
              <w:t>F</w:t>
            </w:r>
            <w:r w:rsidRPr="00E168A1">
              <w:rPr>
                <w:rFonts w:ascii="Times New Roman" w:hAnsi="Times New Roman"/>
              </w:rPr>
              <w:t>ramework</w:t>
            </w:r>
          </w:p>
        </w:tc>
      </w:tr>
      <w:tr w:rsidR="00B71C7F" w:rsidRPr="00E168A1" w14:paraId="259F17EF" w14:textId="77777777" w:rsidTr="00BD5693">
        <w:trPr>
          <w:trHeight w:val="281"/>
          <w:jc w:val="center"/>
        </w:trPr>
        <w:tc>
          <w:tcPr>
            <w:tcW w:w="767" w:type="pct"/>
          </w:tcPr>
          <w:p w14:paraId="742DC802" w14:textId="77777777" w:rsidR="00B71C7F" w:rsidRPr="00E168A1" w:rsidRDefault="00B71C7F" w:rsidP="00B9390F">
            <w:pPr>
              <w:spacing w:line="360" w:lineRule="auto"/>
              <w:rPr>
                <w:rFonts w:ascii="Times New Roman" w:hAnsi="Times New Roman"/>
              </w:rPr>
            </w:pPr>
            <w:r w:rsidRPr="00E168A1">
              <w:rPr>
                <w:rFonts w:ascii="Times New Roman" w:hAnsi="Times New Roman"/>
              </w:rPr>
              <w:t>NA</w:t>
            </w:r>
          </w:p>
        </w:tc>
        <w:tc>
          <w:tcPr>
            <w:tcW w:w="4233" w:type="pct"/>
          </w:tcPr>
          <w:p w14:paraId="1B5EF9BA"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National Assembly </w:t>
            </w:r>
          </w:p>
        </w:tc>
      </w:tr>
      <w:tr w:rsidR="00D034B3" w:rsidRPr="00E168A1" w14:paraId="3DA82ED2" w14:textId="77777777" w:rsidTr="00BD5693">
        <w:trPr>
          <w:trHeight w:val="296"/>
          <w:jc w:val="center"/>
        </w:trPr>
        <w:tc>
          <w:tcPr>
            <w:tcW w:w="767" w:type="pct"/>
          </w:tcPr>
          <w:p w14:paraId="6365EA9D" w14:textId="77777777" w:rsidR="00D034B3" w:rsidRPr="00E168A1" w:rsidRDefault="00D034B3" w:rsidP="00B9390F">
            <w:pPr>
              <w:spacing w:line="360" w:lineRule="auto"/>
              <w:rPr>
                <w:rFonts w:ascii="Times New Roman" w:hAnsi="Times New Roman"/>
              </w:rPr>
            </w:pPr>
            <w:r w:rsidRPr="00E168A1">
              <w:rPr>
                <w:rFonts w:ascii="Times New Roman" w:hAnsi="Times New Roman"/>
              </w:rPr>
              <w:t>NES</w:t>
            </w:r>
          </w:p>
        </w:tc>
        <w:tc>
          <w:tcPr>
            <w:tcW w:w="4233" w:type="pct"/>
          </w:tcPr>
          <w:p w14:paraId="57E66B1D" w14:textId="77777777" w:rsidR="00D034B3" w:rsidRPr="00E168A1" w:rsidRDefault="00D034B3" w:rsidP="00B9390F">
            <w:pPr>
              <w:spacing w:line="360" w:lineRule="auto"/>
              <w:rPr>
                <w:rFonts w:ascii="Times New Roman" w:hAnsi="Times New Roman"/>
              </w:rPr>
            </w:pPr>
            <w:r w:rsidRPr="00E168A1">
              <w:rPr>
                <w:rFonts w:ascii="Times New Roman" w:hAnsi="Times New Roman"/>
              </w:rPr>
              <w:t>National Employment Service</w:t>
            </w:r>
          </w:p>
        </w:tc>
      </w:tr>
      <w:tr w:rsidR="004C0A9E" w:rsidRPr="00E168A1" w14:paraId="3A4FB250" w14:textId="77777777" w:rsidTr="00BD5693">
        <w:trPr>
          <w:trHeight w:val="281"/>
          <w:jc w:val="center"/>
        </w:trPr>
        <w:tc>
          <w:tcPr>
            <w:tcW w:w="767" w:type="pct"/>
          </w:tcPr>
          <w:p w14:paraId="78190EB8" w14:textId="77777777" w:rsidR="004C0A9E" w:rsidRPr="00E168A1" w:rsidRDefault="004C0A9E" w:rsidP="00B9390F">
            <w:pPr>
              <w:spacing w:line="360" w:lineRule="auto"/>
              <w:rPr>
                <w:rFonts w:ascii="Times New Roman" w:hAnsi="Times New Roman"/>
              </w:rPr>
            </w:pPr>
            <w:r w:rsidRPr="00E168A1">
              <w:rPr>
                <w:rFonts w:ascii="Times New Roman" w:hAnsi="Times New Roman"/>
              </w:rPr>
              <w:lastRenderedPageBreak/>
              <w:t>OGP</w:t>
            </w:r>
          </w:p>
        </w:tc>
        <w:tc>
          <w:tcPr>
            <w:tcW w:w="4233" w:type="pct"/>
          </w:tcPr>
          <w:p w14:paraId="7456A047" w14:textId="77777777" w:rsidR="004C0A9E" w:rsidRPr="00E168A1" w:rsidRDefault="004C0A9E" w:rsidP="00B9390F">
            <w:pPr>
              <w:spacing w:line="360" w:lineRule="auto"/>
              <w:rPr>
                <w:rFonts w:ascii="Times New Roman" w:hAnsi="Times New Roman"/>
              </w:rPr>
            </w:pPr>
            <w:r w:rsidRPr="00E168A1">
              <w:rPr>
                <w:rFonts w:ascii="Times New Roman" w:hAnsi="Times New Roman"/>
              </w:rPr>
              <w:t>Open Government Partnership</w:t>
            </w:r>
          </w:p>
        </w:tc>
      </w:tr>
      <w:tr w:rsidR="00B71C7F" w:rsidRPr="00E168A1" w14:paraId="3F61D5CA" w14:textId="77777777" w:rsidTr="00BD5693">
        <w:trPr>
          <w:trHeight w:val="281"/>
          <w:jc w:val="center"/>
        </w:trPr>
        <w:tc>
          <w:tcPr>
            <w:tcW w:w="767" w:type="pct"/>
          </w:tcPr>
          <w:p w14:paraId="5F1848A0" w14:textId="77777777" w:rsidR="00B71C7F" w:rsidRPr="00E168A1" w:rsidRDefault="00B71C7F" w:rsidP="00B9390F">
            <w:pPr>
              <w:spacing w:line="360" w:lineRule="auto"/>
              <w:rPr>
                <w:rFonts w:ascii="Times New Roman" w:hAnsi="Times New Roman"/>
              </w:rPr>
            </w:pPr>
            <w:r w:rsidRPr="00E168A1">
              <w:rPr>
                <w:rFonts w:ascii="Times New Roman" w:hAnsi="Times New Roman"/>
              </w:rPr>
              <w:t>PIFC</w:t>
            </w:r>
          </w:p>
        </w:tc>
        <w:tc>
          <w:tcPr>
            <w:tcW w:w="4233" w:type="pct"/>
          </w:tcPr>
          <w:p w14:paraId="41A7046E" w14:textId="3A7DC20B" w:rsidR="00B71C7F" w:rsidRPr="00E168A1" w:rsidRDefault="00B71C7F" w:rsidP="00B9390F">
            <w:pPr>
              <w:spacing w:line="360" w:lineRule="auto"/>
              <w:rPr>
                <w:rFonts w:ascii="Times New Roman" w:hAnsi="Times New Roman"/>
              </w:rPr>
            </w:pPr>
            <w:r w:rsidRPr="00E168A1">
              <w:rPr>
                <w:rFonts w:ascii="Times New Roman" w:hAnsi="Times New Roman"/>
              </w:rPr>
              <w:t xml:space="preserve">Public </w:t>
            </w:r>
            <w:r w:rsidR="003C78A1" w:rsidRPr="00E168A1">
              <w:rPr>
                <w:rFonts w:ascii="Times New Roman" w:hAnsi="Times New Roman"/>
              </w:rPr>
              <w:t>I</w:t>
            </w:r>
            <w:r w:rsidRPr="00E168A1">
              <w:rPr>
                <w:rFonts w:ascii="Times New Roman" w:hAnsi="Times New Roman"/>
              </w:rPr>
              <w:t xml:space="preserve">nternal </w:t>
            </w:r>
            <w:r w:rsidR="003C78A1" w:rsidRPr="00E168A1">
              <w:rPr>
                <w:rFonts w:ascii="Times New Roman" w:hAnsi="Times New Roman"/>
              </w:rPr>
              <w:t>F</w:t>
            </w:r>
            <w:r w:rsidRPr="00E168A1">
              <w:rPr>
                <w:rFonts w:ascii="Times New Roman" w:hAnsi="Times New Roman"/>
              </w:rPr>
              <w:t xml:space="preserve">inancial </w:t>
            </w:r>
            <w:r w:rsidR="003C78A1" w:rsidRPr="00E168A1">
              <w:rPr>
                <w:rFonts w:ascii="Times New Roman" w:hAnsi="Times New Roman"/>
              </w:rPr>
              <w:t>C</w:t>
            </w:r>
            <w:r w:rsidRPr="00E168A1">
              <w:rPr>
                <w:rFonts w:ascii="Times New Roman" w:hAnsi="Times New Roman"/>
              </w:rPr>
              <w:t xml:space="preserve">ontrol </w:t>
            </w:r>
          </w:p>
        </w:tc>
      </w:tr>
      <w:tr w:rsidR="00B71C7F" w:rsidRPr="00E168A1" w14:paraId="70D245D9" w14:textId="77777777" w:rsidTr="00BD5693">
        <w:trPr>
          <w:trHeight w:val="296"/>
          <w:jc w:val="center"/>
        </w:trPr>
        <w:tc>
          <w:tcPr>
            <w:tcW w:w="767" w:type="pct"/>
          </w:tcPr>
          <w:p w14:paraId="3402251A" w14:textId="77777777" w:rsidR="00B71C7F" w:rsidRPr="00E168A1" w:rsidRDefault="00B71C7F" w:rsidP="00B9390F">
            <w:pPr>
              <w:spacing w:line="360" w:lineRule="auto"/>
              <w:rPr>
                <w:rFonts w:ascii="Times New Roman" w:hAnsi="Times New Roman"/>
              </w:rPr>
            </w:pPr>
            <w:r w:rsidRPr="00E168A1">
              <w:rPr>
                <w:rFonts w:ascii="Times New Roman" w:hAnsi="Times New Roman"/>
              </w:rPr>
              <w:t>PEFA</w:t>
            </w:r>
          </w:p>
        </w:tc>
        <w:tc>
          <w:tcPr>
            <w:tcW w:w="4233" w:type="pct"/>
          </w:tcPr>
          <w:p w14:paraId="515624E5" w14:textId="77777777" w:rsidR="00B71C7F" w:rsidRPr="00E168A1" w:rsidRDefault="00B71C7F" w:rsidP="00B9390F">
            <w:pPr>
              <w:spacing w:line="360" w:lineRule="auto"/>
              <w:rPr>
                <w:rFonts w:ascii="Times New Roman" w:hAnsi="Times New Roman"/>
              </w:rPr>
            </w:pPr>
            <w:r w:rsidRPr="00E168A1">
              <w:rPr>
                <w:rFonts w:ascii="Times New Roman" w:hAnsi="Times New Roman"/>
              </w:rPr>
              <w:t>Public Expenditure and Financial Accountability</w:t>
            </w:r>
          </w:p>
        </w:tc>
      </w:tr>
      <w:tr w:rsidR="00B71C7F" w:rsidRPr="00E168A1" w14:paraId="69BAD573" w14:textId="77777777" w:rsidTr="00BD5693">
        <w:trPr>
          <w:trHeight w:val="281"/>
          <w:jc w:val="center"/>
        </w:trPr>
        <w:tc>
          <w:tcPr>
            <w:tcW w:w="767" w:type="pct"/>
          </w:tcPr>
          <w:p w14:paraId="41C8F4B3" w14:textId="195F1720" w:rsidR="00B71C7F" w:rsidRPr="002C47D7" w:rsidRDefault="00B71C7F" w:rsidP="00B9390F">
            <w:pPr>
              <w:spacing w:line="360" w:lineRule="auto"/>
              <w:rPr>
                <w:rFonts w:ascii="Times New Roman" w:hAnsi="Times New Roman"/>
              </w:rPr>
            </w:pPr>
            <w:r w:rsidRPr="00E168A1">
              <w:rPr>
                <w:rFonts w:ascii="Times New Roman" w:hAnsi="Times New Roman"/>
              </w:rPr>
              <w:t>P</w:t>
            </w:r>
            <w:r w:rsidRPr="00E67C6B">
              <w:rPr>
                <w:rFonts w:ascii="Times New Roman" w:hAnsi="Times New Roman"/>
              </w:rPr>
              <w:t>for</w:t>
            </w:r>
            <w:r w:rsidRPr="002C47D7">
              <w:rPr>
                <w:rFonts w:ascii="Times New Roman" w:hAnsi="Times New Roman"/>
              </w:rPr>
              <w:t>R</w:t>
            </w:r>
          </w:p>
        </w:tc>
        <w:tc>
          <w:tcPr>
            <w:tcW w:w="4233" w:type="pct"/>
          </w:tcPr>
          <w:p w14:paraId="55604819" w14:textId="516B6ECF" w:rsidR="00B71C7F" w:rsidRPr="00E168A1" w:rsidRDefault="00B71C7F" w:rsidP="00B9390F">
            <w:pPr>
              <w:spacing w:line="360" w:lineRule="auto"/>
              <w:rPr>
                <w:rFonts w:ascii="Times New Roman" w:hAnsi="Times New Roman"/>
              </w:rPr>
            </w:pPr>
            <w:r w:rsidRPr="00E168A1">
              <w:rPr>
                <w:rFonts w:ascii="Times New Roman" w:hAnsi="Times New Roman"/>
              </w:rPr>
              <w:t>Program</w:t>
            </w:r>
            <w:r w:rsidR="002769BA" w:rsidRPr="00E168A1">
              <w:rPr>
                <w:rFonts w:ascii="Times New Roman" w:hAnsi="Times New Roman"/>
              </w:rPr>
              <w:t>-</w:t>
            </w:r>
            <w:r w:rsidRPr="00E168A1">
              <w:rPr>
                <w:rFonts w:ascii="Times New Roman" w:hAnsi="Times New Roman"/>
              </w:rPr>
              <w:t>for</w:t>
            </w:r>
            <w:r w:rsidR="002769BA" w:rsidRPr="00E168A1">
              <w:rPr>
                <w:rFonts w:ascii="Times New Roman" w:hAnsi="Times New Roman"/>
              </w:rPr>
              <w:t>-</w:t>
            </w:r>
            <w:r w:rsidRPr="00E168A1">
              <w:rPr>
                <w:rFonts w:ascii="Times New Roman" w:hAnsi="Times New Roman"/>
              </w:rPr>
              <w:t>Results</w:t>
            </w:r>
          </w:p>
        </w:tc>
      </w:tr>
      <w:tr w:rsidR="00B71C7F" w:rsidRPr="00E168A1" w14:paraId="42A1499D" w14:textId="77777777" w:rsidTr="00BD5693">
        <w:trPr>
          <w:trHeight w:val="296"/>
          <w:jc w:val="center"/>
        </w:trPr>
        <w:tc>
          <w:tcPr>
            <w:tcW w:w="767" w:type="pct"/>
          </w:tcPr>
          <w:p w14:paraId="61114679" w14:textId="77777777" w:rsidR="00B71C7F" w:rsidRPr="00E168A1" w:rsidRDefault="00B71C7F" w:rsidP="00B9390F">
            <w:pPr>
              <w:spacing w:line="360" w:lineRule="auto"/>
              <w:rPr>
                <w:rFonts w:ascii="Times New Roman" w:eastAsia="Times New Roman" w:hAnsi="Times New Roman"/>
              </w:rPr>
            </w:pPr>
            <w:r w:rsidRPr="00E168A1">
              <w:rPr>
                <w:rFonts w:ascii="Times New Roman" w:eastAsia="Times New Roman" w:hAnsi="Times New Roman"/>
              </w:rPr>
              <w:t>PPL</w:t>
            </w:r>
          </w:p>
        </w:tc>
        <w:tc>
          <w:tcPr>
            <w:tcW w:w="4233" w:type="pct"/>
          </w:tcPr>
          <w:p w14:paraId="6EC97BDA" w14:textId="77777777" w:rsidR="00B71C7F" w:rsidRPr="00E168A1" w:rsidRDefault="00B71C7F" w:rsidP="00B9390F">
            <w:pPr>
              <w:spacing w:line="360" w:lineRule="auto"/>
              <w:rPr>
                <w:rFonts w:ascii="Times New Roman" w:eastAsia="Times New Roman" w:hAnsi="Times New Roman"/>
              </w:rPr>
            </w:pPr>
            <w:r w:rsidRPr="00E168A1">
              <w:rPr>
                <w:rFonts w:ascii="Times New Roman" w:eastAsia="Times New Roman" w:hAnsi="Times New Roman"/>
              </w:rPr>
              <w:t xml:space="preserve">Public Procurement Law </w:t>
            </w:r>
          </w:p>
        </w:tc>
      </w:tr>
      <w:tr w:rsidR="00B71C7F" w:rsidRPr="00E168A1" w14:paraId="0785EC11" w14:textId="77777777" w:rsidTr="00BD5693">
        <w:trPr>
          <w:trHeight w:val="281"/>
          <w:jc w:val="center"/>
        </w:trPr>
        <w:tc>
          <w:tcPr>
            <w:tcW w:w="767" w:type="pct"/>
          </w:tcPr>
          <w:p w14:paraId="4091E9C5"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PPO </w:t>
            </w:r>
          </w:p>
        </w:tc>
        <w:tc>
          <w:tcPr>
            <w:tcW w:w="4233" w:type="pct"/>
          </w:tcPr>
          <w:p w14:paraId="38C20D53" w14:textId="77777777" w:rsidR="00B71C7F" w:rsidRPr="00E168A1" w:rsidRDefault="00B71C7F" w:rsidP="00B9390F">
            <w:pPr>
              <w:spacing w:line="360" w:lineRule="auto"/>
              <w:rPr>
                <w:rFonts w:ascii="Times New Roman" w:eastAsia="Times New Roman" w:hAnsi="Times New Roman"/>
              </w:rPr>
            </w:pPr>
            <w:r w:rsidRPr="00E168A1">
              <w:rPr>
                <w:rFonts w:ascii="Times New Roman" w:hAnsi="Times New Roman"/>
              </w:rPr>
              <w:t xml:space="preserve">Public Procurement Office </w:t>
            </w:r>
          </w:p>
        </w:tc>
      </w:tr>
      <w:tr w:rsidR="00B71C7F" w:rsidRPr="00E168A1" w14:paraId="1C43DC84" w14:textId="77777777" w:rsidTr="00BD5693">
        <w:trPr>
          <w:trHeight w:val="281"/>
          <w:jc w:val="center"/>
        </w:trPr>
        <w:tc>
          <w:tcPr>
            <w:tcW w:w="767" w:type="pct"/>
          </w:tcPr>
          <w:p w14:paraId="37BE0385" w14:textId="77777777" w:rsidR="00B71C7F" w:rsidRPr="00E168A1" w:rsidRDefault="00B71C7F" w:rsidP="00B9390F">
            <w:pPr>
              <w:spacing w:line="360" w:lineRule="auto"/>
              <w:rPr>
                <w:rFonts w:ascii="Times New Roman" w:eastAsia="Times New Roman" w:hAnsi="Times New Roman"/>
                <w:shd w:val="clear" w:color="auto" w:fill="FFFFFF"/>
              </w:rPr>
            </w:pPr>
            <w:r w:rsidRPr="00E168A1">
              <w:rPr>
                <w:rFonts w:ascii="Times New Roman" w:eastAsia="Times New Roman" w:hAnsi="Times New Roman"/>
                <w:shd w:val="clear" w:color="auto" w:fill="FFFFFF"/>
              </w:rPr>
              <w:t>RC</w:t>
            </w:r>
          </w:p>
        </w:tc>
        <w:tc>
          <w:tcPr>
            <w:tcW w:w="4233" w:type="pct"/>
          </w:tcPr>
          <w:p w14:paraId="0F99D9C4" w14:textId="2186CA40" w:rsidR="00B71C7F" w:rsidRPr="00E168A1" w:rsidRDefault="00B71C7F" w:rsidP="00B9390F">
            <w:pPr>
              <w:spacing w:line="360" w:lineRule="auto"/>
              <w:rPr>
                <w:rFonts w:ascii="Times New Roman" w:eastAsia="Times New Roman" w:hAnsi="Times New Roman"/>
                <w:shd w:val="clear" w:color="auto" w:fill="FFFFFF"/>
              </w:rPr>
            </w:pPr>
            <w:r w:rsidRPr="00E168A1">
              <w:rPr>
                <w:rFonts w:ascii="Times New Roman" w:eastAsia="Times New Roman" w:hAnsi="Times New Roman"/>
                <w:shd w:val="clear" w:color="auto" w:fill="FFFFFF"/>
              </w:rPr>
              <w:t xml:space="preserve">Republic Commission </w:t>
            </w:r>
          </w:p>
        </w:tc>
      </w:tr>
      <w:tr w:rsidR="00B71C7F" w:rsidRPr="00E168A1" w14:paraId="62E4A1AB" w14:textId="77777777" w:rsidTr="00BD5693">
        <w:trPr>
          <w:trHeight w:val="296"/>
          <w:jc w:val="center"/>
        </w:trPr>
        <w:tc>
          <w:tcPr>
            <w:tcW w:w="767" w:type="pct"/>
          </w:tcPr>
          <w:p w14:paraId="24E13B24" w14:textId="77777777" w:rsidR="00B71C7F" w:rsidRPr="00E168A1" w:rsidRDefault="00B71C7F" w:rsidP="00B9390F">
            <w:pPr>
              <w:spacing w:line="360" w:lineRule="auto"/>
              <w:rPr>
                <w:rFonts w:ascii="Times New Roman" w:hAnsi="Times New Roman"/>
              </w:rPr>
            </w:pPr>
            <w:r w:rsidRPr="00E168A1">
              <w:rPr>
                <w:rFonts w:ascii="Times New Roman" w:hAnsi="Times New Roman"/>
              </w:rPr>
              <w:t>SAI</w:t>
            </w:r>
          </w:p>
        </w:tc>
        <w:tc>
          <w:tcPr>
            <w:tcW w:w="4233" w:type="pct"/>
          </w:tcPr>
          <w:p w14:paraId="6FA6890D"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State Audit Institution </w:t>
            </w:r>
          </w:p>
        </w:tc>
      </w:tr>
      <w:tr w:rsidR="00195FD8" w:rsidRPr="00E168A1" w14:paraId="31B0C2F1" w14:textId="77777777" w:rsidTr="00BD5693">
        <w:trPr>
          <w:trHeight w:val="281"/>
          <w:jc w:val="center"/>
        </w:trPr>
        <w:tc>
          <w:tcPr>
            <w:tcW w:w="767" w:type="pct"/>
          </w:tcPr>
          <w:p w14:paraId="781B1753" w14:textId="77777777" w:rsidR="00195FD8" w:rsidRPr="00E168A1" w:rsidRDefault="00195FD8" w:rsidP="00B9390F">
            <w:pPr>
              <w:spacing w:line="360" w:lineRule="auto"/>
              <w:rPr>
                <w:rFonts w:ascii="Times New Roman" w:hAnsi="Times New Roman"/>
              </w:rPr>
            </w:pPr>
            <w:r w:rsidRPr="00E168A1">
              <w:rPr>
                <w:rFonts w:ascii="Times New Roman" w:hAnsi="Times New Roman"/>
              </w:rPr>
              <w:t>SIGMA</w:t>
            </w:r>
          </w:p>
        </w:tc>
        <w:tc>
          <w:tcPr>
            <w:tcW w:w="4233" w:type="pct"/>
          </w:tcPr>
          <w:p w14:paraId="425AD52C" w14:textId="77777777" w:rsidR="00195FD8" w:rsidRPr="00E168A1" w:rsidRDefault="00195FD8" w:rsidP="00B9390F">
            <w:pPr>
              <w:spacing w:line="360" w:lineRule="auto"/>
              <w:rPr>
                <w:rFonts w:ascii="Times New Roman" w:hAnsi="Times New Roman"/>
              </w:rPr>
            </w:pPr>
            <w:r w:rsidRPr="00E168A1">
              <w:rPr>
                <w:rFonts w:ascii="Times New Roman" w:hAnsi="Times New Roman"/>
              </w:rPr>
              <w:t>Support for Improvement in Governance and Management</w:t>
            </w:r>
          </w:p>
        </w:tc>
      </w:tr>
      <w:tr w:rsidR="00B71C7F" w:rsidRPr="00E168A1" w14:paraId="600CC6BC" w14:textId="77777777" w:rsidTr="00BD5693">
        <w:trPr>
          <w:trHeight w:val="296"/>
          <w:jc w:val="center"/>
        </w:trPr>
        <w:tc>
          <w:tcPr>
            <w:tcW w:w="767" w:type="pct"/>
          </w:tcPr>
          <w:p w14:paraId="653355BD" w14:textId="77777777" w:rsidR="00B71C7F" w:rsidRPr="00E168A1" w:rsidRDefault="00B71C7F" w:rsidP="00B9390F">
            <w:pPr>
              <w:spacing w:line="360" w:lineRule="auto"/>
              <w:rPr>
                <w:rFonts w:ascii="Times New Roman" w:hAnsi="Times New Roman"/>
              </w:rPr>
            </w:pPr>
            <w:r w:rsidRPr="00E168A1">
              <w:rPr>
                <w:rFonts w:ascii="Times New Roman" w:hAnsi="Times New Roman"/>
              </w:rPr>
              <w:t>TA</w:t>
            </w:r>
          </w:p>
        </w:tc>
        <w:tc>
          <w:tcPr>
            <w:tcW w:w="4233" w:type="pct"/>
          </w:tcPr>
          <w:p w14:paraId="7D6D2AB8" w14:textId="77777777" w:rsidR="00B71C7F" w:rsidRPr="00E168A1" w:rsidRDefault="00B71C7F" w:rsidP="00B9390F">
            <w:pPr>
              <w:spacing w:line="360" w:lineRule="auto"/>
              <w:rPr>
                <w:rFonts w:ascii="Times New Roman" w:hAnsi="Times New Roman"/>
              </w:rPr>
            </w:pPr>
            <w:r w:rsidRPr="00E168A1">
              <w:rPr>
                <w:rFonts w:ascii="Times New Roman" w:hAnsi="Times New Roman"/>
              </w:rPr>
              <w:t xml:space="preserve">Treasury Administration </w:t>
            </w:r>
          </w:p>
        </w:tc>
      </w:tr>
    </w:tbl>
    <w:p w14:paraId="7243C1C0" w14:textId="4F3DFC1D" w:rsidR="00B9390F" w:rsidRDefault="00B9390F"/>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7"/>
        <w:gridCol w:w="355"/>
        <w:gridCol w:w="4448"/>
      </w:tblGrid>
      <w:tr w:rsidR="00B9390F" w:rsidRPr="00B65FDD" w14:paraId="66248733" w14:textId="77777777" w:rsidTr="00B9390F">
        <w:tc>
          <w:tcPr>
            <w:tcW w:w="4547" w:type="dxa"/>
            <w:shd w:val="clear" w:color="auto" w:fill="auto"/>
          </w:tcPr>
          <w:p w14:paraId="36576B3F" w14:textId="77777777" w:rsidR="00B9390F" w:rsidRPr="00D80F3C" w:rsidRDefault="00B9390F" w:rsidP="00B9390F">
            <w:pPr>
              <w:autoSpaceDE w:val="0"/>
              <w:autoSpaceDN w:val="0"/>
              <w:adjustRightInd w:val="0"/>
              <w:spacing w:after="0"/>
              <w:jc w:val="right"/>
              <w:rPr>
                <w:rFonts w:ascii="Times New Roman" w:hAnsi="Times New Roman"/>
                <w:color w:val="000000"/>
              </w:rPr>
            </w:pPr>
            <w:r w:rsidRPr="00D80F3C">
              <w:rPr>
                <w:rFonts w:ascii="Times New Roman" w:hAnsi="Times New Roman"/>
                <w:color w:val="000000"/>
              </w:rPr>
              <w:t>Regional Vice President:</w:t>
            </w:r>
          </w:p>
          <w:p w14:paraId="52BA1066" w14:textId="77777777" w:rsidR="00B9390F" w:rsidRPr="00D80F3C" w:rsidRDefault="00B9390F" w:rsidP="00B9390F">
            <w:pPr>
              <w:autoSpaceDE w:val="0"/>
              <w:autoSpaceDN w:val="0"/>
              <w:adjustRightInd w:val="0"/>
              <w:spacing w:after="0"/>
              <w:jc w:val="right"/>
              <w:rPr>
                <w:rFonts w:ascii="Times New Roman" w:hAnsi="Times New Roman"/>
                <w:color w:val="000000"/>
              </w:rPr>
            </w:pPr>
            <w:r w:rsidRPr="00D80F3C">
              <w:rPr>
                <w:rFonts w:ascii="Times New Roman" w:hAnsi="Times New Roman"/>
                <w:color w:val="000000"/>
              </w:rPr>
              <w:t>Global Practice Vice President:</w:t>
            </w:r>
          </w:p>
          <w:p w14:paraId="471401F4" w14:textId="77777777" w:rsidR="00B9390F" w:rsidRPr="00D80F3C" w:rsidRDefault="00B9390F" w:rsidP="00B9390F">
            <w:pPr>
              <w:autoSpaceDE w:val="0"/>
              <w:autoSpaceDN w:val="0"/>
              <w:adjustRightInd w:val="0"/>
              <w:spacing w:after="0"/>
              <w:jc w:val="right"/>
              <w:rPr>
                <w:rFonts w:ascii="Times New Roman" w:hAnsi="Times New Roman"/>
                <w:color w:val="000000"/>
              </w:rPr>
            </w:pPr>
            <w:r w:rsidRPr="00D80F3C">
              <w:rPr>
                <w:rFonts w:ascii="Times New Roman" w:hAnsi="Times New Roman"/>
                <w:color w:val="000000"/>
              </w:rPr>
              <w:t>Senior Global Practice Director:</w:t>
            </w:r>
          </w:p>
        </w:tc>
        <w:tc>
          <w:tcPr>
            <w:tcW w:w="355" w:type="dxa"/>
            <w:shd w:val="clear" w:color="auto" w:fill="auto"/>
          </w:tcPr>
          <w:p w14:paraId="659BD2DE" w14:textId="77777777" w:rsidR="00B9390F" w:rsidRPr="00D80F3C" w:rsidRDefault="00B9390F" w:rsidP="00B9390F">
            <w:pPr>
              <w:autoSpaceDE w:val="0"/>
              <w:autoSpaceDN w:val="0"/>
              <w:adjustRightInd w:val="0"/>
              <w:spacing w:after="0"/>
              <w:rPr>
                <w:rFonts w:ascii="Times New Roman" w:hAnsi="Times New Roman"/>
                <w:color w:val="000000"/>
              </w:rPr>
            </w:pPr>
          </w:p>
        </w:tc>
        <w:tc>
          <w:tcPr>
            <w:tcW w:w="4448" w:type="dxa"/>
            <w:shd w:val="clear" w:color="auto" w:fill="auto"/>
          </w:tcPr>
          <w:p w14:paraId="25F577B3" w14:textId="77777777" w:rsidR="00B9390F" w:rsidRPr="00D80F3C" w:rsidRDefault="00B9390F" w:rsidP="00B9390F">
            <w:pPr>
              <w:autoSpaceDE w:val="0"/>
              <w:autoSpaceDN w:val="0"/>
              <w:adjustRightInd w:val="0"/>
              <w:spacing w:after="0"/>
              <w:rPr>
                <w:rFonts w:ascii="Times New Roman" w:hAnsi="Times New Roman"/>
              </w:rPr>
            </w:pPr>
            <w:r w:rsidRPr="00D80F3C">
              <w:rPr>
                <w:rFonts w:ascii="Times New Roman" w:hAnsi="Times New Roman"/>
              </w:rPr>
              <w:t>Cyril E. Muller</w:t>
            </w:r>
          </w:p>
          <w:p w14:paraId="54FDDAD4" w14:textId="77777777" w:rsidR="00B9390F" w:rsidRPr="00D80F3C" w:rsidRDefault="00B9390F" w:rsidP="00B9390F">
            <w:pPr>
              <w:autoSpaceDE w:val="0"/>
              <w:autoSpaceDN w:val="0"/>
              <w:adjustRightInd w:val="0"/>
              <w:spacing w:after="0"/>
              <w:rPr>
                <w:rFonts w:ascii="Times New Roman" w:hAnsi="Times New Roman"/>
              </w:rPr>
            </w:pPr>
            <w:r w:rsidRPr="00D80F3C">
              <w:rPr>
                <w:rFonts w:ascii="Times New Roman" w:hAnsi="Times New Roman"/>
              </w:rPr>
              <w:t>Jan Walliser</w:t>
            </w:r>
          </w:p>
          <w:p w14:paraId="29C0D7D3" w14:textId="77777777" w:rsidR="00B9390F" w:rsidRPr="00D80F3C" w:rsidRDefault="00B9390F" w:rsidP="00B9390F">
            <w:pPr>
              <w:autoSpaceDE w:val="0"/>
              <w:autoSpaceDN w:val="0"/>
              <w:adjustRightInd w:val="0"/>
              <w:spacing w:after="0"/>
              <w:rPr>
                <w:rFonts w:ascii="Times New Roman" w:hAnsi="Times New Roman"/>
              </w:rPr>
            </w:pPr>
            <w:r w:rsidRPr="00D80F3C">
              <w:rPr>
                <w:rFonts w:ascii="Times New Roman" w:hAnsi="Times New Roman"/>
              </w:rPr>
              <w:t>Deborah L. Wetzel</w:t>
            </w:r>
          </w:p>
        </w:tc>
      </w:tr>
      <w:tr w:rsidR="00B9390F" w:rsidRPr="00B65FDD" w14:paraId="7B3E720C" w14:textId="77777777" w:rsidTr="00B9390F">
        <w:tc>
          <w:tcPr>
            <w:tcW w:w="4547" w:type="dxa"/>
            <w:shd w:val="clear" w:color="auto" w:fill="auto"/>
          </w:tcPr>
          <w:p w14:paraId="2263AFA8" w14:textId="77777777" w:rsidR="00B9390F" w:rsidRPr="00D80F3C" w:rsidRDefault="00B9390F" w:rsidP="00B9390F">
            <w:pPr>
              <w:autoSpaceDE w:val="0"/>
              <w:autoSpaceDN w:val="0"/>
              <w:adjustRightInd w:val="0"/>
              <w:spacing w:after="0"/>
              <w:jc w:val="right"/>
              <w:rPr>
                <w:rFonts w:ascii="Times New Roman" w:hAnsi="Times New Roman"/>
                <w:color w:val="000000"/>
              </w:rPr>
            </w:pPr>
            <w:r w:rsidRPr="00D80F3C">
              <w:rPr>
                <w:rFonts w:ascii="Times New Roman" w:hAnsi="Times New Roman"/>
                <w:color w:val="000000"/>
              </w:rPr>
              <w:t>Country Director:</w:t>
            </w:r>
          </w:p>
        </w:tc>
        <w:tc>
          <w:tcPr>
            <w:tcW w:w="355" w:type="dxa"/>
            <w:shd w:val="clear" w:color="auto" w:fill="auto"/>
          </w:tcPr>
          <w:p w14:paraId="65568ABC" w14:textId="77777777" w:rsidR="00B9390F" w:rsidRPr="00D80F3C" w:rsidRDefault="00B9390F" w:rsidP="00B9390F">
            <w:pPr>
              <w:autoSpaceDE w:val="0"/>
              <w:autoSpaceDN w:val="0"/>
              <w:adjustRightInd w:val="0"/>
              <w:spacing w:after="0"/>
              <w:rPr>
                <w:rFonts w:ascii="Times New Roman" w:hAnsi="Times New Roman"/>
                <w:color w:val="000000"/>
              </w:rPr>
            </w:pPr>
          </w:p>
        </w:tc>
        <w:tc>
          <w:tcPr>
            <w:tcW w:w="4448" w:type="dxa"/>
            <w:shd w:val="clear" w:color="auto" w:fill="auto"/>
          </w:tcPr>
          <w:p w14:paraId="44152BCF" w14:textId="77777777" w:rsidR="00B9390F" w:rsidRPr="00D80F3C" w:rsidRDefault="00B9390F" w:rsidP="00B9390F">
            <w:pPr>
              <w:autoSpaceDE w:val="0"/>
              <w:autoSpaceDN w:val="0"/>
              <w:adjustRightInd w:val="0"/>
              <w:spacing w:after="0"/>
              <w:rPr>
                <w:rFonts w:ascii="Times New Roman" w:hAnsi="Times New Roman"/>
                <w:color w:val="000000"/>
              </w:rPr>
            </w:pPr>
            <w:r w:rsidRPr="00D80F3C">
              <w:rPr>
                <w:rFonts w:ascii="Times New Roman" w:hAnsi="Times New Roman"/>
              </w:rPr>
              <w:t>Ellen  A.Goldstein</w:t>
            </w:r>
          </w:p>
        </w:tc>
      </w:tr>
      <w:tr w:rsidR="00B9390F" w:rsidRPr="00B65FDD" w14:paraId="5155739A" w14:textId="77777777" w:rsidTr="00B9390F">
        <w:tc>
          <w:tcPr>
            <w:tcW w:w="4547" w:type="dxa"/>
            <w:shd w:val="clear" w:color="auto" w:fill="auto"/>
          </w:tcPr>
          <w:p w14:paraId="25AA2C00" w14:textId="77777777" w:rsidR="00B9390F" w:rsidRPr="00D80F3C" w:rsidRDefault="00B9390F" w:rsidP="00B9390F">
            <w:pPr>
              <w:autoSpaceDE w:val="0"/>
              <w:autoSpaceDN w:val="0"/>
              <w:adjustRightInd w:val="0"/>
              <w:spacing w:after="0"/>
              <w:jc w:val="right"/>
              <w:rPr>
                <w:rFonts w:ascii="Times New Roman" w:hAnsi="Times New Roman"/>
                <w:color w:val="000000"/>
              </w:rPr>
            </w:pPr>
            <w:r w:rsidRPr="00D80F3C">
              <w:rPr>
                <w:rFonts w:ascii="Times New Roman" w:hAnsi="Times New Roman"/>
                <w:color w:val="000000"/>
              </w:rPr>
              <w:t>Practice Manager:</w:t>
            </w:r>
          </w:p>
        </w:tc>
        <w:tc>
          <w:tcPr>
            <w:tcW w:w="355" w:type="dxa"/>
            <w:shd w:val="clear" w:color="auto" w:fill="auto"/>
          </w:tcPr>
          <w:p w14:paraId="0C66B65F" w14:textId="77777777" w:rsidR="00B9390F" w:rsidRPr="00D80F3C" w:rsidRDefault="00B9390F" w:rsidP="00B9390F">
            <w:pPr>
              <w:autoSpaceDE w:val="0"/>
              <w:autoSpaceDN w:val="0"/>
              <w:adjustRightInd w:val="0"/>
              <w:spacing w:after="0"/>
              <w:rPr>
                <w:rFonts w:ascii="Times New Roman" w:hAnsi="Times New Roman"/>
                <w:color w:val="000000"/>
              </w:rPr>
            </w:pPr>
          </w:p>
        </w:tc>
        <w:tc>
          <w:tcPr>
            <w:tcW w:w="4448" w:type="dxa"/>
            <w:shd w:val="clear" w:color="auto" w:fill="auto"/>
          </w:tcPr>
          <w:p w14:paraId="5B6F2118" w14:textId="77777777" w:rsidR="00B9390F" w:rsidRPr="00D80F3C" w:rsidRDefault="00B9390F" w:rsidP="00B9390F">
            <w:pPr>
              <w:autoSpaceDE w:val="0"/>
              <w:autoSpaceDN w:val="0"/>
              <w:adjustRightInd w:val="0"/>
              <w:spacing w:after="0"/>
              <w:rPr>
                <w:rFonts w:ascii="Times New Roman" w:hAnsi="Times New Roman"/>
              </w:rPr>
            </w:pPr>
            <w:r w:rsidRPr="00D80F3C">
              <w:rPr>
                <w:rFonts w:ascii="Times New Roman" w:hAnsi="Times New Roman"/>
              </w:rPr>
              <w:t>Adrian Fozzard</w:t>
            </w:r>
          </w:p>
        </w:tc>
      </w:tr>
      <w:tr w:rsidR="00B9390F" w:rsidRPr="00B65FDD" w14:paraId="6E44595E" w14:textId="77777777" w:rsidTr="00B9390F">
        <w:tc>
          <w:tcPr>
            <w:tcW w:w="4547" w:type="dxa"/>
          </w:tcPr>
          <w:p w14:paraId="5640CBA3" w14:textId="77777777" w:rsidR="00B9390F" w:rsidRPr="00B65FDD" w:rsidRDefault="00B9390F" w:rsidP="00B9390F">
            <w:pPr>
              <w:autoSpaceDE w:val="0"/>
              <w:autoSpaceDN w:val="0"/>
              <w:adjustRightInd w:val="0"/>
              <w:spacing w:after="0"/>
              <w:jc w:val="right"/>
              <w:rPr>
                <w:rFonts w:ascii="Times New Roman" w:hAnsi="Times New Roman"/>
                <w:color w:val="000000"/>
              </w:rPr>
            </w:pPr>
            <w:r w:rsidRPr="00B65FDD">
              <w:rPr>
                <w:rFonts w:ascii="Times New Roman" w:hAnsi="Times New Roman"/>
                <w:color w:val="000000"/>
              </w:rPr>
              <w:t>Task Team Leader(s):</w:t>
            </w:r>
          </w:p>
        </w:tc>
        <w:tc>
          <w:tcPr>
            <w:tcW w:w="355" w:type="dxa"/>
          </w:tcPr>
          <w:p w14:paraId="0ED10D40" w14:textId="77777777" w:rsidR="00B9390F" w:rsidRPr="00B65FDD" w:rsidRDefault="00B9390F" w:rsidP="00B9390F">
            <w:pPr>
              <w:autoSpaceDE w:val="0"/>
              <w:autoSpaceDN w:val="0"/>
              <w:adjustRightInd w:val="0"/>
              <w:spacing w:after="0"/>
              <w:rPr>
                <w:rFonts w:ascii="Times New Roman" w:hAnsi="Times New Roman"/>
                <w:color w:val="000000"/>
              </w:rPr>
            </w:pPr>
          </w:p>
        </w:tc>
        <w:tc>
          <w:tcPr>
            <w:tcW w:w="4448" w:type="dxa"/>
          </w:tcPr>
          <w:p w14:paraId="04F60C59" w14:textId="77777777" w:rsidR="00B9390F" w:rsidRPr="00B65FDD" w:rsidRDefault="00B9390F" w:rsidP="00B9390F">
            <w:pPr>
              <w:autoSpaceDE w:val="0"/>
              <w:autoSpaceDN w:val="0"/>
              <w:adjustRightInd w:val="0"/>
              <w:spacing w:after="0"/>
              <w:rPr>
                <w:rFonts w:ascii="Times New Roman" w:hAnsi="Times New Roman"/>
                <w:color w:val="000000"/>
              </w:rPr>
            </w:pPr>
            <w:r>
              <w:rPr>
                <w:rFonts w:ascii="Times New Roman" w:hAnsi="Times New Roman"/>
              </w:rPr>
              <w:t>Raymond Muhula/Srdjan Svircev</w:t>
            </w:r>
          </w:p>
        </w:tc>
      </w:tr>
    </w:tbl>
    <w:p w14:paraId="677AA58D" w14:textId="77777777" w:rsidR="00B9390F" w:rsidRDefault="00B9390F">
      <w:r>
        <w:br w:type="page"/>
      </w:r>
    </w:p>
    <w:tbl>
      <w:tblPr>
        <w:tblStyle w:val="TableGrid"/>
        <w:tblW w:w="50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8013"/>
      </w:tblGrid>
      <w:tr w:rsidR="00B71C7F" w:rsidRPr="00E168A1" w14:paraId="6FD2EE1B" w14:textId="77777777" w:rsidTr="00BD5693">
        <w:trPr>
          <w:trHeight w:val="281"/>
          <w:jc w:val="center"/>
        </w:trPr>
        <w:tc>
          <w:tcPr>
            <w:tcW w:w="767" w:type="pct"/>
          </w:tcPr>
          <w:p w14:paraId="6530F7BB" w14:textId="4F255D57" w:rsidR="00B71C7F" w:rsidRPr="00E168A1" w:rsidRDefault="00B71C7F" w:rsidP="00B9390F">
            <w:pPr>
              <w:spacing w:line="360" w:lineRule="auto"/>
              <w:rPr>
                <w:rFonts w:ascii="Times New Roman" w:hAnsi="Times New Roman"/>
              </w:rPr>
            </w:pPr>
          </w:p>
        </w:tc>
        <w:tc>
          <w:tcPr>
            <w:tcW w:w="4233" w:type="pct"/>
          </w:tcPr>
          <w:p w14:paraId="229CAE2E" w14:textId="7E021D7F" w:rsidR="00B71C7F" w:rsidRPr="00E168A1" w:rsidRDefault="00B71C7F" w:rsidP="00B9390F">
            <w:pPr>
              <w:spacing w:line="360" w:lineRule="auto"/>
              <w:rPr>
                <w:rFonts w:ascii="Times New Roman" w:hAnsi="Times New Roman"/>
              </w:rPr>
            </w:pPr>
          </w:p>
        </w:tc>
      </w:tr>
    </w:tbl>
    <w:sdt>
      <w:sdtPr>
        <w:rPr>
          <w:rFonts w:ascii="Times New Roman" w:hAnsi="Times New Roman"/>
          <w:sz w:val="20"/>
          <w:szCs w:val="20"/>
        </w:rPr>
        <w:id w:val="1619715580"/>
        <w:docPartObj>
          <w:docPartGallery w:val="Table of Contents"/>
          <w:docPartUnique/>
        </w:docPartObj>
      </w:sdtPr>
      <w:sdtEndPr>
        <w:rPr>
          <w:bCs/>
          <w:sz w:val="24"/>
        </w:rPr>
      </w:sdtEndPr>
      <w:sdtContent>
        <w:p w14:paraId="554C4FF6" w14:textId="77777777" w:rsidR="00B9390F" w:rsidRPr="003852F0" w:rsidDel="00B9390F" w:rsidRDefault="00B9390F" w:rsidP="00B9390F">
          <w:pPr>
            <w:jc w:val="center"/>
            <w:rPr>
              <w:rFonts w:ascii="Times New Roman" w:hAnsi="Times New Roman"/>
              <w:b/>
            </w:rPr>
          </w:pPr>
        </w:p>
        <w:p w14:paraId="53862107" w14:textId="77777777" w:rsidR="00B9390F" w:rsidRDefault="00B9390F" w:rsidP="00B9390F">
          <w:pPr>
            <w:jc w:val="center"/>
            <w:rPr>
              <w:rFonts w:ascii="Times New Roman" w:hAnsi="Times New Roman"/>
              <w:b/>
              <w:sz w:val="28"/>
              <w:szCs w:val="28"/>
            </w:rPr>
          </w:pPr>
          <w:r w:rsidRPr="00B9390F">
            <w:rPr>
              <w:rFonts w:ascii="Times New Roman" w:hAnsi="Times New Roman"/>
              <w:b/>
              <w:sz w:val="28"/>
              <w:szCs w:val="28"/>
            </w:rPr>
            <w:t>Serbia</w:t>
          </w:r>
        </w:p>
        <w:p w14:paraId="51BE3CEF" w14:textId="5BADE481" w:rsidR="00B805CE" w:rsidRPr="00B9390F" w:rsidRDefault="00B805CE" w:rsidP="00B9390F">
          <w:pPr>
            <w:jc w:val="center"/>
            <w:rPr>
              <w:rFonts w:ascii="Times New Roman" w:hAnsi="Times New Roman"/>
              <w:sz w:val="28"/>
              <w:szCs w:val="28"/>
            </w:rPr>
          </w:pPr>
          <w:r w:rsidRPr="00B9390F">
            <w:rPr>
              <w:rFonts w:ascii="Times New Roman" w:hAnsi="Times New Roman"/>
              <w:b/>
              <w:sz w:val="28"/>
              <w:szCs w:val="28"/>
            </w:rPr>
            <w:t>Modernization</w:t>
          </w:r>
          <w:r w:rsidR="00900061" w:rsidRPr="00B9390F">
            <w:rPr>
              <w:rFonts w:ascii="Times New Roman" w:hAnsi="Times New Roman"/>
              <w:b/>
              <w:sz w:val="28"/>
              <w:szCs w:val="28"/>
            </w:rPr>
            <w:t xml:space="preserve"> </w:t>
          </w:r>
          <w:r w:rsidRPr="00B9390F">
            <w:rPr>
              <w:rFonts w:ascii="Times New Roman" w:hAnsi="Times New Roman"/>
              <w:b/>
              <w:sz w:val="28"/>
              <w:szCs w:val="28"/>
            </w:rPr>
            <w:t>and</w:t>
          </w:r>
          <w:r w:rsidR="00900061" w:rsidRPr="00B9390F">
            <w:rPr>
              <w:rFonts w:ascii="Times New Roman" w:hAnsi="Times New Roman"/>
              <w:b/>
              <w:sz w:val="28"/>
              <w:szCs w:val="28"/>
            </w:rPr>
            <w:t xml:space="preserve"> </w:t>
          </w:r>
          <w:r w:rsidRPr="00B9390F">
            <w:rPr>
              <w:rFonts w:ascii="Times New Roman" w:hAnsi="Times New Roman"/>
              <w:b/>
              <w:sz w:val="28"/>
              <w:szCs w:val="28"/>
            </w:rPr>
            <w:t>Optimization</w:t>
          </w:r>
          <w:r w:rsidR="00900061" w:rsidRPr="00B9390F">
            <w:rPr>
              <w:rFonts w:ascii="Times New Roman" w:hAnsi="Times New Roman"/>
              <w:b/>
              <w:sz w:val="28"/>
              <w:szCs w:val="28"/>
            </w:rPr>
            <w:t xml:space="preserve"> </w:t>
          </w:r>
          <w:r w:rsidRPr="00B9390F">
            <w:rPr>
              <w:rFonts w:ascii="Times New Roman" w:hAnsi="Times New Roman"/>
              <w:b/>
              <w:sz w:val="28"/>
              <w:szCs w:val="28"/>
            </w:rPr>
            <w:t>of</w:t>
          </w:r>
          <w:r w:rsidR="00900061" w:rsidRPr="00B9390F">
            <w:rPr>
              <w:rFonts w:ascii="Times New Roman" w:hAnsi="Times New Roman"/>
              <w:b/>
              <w:sz w:val="28"/>
              <w:szCs w:val="28"/>
            </w:rPr>
            <w:t xml:space="preserve"> </w:t>
          </w:r>
          <w:r w:rsidRPr="00B9390F">
            <w:rPr>
              <w:rFonts w:ascii="Times New Roman" w:hAnsi="Times New Roman"/>
              <w:b/>
              <w:sz w:val="28"/>
              <w:szCs w:val="28"/>
            </w:rPr>
            <w:t>Public</w:t>
          </w:r>
          <w:r w:rsidR="00900061" w:rsidRPr="00B9390F">
            <w:rPr>
              <w:rFonts w:ascii="Times New Roman" w:hAnsi="Times New Roman"/>
              <w:b/>
              <w:sz w:val="28"/>
              <w:szCs w:val="28"/>
            </w:rPr>
            <w:t xml:space="preserve"> </w:t>
          </w:r>
          <w:r w:rsidRPr="00B9390F">
            <w:rPr>
              <w:rFonts w:ascii="Times New Roman" w:hAnsi="Times New Roman"/>
              <w:b/>
              <w:sz w:val="28"/>
              <w:szCs w:val="28"/>
            </w:rPr>
            <w:t>Administration</w:t>
          </w:r>
          <w:r w:rsidR="00B9390F" w:rsidRPr="00B9390F">
            <w:rPr>
              <w:rFonts w:ascii="Times New Roman" w:hAnsi="Times New Roman"/>
              <w:b/>
              <w:sz w:val="28"/>
              <w:szCs w:val="28"/>
            </w:rPr>
            <w:t xml:space="preserve"> Program</w:t>
          </w:r>
        </w:p>
        <w:p w14:paraId="0A348594" w14:textId="77777777" w:rsidR="00B805CE" w:rsidRPr="00B9390F" w:rsidRDefault="00B805CE" w:rsidP="001D4FB8">
          <w:pPr>
            <w:jc w:val="center"/>
            <w:rPr>
              <w:rFonts w:ascii="Times New Roman" w:hAnsi="Times New Roman"/>
              <w:b/>
            </w:rPr>
          </w:pPr>
          <w:r w:rsidRPr="00B9390F">
            <w:rPr>
              <w:rFonts w:ascii="Times New Roman" w:hAnsi="Times New Roman"/>
              <w:b/>
            </w:rPr>
            <w:t>Table</w:t>
          </w:r>
          <w:r w:rsidR="00900061" w:rsidRPr="00B9390F">
            <w:rPr>
              <w:rFonts w:ascii="Times New Roman" w:hAnsi="Times New Roman"/>
              <w:b/>
            </w:rPr>
            <w:t xml:space="preserve"> </w:t>
          </w:r>
          <w:r w:rsidRPr="00B9390F">
            <w:rPr>
              <w:rFonts w:ascii="Times New Roman" w:hAnsi="Times New Roman"/>
              <w:b/>
            </w:rPr>
            <w:t>of</w:t>
          </w:r>
          <w:r w:rsidR="00900061" w:rsidRPr="00B9390F">
            <w:rPr>
              <w:rFonts w:ascii="Times New Roman" w:hAnsi="Times New Roman"/>
              <w:b/>
            </w:rPr>
            <w:t xml:space="preserve"> </w:t>
          </w:r>
          <w:r w:rsidRPr="00B9390F">
            <w:rPr>
              <w:rFonts w:ascii="Times New Roman" w:hAnsi="Times New Roman"/>
              <w:b/>
            </w:rPr>
            <w:t>Contents</w:t>
          </w:r>
        </w:p>
        <w:p w14:paraId="1BF52FB2" w14:textId="77777777" w:rsidR="009E1FEE" w:rsidRPr="004F5154" w:rsidRDefault="00B805CE" w:rsidP="00B805CE">
          <w:pPr>
            <w:jc w:val="right"/>
            <w:rPr>
              <w:rFonts w:ascii="Times New Roman" w:hAnsi="Times New Roman"/>
              <w:b/>
              <w:sz w:val="22"/>
              <w:szCs w:val="22"/>
            </w:rPr>
          </w:pPr>
          <w:r w:rsidRPr="004F5154">
            <w:rPr>
              <w:rFonts w:ascii="Times New Roman" w:hAnsi="Times New Roman"/>
              <w:b/>
              <w:sz w:val="22"/>
              <w:szCs w:val="22"/>
            </w:rPr>
            <w:t>Page</w:t>
          </w:r>
        </w:p>
        <w:p w14:paraId="40D3B44F" w14:textId="77777777" w:rsidR="0013504B" w:rsidRPr="00755A7D" w:rsidRDefault="00B03657" w:rsidP="00FD537E">
          <w:pPr>
            <w:pStyle w:val="TOC1"/>
            <w:rPr>
              <w:rFonts w:eastAsiaTheme="minorEastAsia"/>
              <w:lang w:eastAsia="en-US"/>
            </w:rPr>
          </w:pPr>
          <w:r w:rsidRPr="00B9390F">
            <w:rPr>
              <w:noProof w:val="0"/>
            </w:rPr>
            <w:fldChar w:fldCharType="begin"/>
          </w:r>
          <w:r w:rsidR="009E1FEE" w:rsidRPr="00B9390F">
            <w:instrText xml:space="preserve"> TOC \o "1-3" \h \z \u </w:instrText>
          </w:r>
          <w:r w:rsidRPr="00B9390F">
            <w:rPr>
              <w:noProof w:val="0"/>
            </w:rPr>
            <w:fldChar w:fldCharType="separate"/>
          </w:r>
          <w:hyperlink w:anchor="_Toc442428946" w:history="1">
            <w:r w:rsidR="0013504B" w:rsidRPr="00755A7D">
              <w:rPr>
                <w:rStyle w:val="Hyperlink"/>
                <w:b/>
              </w:rPr>
              <w:t>I.</w:t>
            </w:r>
            <w:r w:rsidR="0013504B" w:rsidRPr="00B9390F">
              <w:rPr>
                <w:rFonts w:eastAsiaTheme="minorEastAsia"/>
                <w:lang w:eastAsia="en-US"/>
              </w:rPr>
              <w:tab/>
            </w:r>
            <w:r w:rsidR="0013504B" w:rsidRPr="00755A7D">
              <w:rPr>
                <w:rStyle w:val="Hyperlink"/>
                <w:b/>
              </w:rPr>
              <w:t>Introduction</w:t>
            </w:r>
            <w:r w:rsidR="0013504B" w:rsidRPr="00B9390F">
              <w:rPr>
                <w:webHidden/>
              </w:rPr>
              <w:tab/>
            </w:r>
            <w:r w:rsidR="0013504B" w:rsidRPr="00755A7D">
              <w:rPr>
                <w:webHidden/>
              </w:rPr>
              <w:fldChar w:fldCharType="begin"/>
            </w:r>
            <w:r w:rsidR="0013504B" w:rsidRPr="00755A7D">
              <w:rPr>
                <w:webHidden/>
              </w:rPr>
              <w:instrText xml:space="preserve"> PAGEREF _Toc442428946 \h </w:instrText>
            </w:r>
            <w:r w:rsidR="0013504B" w:rsidRPr="00755A7D">
              <w:rPr>
                <w:webHidden/>
              </w:rPr>
            </w:r>
            <w:r w:rsidR="0013504B" w:rsidRPr="00755A7D">
              <w:rPr>
                <w:webHidden/>
              </w:rPr>
              <w:fldChar w:fldCharType="separate"/>
            </w:r>
            <w:r w:rsidR="0082664A" w:rsidRPr="00755A7D">
              <w:rPr>
                <w:webHidden/>
              </w:rPr>
              <w:t>1</w:t>
            </w:r>
            <w:r w:rsidR="0013504B" w:rsidRPr="00755A7D">
              <w:rPr>
                <w:webHidden/>
              </w:rPr>
              <w:fldChar w:fldCharType="end"/>
            </w:r>
          </w:hyperlink>
        </w:p>
        <w:p w14:paraId="14B921F4" w14:textId="77777777" w:rsidR="0013504B" w:rsidRPr="00755A7D" w:rsidRDefault="00364177" w:rsidP="00FD537E">
          <w:pPr>
            <w:pStyle w:val="TOC1"/>
            <w:rPr>
              <w:rFonts w:eastAsiaTheme="minorEastAsia"/>
              <w:lang w:eastAsia="en-US"/>
            </w:rPr>
          </w:pPr>
          <w:hyperlink w:anchor="_Toc442428947" w:history="1">
            <w:r w:rsidR="0013504B" w:rsidRPr="00755A7D">
              <w:rPr>
                <w:rStyle w:val="Hyperlink"/>
                <w:b/>
              </w:rPr>
              <w:t>II.</w:t>
            </w:r>
            <w:r w:rsidR="0013504B" w:rsidRPr="00B9390F">
              <w:rPr>
                <w:rFonts w:eastAsiaTheme="minorEastAsia"/>
                <w:lang w:eastAsia="en-US"/>
              </w:rPr>
              <w:tab/>
            </w:r>
            <w:r w:rsidR="0013504B" w:rsidRPr="00755A7D">
              <w:rPr>
                <w:rStyle w:val="Hyperlink"/>
                <w:b/>
              </w:rPr>
              <w:t>Financial Management Arrangements</w:t>
            </w:r>
            <w:r w:rsidR="0013504B" w:rsidRPr="00B9390F">
              <w:rPr>
                <w:webHidden/>
              </w:rPr>
              <w:tab/>
            </w:r>
            <w:r w:rsidR="0013504B" w:rsidRPr="00755A7D">
              <w:rPr>
                <w:webHidden/>
              </w:rPr>
              <w:fldChar w:fldCharType="begin"/>
            </w:r>
            <w:r w:rsidR="0013504B" w:rsidRPr="00755A7D">
              <w:rPr>
                <w:webHidden/>
              </w:rPr>
              <w:instrText xml:space="preserve"> PAGEREF _Toc442428947 \h </w:instrText>
            </w:r>
            <w:r w:rsidR="0013504B" w:rsidRPr="00755A7D">
              <w:rPr>
                <w:webHidden/>
              </w:rPr>
            </w:r>
            <w:r w:rsidR="0013504B" w:rsidRPr="00755A7D">
              <w:rPr>
                <w:webHidden/>
              </w:rPr>
              <w:fldChar w:fldCharType="separate"/>
            </w:r>
            <w:r w:rsidR="0082664A" w:rsidRPr="00755A7D">
              <w:rPr>
                <w:webHidden/>
              </w:rPr>
              <w:t>1</w:t>
            </w:r>
            <w:r w:rsidR="0013504B" w:rsidRPr="00755A7D">
              <w:rPr>
                <w:webHidden/>
              </w:rPr>
              <w:fldChar w:fldCharType="end"/>
            </w:r>
          </w:hyperlink>
        </w:p>
        <w:p w14:paraId="1D584CA8"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48"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Planning and Budgeting Arrangements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_Toc442428948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w:t>
            </w:r>
            <w:r w:rsidR="0013504B" w:rsidRPr="00B9390F">
              <w:rPr>
                <w:rFonts w:ascii="Times New Roman" w:hAnsi="Times New Roman"/>
                <w:webHidden/>
                <w:szCs w:val="22"/>
              </w:rPr>
              <w:fldChar w:fldCharType="end"/>
            </w:r>
          </w:hyperlink>
        </w:p>
        <w:p w14:paraId="5F8199A7"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49"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Transparency</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_Toc442428949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3</w:t>
            </w:r>
            <w:r w:rsidR="0013504B" w:rsidRPr="00B9390F">
              <w:rPr>
                <w:rFonts w:ascii="Times New Roman" w:hAnsi="Times New Roman"/>
                <w:webHidden/>
                <w:szCs w:val="22"/>
              </w:rPr>
              <w:fldChar w:fldCharType="end"/>
            </w:r>
          </w:hyperlink>
        </w:p>
        <w:p w14:paraId="09F08698"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0"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Accounting and Financial Reporting</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_Toc442428950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4</w:t>
            </w:r>
            <w:r w:rsidR="0013504B" w:rsidRPr="00B9390F">
              <w:rPr>
                <w:rFonts w:ascii="Times New Roman" w:hAnsi="Times New Roman"/>
                <w:webHidden/>
                <w:szCs w:val="22"/>
              </w:rPr>
              <w:fldChar w:fldCharType="end"/>
            </w:r>
          </w:hyperlink>
        </w:p>
        <w:p w14:paraId="6B683069" w14:textId="77777777" w:rsidR="0013504B" w:rsidRPr="00B9390F" w:rsidRDefault="00364177" w:rsidP="00755A7D">
          <w:pPr>
            <w:pStyle w:val="TOC2"/>
            <w:tabs>
              <w:tab w:val="left" w:pos="880"/>
              <w:tab w:val="right" w:leader="dot" w:pos="9350"/>
            </w:tabs>
            <w:spacing w:after="120"/>
            <w:ind w:left="245"/>
            <w:rPr>
              <w:rFonts w:ascii="Times New Roman" w:eastAsiaTheme="minorEastAsia" w:hAnsi="Times New Roman"/>
              <w:szCs w:val="22"/>
              <w:lang w:eastAsia="en-US"/>
            </w:rPr>
          </w:pPr>
          <w:hyperlink w:anchor="_Toc442428951" w:history="1">
            <w:r w:rsidR="0013504B" w:rsidRPr="00B9390F">
              <w:rPr>
                <w:rStyle w:val="Hyperlink"/>
                <w:rFonts w:ascii="Times New Roman" w:hAnsi="Times New Roman"/>
                <w:szCs w:val="22"/>
                <w:lang w:bidi="fa-IR"/>
              </w:rPr>
              <w:t>D.</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Treasury Management and Flow of Funds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_Toc442428951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6</w:t>
            </w:r>
            <w:r w:rsidR="0013504B" w:rsidRPr="00B9390F">
              <w:rPr>
                <w:rFonts w:ascii="Times New Roman" w:hAnsi="Times New Roman"/>
                <w:webHidden/>
                <w:szCs w:val="22"/>
              </w:rPr>
              <w:fldChar w:fldCharType="end"/>
            </w:r>
          </w:hyperlink>
        </w:p>
        <w:p w14:paraId="17161905"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2" w:history="1">
            <w:r w:rsidR="0013504B" w:rsidRPr="00B9390F">
              <w:rPr>
                <w:rStyle w:val="Hyperlink"/>
                <w:rFonts w:ascii="Times New Roman" w:hAnsi="Times New Roman"/>
                <w:szCs w:val="22"/>
                <w:lang w:bidi="fa-IR"/>
              </w:rPr>
              <w:t>E.</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Internal Controls and Internal Audit</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_Toc442428952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7</w:t>
            </w:r>
            <w:r w:rsidR="0013504B" w:rsidRPr="00B9390F">
              <w:rPr>
                <w:rFonts w:ascii="Times New Roman" w:hAnsi="Times New Roman"/>
                <w:webHidden/>
                <w:szCs w:val="22"/>
              </w:rPr>
              <w:fldChar w:fldCharType="end"/>
            </w:r>
          </w:hyperlink>
        </w:p>
        <w:p w14:paraId="45CA8572"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3" w:history="1">
            <w:r w:rsidR="0013504B" w:rsidRPr="00B9390F">
              <w:rPr>
                <w:rStyle w:val="Hyperlink"/>
                <w:rFonts w:ascii="Times New Roman" w:hAnsi="Times New Roman"/>
                <w:szCs w:val="22"/>
                <w:lang w:bidi="fa-IR"/>
              </w:rPr>
              <w:t>F.</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Program Audit</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_Toc442428953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10</w:t>
            </w:r>
            <w:r w:rsidR="0013504B" w:rsidRPr="00B9390F">
              <w:rPr>
                <w:rFonts w:ascii="Times New Roman" w:hAnsi="Times New Roman"/>
                <w:webHidden/>
                <w:szCs w:val="22"/>
              </w:rPr>
              <w:fldChar w:fldCharType="end"/>
            </w:r>
          </w:hyperlink>
        </w:p>
        <w:p w14:paraId="056E3BD6" w14:textId="77777777" w:rsidR="0013504B" w:rsidRPr="00755A7D" w:rsidRDefault="00364177" w:rsidP="00FD537E">
          <w:pPr>
            <w:pStyle w:val="TOC1"/>
            <w:rPr>
              <w:rFonts w:eastAsiaTheme="minorEastAsia"/>
              <w:lang w:eastAsia="en-US"/>
            </w:rPr>
          </w:pPr>
          <w:hyperlink w:anchor="_Toc442428954" w:history="1">
            <w:r w:rsidR="0013504B" w:rsidRPr="00755A7D">
              <w:rPr>
                <w:rStyle w:val="Hyperlink"/>
                <w:b/>
              </w:rPr>
              <w:t>III.</w:t>
            </w:r>
            <w:r w:rsidR="0013504B" w:rsidRPr="00B9390F">
              <w:rPr>
                <w:rFonts w:eastAsiaTheme="minorEastAsia"/>
                <w:lang w:eastAsia="en-US"/>
              </w:rPr>
              <w:tab/>
            </w:r>
            <w:r w:rsidR="0013504B" w:rsidRPr="00B9390F">
              <w:rPr>
                <w:rStyle w:val="Hyperlink"/>
                <w:b/>
              </w:rPr>
              <w:t>Procurement Assessment</w:t>
            </w:r>
            <w:r w:rsidR="0013504B" w:rsidRPr="00B9390F">
              <w:rPr>
                <w:webHidden/>
              </w:rPr>
              <w:tab/>
            </w:r>
            <w:r w:rsidR="0013504B" w:rsidRPr="00755A7D">
              <w:rPr>
                <w:webHidden/>
              </w:rPr>
              <w:fldChar w:fldCharType="begin"/>
            </w:r>
            <w:r w:rsidR="0013504B" w:rsidRPr="00755A7D">
              <w:rPr>
                <w:webHidden/>
              </w:rPr>
              <w:instrText xml:space="preserve"> PAGEREF _Toc442428954 \h </w:instrText>
            </w:r>
            <w:r w:rsidR="0013504B" w:rsidRPr="00755A7D">
              <w:rPr>
                <w:webHidden/>
              </w:rPr>
            </w:r>
            <w:r w:rsidR="0013504B" w:rsidRPr="00755A7D">
              <w:rPr>
                <w:webHidden/>
              </w:rPr>
              <w:fldChar w:fldCharType="separate"/>
            </w:r>
            <w:r w:rsidR="0082664A" w:rsidRPr="00755A7D">
              <w:rPr>
                <w:webHidden/>
              </w:rPr>
              <w:t>13</w:t>
            </w:r>
            <w:r w:rsidR="0013504B" w:rsidRPr="00755A7D">
              <w:rPr>
                <w:webHidden/>
              </w:rPr>
              <w:fldChar w:fldCharType="end"/>
            </w:r>
          </w:hyperlink>
        </w:p>
        <w:p w14:paraId="70FA36EA"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5"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Legislative and Regulatory Framework</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_Toc442428955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13</w:t>
            </w:r>
            <w:r w:rsidR="0013504B" w:rsidRPr="00B9390F">
              <w:rPr>
                <w:rFonts w:ascii="Times New Roman" w:hAnsi="Times New Roman"/>
                <w:webHidden/>
                <w:szCs w:val="22"/>
              </w:rPr>
              <w:fldChar w:fldCharType="end"/>
            </w:r>
          </w:hyperlink>
        </w:p>
        <w:p w14:paraId="4A19955C"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6"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Institutional Framework</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_Toc442428956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14</w:t>
            </w:r>
            <w:r w:rsidR="0013504B" w:rsidRPr="00B9390F">
              <w:rPr>
                <w:rFonts w:ascii="Times New Roman" w:hAnsi="Times New Roman"/>
                <w:webHidden/>
                <w:szCs w:val="22"/>
              </w:rPr>
              <w:fldChar w:fldCharType="end"/>
            </w:r>
          </w:hyperlink>
        </w:p>
        <w:p w14:paraId="5283C90E"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7"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Procurement Processes and Procedures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_Toc442428957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15</w:t>
            </w:r>
            <w:r w:rsidR="0013504B" w:rsidRPr="00B9390F">
              <w:rPr>
                <w:rFonts w:ascii="Times New Roman" w:hAnsi="Times New Roman"/>
                <w:webHidden/>
                <w:szCs w:val="22"/>
              </w:rPr>
              <w:fldChar w:fldCharType="end"/>
            </w:r>
          </w:hyperlink>
        </w:p>
        <w:p w14:paraId="24C507BD" w14:textId="77777777" w:rsidR="0013504B" w:rsidRPr="00B9390F" w:rsidRDefault="00364177" w:rsidP="00755A7D">
          <w:pPr>
            <w:pStyle w:val="TOC2"/>
            <w:tabs>
              <w:tab w:val="left" w:pos="880"/>
              <w:tab w:val="right" w:leader="dot" w:pos="9350"/>
            </w:tabs>
            <w:spacing w:after="120"/>
            <w:ind w:left="245"/>
            <w:rPr>
              <w:rFonts w:ascii="Times New Roman" w:eastAsiaTheme="minorEastAsia" w:hAnsi="Times New Roman"/>
              <w:szCs w:val="22"/>
              <w:lang w:eastAsia="en-US"/>
            </w:rPr>
          </w:pPr>
          <w:hyperlink w:anchor="_Toc442428958" w:history="1">
            <w:r w:rsidR="0013504B" w:rsidRPr="00B9390F">
              <w:rPr>
                <w:rStyle w:val="Hyperlink"/>
                <w:rFonts w:ascii="Times New Roman" w:hAnsi="Times New Roman"/>
                <w:szCs w:val="22"/>
                <w:lang w:bidi="fa-IR"/>
              </w:rPr>
              <w:t>D.</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Procurement Planning and Overall Value</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_Toc442428958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17</w:t>
            </w:r>
            <w:r w:rsidR="0013504B" w:rsidRPr="00B9390F">
              <w:rPr>
                <w:rFonts w:ascii="Times New Roman" w:hAnsi="Times New Roman"/>
                <w:webHidden/>
                <w:szCs w:val="22"/>
              </w:rPr>
              <w:fldChar w:fldCharType="end"/>
            </w:r>
          </w:hyperlink>
        </w:p>
        <w:p w14:paraId="35C6957C"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59" w:history="1">
            <w:r w:rsidR="0013504B" w:rsidRPr="00B9390F">
              <w:rPr>
                <w:rStyle w:val="Hyperlink"/>
                <w:rFonts w:ascii="Times New Roman" w:hAnsi="Times New Roman"/>
                <w:szCs w:val="22"/>
                <w:lang w:bidi="fa-IR"/>
              </w:rPr>
              <w:t>E.</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E-procurement</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_Toc442428959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18</w:t>
            </w:r>
            <w:r w:rsidR="0013504B" w:rsidRPr="00B9390F">
              <w:rPr>
                <w:rFonts w:ascii="Times New Roman" w:hAnsi="Times New Roman"/>
                <w:webHidden/>
                <w:szCs w:val="22"/>
              </w:rPr>
              <w:fldChar w:fldCharType="end"/>
            </w:r>
          </w:hyperlink>
        </w:p>
        <w:p w14:paraId="1E6175E3" w14:textId="77777777" w:rsidR="0013504B" w:rsidRPr="00755A7D" w:rsidRDefault="00364177" w:rsidP="00FD537E">
          <w:pPr>
            <w:pStyle w:val="TOC1"/>
            <w:rPr>
              <w:rFonts w:eastAsiaTheme="minorEastAsia"/>
              <w:lang w:eastAsia="en-US"/>
            </w:rPr>
          </w:pPr>
          <w:hyperlink w:anchor="_Toc442428960" w:history="1">
            <w:r w:rsidR="0013504B" w:rsidRPr="00755A7D">
              <w:rPr>
                <w:rStyle w:val="Hyperlink"/>
                <w:b/>
              </w:rPr>
              <w:t>IV.</w:t>
            </w:r>
            <w:r w:rsidR="0013504B" w:rsidRPr="00B9390F">
              <w:rPr>
                <w:rFonts w:eastAsiaTheme="minorEastAsia"/>
                <w:lang w:eastAsia="en-US"/>
              </w:rPr>
              <w:tab/>
            </w:r>
            <w:r w:rsidR="0013504B" w:rsidRPr="00B9390F">
              <w:rPr>
                <w:rStyle w:val="Hyperlink"/>
                <w:b/>
              </w:rPr>
              <w:t>Integrity and Transparency of the Public Procurement System</w:t>
            </w:r>
            <w:r w:rsidR="0013504B" w:rsidRPr="00B9390F">
              <w:rPr>
                <w:webHidden/>
              </w:rPr>
              <w:tab/>
            </w:r>
            <w:r w:rsidR="0013504B" w:rsidRPr="00755A7D">
              <w:rPr>
                <w:webHidden/>
              </w:rPr>
              <w:fldChar w:fldCharType="begin"/>
            </w:r>
            <w:r w:rsidR="0013504B" w:rsidRPr="00755A7D">
              <w:rPr>
                <w:webHidden/>
              </w:rPr>
              <w:instrText xml:space="preserve"> PAGEREF _Toc442428960 \h </w:instrText>
            </w:r>
            <w:r w:rsidR="0013504B" w:rsidRPr="00755A7D">
              <w:rPr>
                <w:webHidden/>
              </w:rPr>
            </w:r>
            <w:r w:rsidR="0013504B" w:rsidRPr="00755A7D">
              <w:rPr>
                <w:webHidden/>
              </w:rPr>
              <w:fldChar w:fldCharType="separate"/>
            </w:r>
            <w:r w:rsidR="0082664A" w:rsidRPr="00755A7D">
              <w:rPr>
                <w:webHidden/>
              </w:rPr>
              <w:t>18</w:t>
            </w:r>
            <w:r w:rsidR="0013504B" w:rsidRPr="00755A7D">
              <w:rPr>
                <w:webHidden/>
              </w:rPr>
              <w:fldChar w:fldCharType="end"/>
            </w:r>
          </w:hyperlink>
        </w:p>
        <w:p w14:paraId="1BF45604"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1"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Public Access to Procurement Information</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_Toc442428961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18</w:t>
            </w:r>
            <w:r w:rsidR="0013504B" w:rsidRPr="00B9390F">
              <w:rPr>
                <w:rFonts w:ascii="Times New Roman" w:hAnsi="Times New Roman"/>
                <w:webHidden/>
                <w:szCs w:val="22"/>
              </w:rPr>
              <w:fldChar w:fldCharType="end"/>
            </w:r>
          </w:hyperlink>
        </w:p>
        <w:p w14:paraId="0794950C"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2"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Complaints Receiving and Handling Mechanisms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_Toc442428962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19</w:t>
            </w:r>
            <w:r w:rsidR="0013504B" w:rsidRPr="00B9390F">
              <w:rPr>
                <w:rFonts w:ascii="Times New Roman" w:hAnsi="Times New Roman"/>
                <w:webHidden/>
                <w:szCs w:val="22"/>
              </w:rPr>
              <w:fldChar w:fldCharType="end"/>
            </w:r>
          </w:hyperlink>
        </w:p>
        <w:p w14:paraId="6A26ACAC"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3"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Control Mechanisms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_Toc442428963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20</w:t>
            </w:r>
            <w:r w:rsidR="0013504B" w:rsidRPr="00B9390F">
              <w:rPr>
                <w:rFonts w:ascii="Times New Roman" w:hAnsi="Times New Roman"/>
                <w:webHidden/>
                <w:szCs w:val="22"/>
              </w:rPr>
              <w:fldChar w:fldCharType="end"/>
            </w:r>
          </w:hyperlink>
        </w:p>
        <w:p w14:paraId="68BB2EFA" w14:textId="77777777" w:rsidR="0013504B" w:rsidRPr="00B9390F" w:rsidRDefault="00364177" w:rsidP="00755A7D">
          <w:pPr>
            <w:pStyle w:val="TOC2"/>
            <w:tabs>
              <w:tab w:val="left" w:pos="880"/>
              <w:tab w:val="right" w:leader="dot" w:pos="9350"/>
            </w:tabs>
            <w:spacing w:after="120"/>
            <w:ind w:left="245"/>
            <w:rPr>
              <w:rFonts w:ascii="Times New Roman" w:eastAsiaTheme="minorEastAsia" w:hAnsi="Times New Roman"/>
              <w:szCs w:val="22"/>
              <w:lang w:eastAsia="en-US"/>
            </w:rPr>
          </w:pPr>
          <w:hyperlink w:anchor="_Toc442428964" w:history="1">
            <w:r w:rsidR="0013504B" w:rsidRPr="00B9390F">
              <w:rPr>
                <w:rStyle w:val="Hyperlink"/>
                <w:rFonts w:ascii="Times New Roman" w:hAnsi="Times New Roman"/>
                <w:szCs w:val="22"/>
                <w:lang w:bidi="fa-IR"/>
              </w:rPr>
              <w:t>D.</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Civil Supervision of Procurement Processes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_Toc442428964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21</w:t>
            </w:r>
            <w:r w:rsidR="0013504B" w:rsidRPr="00B9390F">
              <w:rPr>
                <w:rFonts w:ascii="Times New Roman" w:hAnsi="Times New Roman"/>
                <w:webHidden/>
                <w:szCs w:val="22"/>
              </w:rPr>
              <w:fldChar w:fldCharType="end"/>
            </w:r>
          </w:hyperlink>
        </w:p>
        <w:p w14:paraId="70062D9F" w14:textId="77777777" w:rsidR="0013504B" w:rsidRPr="00755A7D" w:rsidRDefault="00364177" w:rsidP="00FD537E">
          <w:pPr>
            <w:pStyle w:val="TOC1"/>
            <w:rPr>
              <w:rFonts w:eastAsiaTheme="minorEastAsia"/>
              <w:lang w:eastAsia="en-US"/>
            </w:rPr>
          </w:pPr>
          <w:hyperlink w:anchor="_Toc442428965" w:history="1">
            <w:r w:rsidR="0013504B" w:rsidRPr="00755A7D">
              <w:rPr>
                <w:rStyle w:val="Hyperlink"/>
                <w:b/>
              </w:rPr>
              <w:t>V.</w:t>
            </w:r>
            <w:r w:rsidR="0013504B" w:rsidRPr="00B9390F">
              <w:rPr>
                <w:rFonts w:eastAsiaTheme="minorEastAsia"/>
                <w:lang w:eastAsia="en-US"/>
              </w:rPr>
              <w:tab/>
            </w:r>
            <w:r w:rsidR="0013504B" w:rsidRPr="00B9390F">
              <w:rPr>
                <w:rStyle w:val="Hyperlink"/>
                <w:b/>
              </w:rPr>
              <w:t>Institutional Capacity</w:t>
            </w:r>
            <w:r w:rsidR="0013504B" w:rsidRPr="00B9390F">
              <w:rPr>
                <w:webHidden/>
              </w:rPr>
              <w:tab/>
            </w:r>
            <w:r w:rsidR="0013504B" w:rsidRPr="00755A7D">
              <w:rPr>
                <w:webHidden/>
              </w:rPr>
              <w:fldChar w:fldCharType="begin"/>
            </w:r>
            <w:r w:rsidR="0013504B" w:rsidRPr="00755A7D">
              <w:rPr>
                <w:webHidden/>
              </w:rPr>
              <w:instrText xml:space="preserve"> PAGEREF _Toc442428965 \h </w:instrText>
            </w:r>
            <w:r w:rsidR="0013504B" w:rsidRPr="00755A7D">
              <w:rPr>
                <w:webHidden/>
              </w:rPr>
            </w:r>
            <w:r w:rsidR="0013504B" w:rsidRPr="00755A7D">
              <w:rPr>
                <w:webHidden/>
              </w:rPr>
              <w:fldChar w:fldCharType="separate"/>
            </w:r>
            <w:r w:rsidR="0082664A" w:rsidRPr="00755A7D">
              <w:rPr>
                <w:webHidden/>
              </w:rPr>
              <w:t>22</w:t>
            </w:r>
            <w:r w:rsidR="0013504B" w:rsidRPr="00755A7D">
              <w:rPr>
                <w:webHidden/>
              </w:rPr>
              <w:fldChar w:fldCharType="end"/>
            </w:r>
          </w:hyperlink>
        </w:p>
        <w:p w14:paraId="38110FD1"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6"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Public Procurement Professionals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_Toc442428966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22</w:t>
            </w:r>
            <w:r w:rsidR="0013504B" w:rsidRPr="00B9390F">
              <w:rPr>
                <w:rFonts w:ascii="Times New Roman" w:hAnsi="Times New Roman"/>
                <w:webHidden/>
                <w:szCs w:val="22"/>
              </w:rPr>
              <w:fldChar w:fldCharType="end"/>
            </w:r>
          </w:hyperlink>
        </w:p>
        <w:p w14:paraId="0198A3DD"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7"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Public Procurement Office</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_Toc442428967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23</w:t>
            </w:r>
            <w:r w:rsidR="0013504B" w:rsidRPr="00B9390F">
              <w:rPr>
                <w:rFonts w:ascii="Times New Roman" w:hAnsi="Times New Roman"/>
                <w:webHidden/>
                <w:szCs w:val="22"/>
              </w:rPr>
              <w:fldChar w:fldCharType="end"/>
            </w:r>
          </w:hyperlink>
        </w:p>
        <w:p w14:paraId="57D30E14"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68"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Republic Commission for the Protection of Rights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_Toc442428968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23</w:t>
            </w:r>
            <w:r w:rsidR="0013504B" w:rsidRPr="00B9390F">
              <w:rPr>
                <w:rFonts w:ascii="Times New Roman" w:hAnsi="Times New Roman"/>
                <w:webHidden/>
                <w:szCs w:val="22"/>
              </w:rPr>
              <w:fldChar w:fldCharType="end"/>
            </w:r>
          </w:hyperlink>
        </w:p>
        <w:p w14:paraId="56D00954" w14:textId="77777777" w:rsidR="0013504B" w:rsidRPr="00755A7D" w:rsidRDefault="00364177" w:rsidP="00FD537E">
          <w:pPr>
            <w:pStyle w:val="TOC1"/>
            <w:rPr>
              <w:rFonts w:eastAsiaTheme="minorEastAsia"/>
              <w:lang w:eastAsia="en-US"/>
            </w:rPr>
          </w:pPr>
          <w:hyperlink w:anchor="_Toc442428969" w:history="1">
            <w:r w:rsidR="0013504B" w:rsidRPr="00755A7D">
              <w:rPr>
                <w:rStyle w:val="Hyperlink"/>
                <w:b/>
              </w:rPr>
              <w:t>VI.</w:t>
            </w:r>
            <w:r w:rsidR="0013504B" w:rsidRPr="00B9390F">
              <w:rPr>
                <w:rFonts w:eastAsiaTheme="minorEastAsia"/>
                <w:lang w:eastAsia="en-US"/>
              </w:rPr>
              <w:tab/>
            </w:r>
            <w:r w:rsidR="0013504B" w:rsidRPr="00B9390F">
              <w:rPr>
                <w:rStyle w:val="Hyperlink"/>
                <w:b/>
              </w:rPr>
              <w:t>Conclusions on Program-for-Results-specific Procurement Arrangements</w:t>
            </w:r>
            <w:r w:rsidR="0013504B" w:rsidRPr="00B9390F">
              <w:rPr>
                <w:webHidden/>
              </w:rPr>
              <w:tab/>
            </w:r>
            <w:r w:rsidR="0013504B" w:rsidRPr="00755A7D">
              <w:rPr>
                <w:webHidden/>
              </w:rPr>
              <w:fldChar w:fldCharType="begin"/>
            </w:r>
            <w:r w:rsidR="0013504B" w:rsidRPr="00755A7D">
              <w:rPr>
                <w:webHidden/>
              </w:rPr>
              <w:instrText xml:space="preserve"> PAGEREF _Toc442428969 \h </w:instrText>
            </w:r>
            <w:r w:rsidR="0013504B" w:rsidRPr="00755A7D">
              <w:rPr>
                <w:webHidden/>
              </w:rPr>
            </w:r>
            <w:r w:rsidR="0013504B" w:rsidRPr="00755A7D">
              <w:rPr>
                <w:webHidden/>
              </w:rPr>
              <w:fldChar w:fldCharType="separate"/>
            </w:r>
            <w:r w:rsidR="0082664A" w:rsidRPr="00755A7D">
              <w:rPr>
                <w:webHidden/>
              </w:rPr>
              <w:t>24</w:t>
            </w:r>
            <w:r w:rsidR="0013504B" w:rsidRPr="00755A7D">
              <w:rPr>
                <w:webHidden/>
              </w:rPr>
              <w:fldChar w:fldCharType="end"/>
            </w:r>
          </w:hyperlink>
        </w:p>
        <w:p w14:paraId="0602CEAF"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70"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Overall Risk Assessment</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_Toc442428970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24</w:t>
            </w:r>
            <w:r w:rsidR="0013504B" w:rsidRPr="00B9390F">
              <w:rPr>
                <w:rFonts w:ascii="Times New Roman" w:hAnsi="Times New Roman"/>
                <w:webHidden/>
                <w:szCs w:val="22"/>
              </w:rPr>
              <w:fldChar w:fldCharType="end"/>
            </w:r>
          </w:hyperlink>
        </w:p>
        <w:p w14:paraId="34BFCA05"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71"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Procurement Profile of the Program</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_Toc442428971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24</w:t>
            </w:r>
            <w:r w:rsidR="0013504B" w:rsidRPr="00B9390F">
              <w:rPr>
                <w:rFonts w:ascii="Times New Roman" w:hAnsi="Times New Roman"/>
                <w:webHidden/>
                <w:szCs w:val="22"/>
              </w:rPr>
              <w:fldChar w:fldCharType="end"/>
            </w:r>
          </w:hyperlink>
        </w:p>
        <w:p w14:paraId="3CB5EF5E" w14:textId="77777777" w:rsidR="0013504B" w:rsidRPr="00B9390F" w:rsidRDefault="00364177" w:rsidP="00755A7D">
          <w:pPr>
            <w:pStyle w:val="TOC2"/>
            <w:tabs>
              <w:tab w:val="left" w:pos="660"/>
              <w:tab w:val="right" w:leader="dot" w:pos="9350"/>
            </w:tabs>
            <w:spacing w:after="120"/>
            <w:ind w:left="245"/>
            <w:rPr>
              <w:rFonts w:ascii="Times New Roman" w:eastAsiaTheme="minorEastAsia" w:hAnsi="Times New Roman"/>
              <w:szCs w:val="22"/>
              <w:lang w:eastAsia="en-US"/>
            </w:rPr>
          </w:pPr>
          <w:hyperlink w:anchor="_Toc442428972"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Procurement Capacity</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_Toc442428972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24</w:t>
            </w:r>
            <w:r w:rsidR="0013504B" w:rsidRPr="00B9390F">
              <w:rPr>
                <w:rFonts w:ascii="Times New Roman" w:hAnsi="Times New Roman"/>
                <w:webHidden/>
                <w:szCs w:val="22"/>
              </w:rPr>
              <w:fldChar w:fldCharType="end"/>
            </w:r>
          </w:hyperlink>
        </w:p>
        <w:p w14:paraId="2AACC2EA" w14:textId="77777777" w:rsidR="0013504B" w:rsidRPr="00755A7D" w:rsidRDefault="00364177" w:rsidP="00FD537E">
          <w:pPr>
            <w:pStyle w:val="TOC1"/>
            <w:rPr>
              <w:rFonts w:eastAsiaTheme="minorEastAsia"/>
              <w:lang w:eastAsia="en-US"/>
            </w:rPr>
          </w:pPr>
          <w:hyperlink w:anchor="_Toc442428973" w:history="1">
            <w:r w:rsidR="0013504B" w:rsidRPr="00755A7D">
              <w:rPr>
                <w:rStyle w:val="Hyperlink"/>
                <w:b/>
              </w:rPr>
              <w:t>VII.</w:t>
            </w:r>
            <w:r w:rsidR="0013504B" w:rsidRPr="00B9390F">
              <w:rPr>
                <w:rFonts w:eastAsiaTheme="minorEastAsia"/>
                <w:lang w:eastAsia="en-US"/>
              </w:rPr>
              <w:tab/>
            </w:r>
            <w:r w:rsidR="0013504B" w:rsidRPr="00B9390F">
              <w:rPr>
                <w:rStyle w:val="Hyperlink"/>
                <w:b/>
              </w:rPr>
              <w:t>Governance and Anticorruption Arrangements</w:t>
            </w:r>
            <w:r w:rsidR="0013504B" w:rsidRPr="00B9390F">
              <w:rPr>
                <w:webHidden/>
              </w:rPr>
              <w:tab/>
            </w:r>
            <w:r w:rsidR="0013504B" w:rsidRPr="00755A7D">
              <w:rPr>
                <w:webHidden/>
              </w:rPr>
              <w:fldChar w:fldCharType="begin"/>
            </w:r>
            <w:r w:rsidR="0013504B" w:rsidRPr="00755A7D">
              <w:rPr>
                <w:webHidden/>
              </w:rPr>
              <w:instrText xml:space="preserve"> PAGEREF _Toc442428973 \h </w:instrText>
            </w:r>
            <w:r w:rsidR="0013504B" w:rsidRPr="00755A7D">
              <w:rPr>
                <w:webHidden/>
              </w:rPr>
            </w:r>
            <w:r w:rsidR="0013504B" w:rsidRPr="00755A7D">
              <w:rPr>
                <w:webHidden/>
              </w:rPr>
              <w:fldChar w:fldCharType="separate"/>
            </w:r>
            <w:r w:rsidR="0082664A" w:rsidRPr="00755A7D">
              <w:rPr>
                <w:webHidden/>
              </w:rPr>
              <w:t>26</w:t>
            </w:r>
            <w:r w:rsidR="0013504B" w:rsidRPr="00755A7D">
              <w:rPr>
                <w:webHidden/>
              </w:rPr>
              <w:fldChar w:fldCharType="end"/>
            </w:r>
          </w:hyperlink>
        </w:p>
        <w:p w14:paraId="40BE55B6" w14:textId="77777777" w:rsidR="0013504B" w:rsidRPr="00B9390F" w:rsidRDefault="00364177" w:rsidP="00755A7D">
          <w:pPr>
            <w:pStyle w:val="TOC2"/>
            <w:tabs>
              <w:tab w:val="left" w:pos="660"/>
              <w:tab w:val="right" w:leader="dot" w:pos="9350"/>
            </w:tabs>
            <w:spacing w:after="120"/>
            <w:rPr>
              <w:rFonts w:ascii="Times New Roman" w:eastAsiaTheme="minorEastAsia" w:hAnsi="Times New Roman"/>
              <w:szCs w:val="22"/>
              <w:lang w:eastAsia="en-US"/>
            </w:rPr>
          </w:pPr>
          <w:hyperlink w:anchor="_Toc442428974" w:history="1">
            <w:r w:rsidR="0013504B" w:rsidRPr="00B9390F">
              <w:rPr>
                <w:rStyle w:val="Hyperlink"/>
                <w:rFonts w:ascii="Times New Roman" w:hAnsi="Times New Roman"/>
                <w:szCs w:val="22"/>
                <w:lang w:bidi="fa-IR"/>
              </w:rPr>
              <w:t>A.</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Overview of the Fraud and Corruption Legal and Institutional Framework</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_Toc442428974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26</w:t>
            </w:r>
            <w:r w:rsidR="0013504B" w:rsidRPr="00B9390F">
              <w:rPr>
                <w:rFonts w:ascii="Times New Roman" w:hAnsi="Times New Roman"/>
                <w:webHidden/>
                <w:szCs w:val="22"/>
              </w:rPr>
              <w:fldChar w:fldCharType="end"/>
            </w:r>
          </w:hyperlink>
        </w:p>
        <w:p w14:paraId="60EB04A0" w14:textId="77777777" w:rsidR="0013504B" w:rsidRPr="00B9390F" w:rsidRDefault="00364177" w:rsidP="00755A7D">
          <w:pPr>
            <w:pStyle w:val="TOC2"/>
            <w:tabs>
              <w:tab w:val="left" w:pos="660"/>
              <w:tab w:val="right" w:leader="dot" w:pos="9350"/>
            </w:tabs>
            <w:spacing w:after="120"/>
            <w:rPr>
              <w:rFonts w:ascii="Times New Roman" w:eastAsiaTheme="minorEastAsia" w:hAnsi="Times New Roman"/>
              <w:szCs w:val="22"/>
              <w:lang w:eastAsia="en-US"/>
            </w:rPr>
          </w:pPr>
          <w:hyperlink w:anchor="_Toc442428975" w:history="1">
            <w:r w:rsidR="0013504B" w:rsidRPr="00B9390F">
              <w:rPr>
                <w:rStyle w:val="Hyperlink"/>
                <w:rFonts w:ascii="Times New Roman" w:hAnsi="Times New Roman"/>
                <w:szCs w:val="22"/>
                <w:lang w:bidi="fa-IR"/>
              </w:rPr>
              <w:t>B.</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Alignment with Anticorruption Guidelines</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_Toc442428975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28</w:t>
            </w:r>
            <w:r w:rsidR="0013504B" w:rsidRPr="00B9390F">
              <w:rPr>
                <w:rFonts w:ascii="Times New Roman" w:hAnsi="Times New Roman"/>
                <w:webHidden/>
                <w:szCs w:val="22"/>
              </w:rPr>
              <w:fldChar w:fldCharType="end"/>
            </w:r>
          </w:hyperlink>
        </w:p>
        <w:p w14:paraId="331D6257" w14:textId="77777777" w:rsidR="0013504B" w:rsidRPr="00B9390F" w:rsidRDefault="00364177" w:rsidP="00755A7D">
          <w:pPr>
            <w:pStyle w:val="TOC2"/>
            <w:tabs>
              <w:tab w:val="left" w:pos="660"/>
              <w:tab w:val="right" w:leader="dot" w:pos="9350"/>
            </w:tabs>
            <w:spacing w:after="120"/>
            <w:rPr>
              <w:rFonts w:ascii="Times New Roman" w:eastAsiaTheme="minorEastAsia" w:hAnsi="Times New Roman"/>
              <w:szCs w:val="22"/>
              <w:lang w:eastAsia="en-US"/>
            </w:rPr>
          </w:pPr>
          <w:hyperlink w:anchor="_Toc442428976" w:history="1">
            <w:r w:rsidR="0013504B" w:rsidRPr="00B9390F">
              <w:rPr>
                <w:rStyle w:val="Hyperlink"/>
                <w:rFonts w:ascii="Times New Roman" w:hAnsi="Times New Roman"/>
                <w:szCs w:val="22"/>
                <w:lang w:bidi="fa-IR"/>
              </w:rPr>
              <w:t>C.</w:t>
            </w:r>
            <w:r w:rsidR="0013504B" w:rsidRPr="00B9390F">
              <w:rPr>
                <w:rFonts w:ascii="Times New Roman" w:eastAsiaTheme="minorEastAsia" w:hAnsi="Times New Roman"/>
                <w:szCs w:val="22"/>
                <w:lang w:eastAsia="en-US"/>
              </w:rPr>
              <w:tab/>
            </w:r>
            <w:r w:rsidR="0013504B" w:rsidRPr="00B9390F">
              <w:rPr>
                <w:rStyle w:val="Hyperlink"/>
                <w:rFonts w:ascii="Times New Roman" w:hAnsi="Times New Roman"/>
                <w:szCs w:val="22"/>
                <w:lang w:bidi="fa-IR"/>
              </w:rPr>
              <w:t>Conclusion</w:t>
            </w:r>
            <w:r w:rsidR="0013504B" w:rsidRPr="00B9390F">
              <w:rPr>
                <w:rFonts w:ascii="Times New Roman" w:hAnsi="Times New Roman"/>
                <w:webHidden/>
                <w:szCs w:val="22"/>
              </w:rPr>
              <w:tab/>
            </w:r>
            <w:r w:rsidR="0013504B" w:rsidRPr="00B9390F">
              <w:rPr>
                <w:rFonts w:ascii="Times New Roman" w:hAnsi="Times New Roman"/>
                <w:webHidden/>
                <w:szCs w:val="22"/>
              </w:rPr>
              <w:fldChar w:fldCharType="begin"/>
            </w:r>
            <w:r w:rsidR="0013504B" w:rsidRPr="00B9390F">
              <w:rPr>
                <w:rFonts w:ascii="Times New Roman" w:hAnsi="Times New Roman"/>
                <w:webHidden/>
                <w:szCs w:val="22"/>
              </w:rPr>
              <w:instrText xml:space="preserve"> PAGEREF _Toc442428976 \h </w:instrText>
            </w:r>
            <w:r w:rsidR="0013504B" w:rsidRPr="00B9390F">
              <w:rPr>
                <w:rFonts w:ascii="Times New Roman" w:hAnsi="Times New Roman"/>
                <w:webHidden/>
                <w:szCs w:val="22"/>
              </w:rPr>
            </w:r>
            <w:r w:rsidR="0013504B" w:rsidRPr="00B9390F">
              <w:rPr>
                <w:rFonts w:ascii="Times New Roman" w:hAnsi="Times New Roman"/>
                <w:webHidden/>
                <w:szCs w:val="22"/>
              </w:rPr>
              <w:fldChar w:fldCharType="separate"/>
            </w:r>
            <w:r w:rsidR="0082664A" w:rsidRPr="00B9390F">
              <w:rPr>
                <w:rFonts w:ascii="Times New Roman" w:hAnsi="Times New Roman"/>
                <w:webHidden/>
                <w:szCs w:val="22"/>
              </w:rPr>
              <w:t>29</w:t>
            </w:r>
            <w:r w:rsidR="0013504B" w:rsidRPr="00B9390F">
              <w:rPr>
                <w:rFonts w:ascii="Times New Roman" w:hAnsi="Times New Roman"/>
                <w:webHidden/>
                <w:szCs w:val="22"/>
              </w:rPr>
              <w:fldChar w:fldCharType="end"/>
            </w:r>
          </w:hyperlink>
        </w:p>
        <w:p w14:paraId="095272E2" w14:textId="77777777" w:rsidR="0013504B" w:rsidRPr="00B9390F" w:rsidRDefault="00364177" w:rsidP="00FD537E">
          <w:pPr>
            <w:pStyle w:val="TOC1"/>
            <w:rPr>
              <w:rFonts w:eastAsiaTheme="minorEastAsia"/>
              <w:lang w:eastAsia="en-US"/>
            </w:rPr>
          </w:pPr>
          <w:hyperlink w:anchor="_Toc442428977" w:history="1">
            <w:r w:rsidR="0013504B" w:rsidRPr="00B9390F">
              <w:rPr>
                <w:rStyle w:val="Hyperlink"/>
              </w:rPr>
              <w:t>Annex 1: Key Provisions of the 2012 Public Procurement Law</w:t>
            </w:r>
            <w:r w:rsidR="0013504B" w:rsidRPr="00B9390F">
              <w:rPr>
                <w:webHidden/>
              </w:rPr>
              <w:tab/>
            </w:r>
            <w:r w:rsidR="0013504B" w:rsidRPr="00B9390F">
              <w:rPr>
                <w:webHidden/>
              </w:rPr>
              <w:fldChar w:fldCharType="begin"/>
            </w:r>
            <w:r w:rsidR="0013504B" w:rsidRPr="00B9390F">
              <w:rPr>
                <w:webHidden/>
              </w:rPr>
              <w:instrText xml:space="preserve"> PAGEREF _Toc442428977 \h </w:instrText>
            </w:r>
            <w:r w:rsidR="0013504B" w:rsidRPr="00B9390F">
              <w:rPr>
                <w:webHidden/>
              </w:rPr>
            </w:r>
            <w:r w:rsidR="0013504B" w:rsidRPr="00B9390F">
              <w:rPr>
                <w:webHidden/>
              </w:rPr>
              <w:fldChar w:fldCharType="separate"/>
            </w:r>
            <w:r w:rsidR="0082664A" w:rsidRPr="00B9390F">
              <w:rPr>
                <w:webHidden/>
              </w:rPr>
              <w:t>31</w:t>
            </w:r>
            <w:r w:rsidR="0013504B" w:rsidRPr="00B9390F">
              <w:rPr>
                <w:webHidden/>
              </w:rPr>
              <w:fldChar w:fldCharType="end"/>
            </w:r>
          </w:hyperlink>
        </w:p>
        <w:p w14:paraId="3B0E0252" w14:textId="77777777" w:rsidR="0013504B" w:rsidRPr="00B9390F" w:rsidRDefault="00364177" w:rsidP="00FD537E">
          <w:pPr>
            <w:pStyle w:val="TOC1"/>
            <w:rPr>
              <w:rFonts w:eastAsiaTheme="minorEastAsia"/>
              <w:lang w:eastAsia="en-US"/>
            </w:rPr>
          </w:pPr>
          <w:hyperlink w:anchor="_Toc442428978" w:history="1">
            <w:r w:rsidR="0013504B" w:rsidRPr="00B9390F">
              <w:rPr>
                <w:rStyle w:val="Hyperlink"/>
              </w:rPr>
              <w:t>Annex 2: Key Actors in Public Procurement in Serbia</w:t>
            </w:r>
            <w:r w:rsidR="0013504B" w:rsidRPr="00B9390F">
              <w:rPr>
                <w:webHidden/>
              </w:rPr>
              <w:tab/>
            </w:r>
            <w:r w:rsidR="0013504B" w:rsidRPr="00B9390F">
              <w:rPr>
                <w:webHidden/>
              </w:rPr>
              <w:fldChar w:fldCharType="begin"/>
            </w:r>
            <w:r w:rsidR="0013504B" w:rsidRPr="00B9390F">
              <w:rPr>
                <w:webHidden/>
              </w:rPr>
              <w:instrText xml:space="preserve"> PAGEREF _Toc442428978 \h </w:instrText>
            </w:r>
            <w:r w:rsidR="0013504B" w:rsidRPr="00B9390F">
              <w:rPr>
                <w:webHidden/>
              </w:rPr>
            </w:r>
            <w:r w:rsidR="0013504B" w:rsidRPr="00B9390F">
              <w:rPr>
                <w:webHidden/>
              </w:rPr>
              <w:fldChar w:fldCharType="separate"/>
            </w:r>
            <w:r w:rsidR="0082664A" w:rsidRPr="00B9390F">
              <w:rPr>
                <w:webHidden/>
              </w:rPr>
              <w:t>33</w:t>
            </w:r>
            <w:r w:rsidR="0013504B" w:rsidRPr="00B9390F">
              <w:rPr>
                <w:webHidden/>
              </w:rPr>
              <w:fldChar w:fldCharType="end"/>
            </w:r>
          </w:hyperlink>
        </w:p>
        <w:p w14:paraId="237BE2CD" w14:textId="77777777" w:rsidR="0013504B" w:rsidRPr="00B9390F" w:rsidRDefault="00364177" w:rsidP="00FD537E">
          <w:pPr>
            <w:pStyle w:val="TOC1"/>
            <w:rPr>
              <w:rFonts w:eastAsiaTheme="minorEastAsia"/>
              <w:lang w:eastAsia="en-US"/>
            </w:rPr>
          </w:pPr>
          <w:hyperlink w:anchor="_Toc442428979" w:history="1">
            <w:r w:rsidR="0013504B" w:rsidRPr="00B9390F">
              <w:rPr>
                <w:rStyle w:val="Hyperlink"/>
              </w:rPr>
              <w:t>Annex 3: Program Action Plan</w:t>
            </w:r>
            <w:r w:rsidR="0013504B" w:rsidRPr="00B9390F">
              <w:rPr>
                <w:webHidden/>
              </w:rPr>
              <w:tab/>
            </w:r>
            <w:r w:rsidR="0013504B" w:rsidRPr="00B9390F">
              <w:rPr>
                <w:webHidden/>
              </w:rPr>
              <w:fldChar w:fldCharType="begin"/>
            </w:r>
            <w:r w:rsidR="0013504B" w:rsidRPr="00B9390F">
              <w:rPr>
                <w:webHidden/>
              </w:rPr>
              <w:instrText xml:space="preserve"> PAGEREF _Toc442428979 \h </w:instrText>
            </w:r>
            <w:r w:rsidR="0013504B" w:rsidRPr="00B9390F">
              <w:rPr>
                <w:webHidden/>
              </w:rPr>
            </w:r>
            <w:r w:rsidR="0013504B" w:rsidRPr="00B9390F">
              <w:rPr>
                <w:webHidden/>
              </w:rPr>
              <w:fldChar w:fldCharType="separate"/>
            </w:r>
            <w:r w:rsidR="0082664A" w:rsidRPr="00B9390F">
              <w:rPr>
                <w:webHidden/>
              </w:rPr>
              <w:t>35</w:t>
            </w:r>
            <w:r w:rsidR="0013504B" w:rsidRPr="00B9390F">
              <w:rPr>
                <w:webHidden/>
              </w:rPr>
              <w:fldChar w:fldCharType="end"/>
            </w:r>
          </w:hyperlink>
        </w:p>
        <w:p w14:paraId="2F5BB0D4" w14:textId="77777777" w:rsidR="006134B0" w:rsidRPr="00B9390F" w:rsidRDefault="00B03657" w:rsidP="00940D9E">
          <w:pPr>
            <w:spacing w:after="0" w:line="0" w:lineRule="atLeast"/>
            <w:rPr>
              <w:rFonts w:ascii="Times New Roman" w:hAnsi="Times New Roman"/>
              <w:bCs/>
              <w:szCs w:val="22"/>
            </w:rPr>
          </w:pPr>
          <w:r w:rsidRPr="00B9390F">
            <w:rPr>
              <w:rFonts w:ascii="Times New Roman" w:hAnsi="Times New Roman"/>
              <w:bCs/>
              <w:szCs w:val="22"/>
            </w:rPr>
            <w:fldChar w:fldCharType="end"/>
          </w:r>
        </w:p>
        <w:p w14:paraId="4596E957" w14:textId="77777777" w:rsidR="006134B0" w:rsidRPr="00755A7D" w:rsidRDefault="00E75350" w:rsidP="004F5154">
          <w:pPr>
            <w:spacing w:after="0"/>
            <w:rPr>
              <w:rFonts w:ascii="Times New Roman" w:hAnsi="Times New Roman"/>
              <w:b/>
              <w:szCs w:val="22"/>
              <w:lang w:eastAsia="en-US"/>
            </w:rPr>
          </w:pPr>
          <w:r w:rsidRPr="00755A7D">
            <w:rPr>
              <w:rFonts w:ascii="Times New Roman" w:hAnsi="Times New Roman"/>
              <w:b/>
              <w:szCs w:val="22"/>
              <w:lang w:eastAsia="en-US"/>
            </w:rPr>
            <w:t>List</w:t>
          </w:r>
          <w:r w:rsidR="00900061" w:rsidRPr="00755A7D">
            <w:rPr>
              <w:rFonts w:ascii="Times New Roman" w:hAnsi="Times New Roman"/>
              <w:b/>
              <w:szCs w:val="22"/>
              <w:lang w:eastAsia="en-US"/>
            </w:rPr>
            <w:t xml:space="preserve"> </w:t>
          </w:r>
          <w:r w:rsidRPr="00755A7D">
            <w:rPr>
              <w:rFonts w:ascii="Times New Roman" w:hAnsi="Times New Roman"/>
              <w:b/>
              <w:szCs w:val="22"/>
              <w:lang w:eastAsia="en-US"/>
            </w:rPr>
            <w:t>of</w:t>
          </w:r>
          <w:r w:rsidR="00900061" w:rsidRPr="00755A7D">
            <w:rPr>
              <w:rFonts w:ascii="Times New Roman" w:hAnsi="Times New Roman"/>
              <w:b/>
              <w:szCs w:val="22"/>
              <w:lang w:eastAsia="en-US"/>
            </w:rPr>
            <w:t xml:space="preserve"> </w:t>
          </w:r>
          <w:r w:rsidRPr="00755A7D">
            <w:rPr>
              <w:rFonts w:ascii="Times New Roman" w:hAnsi="Times New Roman"/>
              <w:b/>
              <w:szCs w:val="22"/>
              <w:lang w:eastAsia="en-US"/>
            </w:rPr>
            <w:t>Figures</w:t>
          </w:r>
        </w:p>
        <w:p w14:paraId="40AA9183" w14:textId="77777777" w:rsidR="00B17EB7" w:rsidRPr="00B9390F" w:rsidRDefault="006134B0" w:rsidP="00755A7D">
          <w:pPr>
            <w:pStyle w:val="TableofFigures"/>
            <w:tabs>
              <w:tab w:val="right" w:leader="dot" w:pos="9350"/>
            </w:tabs>
            <w:spacing w:after="120"/>
            <w:rPr>
              <w:rFonts w:eastAsiaTheme="minorEastAsia"/>
              <w:sz w:val="24"/>
              <w:szCs w:val="22"/>
              <w:lang w:eastAsia="en-US"/>
            </w:rPr>
          </w:pPr>
          <w:r w:rsidRPr="00B9390F">
            <w:rPr>
              <w:sz w:val="24"/>
              <w:szCs w:val="22"/>
              <w:lang w:eastAsia="en-US"/>
            </w:rPr>
            <w:fldChar w:fldCharType="begin"/>
          </w:r>
          <w:r w:rsidRPr="00B9390F">
            <w:rPr>
              <w:sz w:val="24"/>
              <w:szCs w:val="22"/>
              <w:lang w:eastAsia="en-US"/>
            </w:rPr>
            <w:instrText xml:space="preserve"> TOC \h \z \c "Figure" </w:instrText>
          </w:r>
          <w:r w:rsidRPr="00B9390F">
            <w:rPr>
              <w:sz w:val="24"/>
              <w:szCs w:val="22"/>
              <w:lang w:eastAsia="en-US"/>
            </w:rPr>
            <w:fldChar w:fldCharType="separate"/>
          </w:r>
          <w:hyperlink w:anchor="_Toc442384166" w:history="1">
            <w:r w:rsidR="00B17EB7" w:rsidRPr="00B9390F">
              <w:rPr>
                <w:rStyle w:val="Hyperlink"/>
                <w:sz w:val="24"/>
                <w:szCs w:val="22"/>
              </w:rPr>
              <w:t>Figure 1. Structure of Concluded Contracts by Type of Procedure in Q3 2012</w:t>
            </w:r>
            <w:r w:rsidR="00B17EB7" w:rsidRPr="00B9390F">
              <w:rPr>
                <w:webHidden/>
                <w:sz w:val="24"/>
                <w:szCs w:val="22"/>
              </w:rPr>
              <w:tab/>
            </w:r>
            <w:r w:rsidR="00B17EB7" w:rsidRPr="00B9390F">
              <w:rPr>
                <w:webHidden/>
                <w:sz w:val="24"/>
                <w:szCs w:val="22"/>
              </w:rPr>
              <w:fldChar w:fldCharType="begin"/>
            </w:r>
            <w:r w:rsidR="00B17EB7" w:rsidRPr="00B9390F">
              <w:rPr>
                <w:webHidden/>
                <w:sz w:val="24"/>
                <w:szCs w:val="22"/>
              </w:rPr>
              <w:instrText xml:space="preserve"> PAGEREF _Toc442384166 \h </w:instrText>
            </w:r>
            <w:r w:rsidR="00B17EB7" w:rsidRPr="00B9390F">
              <w:rPr>
                <w:webHidden/>
                <w:sz w:val="24"/>
                <w:szCs w:val="22"/>
              </w:rPr>
            </w:r>
            <w:r w:rsidR="00B17EB7" w:rsidRPr="00B9390F">
              <w:rPr>
                <w:webHidden/>
                <w:sz w:val="24"/>
                <w:szCs w:val="22"/>
              </w:rPr>
              <w:fldChar w:fldCharType="separate"/>
            </w:r>
            <w:r w:rsidR="00B17EB7" w:rsidRPr="00B9390F">
              <w:rPr>
                <w:webHidden/>
                <w:sz w:val="24"/>
                <w:szCs w:val="22"/>
              </w:rPr>
              <w:t>17</w:t>
            </w:r>
            <w:r w:rsidR="00B17EB7" w:rsidRPr="00B9390F">
              <w:rPr>
                <w:webHidden/>
                <w:sz w:val="24"/>
                <w:szCs w:val="22"/>
              </w:rPr>
              <w:fldChar w:fldCharType="end"/>
            </w:r>
          </w:hyperlink>
        </w:p>
        <w:p w14:paraId="6A9D305E" w14:textId="77777777" w:rsidR="00B17EB7" w:rsidRPr="00B9390F" w:rsidRDefault="00364177" w:rsidP="00755A7D">
          <w:pPr>
            <w:pStyle w:val="TableofFigures"/>
            <w:tabs>
              <w:tab w:val="right" w:leader="dot" w:pos="9350"/>
            </w:tabs>
            <w:spacing w:after="120"/>
            <w:rPr>
              <w:rFonts w:eastAsiaTheme="minorEastAsia"/>
              <w:sz w:val="24"/>
              <w:szCs w:val="22"/>
              <w:lang w:eastAsia="en-US"/>
            </w:rPr>
          </w:pPr>
          <w:hyperlink w:anchor="_Toc442384167" w:history="1">
            <w:r w:rsidR="00B17EB7" w:rsidRPr="00B9390F">
              <w:rPr>
                <w:rStyle w:val="Hyperlink"/>
                <w:sz w:val="24"/>
                <w:szCs w:val="22"/>
              </w:rPr>
              <w:t>Figure 2. Structure of Concluded Contracts by Type of Procedure in Q3 2013</w:t>
            </w:r>
            <w:r w:rsidR="00B17EB7" w:rsidRPr="00B9390F">
              <w:rPr>
                <w:webHidden/>
                <w:sz w:val="24"/>
                <w:szCs w:val="22"/>
              </w:rPr>
              <w:tab/>
            </w:r>
            <w:r w:rsidR="00B17EB7" w:rsidRPr="00B9390F">
              <w:rPr>
                <w:webHidden/>
                <w:sz w:val="24"/>
                <w:szCs w:val="22"/>
              </w:rPr>
              <w:fldChar w:fldCharType="begin"/>
            </w:r>
            <w:r w:rsidR="00B17EB7" w:rsidRPr="00B9390F">
              <w:rPr>
                <w:webHidden/>
                <w:sz w:val="24"/>
                <w:szCs w:val="22"/>
              </w:rPr>
              <w:instrText xml:space="preserve"> PAGEREF _Toc442384167 \h </w:instrText>
            </w:r>
            <w:r w:rsidR="00B17EB7" w:rsidRPr="00B9390F">
              <w:rPr>
                <w:webHidden/>
                <w:sz w:val="24"/>
                <w:szCs w:val="22"/>
              </w:rPr>
            </w:r>
            <w:r w:rsidR="00B17EB7" w:rsidRPr="00B9390F">
              <w:rPr>
                <w:webHidden/>
                <w:sz w:val="24"/>
                <w:szCs w:val="22"/>
              </w:rPr>
              <w:fldChar w:fldCharType="separate"/>
            </w:r>
            <w:r w:rsidR="00B17EB7" w:rsidRPr="00B9390F">
              <w:rPr>
                <w:webHidden/>
                <w:sz w:val="24"/>
                <w:szCs w:val="22"/>
              </w:rPr>
              <w:t>17</w:t>
            </w:r>
            <w:r w:rsidR="00B17EB7" w:rsidRPr="00B9390F">
              <w:rPr>
                <w:webHidden/>
                <w:sz w:val="24"/>
                <w:szCs w:val="22"/>
              </w:rPr>
              <w:fldChar w:fldCharType="end"/>
            </w:r>
          </w:hyperlink>
        </w:p>
        <w:p w14:paraId="1C81EB02" w14:textId="77777777" w:rsidR="006134B0" w:rsidRPr="00B9390F" w:rsidRDefault="006134B0" w:rsidP="004F5154">
          <w:pPr>
            <w:spacing w:after="0"/>
            <w:rPr>
              <w:rFonts w:ascii="Times New Roman" w:hAnsi="Times New Roman"/>
              <w:szCs w:val="22"/>
              <w:lang w:eastAsia="en-US"/>
            </w:rPr>
          </w:pPr>
          <w:r w:rsidRPr="00B9390F">
            <w:rPr>
              <w:rFonts w:ascii="Times New Roman" w:hAnsi="Times New Roman"/>
              <w:szCs w:val="22"/>
              <w:lang w:eastAsia="en-US"/>
            </w:rPr>
            <w:fldChar w:fldCharType="end"/>
          </w:r>
        </w:p>
        <w:p w14:paraId="3F2170F6" w14:textId="77777777" w:rsidR="006134B0" w:rsidRPr="00755A7D" w:rsidRDefault="00E75350" w:rsidP="006134B0">
          <w:pPr>
            <w:spacing w:after="0" w:line="0" w:lineRule="atLeast"/>
            <w:rPr>
              <w:rFonts w:ascii="Times New Roman" w:hAnsi="Times New Roman"/>
              <w:b/>
              <w:szCs w:val="22"/>
              <w:lang w:eastAsia="en-US"/>
            </w:rPr>
          </w:pPr>
          <w:r w:rsidRPr="00755A7D">
            <w:rPr>
              <w:rFonts w:ascii="Times New Roman" w:hAnsi="Times New Roman"/>
              <w:b/>
              <w:szCs w:val="22"/>
              <w:lang w:eastAsia="en-US"/>
            </w:rPr>
            <w:t>List</w:t>
          </w:r>
          <w:r w:rsidR="00900061" w:rsidRPr="00755A7D">
            <w:rPr>
              <w:rFonts w:ascii="Times New Roman" w:hAnsi="Times New Roman"/>
              <w:b/>
              <w:szCs w:val="22"/>
              <w:lang w:eastAsia="en-US"/>
            </w:rPr>
            <w:t xml:space="preserve"> </w:t>
          </w:r>
          <w:r w:rsidRPr="00755A7D">
            <w:rPr>
              <w:rFonts w:ascii="Times New Roman" w:hAnsi="Times New Roman"/>
              <w:b/>
              <w:szCs w:val="22"/>
              <w:lang w:eastAsia="en-US"/>
            </w:rPr>
            <w:t>of</w:t>
          </w:r>
          <w:r w:rsidR="00900061" w:rsidRPr="00755A7D">
            <w:rPr>
              <w:rFonts w:ascii="Times New Roman" w:hAnsi="Times New Roman"/>
              <w:b/>
              <w:szCs w:val="22"/>
              <w:lang w:eastAsia="en-US"/>
            </w:rPr>
            <w:t xml:space="preserve"> </w:t>
          </w:r>
          <w:r w:rsidRPr="00755A7D">
            <w:rPr>
              <w:rFonts w:ascii="Times New Roman" w:hAnsi="Times New Roman"/>
              <w:b/>
              <w:szCs w:val="22"/>
              <w:lang w:eastAsia="en-US"/>
            </w:rPr>
            <w:t>Tables</w:t>
          </w:r>
        </w:p>
        <w:p w14:paraId="493B470C" w14:textId="77777777" w:rsidR="00B17EB7" w:rsidRPr="00B9390F" w:rsidRDefault="006134B0" w:rsidP="00755A7D">
          <w:pPr>
            <w:pStyle w:val="TableofFigures"/>
            <w:tabs>
              <w:tab w:val="right" w:leader="dot" w:pos="9350"/>
            </w:tabs>
            <w:spacing w:after="120"/>
            <w:rPr>
              <w:rFonts w:eastAsiaTheme="minorEastAsia"/>
              <w:sz w:val="24"/>
              <w:szCs w:val="22"/>
              <w:lang w:eastAsia="en-US"/>
            </w:rPr>
          </w:pPr>
          <w:r w:rsidRPr="00B9390F">
            <w:rPr>
              <w:sz w:val="24"/>
              <w:szCs w:val="22"/>
              <w:lang w:eastAsia="en-US"/>
            </w:rPr>
            <w:fldChar w:fldCharType="begin"/>
          </w:r>
          <w:r w:rsidRPr="00B9390F">
            <w:rPr>
              <w:sz w:val="24"/>
              <w:szCs w:val="22"/>
              <w:lang w:eastAsia="en-US"/>
            </w:rPr>
            <w:instrText xml:space="preserve"> TOC \h \z \c "Table" </w:instrText>
          </w:r>
          <w:r w:rsidRPr="00B9390F">
            <w:rPr>
              <w:sz w:val="24"/>
              <w:szCs w:val="22"/>
              <w:lang w:eastAsia="en-US"/>
            </w:rPr>
            <w:fldChar w:fldCharType="separate"/>
          </w:r>
          <w:hyperlink w:anchor="_Toc442384168" w:history="1">
            <w:r w:rsidR="00B17EB7" w:rsidRPr="00B9390F">
              <w:rPr>
                <w:rStyle w:val="Hyperlink"/>
                <w:sz w:val="24"/>
                <w:szCs w:val="22"/>
              </w:rPr>
              <w:t>Table 1. Summary of Key FM Risks and Mitigation Measures</w:t>
            </w:r>
            <w:r w:rsidR="00B17EB7" w:rsidRPr="00B9390F">
              <w:rPr>
                <w:webHidden/>
                <w:sz w:val="24"/>
                <w:szCs w:val="22"/>
              </w:rPr>
              <w:tab/>
            </w:r>
            <w:r w:rsidR="00B17EB7" w:rsidRPr="00B9390F">
              <w:rPr>
                <w:webHidden/>
                <w:sz w:val="24"/>
                <w:szCs w:val="22"/>
              </w:rPr>
              <w:fldChar w:fldCharType="begin"/>
            </w:r>
            <w:r w:rsidR="00B17EB7" w:rsidRPr="00B9390F">
              <w:rPr>
                <w:webHidden/>
                <w:sz w:val="24"/>
                <w:szCs w:val="22"/>
              </w:rPr>
              <w:instrText xml:space="preserve"> PAGEREF _Toc442384168 \h </w:instrText>
            </w:r>
            <w:r w:rsidR="00B17EB7" w:rsidRPr="00B9390F">
              <w:rPr>
                <w:webHidden/>
                <w:sz w:val="24"/>
                <w:szCs w:val="22"/>
              </w:rPr>
            </w:r>
            <w:r w:rsidR="00B17EB7" w:rsidRPr="00B9390F">
              <w:rPr>
                <w:webHidden/>
                <w:sz w:val="24"/>
                <w:szCs w:val="22"/>
              </w:rPr>
              <w:fldChar w:fldCharType="separate"/>
            </w:r>
            <w:r w:rsidR="00B17EB7" w:rsidRPr="00B9390F">
              <w:rPr>
                <w:webHidden/>
                <w:sz w:val="24"/>
                <w:szCs w:val="22"/>
              </w:rPr>
              <w:t>12</w:t>
            </w:r>
            <w:r w:rsidR="00B17EB7" w:rsidRPr="00B9390F">
              <w:rPr>
                <w:webHidden/>
                <w:sz w:val="24"/>
                <w:szCs w:val="22"/>
              </w:rPr>
              <w:fldChar w:fldCharType="end"/>
            </w:r>
          </w:hyperlink>
        </w:p>
        <w:p w14:paraId="02216045" w14:textId="77777777" w:rsidR="00B17EB7" w:rsidRPr="00B9390F" w:rsidRDefault="00364177" w:rsidP="00755A7D">
          <w:pPr>
            <w:pStyle w:val="TableofFigures"/>
            <w:tabs>
              <w:tab w:val="right" w:leader="dot" w:pos="9350"/>
            </w:tabs>
            <w:spacing w:after="120"/>
            <w:rPr>
              <w:rFonts w:eastAsiaTheme="minorEastAsia"/>
              <w:sz w:val="24"/>
              <w:szCs w:val="22"/>
              <w:lang w:eastAsia="en-US"/>
            </w:rPr>
          </w:pPr>
          <w:hyperlink w:anchor="_Toc442384169" w:history="1">
            <w:r w:rsidR="00B17EB7" w:rsidRPr="00B9390F">
              <w:rPr>
                <w:rStyle w:val="Hyperlink"/>
                <w:sz w:val="24"/>
                <w:szCs w:val="22"/>
              </w:rPr>
              <w:t>Table 2. Average Number of Bids Submitted Per Tender</w:t>
            </w:r>
            <w:r w:rsidR="00B17EB7" w:rsidRPr="00B9390F">
              <w:rPr>
                <w:webHidden/>
                <w:sz w:val="24"/>
                <w:szCs w:val="22"/>
              </w:rPr>
              <w:tab/>
            </w:r>
            <w:r w:rsidR="00B17EB7" w:rsidRPr="00B9390F">
              <w:rPr>
                <w:webHidden/>
                <w:sz w:val="24"/>
                <w:szCs w:val="22"/>
              </w:rPr>
              <w:fldChar w:fldCharType="begin"/>
            </w:r>
            <w:r w:rsidR="00B17EB7" w:rsidRPr="00B9390F">
              <w:rPr>
                <w:webHidden/>
                <w:sz w:val="24"/>
                <w:szCs w:val="22"/>
              </w:rPr>
              <w:instrText xml:space="preserve"> PAGEREF _Toc442384169 \h </w:instrText>
            </w:r>
            <w:r w:rsidR="00B17EB7" w:rsidRPr="00B9390F">
              <w:rPr>
                <w:webHidden/>
                <w:sz w:val="24"/>
                <w:szCs w:val="22"/>
              </w:rPr>
            </w:r>
            <w:r w:rsidR="00B17EB7" w:rsidRPr="00B9390F">
              <w:rPr>
                <w:webHidden/>
                <w:sz w:val="24"/>
                <w:szCs w:val="22"/>
              </w:rPr>
              <w:fldChar w:fldCharType="separate"/>
            </w:r>
            <w:r w:rsidR="00B17EB7" w:rsidRPr="00B9390F">
              <w:rPr>
                <w:webHidden/>
                <w:sz w:val="24"/>
                <w:szCs w:val="22"/>
              </w:rPr>
              <w:t>16</w:t>
            </w:r>
            <w:r w:rsidR="00B17EB7" w:rsidRPr="00B9390F">
              <w:rPr>
                <w:webHidden/>
                <w:sz w:val="24"/>
                <w:szCs w:val="22"/>
              </w:rPr>
              <w:fldChar w:fldCharType="end"/>
            </w:r>
          </w:hyperlink>
        </w:p>
        <w:p w14:paraId="5576E06D" w14:textId="77777777" w:rsidR="00B17EB7" w:rsidRPr="00B9390F" w:rsidRDefault="00364177" w:rsidP="00755A7D">
          <w:pPr>
            <w:pStyle w:val="TableofFigures"/>
            <w:tabs>
              <w:tab w:val="right" w:leader="dot" w:pos="9350"/>
            </w:tabs>
            <w:spacing w:after="120"/>
            <w:rPr>
              <w:rFonts w:eastAsiaTheme="minorEastAsia"/>
              <w:sz w:val="24"/>
              <w:szCs w:val="22"/>
              <w:lang w:eastAsia="en-US"/>
            </w:rPr>
          </w:pPr>
          <w:hyperlink w:anchor="_Toc442384170" w:history="1">
            <w:r w:rsidR="00B17EB7" w:rsidRPr="00B9390F">
              <w:rPr>
                <w:rStyle w:val="Hyperlink"/>
                <w:sz w:val="24"/>
                <w:szCs w:val="22"/>
              </w:rPr>
              <w:t>Table 3. Usage of the Public Procurement Portal, 2013–2014</w:t>
            </w:r>
            <w:r w:rsidR="00B17EB7" w:rsidRPr="00B9390F">
              <w:rPr>
                <w:webHidden/>
                <w:sz w:val="24"/>
                <w:szCs w:val="22"/>
              </w:rPr>
              <w:tab/>
            </w:r>
            <w:r w:rsidR="00B17EB7" w:rsidRPr="00B9390F">
              <w:rPr>
                <w:webHidden/>
                <w:sz w:val="24"/>
                <w:szCs w:val="22"/>
              </w:rPr>
              <w:fldChar w:fldCharType="begin"/>
            </w:r>
            <w:r w:rsidR="00B17EB7" w:rsidRPr="00B9390F">
              <w:rPr>
                <w:webHidden/>
                <w:sz w:val="24"/>
                <w:szCs w:val="22"/>
              </w:rPr>
              <w:instrText xml:space="preserve"> PAGEREF _Toc442384170 \h </w:instrText>
            </w:r>
            <w:r w:rsidR="00B17EB7" w:rsidRPr="00B9390F">
              <w:rPr>
                <w:webHidden/>
                <w:sz w:val="24"/>
                <w:szCs w:val="22"/>
              </w:rPr>
            </w:r>
            <w:r w:rsidR="00B17EB7" w:rsidRPr="00B9390F">
              <w:rPr>
                <w:webHidden/>
                <w:sz w:val="24"/>
                <w:szCs w:val="22"/>
              </w:rPr>
              <w:fldChar w:fldCharType="separate"/>
            </w:r>
            <w:r w:rsidR="00B17EB7" w:rsidRPr="00B9390F">
              <w:rPr>
                <w:webHidden/>
                <w:sz w:val="24"/>
                <w:szCs w:val="22"/>
              </w:rPr>
              <w:t>20</w:t>
            </w:r>
            <w:r w:rsidR="00B17EB7" w:rsidRPr="00B9390F">
              <w:rPr>
                <w:webHidden/>
                <w:sz w:val="24"/>
                <w:szCs w:val="22"/>
              </w:rPr>
              <w:fldChar w:fldCharType="end"/>
            </w:r>
          </w:hyperlink>
        </w:p>
        <w:p w14:paraId="1B48621B" w14:textId="27ADBCC2" w:rsidR="001B26D9" w:rsidRPr="00B9390F" w:rsidRDefault="006134B0" w:rsidP="00755A7D">
          <w:pPr>
            <w:spacing w:after="120"/>
            <w:rPr>
              <w:rFonts w:ascii="Times New Roman" w:hAnsi="Times New Roman"/>
              <w:bCs/>
              <w:szCs w:val="20"/>
            </w:rPr>
            <w:sectPr w:rsidR="001B26D9" w:rsidRPr="00B9390F" w:rsidSect="00FF4790">
              <w:headerReference w:type="first" r:id="rId14"/>
              <w:footerReference w:type="first" r:id="rId15"/>
              <w:pgSz w:w="12240" w:h="15840"/>
              <w:pgMar w:top="1440" w:right="1440" w:bottom="1440" w:left="1440" w:header="720" w:footer="720" w:gutter="0"/>
              <w:pgNumType w:fmt="lowerRoman" w:start="0"/>
              <w:cols w:space="720"/>
              <w:docGrid w:linePitch="360"/>
            </w:sectPr>
          </w:pPr>
          <w:r w:rsidRPr="00B9390F">
            <w:rPr>
              <w:rFonts w:ascii="Times New Roman" w:hAnsi="Times New Roman"/>
              <w:szCs w:val="22"/>
              <w:lang w:eastAsia="en-US"/>
            </w:rPr>
            <w:fldChar w:fldCharType="end"/>
          </w:r>
        </w:p>
      </w:sdtContent>
    </w:sdt>
    <w:p w14:paraId="42E8751F" w14:textId="77777777" w:rsidR="00DB7C44" w:rsidRPr="00645878" w:rsidRDefault="00A7170B" w:rsidP="00AE2169">
      <w:pPr>
        <w:pStyle w:val="Heading1"/>
        <w:spacing w:line="240" w:lineRule="auto"/>
        <w:ind w:left="0" w:firstLine="0"/>
      </w:pPr>
      <w:bookmarkStart w:id="1" w:name="_Toc442428946"/>
      <w:r w:rsidRPr="00645878">
        <w:lastRenderedPageBreak/>
        <w:t>Introduction</w:t>
      </w:r>
      <w:bookmarkEnd w:id="1"/>
    </w:p>
    <w:p w14:paraId="6AE1F725" w14:textId="25AEAD69" w:rsidR="006B68A4" w:rsidRPr="00645878" w:rsidRDefault="00A7170B" w:rsidP="00645878">
      <w:pPr>
        <w:pStyle w:val="ListParagraph"/>
        <w:numPr>
          <w:ilvl w:val="0"/>
          <w:numId w:val="9"/>
        </w:numPr>
        <w:ind w:left="0" w:firstLine="0"/>
        <w:contextualSpacing w:val="0"/>
        <w:rPr>
          <w:rFonts w:ascii="Times New Roman" w:hAnsi="Times New Roman"/>
          <w:lang w:eastAsia="en-US"/>
        </w:rPr>
      </w:pPr>
      <w:r w:rsidRPr="00645878">
        <w:rPr>
          <w:rFonts w:ascii="Times New Roman" w:hAnsi="Times New Roman"/>
          <w:b/>
          <w:lang w:eastAsia="en-US"/>
        </w:rPr>
        <w:t>An</w:t>
      </w:r>
      <w:r w:rsidR="00900061" w:rsidRPr="00645878">
        <w:rPr>
          <w:rFonts w:ascii="Times New Roman" w:hAnsi="Times New Roman"/>
          <w:b/>
          <w:lang w:eastAsia="en-US"/>
        </w:rPr>
        <w:t xml:space="preserve"> </w:t>
      </w:r>
      <w:r w:rsidRPr="00645878">
        <w:rPr>
          <w:rFonts w:ascii="Times New Roman" w:hAnsi="Times New Roman"/>
          <w:b/>
          <w:lang w:eastAsia="en-US"/>
        </w:rPr>
        <w:t>integrated</w:t>
      </w:r>
      <w:r w:rsidR="00900061" w:rsidRPr="00645878">
        <w:rPr>
          <w:rFonts w:ascii="Times New Roman" w:hAnsi="Times New Roman"/>
          <w:b/>
          <w:lang w:eastAsia="en-US"/>
        </w:rPr>
        <w:t xml:space="preserve"> </w:t>
      </w:r>
      <w:r w:rsidRPr="00645878">
        <w:rPr>
          <w:rFonts w:ascii="Times New Roman" w:hAnsi="Times New Roman"/>
          <w:b/>
          <w:lang w:eastAsia="en-US"/>
        </w:rPr>
        <w:t>fiduciary</w:t>
      </w:r>
      <w:r w:rsidR="00900061" w:rsidRPr="00645878">
        <w:rPr>
          <w:rFonts w:ascii="Times New Roman" w:hAnsi="Times New Roman"/>
          <w:b/>
          <w:lang w:eastAsia="en-US"/>
        </w:rPr>
        <w:t xml:space="preserve"> </w:t>
      </w:r>
      <w:r w:rsidRPr="00645878">
        <w:rPr>
          <w:rFonts w:ascii="Times New Roman" w:hAnsi="Times New Roman"/>
          <w:b/>
          <w:lang w:eastAsia="en-US"/>
        </w:rPr>
        <w:t>systems</w:t>
      </w:r>
      <w:r w:rsidR="00900061" w:rsidRPr="00645878">
        <w:rPr>
          <w:rFonts w:ascii="Times New Roman" w:hAnsi="Times New Roman"/>
          <w:b/>
          <w:lang w:eastAsia="en-US"/>
        </w:rPr>
        <w:t xml:space="preserve"> </w:t>
      </w:r>
      <w:r w:rsidRPr="00645878">
        <w:rPr>
          <w:rFonts w:ascii="Times New Roman" w:hAnsi="Times New Roman"/>
          <w:b/>
          <w:lang w:eastAsia="en-US"/>
        </w:rPr>
        <w:t>assessment</w:t>
      </w:r>
      <w:r w:rsidR="00900061" w:rsidRPr="00645878">
        <w:rPr>
          <w:rFonts w:ascii="Times New Roman" w:hAnsi="Times New Roman"/>
          <w:b/>
          <w:lang w:eastAsia="en-US"/>
        </w:rPr>
        <w:t xml:space="preserve"> </w:t>
      </w:r>
      <w:r w:rsidRPr="00645878">
        <w:rPr>
          <w:rFonts w:ascii="Times New Roman" w:hAnsi="Times New Roman"/>
          <w:b/>
          <w:lang w:eastAsia="en-US"/>
        </w:rPr>
        <w:t>has</w:t>
      </w:r>
      <w:r w:rsidR="00900061" w:rsidRPr="00645878">
        <w:rPr>
          <w:rFonts w:ascii="Times New Roman" w:hAnsi="Times New Roman"/>
          <w:b/>
          <w:lang w:eastAsia="en-US"/>
        </w:rPr>
        <w:t xml:space="preserve"> </w:t>
      </w:r>
      <w:r w:rsidRPr="00645878">
        <w:rPr>
          <w:rFonts w:ascii="Times New Roman" w:hAnsi="Times New Roman"/>
          <w:b/>
          <w:lang w:eastAsia="en-US"/>
        </w:rPr>
        <w:t>been</w:t>
      </w:r>
      <w:r w:rsidR="00900061" w:rsidRPr="00645878">
        <w:rPr>
          <w:rFonts w:ascii="Times New Roman" w:hAnsi="Times New Roman"/>
          <w:b/>
          <w:lang w:eastAsia="en-US"/>
        </w:rPr>
        <w:t xml:space="preserve"> </w:t>
      </w:r>
      <w:r w:rsidRPr="00645878">
        <w:rPr>
          <w:rFonts w:ascii="Times New Roman" w:hAnsi="Times New Roman"/>
          <w:b/>
          <w:lang w:eastAsia="en-US"/>
        </w:rPr>
        <w:t>undertaken</w:t>
      </w:r>
      <w:r w:rsidR="00900061" w:rsidRPr="00645878">
        <w:rPr>
          <w:rFonts w:ascii="Times New Roman" w:hAnsi="Times New Roman"/>
          <w:b/>
          <w:lang w:eastAsia="en-US"/>
        </w:rPr>
        <w:t xml:space="preserve"> </w:t>
      </w:r>
      <w:r w:rsidRPr="00645878">
        <w:rPr>
          <w:rFonts w:ascii="Times New Roman" w:hAnsi="Times New Roman"/>
          <w:b/>
          <w:lang w:eastAsia="en-US"/>
        </w:rPr>
        <w:t>that</w:t>
      </w:r>
      <w:r w:rsidR="00900061" w:rsidRPr="00645878">
        <w:rPr>
          <w:rFonts w:ascii="Times New Roman" w:hAnsi="Times New Roman"/>
          <w:b/>
          <w:lang w:eastAsia="en-US"/>
        </w:rPr>
        <w:t xml:space="preserve"> </w:t>
      </w:r>
      <w:r w:rsidRPr="00645878">
        <w:rPr>
          <w:rFonts w:ascii="Times New Roman" w:hAnsi="Times New Roman"/>
          <w:b/>
          <w:lang w:eastAsia="en-US"/>
        </w:rPr>
        <w:t>incorporates</w:t>
      </w:r>
      <w:r w:rsidR="00900061" w:rsidRPr="00645878">
        <w:rPr>
          <w:rFonts w:ascii="Times New Roman" w:hAnsi="Times New Roman"/>
          <w:b/>
          <w:lang w:eastAsia="en-US"/>
        </w:rPr>
        <w:t xml:space="preserve"> </w:t>
      </w:r>
      <w:r w:rsidRPr="00645878">
        <w:rPr>
          <w:rFonts w:ascii="Times New Roman" w:hAnsi="Times New Roman"/>
          <w:b/>
          <w:lang w:eastAsia="en-US"/>
        </w:rPr>
        <w:t>financial</w:t>
      </w:r>
      <w:r w:rsidR="00900061" w:rsidRPr="00645878">
        <w:rPr>
          <w:rFonts w:ascii="Times New Roman" w:hAnsi="Times New Roman"/>
          <w:b/>
          <w:lang w:eastAsia="en-US"/>
        </w:rPr>
        <w:t xml:space="preserve"> </w:t>
      </w:r>
      <w:r w:rsidRPr="00645878">
        <w:rPr>
          <w:rFonts w:ascii="Times New Roman" w:hAnsi="Times New Roman"/>
          <w:b/>
          <w:lang w:eastAsia="en-US"/>
        </w:rPr>
        <w:t>management</w:t>
      </w:r>
      <w:r w:rsidR="00814F62" w:rsidRPr="00645878">
        <w:rPr>
          <w:rFonts w:ascii="Times New Roman" w:hAnsi="Times New Roman"/>
          <w:b/>
          <w:lang w:eastAsia="en-US"/>
        </w:rPr>
        <w:t xml:space="preserve"> (FM)</w:t>
      </w:r>
      <w:r w:rsidRPr="00645878">
        <w:rPr>
          <w:rFonts w:ascii="Times New Roman" w:hAnsi="Times New Roman"/>
          <w:b/>
          <w:lang w:eastAsia="en-US"/>
        </w:rPr>
        <w:t>,</w:t>
      </w:r>
      <w:r w:rsidR="00900061" w:rsidRPr="00645878">
        <w:rPr>
          <w:rFonts w:ascii="Times New Roman" w:hAnsi="Times New Roman"/>
          <w:b/>
          <w:lang w:eastAsia="en-US"/>
        </w:rPr>
        <w:t xml:space="preserve"> </w:t>
      </w:r>
      <w:r w:rsidRPr="00645878">
        <w:rPr>
          <w:rFonts w:ascii="Times New Roman" w:hAnsi="Times New Roman"/>
          <w:b/>
          <w:lang w:eastAsia="en-US"/>
        </w:rPr>
        <w:t>procurement</w:t>
      </w:r>
      <w:r w:rsidR="005C6E07" w:rsidRPr="00645878">
        <w:rPr>
          <w:rFonts w:ascii="Times New Roman" w:hAnsi="Times New Roman"/>
          <w:b/>
          <w:lang w:eastAsia="en-US"/>
        </w:rPr>
        <w:t>,</w:t>
      </w:r>
      <w:r w:rsidR="00900061" w:rsidRPr="00645878">
        <w:rPr>
          <w:rFonts w:ascii="Times New Roman" w:hAnsi="Times New Roman"/>
          <w:b/>
          <w:lang w:eastAsia="en-US"/>
        </w:rPr>
        <w:t xml:space="preserve"> </w:t>
      </w:r>
      <w:r w:rsidRPr="00645878">
        <w:rPr>
          <w:rFonts w:ascii="Times New Roman" w:hAnsi="Times New Roman"/>
          <w:b/>
          <w:lang w:eastAsia="en-US"/>
        </w:rPr>
        <w:t>and</w:t>
      </w:r>
      <w:r w:rsidR="00900061" w:rsidRPr="00645878">
        <w:rPr>
          <w:rFonts w:ascii="Times New Roman" w:hAnsi="Times New Roman"/>
          <w:b/>
          <w:lang w:eastAsia="en-US"/>
        </w:rPr>
        <w:t xml:space="preserve"> </w:t>
      </w:r>
      <w:r w:rsidRPr="00645878">
        <w:rPr>
          <w:rFonts w:ascii="Times New Roman" w:hAnsi="Times New Roman"/>
          <w:b/>
          <w:lang w:eastAsia="en-US"/>
        </w:rPr>
        <w:t>governance</w:t>
      </w:r>
      <w:r w:rsidR="00900061" w:rsidRPr="00645878">
        <w:rPr>
          <w:rFonts w:ascii="Times New Roman" w:hAnsi="Times New Roman"/>
          <w:b/>
          <w:lang w:eastAsia="en-US"/>
        </w:rPr>
        <w:t xml:space="preserve"> </w:t>
      </w:r>
      <w:r w:rsidRPr="00645878">
        <w:rPr>
          <w:rFonts w:ascii="Times New Roman" w:hAnsi="Times New Roman"/>
          <w:b/>
          <w:lang w:eastAsia="en-US"/>
        </w:rPr>
        <w:t>issues.</w:t>
      </w:r>
      <w:r w:rsidR="00900061" w:rsidRPr="00645878">
        <w:rPr>
          <w:rFonts w:ascii="Times New Roman" w:hAnsi="Times New Roman"/>
          <w:b/>
          <w:lang w:eastAsia="en-US"/>
        </w:rPr>
        <w:t xml:space="preserve"> </w:t>
      </w:r>
      <w:r w:rsidRPr="00645878">
        <w:rPr>
          <w:rFonts w:ascii="Times New Roman" w:hAnsi="Times New Roman"/>
          <w:lang w:eastAsia="en-US"/>
        </w:rPr>
        <w:t>The</w:t>
      </w:r>
      <w:r w:rsidR="00900061" w:rsidRPr="00645878">
        <w:rPr>
          <w:rFonts w:ascii="Times New Roman" w:hAnsi="Times New Roman"/>
          <w:lang w:eastAsia="en-US"/>
        </w:rPr>
        <w:t xml:space="preserve"> </w:t>
      </w:r>
      <w:r w:rsidRPr="00645878">
        <w:rPr>
          <w:rFonts w:ascii="Times New Roman" w:hAnsi="Times New Roman"/>
          <w:lang w:eastAsia="en-US"/>
        </w:rPr>
        <w:t>assessment</w:t>
      </w:r>
      <w:r w:rsidR="00900061" w:rsidRPr="00645878">
        <w:rPr>
          <w:rFonts w:ascii="Times New Roman" w:hAnsi="Times New Roman"/>
          <w:lang w:eastAsia="en-US"/>
        </w:rPr>
        <w:t xml:space="preserve"> </w:t>
      </w:r>
      <w:r w:rsidRPr="00645878">
        <w:rPr>
          <w:rFonts w:ascii="Times New Roman" w:hAnsi="Times New Roman"/>
          <w:lang w:eastAsia="en-US"/>
        </w:rPr>
        <w:t>concludes</w:t>
      </w:r>
      <w:r w:rsidR="00900061" w:rsidRPr="00645878">
        <w:rPr>
          <w:rFonts w:ascii="Times New Roman" w:hAnsi="Times New Roman"/>
          <w:lang w:eastAsia="en-US"/>
        </w:rPr>
        <w:t xml:space="preserve"> </w:t>
      </w:r>
      <w:r w:rsidRPr="00645878">
        <w:rPr>
          <w:rFonts w:ascii="Times New Roman" w:hAnsi="Times New Roman"/>
          <w:lang w:eastAsia="en-US"/>
        </w:rPr>
        <w:t>that</w:t>
      </w:r>
      <w:r w:rsidR="00900061" w:rsidRPr="00645878">
        <w:rPr>
          <w:rFonts w:ascii="Times New Roman" w:hAnsi="Times New Roman"/>
          <w:lang w:eastAsia="en-US"/>
        </w:rPr>
        <w:t xml:space="preserve"> </w:t>
      </w:r>
      <w:r w:rsidRPr="00645878">
        <w:rPr>
          <w:rFonts w:ascii="Times New Roman" w:hAnsi="Times New Roman"/>
          <w:lang w:eastAsia="en-US"/>
        </w:rPr>
        <w:t>there</w:t>
      </w:r>
      <w:r w:rsidR="00900061" w:rsidRPr="00645878">
        <w:rPr>
          <w:rFonts w:ascii="Times New Roman" w:hAnsi="Times New Roman"/>
          <w:lang w:eastAsia="en-US"/>
        </w:rPr>
        <w:t xml:space="preserve"> </w:t>
      </w:r>
      <w:r w:rsidRPr="00645878">
        <w:rPr>
          <w:rFonts w:ascii="Times New Roman" w:hAnsi="Times New Roman"/>
          <w:lang w:eastAsia="en-US"/>
        </w:rPr>
        <w:t>is</w:t>
      </w:r>
      <w:r w:rsidR="00900061" w:rsidRPr="00645878">
        <w:rPr>
          <w:rFonts w:ascii="Times New Roman" w:hAnsi="Times New Roman"/>
          <w:lang w:eastAsia="en-US"/>
        </w:rPr>
        <w:t xml:space="preserve"> </w:t>
      </w:r>
      <w:r w:rsidRPr="00645878">
        <w:rPr>
          <w:rFonts w:ascii="Times New Roman" w:hAnsi="Times New Roman"/>
          <w:lang w:eastAsia="en-US"/>
        </w:rPr>
        <w:t>reasonable</w:t>
      </w:r>
      <w:r w:rsidR="00900061" w:rsidRPr="00645878">
        <w:rPr>
          <w:rFonts w:ascii="Times New Roman" w:hAnsi="Times New Roman"/>
          <w:lang w:eastAsia="en-US"/>
        </w:rPr>
        <w:t xml:space="preserve"> </w:t>
      </w:r>
      <w:r w:rsidRPr="00645878">
        <w:rPr>
          <w:rFonts w:ascii="Times New Roman" w:hAnsi="Times New Roman"/>
          <w:lang w:eastAsia="en-US"/>
        </w:rPr>
        <w:t>assurance</w:t>
      </w:r>
      <w:r w:rsidR="00900061" w:rsidRPr="00645878">
        <w:rPr>
          <w:rFonts w:ascii="Times New Roman" w:hAnsi="Times New Roman"/>
          <w:lang w:eastAsia="en-US"/>
        </w:rPr>
        <w:t xml:space="preserve"> </w:t>
      </w:r>
      <w:r w:rsidRPr="00645878">
        <w:rPr>
          <w:rFonts w:ascii="Times New Roman" w:hAnsi="Times New Roman"/>
          <w:lang w:eastAsia="en-US"/>
        </w:rPr>
        <w:t>that</w:t>
      </w:r>
      <w:r w:rsidR="00900061" w:rsidRPr="00645878">
        <w:rPr>
          <w:rFonts w:ascii="Times New Roman" w:hAnsi="Times New Roman"/>
          <w:lang w:eastAsia="en-US"/>
        </w:rPr>
        <w:t xml:space="preserve"> </w:t>
      </w:r>
      <w:r w:rsidRPr="00645878">
        <w:rPr>
          <w:rFonts w:ascii="Times New Roman" w:hAnsi="Times New Roman"/>
          <w:lang w:eastAsia="en-US"/>
        </w:rPr>
        <w:t>Serbia’s</w:t>
      </w:r>
      <w:r w:rsidR="00900061" w:rsidRPr="00645878">
        <w:rPr>
          <w:rFonts w:ascii="Times New Roman" w:hAnsi="Times New Roman"/>
          <w:lang w:eastAsia="en-US"/>
        </w:rPr>
        <w:t xml:space="preserve"> </w:t>
      </w:r>
      <w:r w:rsidR="00814F62" w:rsidRPr="00645878">
        <w:rPr>
          <w:rFonts w:ascii="Times New Roman" w:hAnsi="Times New Roman"/>
          <w:lang w:eastAsia="en-US"/>
        </w:rPr>
        <w:t>FM</w:t>
      </w:r>
      <w:r w:rsidR="00900061" w:rsidRPr="00645878">
        <w:rPr>
          <w:rFonts w:ascii="Times New Roman" w:hAnsi="Times New Roman"/>
          <w:lang w:eastAsia="en-US"/>
        </w:rPr>
        <w:t xml:space="preserve"> </w:t>
      </w:r>
      <w:r w:rsidRPr="00645878">
        <w:rPr>
          <w:rFonts w:ascii="Times New Roman" w:hAnsi="Times New Roman"/>
          <w:lang w:eastAsia="en-US"/>
        </w:rPr>
        <w:t>systems</w:t>
      </w:r>
      <w:r w:rsidR="00900061" w:rsidRPr="00645878">
        <w:rPr>
          <w:rFonts w:ascii="Times New Roman" w:hAnsi="Times New Roman"/>
          <w:lang w:eastAsia="en-US"/>
        </w:rPr>
        <w:t xml:space="preserve"> </w:t>
      </w:r>
      <w:r w:rsidRPr="00645878">
        <w:rPr>
          <w:rFonts w:ascii="Times New Roman" w:hAnsi="Times New Roman"/>
          <w:lang w:eastAsia="en-US"/>
        </w:rPr>
        <w:t>for</w:t>
      </w:r>
      <w:r w:rsidR="00900061" w:rsidRPr="00645878">
        <w:rPr>
          <w:rFonts w:ascii="Times New Roman" w:hAnsi="Times New Roman"/>
          <w:lang w:eastAsia="en-US"/>
        </w:rPr>
        <w:t xml:space="preserve"> </w:t>
      </w:r>
      <w:r w:rsidRPr="00645878">
        <w:rPr>
          <w:rFonts w:ascii="Times New Roman" w:hAnsi="Times New Roman"/>
          <w:lang w:eastAsia="en-US"/>
        </w:rPr>
        <w:t>the</w:t>
      </w:r>
      <w:r w:rsidR="00900061" w:rsidRPr="00645878">
        <w:rPr>
          <w:rFonts w:ascii="Times New Roman" w:hAnsi="Times New Roman"/>
          <w:lang w:eastAsia="en-US"/>
        </w:rPr>
        <w:t xml:space="preserve"> </w:t>
      </w:r>
      <w:r w:rsidRPr="00645878">
        <w:rPr>
          <w:rFonts w:ascii="Times New Roman" w:hAnsi="Times New Roman"/>
          <w:lang w:eastAsia="en-US"/>
        </w:rPr>
        <w:t>Program</w:t>
      </w:r>
      <w:r w:rsidR="00900061" w:rsidRPr="00645878">
        <w:rPr>
          <w:rFonts w:ascii="Times New Roman" w:hAnsi="Times New Roman"/>
          <w:lang w:eastAsia="en-US"/>
        </w:rPr>
        <w:t xml:space="preserve"> </w:t>
      </w:r>
      <w:r w:rsidRPr="00645878">
        <w:rPr>
          <w:rFonts w:ascii="Times New Roman" w:hAnsi="Times New Roman"/>
          <w:lang w:eastAsia="en-US"/>
        </w:rPr>
        <w:t>(planning,</w:t>
      </w:r>
      <w:r w:rsidR="00900061" w:rsidRPr="00645878">
        <w:rPr>
          <w:rFonts w:ascii="Times New Roman" w:hAnsi="Times New Roman"/>
          <w:lang w:eastAsia="en-US"/>
        </w:rPr>
        <w:t xml:space="preserve"> </w:t>
      </w:r>
      <w:r w:rsidRPr="00645878">
        <w:rPr>
          <w:rFonts w:ascii="Times New Roman" w:hAnsi="Times New Roman"/>
          <w:lang w:eastAsia="en-US"/>
        </w:rPr>
        <w:t>budgeting,</w:t>
      </w:r>
      <w:r w:rsidR="00900061" w:rsidRPr="00645878">
        <w:rPr>
          <w:rFonts w:ascii="Times New Roman" w:hAnsi="Times New Roman"/>
          <w:lang w:eastAsia="en-US"/>
        </w:rPr>
        <w:t xml:space="preserve"> </w:t>
      </w:r>
      <w:r w:rsidRPr="00645878">
        <w:rPr>
          <w:rFonts w:ascii="Times New Roman" w:hAnsi="Times New Roman"/>
          <w:lang w:eastAsia="en-US"/>
        </w:rPr>
        <w:t>accounting,</w:t>
      </w:r>
      <w:r w:rsidR="00900061" w:rsidRPr="00645878">
        <w:rPr>
          <w:rFonts w:ascii="Times New Roman" w:hAnsi="Times New Roman"/>
          <w:lang w:eastAsia="en-US"/>
        </w:rPr>
        <w:t xml:space="preserve"> </w:t>
      </w:r>
      <w:r w:rsidRPr="00645878">
        <w:rPr>
          <w:rFonts w:ascii="Times New Roman" w:hAnsi="Times New Roman"/>
          <w:lang w:eastAsia="en-US"/>
        </w:rPr>
        <w:t>internal</w:t>
      </w:r>
      <w:r w:rsidR="00900061" w:rsidRPr="00645878">
        <w:rPr>
          <w:rFonts w:ascii="Times New Roman" w:hAnsi="Times New Roman"/>
          <w:lang w:eastAsia="en-US"/>
        </w:rPr>
        <w:t xml:space="preserve"> </w:t>
      </w:r>
      <w:r w:rsidRPr="00645878">
        <w:rPr>
          <w:rFonts w:ascii="Times New Roman" w:hAnsi="Times New Roman"/>
          <w:lang w:eastAsia="en-US"/>
        </w:rPr>
        <w:t>controls,</w:t>
      </w:r>
      <w:r w:rsidR="00900061" w:rsidRPr="00645878">
        <w:rPr>
          <w:rFonts w:ascii="Times New Roman" w:hAnsi="Times New Roman"/>
          <w:lang w:eastAsia="en-US"/>
        </w:rPr>
        <w:t xml:space="preserve"> </w:t>
      </w:r>
      <w:r w:rsidRPr="00645878">
        <w:rPr>
          <w:rFonts w:ascii="Times New Roman" w:hAnsi="Times New Roman"/>
          <w:lang w:eastAsia="en-US"/>
        </w:rPr>
        <w:t>funds</w:t>
      </w:r>
      <w:r w:rsidR="00900061" w:rsidRPr="00645878">
        <w:rPr>
          <w:rFonts w:ascii="Times New Roman" w:hAnsi="Times New Roman"/>
          <w:lang w:eastAsia="en-US"/>
        </w:rPr>
        <w:t xml:space="preserve"> </w:t>
      </w:r>
      <w:r w:rsidRPr="00645878">
        <w:rPr>
          <w:rFonts w:ascii="Times New Roman" w:hAnsi="Times New Roman"/>
          <w:lang w:eastAsia="en-US"/>
        </w:rPr>
        <w:t>flow,</w:t>
      </w:r>
      <w:r w:rsidR="00900061" w:rsidRPr="00645878">
        <w:rPr>
          <w:rFonts w:ascii="Times New Roman" w:hAnsi="Times New Roman"/>
          <w:lang w:eastAsia="en-US"/>
        </w:rPr>
        <w:t xml:space="preserve"> </w:t>
      </w:r>
      <w:r w:rsidRPr="00645878">
        <w:rPr>
          <w:rFonts w:ascii="Times New Roman" w:hAnsi="Times New Roman"/>
          <w:lang w:eastAsia="en-US"/>
        </w:rPr>
        <w:t>financial</w:t>
      </w:r>
      <w:r w:rsidR="00900061" w:rsidRPr="00645878">
        <w:rPr>
          <w:rFonts w:ascii="Times New Roman" w:hAnsi="Times New Roman"/>
          <w:lang w:eastAsia="en-US"/>
        </w:rPr>
        <w:t xml:space="preserve"> </w:t>
      </w:r>
      <w:r w:rsidRPr="00645878">
        <w:rPr>
          <w:rFonts w:ascii="Times New Roman" w:hAnsi="Times New Roman"/>
          <w:lang w:eastAsia="en-US"/>
        </w:rPr>
        <w:t>reporting</w:t>
      </w:r>
      <w:r w:rsidR="005C6E07" w:rsidRPr="00645878">
        <w:rPr>
          <w:rFonts w:ascii="Times New Roman" w:hAnsi="Times New Roman"/>
          <w:lang w:eastAsia="en-US"/>
        </w:rPr>
        <w:t>,</w:t>
      </w:r>
      <w:r w:rsidR="00900061" w:rsidRPr="00645878">
        <w:rPr>
          <w:rFonts w:ascii="Times New Roman" w:hAnsi="Times New Roman"/>
          <w:lang w:eastAsia="en-US"/>
        </w:rPr>
        <w:t xml:space="preserve"> </w:t>
      </w:r>
      <w:r w:rsidRPr="00645878">
        <w:rPr>
          <w:rFonts w:ascii="Times New Roman" w:hAnsi="Times New Roman"/>
          <w:lang w:eastAsia="en-US"/>
        </w:rPr>
        <w:t>and</w:t>
      </w:r>
      <w:r w:rsidR="00900061" w:rsidRPr="00645878">
        <w:rPr>
          <w:rFonts w:ascii="Times New Roman" w:hAnsi="Times New Roman"/>
          <w:lang w:eastAsia="en-US"/>
        </w:rPr>
        <w:t xml:space="preserve"> </w:t>
      </w:r>
      <w:r w:rsidRPr="00645878">
        <w:rPr>
          <w:rFonts w:ascii="Times New Roman" w:hAnsi="Times New Roman"/>
          <w:lang w:eastAsia="en-US"/>
        </w:rPr>
        <w:t>auditing</w:t>
      </w:r>
      <w:r w:rsidR="00900061" w:rsidRPr="00645878">
        <w:rPr>
          <w:rFonts w:ascii="Times New Roman" w:hAnsi="Times New Roman"/>
          <w:lang w:eastAsia="en-US"/>
        </w:rPr>
        <w:t xml:space="preserve"> </w:t>
      </w:r>
      <w:r w:rsidRPr="00645878">
        <w:rPr>
          <w:rFonts w:ascii="Times New Roman" w:hAnsi="Times New Roman"/>
          <w:lang w:eastAsia="en-US"/>
        </w:rPr>
        <w:t>arrangements)</w:t>
      </w:r>
      <w:r w:rsidR="00900061" w:rsidRPr="00645878">
        <w:rPr>
          <w:rFonts w:ascii="Times New Roman" w:hAnsi="Times New Roman"/>
          <w:lang w:eastAsia="en-US"/>
        </w:rPr>
        <w:t xml:space="preserve"> </w:t>
      </w:r>
      <w:r w:rsidRPr="00645878">
        <w:rPr>
          <w:rFonts w:ascii="Times New Roman" w:hAnsi="Times New Roman"/>
          <w:lang w:eastAsia="en-US"/>
        </w:rPr>
        <w:t>and</w:t>
      </w:r>
      <w:r w:rsidR="00900061" w:rsidRPr="00645878">
        <w:rPr>
          <w:rFonts w:ascii="Times New Roman" w:hAnsi="Times New Roman"/>
          <w:lang w:eastAsia="en-US"/>
        </w:rPr>
        <w:t xml:space="preserve"> </w:t>
      </w:r>
      <w:r w:rsidRPr="00645878">
        <w:rPr>
          <w:rFonts w:ascii="Times New Roman" w:hAnsi="Times New Roman"/>
          <w:lang w:eastAsia="en-US"/>
        </w:rPr>
        <w:t>procurement</w:t>
      </w:r>
      <w:r w:rsidR="00900061" w:rsidRPr="00645878">
        <w:rPr>
          <w:rFonts w:ascii="Times New Roman" w:hAnsi="Times New Roman"/>
          <w:lang w:eastAsia="en-US"/>
        </w:rPr>
        <w:t xml:space="preserve"> </w:t>
      </w:r>
      <w:r w:rsidRPr="00645878">
        <w:rPr>
          <w:rFonts w:ascii="Times New Roman" w:hAnsi="Times New Roman"/>
          <w:lang w:eastAsia="en-US"/>
        </w:rPr>
        <w:t>will</w:t>
      </w:r>
      <w:r w:rsidR="00900061" w:rsidRPr="00645878">
        <w:rPr>
          <w:rFonts w:ascii="Times New Roman" w:hAnsi="Times New Roman"/>
          <w:lang w:eastAsia="en-US"/>
        </w:rPr>
        <w:t xml:space="preserve"> </w:t>
      </w:r>
      <w:r w:rsidRPr="00645878">
        <w:rPr>
          <w:rFonts w:ascii="Times New Roman" w:hAnsi="Times New Roman"/>
          <w:lang w:eastAsia="en-US"/>
        </w:rPr>
        <w:t>ensure</w:t>
      </w:r>
      <w:r w:rsidR="00900061" w:rsidRPr="00645878">
        <w:rPr>
          <w:rFonts w:ascii="Times New Roman" w:hAnsi="Times New Roman"/>
          <w:lang w:eastAsia="en-US"/>
        </w:rPr>
        <w:t xml:space="preserve"> </w:t>
      </w:r>
      <w:r w:rsidRPr="00645878">
        <w:rPr>
          <w:rFonts w:ascii="Times New Roman" w:hAnsi="Times New Roman"/>
          <w:lang w:eastAsia="en-US"/>
        </w:rPr>
        <w:t>appropriate</w:t>
      </w:r>
      <w:r w:rsidR="00900061" w:rsidRPr="00645878">
        <w:rPr>
          <w:rFonts w:ascii="Times New Roman" w:hAnsi="Times New Roman"/>
          <w:lang w:eastAsia="en-US"/>
        </w:rPr>
        <w:t xml:space="preserve"> </w:t>
      </w:r>
      <w:r w:rsidRPr="00645878">
        <w:rPr>
          <w:rFonts w:ascii="Times New Roman" w:hAnsi="Times New Roman"/>
          <w:lang w:eastAsia="en-US"/>
        </w:rPr>
        <w:t>use</w:t>
      </w:r>
      <w:r w:rsidR="00900061" w:rsidRPr="00645878">
        <w:rPr>
          <w:rFonts w:ascii="Times New Roman" w:hAnsi="Times New Roman"/>
          <w:lang w:eastAsia="en-US"/>
        </w:rPr>
        <w:t xml:space="preserve"> </w:t>
      </w:r>
      <w:r w:rsidRPr="00645878">
        <w:rPr>
          <w:rFonts w:ascii="Times New Roman" w:hAnsi="Times New Roman"/>
          <w:lang w:eastAsia="en-US"/>
        </w:rPr>
        <w:t>of</w:t>
      </w:r>
      <w:r w:rsidR="00900061" w:rsidRPr="00645878">
        <w:rPr>
          <w:rFonts w:ascii="Times New Roman" w:hAnsi="Times New Roman"/>
          <w:lang w:eastAsia="en-US"/>
        </w:rPr>
        <w:t xml:space="preserve"> </w:t>
      </w:r>
      <w:r w:rsidRPr="00645878">
        <w:rPr>
          <w:rFonts w:ascii="Times New Roman" w:hAnsi="Times New Roman"/>
          <w:lang w:eastAsia="en-US"/>
        </w:rPr>
        <w:t>Program</w:t>
      </w:r>
      <w:r w:rsidR="00900061" w:rsidRPr="00645878">
        <w:rPr>
          <w:rFonts w:ascii="Times New Roman" w:hAnsi="Times New Roman"/>
          <w:lang w:eastAsia="en-US"/>
        </w:rPr>
        <w:t xml:space="preserve"> </w:t>
      </w:r>
      <w:r w:rsidRPr="00645878">
        <w:rPr>
          <w:rFonts w:ascii="Times New Roman" w:hAnsi="Times New Roman"/>
          <w:lang w:eastAsia="en-US"/>
        </w:rPr>
        <w:t>funds</w:t>
      </w:r>
      <w:r w:rsidR="00900061" w:rsidRPr="00645878">
        <w:rPr>
          <w:rFonts w:ascii="Times New Roman" w:hAnsi="Times New Roman"/>
          <w:lang w:eastAsia="en-US"/>
        </w:rPr>
        <w:t xml:space="preserve"> </w:t>
      </w:r>
      <w:r w:rsidRPr="00645878">
        <w:rPr>
          <w:rFonts w:ascii="Times New Roman" w:hAnsi="Times New Roman"/>
          <w:lang w:eastAsia="en-US"/>
        </w:rPr>
        <w:t>and</w:t>
      </w:r>
      <w:r w:rsidR="00900061" w:rsidRPr="00645878">
        <w:rPr>
          <w:rFonts w:ascii="Times New Roman" w:hAnsi="Times New Roman"/>
          <w:lang w:eastAsia="en-US"/>
        </w:rPr>
        <w:t xml:space="preserve"> </w:t>
      </w:r>
      <w:r w:rsidRPr="00645878">
        <w:rPr>
          <w:rFonts w:ascii="Times New Roman" w:hAnsi="Times New Roman"/>
          <w:lang w:eastAsia="en-US"/>
        </w:rPr>
        <w:t>will</w:t>
      </w:r>
      <w:r w:rsidR="00900061" w:rsidRPr="00645878">
        <w:rPr>
          <w:rFonts w:ascii="Times New Roman" w:hAnsi="Times New Roman"/>
          <w:lang w:eastAsia="en-US"/>
        </w:rPr>
        <w:t xml:space="preserve"> </w:t>
      </w:r>
      <w:r w:rsidRPr="00645878">
        <w:rPr>
          <w:rFonts w:ascii="Times New Roman" w:hAnsi="Times New Roman"/>
          <w:lang w:eastAsia="en-US"/>
        </w:rPr>
        <w:t>safeguard</w:t>
      </w:r>
      <w:r w:rsidR="00900061" w:rsidRPr="00645878">
        <w:rPr>
          <w:rFonts w:ascii="Times New Roman" w:hAnsi="Times New Roman"/>
          <w:lang w:eastAsia="en-US"/>
        </w:rPr>
        <w:t xml:space="preserve"> </w:t>
      </w:r>
      <w:r w:rsidRPr="00645878">
        <w:rPr>
          <w:rFonts w:ascii="Times New Roman" w:hAnsi="Times New Roman"/>
          <w:lang w:eastAsia="en-US"/>
        </w:rPr>
        <w:t>Program</w:t>
      </w:r>
      <w:r w:rsidR="00900061" w:rsidRPr="00645878">
        <w:rPr>
          <w:rFonts w:ascii="Times New Roman" w:hAnsi="Times New Roman"/>
          <w:lang w:eastAsia="en-US"/>
        </w:rPr>
        <w:t xml:space="preserve"> </w:t>
      </w:r>
      <w:r w:rsidRPr="00645878">
        <w:rPr>
          <w:rFonts w:ascii="Times New Roman" w:hAnsi="Times New Roman"/>
          <w:lang w:eastAsia="en-US"/>
        </w:rPr>
        <w:t>assets.</w:t>
      </w:r>
      <w:r w:rsidR="00900061" w:rsidRPr="00645878">
        <w:rPr>
          <w:rFonts w:ascii="Times New Roman" w:hAnsi="Times New Roman"/>
          <w:lang w:eastAsia="en-US"/>
        </w:rPr>
        <w:t xml:space="preserve"> </w:t>
      </w:r>
      <w:r w:rsidRPr="00645878">
        <w:rPr>
          <w:rFonts w:ascii="Times New Roman" w:hAnsi="Times New Roman"/>
          <w:lang w:eastAsia="en-US"/>
        </w:rPr>
        <w:t>This</w:t>
      </w:r>
      <w:r w:rsidR="00900061" w:rsidRPr="00645878">
        <w:rPr>
          <w:rFonts w:ascii="Times New Roman" w:hAnsi="Times New Roman"/>
          <w:lang w:eastAsia="en-US"/>
        </w:rPr>
        <w:t xml:space="preserve"> </w:t>
      </w:r>
      <w:r w:rsidRPr="00645878">
        <w:rPr>
          <w:rFonts w:ascii="Times New Roman" w:hAnsi="Times New Roman"/>
          <w:lang w:eastAsia="en-US"/>
        </w:rPr>
        <w:t>note</w:t>
      </w:r>
      <w:r w:rsidR="00900061" w:rsidRPr="00645878">
        <w:rPr>
          <w:rFonts w:ascii="Times New Roman" w:hAnsi="Times New Roman"/>
          <w:lang w:eastAsia="en-US"/>
        </w:rPr>
        <w:t xml:space="preserve"> </w:t>
      </w:r>
      <w:r w:rsidRPr="00645878">
        <w:rPr>
          <w:rFonts w:ascii="Times New Roman" w:hAnsi="Times New Roman"/>
          <w:lang w:eastAsia="en-US"/>
        </w:rPr>
        <w:t>is</w:t>
      </w:r>
      <w:r w:rsidR="00900061" w:rsidRPr="00645878">
        <w:rPr>
          <w:rFonts w:ascii="Times New Roman" w:hAnsi="Times New Roman"/>
          <w:lang w:eastAsia="en-US"/>
        </w:rPr>
        <w:t xml:space="preserve"> </w:t>
      </w:r>
      <w:r w:rsidRPr="00645878">
        <w:rPr>
          <w:rFonts w:ascii="Times New Roman" w:hAnsi="Times New Roman"/>
          <w:lang w:eastAsia="en-US"/>
        </w:rPr>
        <w:t>divided</w:t>
      </w:r>
      <w:r w:rsidR="00900061" w:rsidRPr="00645878">
        <w:rPr>
          <w:rFonts w:ascii="Times New Roman" w:hAnsi="Times New Roman"/>
          <w:lang w:eastAsia="en-US"/>
        </w:rPr>
        <w:t xml:space="preserve"> </w:t>
      </w:r>
      <w:r w:rsidRPr="00645878">
        <w:rPr>
          <w:rFonts w:ascii="Times New Roman" w:hAnsi="Times New Roman"/>
          <w:lang w:eastAsia="en-US"/>
        </w:rPr>
        <w:t>as</w:t>
      </w:r>
      <w:r w:rsidR="00900061" w:rsidRPr="00645878">
        <w:rPr>
          <w:rFonts w:ascii="Times New Roman" w:hAnsi="Times New Roman"/>
          <w:lang w:eastAsia="en-US"/>
        </w:rPr>
        <w:t xml:space="preserve"> </w:t>
      </w:r>
      <w:r w:rsidRPr="00645878">
        <w:rPr>
          <w:rFonts w:ascii="Times New Roman" w:hAnsi="Times New Roman"/>
          <w:lang w:eastAsia="en-US"/>
        </w:rPr>
        <w:t>follows.</w:t>
      </w:r>
      <w:r w:rsidR="00900061" w:rsidRPr="00645878">
        <w:rPr>
          <w:rFonts w:ascii="Times New Roman" w:hAnsi="Times New Roman"/>
          <w:lang w:eastAsia="en-US"/>
        </w:rPr>
        <w:t xml:space="preserve"> </w:t>
      </w:r>
      <w:r w:rsidRPr="00645878">
        <w:rPr>
          <w:rFonts w:ascii="Times New Roman" w:hAnsi="Times New Roman"/>
          <w:lang w:eastAsia="en-US"/>
        </w:rPr>
        <w:t>Part</w:t>
      </w:r>
      <w:r w:rsidR="00900061" w:rsidRPr="00645878">
        <w:rPr>
          <w:rFonts w:ascii="Times New Roman" w:hAnsi="Times New Roman"/>
          <w:lang w:eastAsia="en-US"/>
        </w:rPr>
        <w:t xml:space="preserve"> </w:t>
      </w:r>
      <w:r w:rsidRPr="00645878">
        <w:rPr>
          <w:rFonts w:ascii="Times New Roman" w:hAnsi="Times New Roman"/>
          <w:lang w:eastAsia="en-US"/>
        </w:rPr>
        <w:t>one</w:t>
      </w:r>
      <w:r w:rsidR="00900061" w:rsidRPr="00645878">
        <w:rPr>
          <w:rFonts w:ascii="Times New Roman" w:hAnsi="Times New Roman"/>
          <w:lang w:eastAsia="en-US"/>
        </w:rPr>
        <w:t xml:space="preserve"> </w:t>
      </w:r>
      <w:r w:rsidRPr="00645878">
        <w:rPr>
          <w:rFonts w:ascii="Times New Roman" w:hAnsi="Times New Roman"/>
          <w:lang w:eastAsia="en-US"/>
        </w:rPr>
        <w:t>of</w:t>
      </w:r>
      <w:r w:rsidR="00900061" w:rsidRPr="00645878">
        <w:rPr>
          <w:rFonts w:ascii="Times New Roman" w:hAnsi="Times New Roman"/>
          <w:lang w:eastAsia="en-US"/>
        </w:rPr>
        <w:t xml:space="preserve"> </w:t>
      </w:r>
      <w:r w:rsidRPr="00645878">
        <w:rPr>
          <w:rFonts w:ascii="Times New Roman" w:hAnsi="Times New Roman"/>
          <w:lang w:eastAsia="en-US"/>
        </w:rPr>
        <w:t>this</w:t>
      </w:r>
      <w:r w:rsidR="00900061" w:rsidRPr="00645878">
        <w:rPr>
          <w:rFonts w:ascii="Times New Roman" w:hAnsi="Times New Roman"/>
          <w:lang w:eastAsia="en-US"/>
        </w:rPr>
        <w:t xml:space="preserve"> </w:t>
      </w:r>
      <w:r w:rsidRPr="00645878">
        <w:rPr>
          <w:rFonts w:ascii="Times New Roman" w:hAnsi="Times New Roman"/>
          <w:lang w:eastAsia="en-US"/>
        </w:rPr>
        <w:t>assessment</w:t>
      </w:r>
      <w:r w:rsidR="00900061" w:rsidRPr="00645878">
        <w:rPr>
          <w:rFonts w:ascii="Times New Roman" w:hAnsi="Times New Roman"/>
          <w:lang w:eastAsia="en-US"/>
        </w:rPr>
        <w:t xml:space="preserve"> </w:t>
      </w:r>
      <w:r w:rsidRPr="00645878">
        <w:rPr>
          <w:rFonts w:ascii="Times New Roman" w:hAnsi="Times New Roman"/>
          <w:lang w:eastAsia="en-US"/>
        </w:rPr>
        <w:t>cover</w:t>
      </w:r>
      <w:r w:rsidR="005C6E07" w:rsidRPr="00645878">
        <w:rPr>
          <w:rFonts w:ascii="Times New Roman" w:hAnsi="Times New Roman"/>
          <w:lang w:eastAsia="en-US"/>
        </w:rPr>
        <w:t>s</w:t>
      </w:r>
      <w:r w:rsidR="00900061" w:rsidRPr="00645878">
        <w:rPr>
          <w:rFonts w:ascii="Times New Roman" w:hAnsi="Times New Roman"/>
          <w:lang w:eastAsia="en-US"/>
        </w:rPr>
        <w:t xml:space="preserve"> </w:t>
      </w:r>
      <w:r w:rsidR="00814F62" w:rsidRPr="00645878">
        <w:rPr>
          <w:rFonts w:ascii="Times New Roman" w:hAnsi="Times New Roman"/>
          <w:lang w:eastAsia="en-US"/>
        </w:rPr>
        <w:t>FM</w:t>
      </w:r>
      <w:r w:rsidR="00900061" w:rsidRPr="00645878">
        <w:rPr>
          <w:rFonts w:ascii="Times New Roman" w:hAnsi="Times New Roman"/>
          <w:lang w:eastAsia="en-US"/>
        </w:rPr>
        <w:t xml:space="preserve"> </w:t>
      </w:r>
      <w:r w:rsidRPr="00645878">
        <w:rPr>
          <w:rFonts w:ascii="Times New Roman" w:hAnsi="Times New Roman"/>
          <w:lang w:eastAsia="en-US"/>
        </w:rPr>
        <w:t>arrangement</w:t>
      </w:r>
      <w:r w:rsidR="00897FFC" w:rsidRPr="00645878">
        <w:rPr>
          <w:rFonts w:ascii="Times New Roman" w:hAnsi="Times New Roman"/>
          <w:lang w:eastAsia="en-US"/>
        </w:rPr>
        <w:t>s</w:t>
      </w:r>
      <w:r w:rsidRPr="00645878">
        <w:rPr>
          <w:rFonts w:ascii="Times New Roman" w:hAnsi="Times New Roman"/>
          <w:lang w:eastAsia="en-US"/>
        </w:rPr>
        <w:t>;</w:t>
      </w:r>
      <w:r w:rsidR="00900061" w:rsidRPr="00645878">
        <w:rPr>
          <w:rFonts w:ascii="Times New Roman" w:hAnsi="Times New Roman"/>
          <w:lang w:eastAsia="en-US"/>
        </w:rPr>
        <w:t xml:space="preserve"> </w:t>
      </w:r>
      <w:r w:rsidRPr="00645878">
        <w:rPr>
          <w:rFonts w:ascii="Times New Roman" w:hAnsi="Times New Roman"/>
          <w:lang w:eastAsia="en-US"/>
        </w:rPr>
        <w:t>part</w:t>
      </w:r>
      <w:r w:rsidR="00900061" w:rsidRPr="00645878">
        <w:rPr>
          <w:rFonts w:ascii="Times New Roman" w:hAnsi="Times New Roman"/>
          <w:lang w:eastAsia="en-US"/>
        </w:rPr>
        <w:t xml:space="preserve"> </w:t>
      </w:r>
      <w:r w:rsidRPr="00645878">
        <w:rPr>
          <w:rFonts w:ascii="Times New Roman" w:hAnsi="Times New Roman"/>
          <w:lang w:eastAsia="en-US"/>
        </w:rPr>
        <w:t>two</w:t>
      </w:r>
      <w:r w:rsidR="00900061" w:rsidRPr="00645878">
        <w:rPr>
          <w:rFonts w:ascii="Times New Roman" w:hAnsi="Times New Roman"/>
          <w:lang w:eastAsia="en-US"/>
        </w:rPr>
        <w:t xml:space="preserve"> </w:t>
      </w:r>
      <w:r w:rsidRPr="00645878">
        <w:rPr>
          <w:rFonts w:ascii="Times New Roman" w:hAnsi="Times New Roman"/>
          <w:lang w:eastAsia="en-US"/>
        </w:rPr>
        <w:t>covers</w:t>
      </w:r>
      <w:r w:rsidR="00900061" w:rsidRPr="00645878">
        <w:rPr>
          <w:rFonts w:ascii="Times New Roman" w:hAnsi="Times New Roman"/>
          <w:lang w:eastAsia="en-US"/>
        </w:rPr>
        <w:t xml:space="preserve"> </w:t>
      </w:r>
      <w:r w:rsidRPr="00645878">
        <w:rPr>
          <w:rFonts w:ascii="Times New Roman" w:hAnsi="Times New Roman"/>
          <w:lang w:eastAsia="en-US"/>
        </w:rPr>
        <w:t>procurement</w:t>
      </w:r>
      <w:r w:rsidR="00900061" w:rsidRPr="00645878">
        <w:rPr>
          <w:rFonts w:ascii="Times New Roman" w:hAnsi="Times New Roman"/>
          <w:lang w:eastAsia="en-US"/>
        </w:rPr>
        <w:t xml:space="preserve"> </w:t>
      </w:r>
      <w:r w:rsidRPr="00645878">
        <w:rPr>
          <w:rFonts w:ascii="Times New Roman" w:hAnsi="Times New Roman"/>
          <w:lang w:eastAsia="en-US"/>
        </w:rPr>
        <w:t>arrangement</w:t>
      </w:r>
      <w:r w:rsidR="005C6E07" w:rsidRPr="00645878">
        <w:rPr>
          <w:rFonts w:ascii="Times New Roman" w:hAnsi="Times New Roman"/>
          <w:lang w:eastAsia="en-US"/>
        </w:rPr>
        <w:t>;</w:t>
      </w:r>
      <w:r w:rsidR="00900061" w:rsidRPr="00645878">
        <w:rPr>
          <w:rFonts w:ascii="Times New Roman" w:hAnsi="Times New Roman"/>
          <w:lang w:eastAsia="en-US"/>
        </w:rPr>
        <w:t xml:space="preserve"> </w:t>
      </w:r>
      <w:r w:rsidRPr="00645878">
        <w:rPr>
          <w:rFonts w:ascii="Times New Roman" w:hAnsi="Times New Roman"/>
          <w:lang w:eastAsia="en-US"/>
        </w:rPr>
        <w:t>and</w:t>
      </w:r>
      <w:r w:rsidR="00900061" w:rsidRPr="00645878">
        <w:rPr>
          <w:rFonts w:ascii="Times New Roman" w:hAnsi="Times New Roman"/>
          <w:lang w:eastAsia="en-US"/>
        </w:rPr>
        <w:t xml:space="preserve"> </w:t>
      </w:r>
      <w:r w:rsidRPr="00645878">
        <w:rPr>
          <w:rFonts w:ascii="Times New Roman" w:hAnsi="Times New Roman"/>
          <w:lang w:eastAsia="en-US"/>
        </w:rPr>
        <w:t>part</w:t>
      </w:r>
      <w:r w:rsidR="00900061" w:rsidRPr="00645878">
        <w:rPr>
          <w:rFonts w:ascii="Times New Roman" w:hAnsi="Times New Roman"/>
          <w:lang w:eastAsia="en-US"/>
        </w:rPr>
        <w:t xml:space="preserve"> </w:t>
      </w:r>
      <w:r w:rsidRPr="00645878">
        <w:rPr>
          <w:rFonts w:ascii="Times New Roman" w:hAnsi="Times New Roman"/>
          <w:lang w:eastAsia="en-US"/>
        </w:rPr>
        <w:t>three</w:t>
      </w:r>
      <w:r w:rsidR="00900061" w:rsidRPr="00645878">
        <w:rPr>
          <w:rFonts w:ascii="Times New Roman" w:hAnsi="Times New Roman"/>
          <w:lang w:eastAsia="en-US"/>
        </w:rPr>
        <w:t xml:space="preserve"> </w:t>
      </w:r>
      <w:r w:rsidRPr="00645878">
        <w:rPr>
          <w:rFonts w:ascii="Times New Roman" w:hAnsi="Times New Roman"/>
          <w:lang w:eastAsia="en-US"/>
        </w:rPr>
        <w:t>covers</w:t>
      </w:r>
      <w:r w:rsidR="00900061" w:rsidRPr="00645878">
        <w:rPr>
          <w:rFonts w:ascii="Times New Roman" w:hAnsi="Times New Roman"/>
          <w:lang w:eastAsia="en-US"/>
        </w:rPr>
        <w:t xml:space="preserve"> </w:t>
      </w:r>
      <w:r w:rsidRPr="00645878">
        <w:rPr>
          <w:rFonts w:ascii="Times New Roman" w:hAnsi="Times New Roman"/>
          <w:lang w:eastAsia="en-US"/>
        </w:rPr>
        <w:t>governance</w:t>
      </w:r>
      <w:r w:rsidR="00900061" w:rsidRPr="00645878">
        <w:rPr>
          <w:rFonts w:ascii="Times New Roman" w:hAnsi="Times New Roman"/>
          <w:lang w:eastAsia="en-US"/>
        </w:rPr>
        <w:t xml:space="preserve"> </w:t>
      </w:r>
      <w:r w:rsidRPr="00645878">
        <w:rPr>
          <w:rFonts w:ascii="Times New Roman" w:hAnsi="Times New Roman"/>
          <w:lang w:eastAsia="en-US"/>
        </w:rPr>
        <w:t>and</w:t>
      </w:r>
      <w:r w:rsidR="00900061" w:rsidRPr="00645878">
        <w:rPr>
          <w:rFonts w:ascii="Times New Roman" w:hAnsi="Times New Roman"/>
          <w:lang w:eastAsia="en-US"/>
        </w:rPr>
        <w:t xml:space="preserve"> </w:t>
      </w:r>
      <w:r w:rsidRPr="00645878">
        <w:rPr>
          <w:rFonts w:ascii="Times New Roman" w:hAnsi="Times New Roman"/>
          <w:lang w:eastAsia="en-US"/>
        </w:rPr>
        <w:t>anticorruption</w:t>
      </w:r>
      <w:r w:rsidR="00900061" w:rsidRPr="00645878">
        <w:rPr>
          <w:rFonts w:ascii="Times New Roman" w:hAnsi="Times New Roman"/>
          <w:lang w:eastAsia="en-US"/>
        </w:rPr>
        <w:t xml:space="preserve"> </w:t>
      </w:r>
      <w:r w:rsidRPr="00645878">
        <w:rPr>
          <w:rFonts w:ascii="Times New Roman" w:hAnsi="Times New Roman"/>
          <w:lang w:eastAsia="en-US"/>
        </w:rPr>
        <w:t>assessment.</w:t>
      </w:r>
      <w:r w:rsidR="00900061" w:rsidRPr="00645878">
        <w:rPr>
          <w:rFonts w:ascii="Times New Roman" w:hAnsi="Times New Roman"/>
          <w:lang w:eastAsia="en-US"/>
        </w:rPr>
        <w:t xml:space="preserve"> </w:t>
      </w:r>
      <w:r w:rsidR="00247D97" w:rsidRPr="00645878">
        <w:rPr>
          <w:rFonts w:ascii="Times New Roman" w:hAnsi="Times New Roman"/>
          <w:lang w:eastAsia="en-US"/>
        </w:rPr>
        <w:t>The</w:t>
      </w:r>
      <w:r w:rsidR="00900061" w:rsidRPr="00645878">
        <w:rPr>
          <w:rFonts w:ascii="Times New Roman" w:hAnsi="Times New Roman"/>
          <w:lang w:eastAsia="en-US"/>
        </w:rPr>
        <w:t xml:space="preserve"> </w:t>
      </w:r>
      <w:r w:rsidR="00247D97" w:rsidRPr="00645878">
        <w:rPr>
          <w:rFonts w:ascii="Times New Roman" w:hAnsi="Times New Roman"/>
          <w:lang w:eastAsia="en-US"/>
        </w:rPr>
        <w:t>Program</w:t>
      </w:r>
      <w:r w:rsidR="00900061" w:rsidRPr="00645878">
        <w:rPr>
          <w:rFonts w:ascii="Times New Roman" w:hAnsi="Times New Roman"/>
          <w:lang w:eastAsia="en-US"/>
        </w:rPr>
        <w:t xml:space="preserve"> </w:t>
      </w:r>
      <w:r w:rsidR="00247D97" w:rsidRPr="00645878">
        <w:rPr>
          <w:rFonts w:ascii="Times New Roman" w:hAnsi="Times New Roman"/>
          <w:lang w:eastAsia="en-US"/>
        </w:rPr>
        <w:t>will</w:t>
      </w:r>
      <w:r w:rsidR="00900061" w:rsidRPr="00645878">
        <w:rPr>
          <w:rFonts w:ascii="Times New Roman" w:hAnsi="Times New Roman"/>
          <w:lang w:eastAsia="en-US"/>
        </w:rPr>
        <w:t xml:space="preserve"> </w:t>
      </w:r>
      <w:r w:rsidR="00247D97" w:rsidRPr="00645878">
        <w:rPr>
          <w:rFonts w:ascii="Times New Roman" w:hAnsi="Times New Roman"/>
          <w:lang w:eastAsia="en-US"/>
        </w:rPr>
        <w:t>be</w:t>
      </w:r>
      <w:r w:rsidR="00900061" w:rsidRPr="00645878">
        <w:rPr>
          <w:rFonts w:ascii="Times New Roman" w:hAnsi="Times New Roman"/>
          <w:lang w:eastAsia="en-US"/>
        </w:rPr>
        <w:t xml:space="preserve"> </w:t>
      </w:r>
      <w:r w:rsidR="00247D97" w:rsidRPr="00645878">
        <w:rPr>
          <w:rFonts w:ascii="Times New Roman" w:hAnsi="Times New Roman"/>
          <w:lang w:eastAsia="en-US"/>
        </w:rPr>
        <w:t>implemented</w:t>
      </w:r>
      <w:r w:rsidR="00900061" w:rsidRPr="00645878">
        <w:rPr>
          <w:rFonts w:ascii="Times New Roman" w:hAnsi="Times New Roman"/>
          <w:lang w:eastAsia="en-US"/>
        </w:rPr>
        <w:t xml:space="preserve"> </w:t>
      </w:r>
      <w:r w:rsidR="00247D97" w:rsidRPr="00645878">
        <w:rPr>
          <w:rFonts w:ascii="Times New Roman" w:hAnsi="Times New Roman"/>
          <w:lang w:eastAsia="en-US"/>
        </w:rPr>
        <w:t>by</w:t>
      </w:r>
      <w:r w:rsidR="00900061" w:rsidRPr="00645878">
        <w:rPr>
          <w:rFonts w:ascii="Times New Roman" w:hAnsi="Times New Roman"/>
          <w:lang w:eastAsia="en-US"/>
        </w:rPr>
        <w:t xml:space="preserve"> </w:t>
      </w:r>
      <w:r w:rsidR="00247D97" w:rsidRPr="00645878">
        <w:rPr>
          <w:rFonts w:ascii="Times New Roman" w:hAnsi="Times New Roman"/>
          <w:lang w:eastAsia="en-US"/>
        </w:rPr>
        <w:t>the</w:t>
      </w:r>
      <w:r w:rsidR="00900061" w:rsidRPr="00645878">
        <w:rPr>
          <w:rFonts w:ascii="Times New Roman" w:hAnsi="Times New Roman"/>
          <w:lang w:eastAsia="en-US"/>
        </w:rPr>
        <w:t xml:space="preserve"> </w:t>
      </w:r>
      <w:r w:rsidR="00247D97" w:rsidRPr="00645878">
        <w:rPr>
          <w:rFonts w:ascii="Times New Roman" w:hAnsi="Times New Roman"/>
          <w:lang w:eastAsia="en-US"/>
        </w:rPr>
        <w:t>Ministry</w:t>
      </w:r>
      <w:r w:rsidR="00900061" w:rsidRPr="00645878">
        <w:rPr>
          <w:rFonts w:ascii="Times New Roman" w:hAnsi="Times New Roman"/>
          <w:lang w:eastAsia="en-US"/>
        </w:rPr>
        <w:t xml:space="preserve"> </w:t>
      </w:r>
      <w:r w:rsidR="00247D97" w:rsidRPr="00645878">
        <w:rPr>
          <w:rFonts w:ascii="Times New Roman" w:hAnsi="Times New Roman"/>
          <w:lang w:eastAsia="en-US"/>
        </w:rPr>
        <w:t>of</w:t>
      </w:r>
      <w:r w:rsidR="00900061" w:rsidRPr="00645878">
        <w:rPr>
          <w:rFonts w:ascii="Times New Roman" w:hAnsi="Times New Roman"/>
          <w:lang w:eastAsia="en-US"/>
        </w:rPr>
        <w:t xml:space="preserve"> </w:t>
      </w:r>
      <w:r w:rsidR="00247D97" w:rsidRPr="00645878">
        <w:rPr>
          <w:rFonts w:ascii="Times New Roman" w:hAnsi="Times New Roman"/>
          <w:lang w:eastAsia="en-US"/>
        </w:rPr>
        <w:t>Public</w:t>
      </w:r>
      <w:r w:rsidR="00900061" w:rsidRPr="00645878">
        <w:rPr>
          <w:rFonts w:ascii="Times New Roman" w:hAnsi="Times New Roman"/>
          <w:lang w:eastAsia="en-US"/>
        </w:rPr>
        <w:t xml:space="preserve"> </w:t>
      </w:r>
      <w:r w:rsidR="00247D97" w:rsidRPr="00645878">
        <w:rPr>
          <w:rFonts w:ascii="Times New Roman" w:hAnsi="Times New Roman"/>
          <w:lang w:eastAsia="en-US"/>
        </w:rPr>
        <w:t>Administration</w:t>
      </w:r>
      <w:r w:rsidR="00900061" w:rsidRPr="00645878">
        <w:rPr>
          <w:rFonts w:ascii="Times New Roman" w:hAnsi="Times New Roman"/>
          <w:lang w:eastAsia="en-US"/>
        </w:rPr>
        <w:t xml:space="preserve"> </w:t>
      </w:r>
      <w:r w:rsidR="00247D97" w:rsidRPr="00645878">
        <w:rPr>
          <w:rFonts w:ascii="Times New Roman" w:hAnsi="Times New Roman"/>
          <w:lang w:eastAsia="en-US"/>
        </w:rPr>
        <w:t>and</w:t>
      </w:r>
      <w:r w:rsidR="00900061" w:rsidRPr="00645878">
        <w:rPr>
          <w:rFonts w:ascii="Times New Roman" w:hAnsi="Times New Roman"/>
          <w:lang w:eastAsia="en-US"/>
        </w:rPr>
        <w:t xml:space="preserve"> </w:t>
      </w:r>
      <w:r w:rsidR="00247D97" w:rsidRPr="00645878">
        <w:rPr>
          <w:rFonts w:ascii="Times New Roman" w:hAnsi="Times New Roman"/>
          <w:lang w:eastAsia="en-US"/>
        </w:rPr>
        <w:t>Local</w:t>
      </w:r>
      <w:r w:rsidR="00900061" w:rsidRPr="00645878">
        <w:rPr>
          <w:rFonts w:ascii="Times New Roman" w:hAnsi="Times New Roman"/>
          <w:lang w:eastAsia="en-US"/>
        </w:rPr>
        <w:t xml:space="preserve"> </w:t>
      </w:r>
      <w:r w:rsidR="00247D97" w:rsidRPr="00645878">
        <w:rPr>
          <w:rFonts w:ascii="Times New Roman" w:hAnsi="Times New Roman"/>
          <w:lang w:eastAsia="en-US"/>
        </w:rPr>
        <w:t>Self</w:t>
      </w:r>
      <w:r w:rsidR="00900061" w:rsidRPr="00645878">
        <w:rPr>
          <w:rFonts w:ascii="Times New Roman" w:hAnsi="Times New Roman"/>
          <w:lang w:eastAsia="en-US"/>
        </w:rPr>
        <w:t xml:space="preserve"> </w:t>
      </w:r>
      <w:r w:rsidR="00247D97" w:rsidRPr="00645878">
        <w:rPr>
          <w:rFonts w:ascii="Times New Roman" w:hAnsi="Times New Roman"/>
          <w:lang w:eastAsia="en-US"/>
        </w:rPr>
        <w:t>Governme</w:t>
      </w:r>
      <w:r w:rsidR="00EB3365" w:rsidRPr="00645878">
        <w:rPr>
          <w:rFonts w:ascii="Times New Roman" w:hAnsi="Times New Roman"/>
          <w:lang w:eastAsia="en-US"/>
        </w:rPr>
        <w:t>n</w:t>
      </w:r>
      <w:r w:rsidR="00247D97" w:rsidRPr="00645878">
        <w:rPr>
          <w:rFonts w:ascii="Times New Roman" w:hAnsi="Times New Roman"/>
          <w:lang w:eastAsia="en-US"/>
        </w:rPr>
        <w:t>t</w:t>
      </w:r>
      <w:r w:rsidR="00814F62" w:rsidRPr="00645878">
        <w:rPr>
          <w:rFonts w:ascii="Times New Roman" w:hAnsi="Times New Roman"/>
          <w:lang w:eastAsia="en-US"/>
        </w:rPr>
        <w:t xml:space="preserve"> </w:t>
      </w:r>
      <w:r w:rsidR="00247D97" w:rsidRPr="00645878">
        <w:rPr>
          <w:rFonts w:ascii="Times New Roman" w:hAnsi="Times New Roman"/>
          <w:lang w:eastAsia="en-US"/>
        </w:rPr>
        <w:t>(MPALSG);</w:t>
      </w:r>
      <w:r w:rsidR="00900061" w:rsidRPr="00645878">
        <w:rPr>
          <w:rFonts w:ascii="Times New Roman" w:hAnsi="Times New Roman"/>
          <w:lang w:eastAsia="en-US"/>
        </w:rPr>
        <w:t xml:space="preserve"> </w:t>
      </w:r>
      <w:r w:rsidR="0039105C" w:rsidRPr="00645878">
        <w:rPr>
          <w:rFonts w:ascii="Times New Roman" w:hAnsi="Times New Roman"/>
          <w:lang w:eastAsia="en-US"/>
        </w:rPr>
        <w:t xml:space="preserve">the </w:t>
      </w:r>
      <w:r w:rsidR="00247D97" w:rsidRPr="00645878">
        <w:rPr>
          <w:rFonts w:ascii="Times New Roman" w:hAnsi="Times New Roman"/>
          <w:lang w:eastAsia="en-US"/>
        </w:rPr>
        <w:t>Treasury</w:t>
      </w:r>
      <w:r w:rsidR="00A42395" w:rsidRPr="00645878">
        <w:rPr>
          <w:rFonts w:ascii="Times New Roman" w:hAnsi="Times New Roman"/>
          <w:lang w:eastAsia="en-US"/>
        </w:rPr>
        <w:t xml:space="preserve"> Administration</w:t>
      </w:r>
      <w:r w:rsidR="00900061" w:rsidRPr="00645878">
        <w:rPr>
          <w:rFonts w:ascii="Times New Roman" w:hAnsi="Times New Roman"/>
          <w:lang w:eastAsia="en-US"/>
        </w:rPr>
        <w:t xml:space="preserve"> </w:t>
      </w:r>
      <w:r w:rsidR="00247D97" w:rsidRPr="00645878">
        <w:rPr>
          <w:rFonts w:ascii="Times New Roman" w:hAnsi="Times New Roman"/>
          <w:lang w:eastAsia="en-US"/>
        </w:rPr>
        <w:t>and</w:t>
      </w:r>
      <w:r w:rsidR="00900061" w:rsidRPr="00645878">
        <w:rPr>
          <w:rFonts w:ascii="Times New Roman" w:hAnsi="Times New Roman"/>
          <w:lang w:eastAsia="en-US"/>
        </w:rPr>
        <w:t xml:space="preserve"> </w:t>
      </w:r>
      <w:r w:rsidR="00247D97" w:rsidRPr="00645878">
        <w:rPr>
          <w:rFonts w:ascii="Times New Roman" w:hAnsi="Times New Roman"/>
          <w:lang w:eastAsia="en-US"/>
        </w:rPr>
        <w:t>the</w:t>
      </w:r>
      <w:r w:rsidR="00900061" w:rsidRPr="00645878">
        <w:rPr>
          <w:rFonts w:ascii="Times New Roman" w:hAnsi="Times New Roman"/>
          <w:lang w:eastAsia="en-US"/>
        </w:rPr>
        <w:t xml:space="preserve"> </w:t>
      </w:r>
      <w:r w:rsidR="00247D97" w:rsidRPr="00645878">
        <w:rPr>
          <w:rFonts w:ascii="Times New Roman" w:hAnsi="Times New Roman"/>
          <w:lang w:eastAsia="en-US"/>
        </w:rPr>
        <w:t>Public</w:t>
      </w:r>
      <w:r w:rsidR="00900061" w:rsidRPr="00645878">
        <w:rPr>
          <w:rFonts w:ascii="Times New Roman" w:hAnsi="Times New Roman"/>
          <w:lang w:eastAsia="en-US"/>
        </w:rPr>
        <w:t xml:space="preserve"> </w:t>
      </w:r>
      <w:r w:rsidR="00247D97" w:rsidRPr="00645878">
        <w:rPr>
          <w:rFonts w:ascii="Times New Roman" w:hAnsi="Times New Roman"/>
          <w:lang w:eastAsia="en-US"/>
        </w:rPr>
        <w:t>Procurement</w:t>
      </w:r>
      <w:r w:rsidR="00900061" w:rsidRPr="00645878">
        <w:rPr>
          <w:rFonts w:ascii="Times New Roman" w:hAnsi="Times New Roman"/>
          <w:lang w:eastAsia="en-US"/>
        </w:rPr>
        <w:t xml:space="preserve"> </w:t>
      </w:r>
      <w:r w:rsidR="00247D97" w:rsidRPr="00645878">
        <w:rPr>
          <w:rFonts w:ascii="Times New Roman" w:hAnsi="Times New Roman"/>
          <w:lang w:eastAsia="en-US"/>
        </w:rPr>
        <w:t>Office</w:t>
      </w:r>
      <w:r w:rsidR="00900061" w:rsidRPr="00645878">
        <w:rPr>
          <w:rFonts w:ascii="Times New Roman" w:hAnsi="Times New Roman"/>
          <w:lang w:eastAsia="en-US"/>
        </w:rPr>
        <w:t xml:space="preserve"> </w:t>
      </w:r>
      <w:r w:rsidR="00247D97" w:rsidRPr="00645878">
        <w:rPr>
          <w:rFonts w:ascii="Times New Roman" w:hAnsi="Times New Roman"/>
          <w:lang w:eastAsia="en-US"/>
        </w:rPr>
        <w:t>(PPO)</w:t>
      </w:r>
      <w:r w:rsidR="0039105C" w:rsidRPr="00645878">
        <w:rPr>
          <w:rFonts w:ascii="Times New Roman" w:hAnsi="Times New Roman"/>
          <w:lang w:eastAsia="en-US"/>
        </w:rPr>
        <w:t>.</w:t>
      </w:r>
      <w:r w:rsidR="00900061" w:rsidRPr="00645878">
        <w:rPr>
          <w:rFonts w:ascii="Times New Roman" w:hAnsi="Times New Roman"/>
          <w:lang w:eastAsia="en-US"/>
        </w:rPr>
        <w:t xml:space="preserve"> </w:t>
      </w:r>
      <w:r w:rsidR="0039105C" w:rsidRPr="00645878">
        <w:rPr>
          <w:rFonts w:ascii="Times New Roman" w:hAnsi="Times New Roman"/>
          <w:lang w:eastAsia="en-US"/>
        </w:rPr>
        <w:t>The</w:t>
      </w:r>
      <w:r w:rsidR="00900061" w:rsidRPr="00645878">
        <w:rPr>
          <w:rFonts w:ascii="Times New Roman" w:hAnsi="Times New Roman"/>
          <w:lang w:eastAsia="en-US"/>
        </w:rPr>
        <w:t xml:space="preserve"> </w:t>
      </w:r>
      <w:r w:rsidR="009B3263" w:rsidRPr="00645878">
        <w:rPr>
          <w:rFonts w:ascii="Times New Roman" w:hAnsi="Times New Roman"/>
          <w:lang w:eastAsia="en-US"/>
        </w:rPr>
        <w:t>capacity</w:t>
      </w:r>
      <w:r w:rsidR="00900061" w:rsidRPr="00645878">
        <w:rPr>
          <w:rFonts w:ascii="Times New Roman" w:hAnsi="Times New Roman"/>
          <w:lang w:eastAsia="en-US"/>
        </w:rPr>
        <w:t xml:space="preserve"> </w:t>
      </w:r>
      <w:r w:rsidR="009B3263" w:rsidRPr="00645878">
        <w:rPr>
          <w:rFonts w:ascii="Times New Roman" w:hAnsi="Times New Roman"/>
          <w:lang w:eastAsia="en-US"/>
        </w:rPr>
        <w:t>of</w:t>
      </w:r>
      <w:r w:rsidR="00900061" w:rsidRPr="00645878">
        <w:rPr>
          <w:rFonts w:ascii="Times New Roman" w:hAnsi="Times New Roman"/>
          <w:lang w:eastAsia="en-US"/>
        </w:rPr>
        <w:t xml:space="preserve"> </w:t>
      </w:r>
      <w:r w:rsidR="009B3263" w:rsidRPr="00645878">
        <w:rPr>
          <w:rFonts w:ascii="Times New Roman" w:hAnsi="Times New Roman"/>
          <w:lang w:eastAsia="en-US"/>
        </w:rPr>
        <w:t>th</w:t>
      </w:r>
      <w:r w:rsidR="00F41CB8" w:rsidRPr="00645878">
        <w:rPr>
          <w:rFonts w:ascii="Times New Roman" w:hAnsi="Times New Roman"/>
          <w:lang w:eastAsia="en-US"/>
        </w:rPr>
        <w:t>e</w:t>
      </w:r>
      <w:r w:rsidR="009B3263" w:rsidRPr="00645878">
        <w:rPr>
          <w:rFonts w:ascii="Times New Roman" w:hAnsi="Times New Roman"/>
          <w:lang w:eastAsia="en-US"/>
        </w:rPr>
        <w:t>se</w:t>
      </w:r>
      <w:r w:rsidR="00900061" w:rsidRPr="00645878">
        <w:rPr>
          <w:rFonts w:ascii="Times New Roman" w:hAnsi="Times New Roman"/>
          <w:lang w:eastAsia="en-US"/>
        </w:rPr>
        <w:t xml:space="preserve"> </w:t>
      </w:r>
      <w:r w:rsidR="009B3263" w:rsidRPr="00645878">
        <w:rPr>
          <w:rFonts w:ascii="Times New Roman" w:hAnsi="Times New Roman"/>
          <w:lang w:eastAsia="en-US"/>
        </w:rPr>
        <w:t>entities</w:t>
      </w:r>
      <w:r w:rsidR="00900061" w:rsidRPr="00645878">
        <w:rPr>
          <w:rFonts w:ascii="Times New Roman" w:hAnsi="Times New Roman"/>
          <w:lang w:eastAsia="en-US"/>
        </w:rPr>
        <w:t xml:space="preserve"> </w:t>
      </w:r>
      <w:r w:rsidR="009B3263" w:rsidRPr="00645878">
        <w:rPr>
          <w:rFonts w:ascii="Times New Roman" w:hAnsi="Times New Roman"/>
          <w:lang w:eastAsia="en-US"/>
        </w:rPr>
        <w:t>in</w:t>
      </w:r>
      <w:r w:rsidR="00900061" w:rsidRPr="00645878">
        <w:rPr>
          <w:rFonts w:ascii="Times New Roman" w:hAnsi="Times New Roman"/>
          <w:lang w:eastAsia="en-US"/>
        </w:rPr>
        <w:t xml:space="preserve"> </w:t>
      </w:r>
      <w:r w:rsidR="00897FFC" w:rsidRPr="00645878">
        <w:rPr>
          <w:rFonts w:ascii="Times New Roman" w:hAnsi="Times New Roman"/>
          <w:lang w:eastAsia="en-US"/>
        </w:rPr>
        <w:t xml:space="preserve">the </w:t>
      </w:r>
      <w:r w:rsidR="009B3263" w:rsidRPr="00645878">
        <w:rPr>
          <w:rFonts w:ascii="Times New Roman" w:hAnsi="Times New Roman"/>
          <w:lang w:eastAsia="en-US"/>
        </w:rPr>
        <w:t>abovementioned</w:t>
      </w:r>
      <w:r w:rsidR="00900061" w:rsidRPr="00645878">
        <w:rPr>
          <w:rFonts w:ascii="Times New Roman" w:hAnsi="Times New Roman"/>
          <w:lang w:eastAsia="en-US"/>
        </w:rPr>
        <w:t xml:space="preserve"> </w:t>
      </w:r>
      <w:r w:rsidR="009B3263" w:rsidRPr="00645878">
        <w:rPr>
          <w:rFonts w:ascii="Times New Roman" w:hAnsi="Times New Roman"/>
          <w:lang w:eastAsia="en-US"/>
        </w:rPr>
        <w:t>areas</w:t>
      </w:r>
      <w:r w:rsidR="00900061" w:rsidRPr="00645878">
        <w:rPr>
          <w:rFonts w:ascii="Times New Roman" w:hAnsi="Times New Roman"/>
          <w:lang w:eastAsia="en-US"/>
        </w:rPr>
        <w:t xml:space="preserve"> </w:t>
      </w:r>
      <w:r w:rsidR="009B3263" w:rsidRPr="00645878">
        <w:rPr>
          <w:rFonts w:ascii="Times New Roman" w:hAnsi="Times New Roman"/>
          <w:lang w:eastAsia="en-US"/>
        </w:rPr>
        <w:t>was</w:t>
      </w:r>
      <w:r w:rsidR="00900061" w:rsidRPr="00645878">
        <w:rPr>
          <w:rFonts w:ascii="Times New Roman" w:hAnsi="Times New Roman"/>
          <w:lang w:eastAsia="en-US"/>
        </w:rPr>
        <w:t xml:space="preserve"> </w:t>
      </w:r>
      <w:r w:rsidR="009B3263" w:rsidRPr="00645878">
        <w:rPr>
          <w:rFonts w:ascii="Times New Roman" w:hAnsi="Times New Roman"/>
          <w:lang w:eastAsia="en-US"/>
        </w:rPr>
        <w:t>assessed</w:t>
      </w:r>
      <w:r w:rsidR="00900061" w:rsidRPr="00645878">
        <w:rPr>
          <w:rFonts w:ascii="Times New Roman" w:hAnsi="Times New Roman"/>
          <w:lang w:eastAsia="en-US"/>
        </w:rPr>
        <w:t xml:space="preserve"> </w:t>
      </w:r>
      <w:r w:rsidR="009B3263" w:rsidRPr="00645878">
        <w:rPr>
          <w:rFonts w:ascii="Times New Roman" w:hAnsi="Times New Roman"/>
          <w:lang w:eastAsia="en-US"/>
        </w:rPr>
        <w:t>particular</w:t>
      </w:r>
      <w:r w:rsidR="004D1AB0" w:rsidRPr="00645878">
        <w:rPr>
          <w:rFonts w:ascii="Times New Roman" w:hAnsi="Times New Roman"/>
          <w:lang w:eastAsia="en-US"/>
        </w:rPr>
        <w:t>ly</w:t>
      </w:r>
      <w:r w:rsidR="00900061" w:rsidRPr="00645878">
        <w:rPr>
          <w:rFonts w:ascii="Times New Roman" w:hAnsi="Times New Roman"/>
          <w:lang w:eastAsia="en-US"/>
        </w:rPr>
        <w:t xml:space="preserve"> </w:t>
      </w:r>
      <w:r w:rsidR="009B3263" w:rsidRPr="00645878">
        <w:rPr>
          <w:rFonts w:ascii="Times New Roman" w:hAnsi="Times New Roman"/>
          <w:lang w:eastAsia="en-US"/>
        </w:rPr>
        <w:t>in</w:t>
      </w:r>
      <w:r w:rsidR="00900061" w:rsidRPr="00645878">
        <w:rPr>
          <w:rFonts w:ascii="Times New Roman" w:hAnsi="Times New Roman"/>
          <w:lang w:eastAsia="en-US"/>
        </w:rPr>
        <w:t xml:space="preserve"> </w:t>
      </w:r>
      <w:r w:rsidR="009B3263" w:rsidRPr="00645878">
        <w:rPr>
          <w:rFonts w:ascii="Times New Roman" w:hAnsi="Times New Roman"/>
          <w:lang w:eastAsia="en-US"/>
        </w:rPr>
        <w:t>the</w:t>
      </w:r>
      <w:r w:rsidR="00900061" w:rsidRPr="00645878">
        <w:rPr>
          <w:rFonts w:ascii="Times New Roman" w:hAnsi="Times New Roman"/>
          <w:lang w:eastAsia="en-US"/>
        </w:rPr>
        <w:t xml:space="preserve"> </w:t>
      </w:r>
      <w:r w:rsidR="009B3263" w:rsidRPr="00645878">
        <w:rPr>
          <w:rFonts w:ascii="Times New Roman" w:hAnsi="Times New Roman"/>
          <w:lang w:eastAsia="en-US"/>
        </w:rPr>
        <w:t>scope</w:t>
      </w:r>
      <w:r w:rsidR="00900061" w:rsidRPr="00645878">
        <w:rPr>
          <w:rFonts w:ascii="Times New Roman" w:hAnsi="Times New Roman"/>
          <w:lang w:eastAsia="en-US"/>
        </w:rPr>
        <w:t xml:space="preserve"> </w:t>
      </w:r>
      <w:r w:rsidR="009B3263" w:rsidRPr="00645878">
        <w:rPr>
          <w:rFonts w:ascii="Times New Roman" w:hAnsi="Times New Roman"/>
          <w:lang w:eastAsia="en-US"/>
        </w:rPr>
        <w:t>of</w:t>
      </w:r>
      <w:r w:rsidR="00900061" w:rsidRPr="00645878">
        <w:rPr>
          <w:rFonts w:ascii="Times New Roman" w:hAnsi="Times New Roman"/>
          <w:lang w:eastAsia="en-US"/>
        </w:rPr>
        <w:t xml:space="preserve"> </w:t>
      </w:r>
      <w:r w:rsidR="00897FFC" w:rsidRPr="00645878">
        <w:rPr>
          <w:rFonts w:ascii="Times New Roman" w:hAnsi="Times New Roman"/>
          <w:lang w:eastAsia="en-US"/>
        </w:rPr>
        <w:t xml:space="preserve">a </w:t>
      </w:r>
      <w:r w:rsidR="009B3263" w:rsidRPr="00645878">
        <w:rPr>
          <w:rFonts w:ascii="Times New Roman" w:hAnsi="Times New Roman"/>
          <w:lang w:eastAsia="en-US"/>
        </w:rPr>
        <w:t>broader</w:t>
      </w:r>
      <w:r w:rsidR="00900061" w:rsidRPr="00645878">
        <w:rPr>
          <w:rFonts w:ascii="Times New Roman" w:hAnsi="Times New Roman"/>
          <w:lang w:eastAsia="en-US"/>
        </w:rPr>
        <w:t xml:space="preserve"> </w:t>
      </w:r>
      <w:r w:rsidR="009B3263" w:rsidRPr="00645878">
        <w:rPr>
          <w:rFonts w:ascii="Times New Roman" w:hAnsi="Times New Roman"/>
          <w:lang w:eastAsia="en-US"/>
        </w:rPr>
        <w:t>assessment</w:t>
      </w:r>
      <w:r w:rsidR="00900061" w:rsidRPr="00645878">
        <w:rPr>
          <w:rFonts w:ascii="Times New Roman" w:hAnsi="Times New Roman"/>
          <w:lang w:eastAsia="en-US"/>
        </w:rPr>
        <w:t xml:space="preserve"> </w:t>
      </w:r>
      <w:r w:rsidR="009B3263" w:rsidRPr="00645878">
        <w:rPr>
          <w:rFonts w:ascii="Times New Roman" w:hAnsi="Times New Roman"/>
          <w:lang w:eastAsia="en-US"/>
        </w:rPr>
        <w:t>of</w:t>
      </w:r>
      <w:r w:rsidR="00900061" w:rsidRPr="00645878">
        <w:rPr>
          <w:rFonts w:ascii="Times New Roman" w:hAnsi="Times New Roman"/>
          <w:lang w:eastAsia="en-US"/>
        </w:rPr>
        <w:t xml:space="preserve"> </w:t>
      </w:r>
      <w:r w:rsidR="009B3263" w:rsidRPr="00645878">
        <w:rPr>
          <w:rFonts w:ascii="Times New Roman" w:hAnsi="Times New Roman"/>
          <w:lang w:eastAsia="en-US"/>
        </w:rPr>
        <w:t>country</w:t>
      </w:r>
      <w:r w:rsidR="00900061" w:rsidRPr="00645878">
        <w:rPr>
          <w:rFonts w:ascii="Times New Roman" w:hAnsi="Times New Roman"/>
          <w:lang w:eastAsia="en-US"/>
        </w:rPr>
        <w:t xml:space="preserve"> </w:t>
      </w:r>
      <w:r w:rsidR="009B3263" w:rsidRPr="00645878">
        <w:rPr>
          <w:rFonts w:ascii="Times New Roman" w:hAnsi="Times New Roman"/>
          <w:lang w:eastAsia="en-US"/>
        </w:rPr>
        <w:t>public</w:t>
      </w:r>
      <w:r w:rsidR="00900061" w:rsidRPr="00645878">
        <w:rPr>
          <w:rFonts w:ascii="Times New Roman" w:hAnsi="Times New Roman"/>
          <w:lang w:eastAsia="en-US"/>
        </w:rPr>
        <w:t xml:space="preserve"> </w:t>
      </w:r>
      <w:r w:rsidR="00DF4628" w:rsidRPr="00645878">
        <w:rPr>
          <w:rFonts w:ascii="Times New Roman" w:hAnsi="Times New Roman"/>
          <w:lang w:eastAsia="en-US"/>
        </w:rPr>
        <w:t>FM</w:t>
      </w:r>
      <w:r w:rsidR="00900061" w:rsidRPr="00645878">
        <w:rPr>
          <w:rFonts w:ascii="Times New Roman" w:hAnsi="Times New Roman"/>
          <w:lang w:eastAsia="en-US"/>
        </w:rPr>
        <w:t xml:space="preserve"> </w:t>
      </w:r>
      <w:r w:rsidR="009B3263" w:rsidRPr="00645878">
        <w:rPr>
          <w:rFonts w:ascii="Times New Roman" w:hAnsi="Times New Roman"/>
          <w:lang w:eastAsia="en-US"/>
        </w:rPr>
        <w:t>systems</w:t>
      </w:r>
      <w:r w:rsidR="00247D97" w:rsidRPr="00645878">
        <w:rPr>
          <w:rFonts w:ascii="Times New Roman" w:hAnsi="Times New Roman"/>
          <w:lang w:eastAsia="en-US"/>
        </w:rPr>
        <w:t>.</w:t>
      </w:r>
      <w:r w:rsidR="00900061" w:rsidRPr="00645878">
        <w:rPr>
          <w:rFonts w:ascii="Times New Roman" w:hAnsi="Times New Roman"/>
          <w:lang w:eastAsia="en-US"/>
        </w:rPr>
        <w:t xml:space="preserve"> </w:t>
      </w:r>
      <w:r w:rsidR="00946AB4" w:rsidRPr="00645878">
        <w:rPr>
          <w:rFonts w:ascii="Times New Roman" w:hAnsi="Times New Roman"/>
          <w:lang w:eastAsia="en-US"/>
        </w:rPr>
        <w:t>Combined</w:t>
      </w:r>
      <w:r w:rsidR="00900061" w:rsidRPr="00645878">
        <w:rPr>
          <w:rFonts w:ascii="Times New Roman" w:hAnsi="Times New Roman"/>
          <w:lang w:eastAsia="en-US"/>
        </w:rPr>
        <w:t xml:space="preserve"> </w:t>
      </w:r>
      <w:r w:rsidR="00946AB4" w:rsidRPr="00645878">
        <w:rPr>
          <w:rFonts w:ascii="Times New Roman" w:hAnsi="Times New Roman"/>
          <w:lang w:eastAsia="en-US"/>
        </w:rPr>
        <w:t>fiduciary</w:t>
      </w:r>
      <w:r w:rsidR="00900061" w:rsidRPr="00645878">
        <w:rPr>
          <w:rFonts w:ascii="Times New Roman" w:hAnsi="Times New Roman"/>
          <w:lang w:eastAsia="en-US"/>
        </w:rPr>
        <w:t xml:space="preserve"> </w:t>
      </w:r>
      <w:r w:rsidR="00946AB4" w:rsidRPr="00645878">
        <w:rPr>
          <w:rFonts w:ascii="Times New Roman" w:hAnsi="Times New Roman"/>
          <w:lang w:eastAsia="en-US"/>
        </w:rPr>
        <w:t>risk</w:t>
      </w:r>
      <w:r w:rsidR="00900061" w:rsidRPr="00645878">
        <w:rPr>
          <w:rFonts w:ascii="Times New Roman" w:hAnsi="Times New Roman"/>
          <w:lang w:eastAsia="en-US"/>
        </w:rPr>
        <w:t xml:space="preserve"> </w:t>
      </w:r>
      <w:r w:rsidR="00946AB4" w:rsidRPr="00645878">
        <w:rPr>
          <w:rFonts w:ascii="Times New Roman" w:hAnsi="Times New Roman"/>
          <w:lang w:eastAsia="en-US"/>
        </w:rPr>
        <w:t>after</w:t>
      </w:r>
      <w:r w:rsidR="00900061" w:rsidRPr="00645878">
        <w:rPr>
          <w:rFonts w:ascii="Times New Roman" w:hAnsi="Times New Roman"/>
          <w:lang w:eastAsia="en-US"/>
        </w:rPr>
        <w:t xml:space="preserve"> </w:t>
      </w:r>
      <w:r w:rsidR="00946AB4" w:rsidRPr="00645878">
        <w:rPr>
          <w:rFonts w:ascii="Times New Roman" w:hAnsi="Times New Roman"/>
          <w:lang w:eastAsia="en-US"/>
        </w:rPr>
        <w:t>mitigation</w:t>
      </w:r>
      <w:r w:rsidR="00900061" w:rsidRPr="00645878">
        <w:rPr>
          <w:rFonts w:ascii="Times New Roman" w:hAnsi="Times New Roman"/>
          <w:lang w:eastAsia="en-US"/>
        </w:rPr>
        <w:t xml:space="preserve"> </w:t>
      </w:r>
      <w:r w:rsidR="00946AB4" w:rsidRPr="00645878">
        <w:rPr>
          <w:rFonts w:ascii="Times New Roman" w:hAnsi="Times New Roman"/>
          <w:lang w:eastAsia="en-US"/>
        </w:rPr>
        <w:t>measures</w:t>
      </w:r>
      <w:r w:rsidR="00900061" w:rsidRPr="00645878">
        <w:rPr>
          <w:rFonts w:ascii="Times New Roman" w:hAnsi="Times New Roman"/>
          <w:lang w:eastAsia="en-US"/>
        </w:rPr>
        <w:t xml:space="preserve"> </w:t>
      </w:r>
      <w:r w:rsidR="00946AB4" w:rsidRPr="00645878">
        <w:rPr>
          <w:rFonts w:ascii="Times New Roman" w:hAnsi="Times New Roman"/>
          <w:lang w:eastAsia="en-US"/>
        </w:rPr>
        <w:t>is</w:t>
      </w:r>
      <w:r w:rsidR="00900061" w:rsidRPr="00645878">
        <w:rPr>
          <w:rFonts w:ascii="Times New Roman" w:hAnsi="Times New Roman"/>
          <w:lang w:eastAsia="en-US"/>
        </w:rPr>
        <w:t xml:space="preserve"> </w:t>
      </w:r>
      <w:r w:rsidR="00946AB4" w:rsidRPr="00645878">
        <w:rPr>
          <w:rFonts w:ascii="Times New Roman" w:hAnsi="Times New Roman"/>
          <w:lang w:eastAsia="en-US"/>
        </w:rPr>
        <w:t>rated</w:t>
      </w:r>
      <w:r w:rsidR="00900061" w:rsidRPr="00645878">
        <w:rPr>
          <w:rFonts w:ascii="Times New Roman" w:hAnsi="Times New Roman"/>
          <w:lang w:eastAsia="en-US"/>
        </w:rPr>
        <w:t xml:space="preserve"> </w:t>
      </w:r>
      <w:r w:rsidR="00946AB4" w:rsidRPr="00645878">
        <w:rPr>
          <w:rFonts w:ascii="Times New Roman" w:hAnsi="Times New Roman"/>
          <w:lang w:eastAsia="en-US"/>
        </w:rPr>
        <w:t>as</w:t>
      </w:r>
      <w:r w:rsidR="00900061" w:rsidRPr="00645878">
        <w:rPr>
          <w:rFonts w:ascii="Times New Roman" w:hAnsi="Times New Roman"/>
          <w:lang w:eastAsia="en-US"/>
        </w:rPr>
        <w:t xml:space="preserve"> </w:t>
      </w:r>
      <w:r w:rsidR="00946AB4" w:rsidRPr="00645878">
        <w:rPr>
          <w:rFonts w:ascii="Times New Roman" w:hAnsi="Times New Roman"/>
          <w:lang w:eastAsia="en-US"/>
        </w:rPr>
        <w:t>substantial.</w:t>
      </w:r>
    </w:p>
    <w:p w14:paraId="79D33688" w14:textId="77777777" w:rsidR="004D5E6D" w:rsidRPr="00645878" w:rsidRDefault="00A7170B" w:rsidP="00645878">
      <w:pPr>
        <w:pStyle w:val="Heading1"/>
        <w:spacing w:before="120" w:after="120" w:line="240" w:lineRule="auto"/>
        <w:ind w:left="0" w:firstLine="0"/>
        <w:rPr>
          <w:rStyle w:val="Heading2Char"/>
          <w:rFonts w:eastAsiaTheme="majorEastAsia"/>
          <w:b/>
        </w:rPr>
      </w:pPr>
      <w:bookmarkStart w:id="2" w:name="_Toc442428947"/>
      <w:r w:rsidRPr="00645878">
        <w:rPr>
          <w:rStyle w:val="Heading2Char"/>
          <w:rFonts w:eastAsiaTheme="majorEastAsia"/>
          <w:b/>
        </w:rPr>
        <w:t>Financial</w:t>
      </w:r>
      <w:r w:rsidR="00900061" w:rsidRPr="00645878">
        <w:rPr>
          <w:rStyle w:val="Heading2Char"/>
          <w:rFonts w:eastAsiaTheme="majorEastAsia"/>
          <w:b/>
        </w:rPr>
        <w:t xml:space="preserve"> </w:t>
      </w:r>
      <w:r w:rsidRPr="00645878">
        <w:rPr>
          <w:rStyle w:val="Heading2Char"/>
          <w:rFonts w:eastAsiaTheme="majorEastAsia"/>
          <w:b/>
        </w:rPr>
        <w:t>Management</w:t>
      </w:r>
      <w:r w:rsidR="00900061" w:rsidRPr="00645878">
        <w:rPr>
          <w:rStyle w:val="Heading2Char"/>
          <w:rFonts w:eastAsiaTheme="majorEastAsia"/>
          <w:b/>
        </w:rPr>
        <w:t xml:space="preserve"> </w:t>
      </w:r>
      <w:r w:rsidRPr="00645878">
        <w:rPr>
          <w:rStyle w:val="Heading2Char"/>
          <w:rFonts w:eastAsiaTheme="majorEastAsia"/>
          <w:b/>
        </w:rPr>
        <w:t>Arrangements</w:t>
      </w:r>
      <w:bookmarkEnd w:id="2"/>
    </w:p>
    <w:p w14:paraId="36DFF56B" w14:textId="77777777" w:rsidR="004430C9" w:rsidRPr="00645878" w:rsidRDefault="00B03657" w:rsidP="004F5154">
      <w:pPr>
        <w:pStyle w:val="Heading2"/>
        <w:spacing w:after="120" w:line="240" w:lineRule="auto"/>
        <w:ind w:left="360" w:firstLine="0"/>
      </w:pPr>
      <w:bookmarkStart w:id="3" w:name="_Toc442428948"/>
      <w:r w:rsidRPr="00645878">
        <w:t>Planning</w:t>
      </w:r>
      <w:r w:rsidR="00900061" w:rsidRPr="00645878">
        <w:t xml:space="preserve"> </w:t>
      </w:r>
      <w:r w:rsidRPr="00645878">
        <w:t>and</w:t>
      </w:r>
      <w:r w:rsidR="00900061" w:rsidRPr="00645878">
        <w:t xml:space="preserve"> </w:t>
      </w:r>
      <w:r w:rsidRPr="00645878">
        <w:t>Budgeting</w:t>
      </w:r>
      <w:r w:rsidR="00900061" w:rsidRPr="00645878">
        <w:t xml:space="preserve"> </w:t>
      </w:r>
      <w:r w:rsidRPr="00645878">
        <w:t>Arrangements</w:t>
      </w:r>
      <w:bookmarkEnd w:id="3"/>
    </w:p>
    <w:p w14:paraId="48D6E702" w14:textId="7AA806AF" w:rsidR="005F61FA" w:rsidRPr="00645878" w:rsidRDefault="005F61FA"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Planning</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budgeting</w:t>
      </w:r>
      <w:r w:rsidR="00900061" w:rsidRPr="00645878">
        <w:rPr>
          <w:rFonts w:ascii="Times New Roman" w:hAnsi="Times New Roman"/>
          <w:b/>
        </w:rPr>
        <w:t xml:space="preserve"> </w:t>
      </w:r>
      <w:r w:rsidRPr="00645878">
        <w:rPr>
          <w:rFonts w:ascii="Times New Roman" w:hAnsi="Times New Roman"/>
          <w:b/>
        </w:rPr>
        <w:t>capacity</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0014605C" w:rsidRPr="00645878">
        <w:rPr>
          <w:rFonts w:ascii="Times New Roman" w:hAnsi="Times New Roman"/>
          <w:b/>
        </w:rPr>
        <w:t xml:space="preserve">the </w:t>
      </w:r>
      <w:r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assessed</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be</w:t>
      </w:r>
      <w:r w:rsidR="00900061" w:rsidRPr="00645878">
        <w:rPr>
          <w:rFonts w:ascii="Times New Roman" w:hAnsi="Times New Roman"/>
          <w:b/>
        </w:rPr>
        <w:t xml:space="preserve"> </w:t>
      </w:r>
      <w:r w:rsidRPr="00645878">
        <w:rPr>
          <w:rFonts w:ascii="Times New Roman" w:hAnsi="Times New Roman"/>
          <w:b/>
        </w:rPr>
        <w:t>sufficient,</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CA575C" w:rsidRPr="00645878">
        <w:rPr>
          <w:rFonts w:ascii="Times New Roman" w:hAnsi="Times New Roman"/>
          <w:b/>
        </w:rPr>
        <w:t>g</w:t>
      </w:r>
      <w:r w:rsidRPr="00645878">
        <w:rPr>
          <w:rFonts w:ascii="Times New Roman" w:hAnsi="Times New Roman"/>
          <w:b/>
        </w:rPr>
        <w:t>overnment</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committed</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including</w:t>
      </w:r>
      <w:r w:rsidR="00900061" w:rsidRPr="00645878">
        <w:rPr>
          <w:rFonts w:ascii="Times New Roman" w:hAnsi="Times New Roman"/>
          <w:b/>
        </w:rPr>
        <w:t xml:space="preserve"> </w:t>
      </w:r>
      <w:r w:rsidR="009329A9" w:rsidRPr="00645878">
        <w:rPr>
          <w:rFonts w:ascii="Times New Roman" w:hAnsi="Times New Roman"/>
          <w:b/>
        </w:rPr>
        <w:t>P</w:t>
      </w:r>
      <w:r w:rsidRPr="00645878">
        <w:rPr>
          <w:rFonts w:ascii="Times New Roman" w:hAnsi="Times New Roman"/>
          <w:b/>
        </w:rPr>
        <w:t>rogram</w:t>
      </w:r>
      <w:r w:rsidR="00900061" w:rsidRPr="00645878">
        <w:rPr>
          <w:rFonts w:ascii="Times New Roman" w:hAnsi="Times New Roman"/>
          <w:b/>
        </w:rPr>
        <w:t xml:space="preserve"> </w:t>
      </w:r>
      <w:r w:rsidRPr="00645878">
        <w:rPr>
          <w:rFonts w:ascii="Times New Roman" w:hAnsi="Times New Roman"/>
          <w:b/>
        </w:rPr>
        <w:t>expenditures</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rPr>
        <w:t xml:space="preserve"> </w:t>
      </w:r>
      <w:r w:rsidR="00CA575C" w:rsidRPr="00645878">
        <w:rPr>
          <w:rFonts w:ascii="Times New Roman" w:hAnsi="Times New Roman"/>
        </w:rPr>
        <w:t xml:space="preserve">The </w:t>
      </w:r>
      <w:r w:rsidRPr="00645878">
        <w:rPr>
          <w:rFonts w:ascii="Times New Roman" w:hAnsi="Times New Roman"/>
        </w:rPr>
        <w:t>MPALSG,</w:t>
      </w:r>
      <w:r w:rsidR="00900061" w:rsidRPr="00645878">
        <w:rPr>
          <w:rFonts w:ascii="Times New Roman" w:hAnsi="Times New Roman"/>
        </w:rPr>
        <w:t xml:space="preserve"> </w:t>
      </w:r>
      <w:r w:rsidR="00CA575C" w:rsidRPr="00645878">
        <w:rPr>
          <w:rFonts w:ascii="Times New Roman" w:hAnsi="Times New Roman"/>
        </w:rPr>
        <w:t>the Treasury Administration (</w:t>
      </w:r>
      <w:r w:rsidRPr="00645878">
        <w:rPr>
          <w:rFonts w:ascii="Times New Roman" w:hAnsi="Times New Roman"/>
        </w:rPr>
        <w:t>TA</w:t>
      </w:r>
      <w:r w:rsidR="00CA575C" w:rsidRPr="00645878">
        <w:rPr>
          <w:rFonts w:ascii="Times New Roman" w:hAnsi="Times New Roman"/>
        </w:rPr>
        <w:t>)</w:t>
      </w:r>
      <w:r w:rsidR="00DC0795"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other</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prepare</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medium-term</w:t>
      </w:r>
      <w:r w:rsidR="00900061" w:rsidRPr="00645878">
        <w:rPr>
          <w:rFonts w:ascii="Times New Roman" w:hAnsi="Times New Roman"/>
        </w:rPr>
        <w:t xml:space="preserve"> </w:t>
      </w:r>
      <w:r w:rsidRPr="00645878">
        <w:rPr>
          <w:rFonts w:ascii="Times New Roman" w:hAnsi="Times New Roman"/>
        </w:rPr>
        <w:t>plans.</w:t>
      </w:r>
      <w:r w:rsidR="00900061" w:rsidRPr="00645878">
        <w:rPr>
          <w:rFonts w:ascii="Times New Roman" w:hAnsi="Times New Roman"/>
        </w:rPr>
        <w:t xml:space="preserve"> </w:t>
      </w:r>
      <w:r w:rsidRPr="00645878">
        <w:rPr>
          <w:rFonts w:ascii="Times New Roman" w:hAnsi="Times New Roman"/>
        </w:rPr>
        <w:t>Staff</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substantial</w:t>
      </w:r>
      <w:r w:rsidR="00900061" w:rsidRPr="00645878">
        <w:rPr>
          <w:rFonts w:ascii="Times New Roman" w:hAnsi="Times New Roman"/>
        </w:rPr>
        <w:t xml:space="preserve"> </w:t>
      </w:r>
      <w:r w:rsidRPr="00645878">
        <w:rPr>
          <w:rFonts w:ascii="Times New Roman" w:hAnsi="Times New Roman"/>
        </w:rPr>
        <w:t>experience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r w:rsidR="00897FFC" w:rsidRPr="00645878">
        <w:rPr>
          <w:rFonts w:ascii="Times New Roman" w:hAnsi="Times New Roman"/>
        </w:rPr>
        <w:t xml:space="preserve">are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charge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these</w:t>
      </w:r>
      <w:r w:rsidR="00900061" w:rsidRPr="00645878">
        <w:rPr>
          <w:rFonts w:ascii="Times New Roman" w:hAnsi="Times New Roman"/>
        </w:rPr>
        <w:t xml:space="preserve"> </w:t>
      </w:r>
      <w:r w:rsidRPr="00645878">
        <w:rPr>
          <w:rFonts w:ascii="Times New Roman" w:hAnsi="Times New Roman"/>
        </w:rPr>
        <w:t>tasks.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adhere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provisions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00897FFC" w:rsidRPr="00645878">
        <w:rPr>
          <w:rFonts w:ascii="Times New Roman" w:hAnsi="Times New Roman"/>
        </w:rPr>
        <w:t xml:space="preserve">(BSL)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prescribed</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calendar,</w:t>
      </w:r>
      <w:r w:rsidR="00900061" w:rsidRPr="00645878">
        <w:rPr>
          <w:rFonts w:ascii="Times New Roman" w:hAnsi="Times New Roman"/>
        </w:rPr>
        <w:t xml:space="preserve"> </w:t>
      </w:r>
      <w:r w:rsidRPr="00645878">
        <w:rPr>
          <w:rFonts w:ascii="Times New Roman" w:hAnsi="Times New Roman"/>
        </w:rPr>
        <w:t>sequence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steps</w:t>
      </w:r>
      <w:r w:rsidR="00B35DB1"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documentation.</w:t>
      </w:r>
      <w:r w:rsidR="00900061" w:rsidRPr="00645878">
        <w:rPr>
          <w:rFonts w:ascii="Times New Roman" w:hAnsi="Times New Roman"/>
        </w:rPr>
        <w:t xml:space="preserve"> </w:t>
      </w:r>
      <w:r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plans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ED3C57"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coming</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Also,</w:t>
      </w:r>
      <w:r w:rsidR="00900061" w:rsidRPr="00645878">
        <w:rPr>
          <w:rFonts w:ascii="Times New Roman" w:hAnsi="Times New Roman"/>
        </w:rPr>
        <w:t xml:space="preserve"> </w:t>
      </w:r>
      <w:r w:rsidR="00A45F12"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7D4F13" w:rsidRPr="00645878">
        <w:rPr>
          <w:rFonts w:ascii="Times New Roman" w:hAnsi="Times New Roman"/>
        </w:rPr>
        <w:t>A</w:t>
      </w:r>
      <w:r w:rsidRPr="00645878">
        <w:rPr>
          <w:rFonts w:ascii="Times New Roman" w:hAnsi="Times New Roman"/>
        </w:rPr>
        <w:t>nnual</w:t>
      </w:r>
      <w:r w:rsidR="00900061" w:rsidRPr="00645878">
        <w:rPr>
          <w:rFonts w:ascii="Times New Roman" w:hAnsi="Times New Roman"/>
        </w:rPr>
        <w:t xml:space="preserve"> </w:t>
      </w:r>
      <w:r w:rsidR="007D4F13"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007D4F13" w:rsidRPr="00645878">
        <w:rPr>
          <w:rFonts w:ascii="Times New Roman" w:hAnsi="Times New Roman"/>
        </w:rPr>
        <w:t>L</w:t>
      </w:r>
      <w:r w:rsidRPr="00645878">
        <w:rPr>
          <w:rFonts w:ascii="Times New Roman" w:hAnsi="Times New Roman"/>
        </w:rPr>
        <w:t>aw</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2016,</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well</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medium-term</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ceilings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00897FFC" w:rsidRPr="00645878">
        <w:rPr>
          <w:rFonts w:ascii="Times New Roman" w:hAnsi="Times New Roman"/>
        </w:rPr>
        <w:t xml:space="preserve">the </w:t>
      </w:r>
      <w:r w:rsidRPr="00645878">
        <w:rPr>
          <w:rFonts w:ascii="Times New Roman" w:hAnsi="Times New Roman"/>
        </w:rPr>
        <w:t>two</w:t>
      </w:r>
      <w:r w:rsidR="00900061" w:rsidRPr="00645878">
        <w:rPr>
          <w:rFonts w:ascii="Times New Roman" w:hAnsi="Times New Roman"/>
        </w:rPr>
        <w:t xml:space="preserve"> </w:t>
      </w:r>
      <w:r w:rsidRPr="00645878">
        <w:rPr>
          <w:rFonts w:ascii="Times New Roman" w:hAnsi="Times New Roman"/>
        </w:rPr>
        <w:t>following</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w:t>
      </w:r>
      <w:r w:rsidRPr="00645878">
        <w:rPr>
          <w:rFonts w:ascii="Times New Roman" w:hAnsi="Times New Roman"/>
        </w:rPr>
        <w:t>overnment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committed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897FFC" w:rsidRPr="00645878">
        <w:rPr>
          <w:rFonts w:ascii="Times New Roman" w:hAnsi="Times New Roman"/>
        </w:rPr>
        <w:t xml:space="preserve">the </w:t>
      </w:r>
      <w:r w:rsidRPr="00645878">
        <w:rPr>
          <w:rFonts w:ascii="Times New Roman" w:hAnsi="Times New Roman"/>
        </w:rPr>
        <w:t>P</w:t>
      </w:r>
      <w:r w:rsidR="00EB3F41" w:rsidRPr="00645878">
        <w:rPr>
          <w:rFonts w:ascii="Times New Roman" w:hAnsi="Times New Roman"/>
        </w:rPr>
        <w:t xml:space="preserve">ublic </w:t>
      </w:r>
      <w:r w:rsidRPr="00645878">
        <w:rPr>
          <w:rFonts w:ascii="Times New Roman" w:hAnsi="Times New Roman"/>
        </w:rPr>
        <w:t>A</w:t>
      </w:r>
      <w:r w:rsidR="00EB3F41" w:rsidRPr="00645878">
        <w:rPr>
          <w:rFonts w:ascii="Times New Roman" w:hAnsi="Times New Roman"/>
        </w:rPr>
        <w:t xml:space="preserve">dministration </w:t>
      </w:r>
      <w:r w:rsidRPr="00645878">
        <w:rPr>
          <w:rFonts w:ascii="Times New Roman" w:hAnsi="Times New Roman"/>
        </w:rPr>
        <w:t>R</w:t>
      </w:r>
      <w:r w:rsidR="00EB3F41" w:rsidRPr="00645878">
        <w:rPr>
          <w:rFonts w:ascii="Times New Roman" w:hAnsi="Times New Roman"/>
        </w:rPr>
        <w:t>eform</w:t>
      </w:r>
      <w:r w:rsidR="00900061" w:rsidRPr="00645878">
        <w:rPr>
          <w:rFonts w:ascii="Times New Roman" w:hAnsi="Times New Roman"/>
        </w:rPr>
        <w:t xml:space="preserve"> </w:t>
      </w:r>
      <w:r w:rsidRPr="00645878">
        <w:rPr>
          <w:rFonts w:ascii="Times New Roman" w:hAnsi="Times New Roman"/>
        </w:rPr>
        <w:t>Strategy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allocation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activities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coming</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p>
    <w:p w14:paraId="77690918" w14:textId="7E6F9600" w:rsidR="005F61FA" w:rsidRPr="00645878" w:rsidRDefault="005F61FA"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calendar</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preparation</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annual</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outlined</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BSL.</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calendar</w:t>
      </w:r>
      <w:r w:rsidR="00900061" w:rsidRPr="00645878">
        <w:rPr>
          <w:rFonts w:ascii="Times New Roman" w:hAnsi="Times New Roman"/>
        </w:rPr>
        <w:t xml:space="preserve"> </w:t>
      </w:r>
      <w:r w:rsidRPr="00645878">
        <w:rPr>
          <w:rFonts w:ascii="Times New Roman" w:hAnsi="Times New Roman"/>
        </w:rPr>
        <w:t>provides</w:t>
      </w:r>
      <w:r w:rsidR="00900061" w:rsidRPr="00645878">
        <w:rPr>
          <w:rFonts w:ascii="Times New Roman" w:hAnsi="Times New Roman"/>
        </w:rPr>
        <w:t xml:space="preserve"> </w:t>
      </w:r>
      <w:r w:rsidRPr="00645878">
        <w:rPr>
          <w:rFonts w:ascii="Times New Roman" w:hAnsi="Times New Roman"/>
        </w:rPr>
        <w:t>clarity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comprehensiveness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b/>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calendar</w:t>
      </w:r>
      <w:r w:rsidR="00900061" w:rsidRPr="00645878">
        <w:rPr>
          <w:rFonts w:ascii="Times New Roman" w:hAnsi="Times New Roman"/>
        </w:rPr>
        <w:t xml:space="preserve"> </w:t>
      </w:r>
      <w:r w:rsidRPr="00645878">
        <w:rPr>
          <w:rFonts w:ascii="Times New Roman" w:hAnsi="Times New Roman"/>
        </w:rPr>
        <w:t>specifies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timing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involvement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stakeholders.</w:t>
      </w:r>
      <w:r w:rsidR="00900061" w:rsidRPr="00645878">
        <w:rPr>
          <w:rFonts w:ascii="Times New Roman" w:hAnsi="Times New Roman"/>
        </w:rPr>
        <w:t xml:space="preserve"> </w:t>
      </w:r>
      <w:r w:rsidRPr="00645878">
        <w:rPr>
          <w:rFonts w:ascii="Times New Roman" w:hAnsi="Times New Roman"/>
        </w:rPr>
        <w:t>However,</w:t>
      </w:r>
      <w:r w:rsidR="00900061" w:rsidRPr="00645878">
        <w:rPr>
          <w:rFonts w:ascii="Times New Roman" w:hAnsi="Times New Roman"/>
        </w:rPr>
        <w:t xml:space="preserve"> </w:t>
      </w:r>
      <w:r w:rsidRPr="00645878">
        <w:rPr>
          <w:rFonts w:ascii="Times New Roman" w:hAnsi="Times New Roman"/>
        </w:rPr>
        <w:t>deviations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prescribed</w:t>
      </w:r>
      <w:r w:rsidR="00900061" w:rsidRPr="00645878">
        <w:rPr>
          <w:rFonts w:ascii="Times New Roman" w:hAnsi="Times New Roman"/>
        </w:rPr>
        <w:t xml:space="preserve"> </w:t>
      </w:r>
      <w:r w:rsidRPr="00645878">
        <w:rPr>
          <w:rFonts w:ascii="Times New Roman" w:hAnsi="Times New Roman"/>
        </w:rPr>
        <w:t>deadlines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some</w:t>
      </w:r>
      <w:r w:rsidR="00900061" w:rsidRPr="00645878">
        <w:rPr>
          <w:rFonts w:ascii="Times New Roman" w:hAnsi="Times New Roman"/>
        </w:rPr>
        <w:t xml:space="preserve"> </w:t>
      </w:r>
      <w:r w:rsidRPr="00645878">
        <w:rPr>
          <w:rFonts w:ascii="Times New Roman" w:hAnsi="Times New Roman"/>
        </w:rPr>
        <w:t>steps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noted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past</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Combined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limited</w:t>
      </w:r>
      <w:r w:rsidR="00900061" w:rsidRPr="00645878">
        <w:rPr>
          <w:rFonts w:ascii="Times New Roman" w:hAnsi="Times New Roman"/>
        </w:rPr>
        <w:t xml:space="preserve"> </w:t>
      </w:r>
      <w:r w:rsidRPr="00645878">
        <w:rPr>
          <w:rFonts w:ascii="Times New Roman" w:hAnsi="Times New Roman"/>
        </w:rPr>
        <w:t>staffing</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Department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delays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adherence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deadlines</w:t>
      </w:r>
      <w:r w:rsidR="00900061" w:rsidRPr="00645878">
        <w:rPr>
          <w:rFonts w:ascii="Times New Roman" w:hAnsi="Times New Roman"/>
        </w:rPr>
        <w:t xml:space="preserve"> </w:t>
      </w:r>
      <w:r w:rsidRPr="00645878">
        <w:rPr>
          <w:rFonts w:ascii="Times New Roman" w:hAnsi="Times New Roman"/>
        </w:rPr>
        <w:t>meant</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was</w:t>
      </w:r>
      <w:r w:rsidR="00900061" w:rsidRPr="00645878">
        <w:rPr>
          <w:rFonts w:ascii="Times New Roman" w:hAnsi="Times New Roman"/>
        </w:rPr>
        <w:t xml:space="preserve"> </w:t>
      </w:r>
      <w:r w:rsidRPr="00645878">
        <w:rPr>
          <w:rFonts w:ascii="Times New Roman" w:hAnsi="Times New Roman"/>
        </w:rPr>
        <w:t>insufficient</w:t>
      </w:r>
      <w:r w:rsidR="00900061" w:rsidRPr="00645878">
        <w:rPr>
          <w:rFonts w:ascii="Times New Roman" w:hAnsi="Times New Roman"/>
        </w:rPr>
        <w:t xml:space="preserve"> </w:t>
      </w:r>
      <w:r w:rsidRPr="00645878">
        <w:rPr>
          <w:rFonts w:ascii="Times New Roman" w:hAnsi="Times New Roman"/>
        </w:rPr>
        <w:t>time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thorough</w:t>
      </w:r>
      <w:r w:rsidR="00900061" w:rsidRPr="00645878">
        <w:rPr>
          <w:rFonts w:ascii="Times New Roman" w:hAnsi="Times New Roman"/>
        </w:rPr>
        <w:t xml:space="preserve"> </w:t>
      </w:r>
      <w:r w:rsidRPr="00645878">
        <w:rPr>
          <w:rFonts w:ascii="Times New Roman" w:hAnsi="Times New Roman"/>
        </w:rPr>
        <w:t>analysis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users’</w:t>
      </w:r>
      <w:r w:rsidR="00900061" w:rsidRPr="00645878">
        <w:rPr>
          <w:rFonts w:ascii="Times New Roman" w:hAnsi="Times New Roman"/>
        </w:rPr>
        <w:t xml:space="preserve"> </w:t>
      </w:r>
      <w:r w:rsidRPr="00645878">
        <w:rPr>
          <w:rFonts w:ascii="Times New Roman" w:hAnsi="Times New Roman"/>
        </w:rPr>
        <w:t>requests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setting</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adequate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appropriation</w:t>
      </w:r>
      <w:r w:rsidR="00900061" w:rsidRPr="00645878">
        <w:rPr>
          <w:rFonts w:ascii="Times New Roman" w:hAnsi="Times New Roman"/>
        </w:rPr>
        <w:t xml:space="preserve"> </w:t>
      </w:r>
      <w:r w:rsidRPr="00645878">
        <w:rPr>
          <w:rFonts w:ascii="Times New Roman" w:hAnsi="Times New Roman"/>
        </w:rPr>
        <w:t>levels</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reflected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variance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composition</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005860BB" w:rsidRPr="00645878">
        <w:rPr>
          <w:rFonts w:ascii="Times New Roman" w:hAnsi="Times New Roman"/>
        </w:rPr>
        <w:t xml:space="preserve">the </w:t>
      </w:r>
      <w:r w:rsidRPr="00645878">
        <w:rPr>
          <w:rFonts w:ascii="Times New Roman" w:hAnsi="Times New Roman"/>
        </w:rPr>
        <w:t>actual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budgeted</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principal</w:t>
      </w:r>
      <w:r w:rsidR="00900061" w:rsidRPr="00645878">
        <w:rPr>
          <w:rFonts w:ascii="Times New Roman" w:hAnsi="Times New Roman"/>
        </w:rPr>
        <w:t xml:space="preserve"> </w:t>
      </w:r>
      <w:r w:rsidRPr="00645878">
        <w:rPr>
          <w:rFonts w:ascii="Times New Roman" w:hAnsi="Times New Roman"/>
        </w:rPr>
        <w:t>spenders,</w:t>
      </w:r>
      <w:r w:rsidR="00900061" w:rsidRPr="00645878">
        <w:rPr>
          <w:rFonts w:ascii="Times New Roman" w:hAnsi="Times New Roman"/>
        </w:rPr>
        <w:t xml:space="preserve"> </w:t>
      </w:r>
      <w:r w:rsidRPr="00645878">
        <w:rPr>
          <w:rFonts w:ascii="Times New Roman" w:hAnsi="Times New Roman"/>
        </w:rPr>
        <w:t>reported</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ranging</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10</w:t>
      </w:r>
      <w:r w:rsidR="00900061" w:rsidRPr="00645878">
        <w:rPr>
          <w:rFonts w:ascii="Times New Roman" w:hAnsi="Times New Roman"/>
        </w:rPr>
        <w:t xml:space="preserve"> </w:t>
      </w:r>
      <w:r w:rsidR="00897FFC" w:rsidRPr="00645878">
        <w:rPr>
          <w:rFonts w:ascii="Times New Roman" w:hAnsi="Times New Roman"/>
        </w:rPr>
        <w:t xml:space="preserve">percent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40</w:t>
      </w:r>
      <w:r w:rsidR="00900061" w:rsidRPr="00645878">
        <w:rPr>
          <w:rFonts w:ascii="Times New Roman" w:hAnsi="Times New Roman"/>
        </w:rPr>
        <w:t xml:space="preserve"> </w:t>
      </w:r>
      <w:r w:rsidRPr="00645878">
        <w:rPr>
          <w:rFonts w:ascii="Times New Roman" w:hAnsi="Times New Roman"/>
        </w:rPr>
        <w:t>percent</w:t>
      </w:r>
      <w:r w:rsidR="00900061" w:rsidRPr="00645878">
        <w:rPr>
          <w:rFonts w:ascii="Times New Roman" w:hAnsi="Times New Roman"/>
        </w:rPr>
        <w:t xml:space="preserve"> </w:t>
      </w:r>
      <w:r w:rsidRPr="00645878">
        <w:rPr>
          <w:rFonts w:ascii="Times New Roman" w:hAnsi="Times New Roman"/>
        </w:rPr>
        <w:t>annually</w:t>
      </w:r>
      <w:r w:rsidR="00900061" w:rsidRPr="00645878">
        <w:rPr>
          <w:rFonts w:ascii="Times New Roman" w:hAnsi="Times New Roman"/>
        </w:rPr>
        <w:t xml:space="preserve"> </w:t>
      </w:r>
      <w:r w:rsidR="00D976A6" w:rsidRPr="00645878">
        <w:rPr>
          <w:rFonts w:ascii="Times New Roman" w:hAnsi="Times New Roman"/>
        </w:rPr>
        <w:t xml:space="preserve">during the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2011,</w:t>
      </w:r>
      <w:r w:rsidR="00900061" w:rsidRPr="00645878">
        <w:rPr>
          <w:rFonts w:ascii="Times New Roman" w:hAnsi="Times New Roman"/>
        </w:rPr>
        <w:t xml:space="preserve"> </w:t>
      </w:r>
      <w:r w:rsidRPr="00645878">
        <w:rPr>
          <w:rFonts w:ascii="Times New Roman" w:hAnsi="Times New Roman"/>
        </w:rPr>
        <w:t>2012,</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2013.</w:t>
      </w:r>
      <w:r w:rsidR="00900061" w:rsidRPr="00645878">
        <w:rPr>
          <w:rFonts w:ascii="Times New Roman" w:hAnsi="Times New Roman"/>
        </w:rPr>
        <w:t xml:space="preserve"> </w:t>
      </w:r>
      <w:r w:rsidRPr="00645878">
        <w:rPr>
          <w:rFonts w:ascii="Times New Roman" w:hAnsi="Times New Roman"/>
        </w:rPr>
        <w:t>Further,</w:t>
      </w:r>
      <w:r w:rsidR="00900061" w:rsidRPr="00645878">
        <w:rPr>
          <w:rFonts w:ascii="Times New Roman" w:hAnsi="Times New Roman"/>
        </w:rPr>
        <w:t xml:space="preserve"> </w:t>
      </w:r>
      <w:r w:rsidRPr="00645878">
        <w:rPr>
          <w:rFonts w:ascii="Times New Roman" w:hAnsi="Times New Roman"/>
        </w:rPr>
        <w:t>identification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priority</w:t>
      </w:r>
      <w:r w:rsidR="00900061" w:rsidRPr="00645878">
        <w:rPr>
          <w:rFonts w:ascii="Times New Roman" w:hAnsi="Times New Roman"/>
        </w:rPr>
        <w:t xml:space="preserve"> </w:t>
      </w:r>
      <w:r w:rsidRPr="00645878">
        <w:rPr>
          <w:rFonts w:ascii="Times New Roman" w:hAnsi="Times New Roman"/>
        </w:rPr>
        <w:t>areas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financing</w:t>
      </w:r>
      <w:r w:rsidR="00900061" w:rsidRPr="00645878">
        <w:rPr>
          <w:rFonts w:ascii="Times New Roman" w:hAnsi="Times New Roman"/>
        </w:rPr>
        <w:t xml:space="preserve"> </w:t>
      </w:r>
      <w:r w:rsidRPr="00645878">
        <w:rPr>
          <w:rFonts w:ascii="Times New Roman" w:hAnsi="Times New Roman"/>
        </w:rPr>
        <w:t>(including</w:t>
      </w:r>
      <w:r w:rsidR="00900061" w:rsidRPr="00645878">
        <w:rPr>
          <w:rFonts w:ascii="Times New Roman" w:hAnsi="Times New Roman"/>
        </w:rPr>
        <w:t xml:space="preserve"> </w:t>
      </w:r>
      <w:r w:rsidRPr="00645878">
        <w:rPr>
          <w:rFonts w:ascii="Times New Roman" w:hAnsi="Times New Roman"/>
        </w:rPr>
        <w:t>national</w:t>
      </w:r>
      <w:r w:rsidR="00900061" w:rsidRPr="00645878">
        <w:rPr>
          <w:rFonts w:ascii="Times New Roman" w:hAnsi="Times New Roman"/>
        </w:rPr>
        <w:t xml:space="preserve"> </w:t>
      </w:r>
      <w:r w:rsidRPr="00645878">
        <w:rPr>
          <w:rFonts w:ascii="Times New Roman" w:hAnsi="Times New Roman"/>
        </w:rPr>
        <w:t>investment</w:t>
      </w:r>
      <w:r w:rsidR="00900061" w:rsidRPr="00645878">
        <w:rPr>
          <w:rFonts w:ascii="Times New Roman" w:hAnsi="Times New Roman"/>
        </w:rPr>
        <w:t xml:space="preserve"> </w:t>
      </w:r>
      <w:r w:rsidRPr="00645878">
        <w:rPr>
          <w:rFonts w:ascii="Times New Roman" w:hAnsi="Times New Roman"/>
        </w:rPr>
        <w:t>priorities)</w:t>
      </w:r>
      <w:r w:rsidR="00900061" w:rsidRPr="00645878">
        <w:rPr>
          <w:rFonts w:ascii="Times New Roman" w:hAnsi="Times New Roman"/>
        </w:rPr>
        <w:t xml:space="preserve"> </w:t>
      </w:r>
      <w:r w:rsidRPr="00645878">
        <w:rPr>
          <w:rFonts w:ascii="Times New Roman" w:hAnsi="Times New Roman"/>
        </w:rPr>
        <w:t>early</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rendered</w:t>
      </w:r>
      <w:r w:rsidR="00900061" w:rsidRPr="00645878">
        <w:rPr>
          <w:rFonts w:ascii="Times New Roman" w:hAnsi="Times New Roman"/>
        </w:rPr>
        <w:t xml:space="preserve"> </w:t>
      </w:r>
      <w:r w:rsidRPr="00645878">
        <w:rPr>
          <w:rFonts w:ascii="Times New Roman" w:hAnsi="Times New Roman"/>
        </w:rPr>
        <w:t>ineffective</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subsequent</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instructions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draft</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897FFC"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usually</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referenced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priority</w:t>
      </w:r>
      <w:r w:rsidR="00900061" w:rsidRPr="00645878">
        <w:rPr>
          <w:rFonts w:ascii="Times New Roman" w:hAnsi="Times New Roman"/>
        </w:rPr>
        <w:t xml:space="preserve"> </w:t>
      </w:r>
      <w:r w:rsidRPr="00645878">
        <w:rPr>
          <w:rFonts w:ascii="Times New Roman" w:hAnsi="Times New Roman"/>
        </w:rPr>
        <w:t>areas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financing</w:t>
      </w:r>
      <w:r w:rsidR="00900061" w:rsidRPr="00645878">
        <w:rPr>
          <w:rFonts w:ascii="Times New Roman" w:hAnsi="Times New Roman"/>
        </w:rPr>
        <w:t xml:space="preserve"> </w:t>
      </w:r>
      <w:r w:rsidRPr="00645878">
        <w:rPr>
          <w:rFonts w:ascii="Times New Roman" w:hAnsi="Times New Roman"/>
        </w:rPr>
        <w:t>indicated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users.</w:t>
      </w:r>
      <w:r w:rsidR="00900061" w:rsidRPr="00645878">
        <w:rPr>
          <w:rFonts w:ascii="Times New Roman" w:hAnsi="Times New Roman"/>
        </w:rPr>
        <w:t xml:space="preserve"> </w:t>
      </w:r>
      <w:r w:rsidRPr="00645878">
        <w:rPr>
          <w:rFonts w:ascii="Times New Roman" w:hAnsi="Times New Roman"/>
        </w:rPr>
        <w:t>Effective</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negotiations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decide</w:t>
      </w:r>
      <w:r w:rsidR="00900061" w:rsidRPr="00645878">
        <w:rPr>
          <w:rFonts w:ascii="Times New Roman" w:hAnsi="Times New Roman"/>
        </w:rPr>
        <w:t xml:space="preserve"> </w:t>
      </w:r>
      <w:r w:rsidRPr="00645878">
        <w:rPr>
          <w:rFonts w:ascii="Times New Roman" w:hAnsi="Times New Roman"/>
        </w:rPr>
        <w:t>upon</w:t>
      </w:r>
      <w:r w:rsidR="00900061" w:rsidRPr="00645878">
        <w:rPr>
          <w:rFonts w:ascii="Times New Roman" w:hAnsi="Times New Roman"/>
        </w:rPr>
        <w:t xml:space="preserve"> </w:t>
      </w:r>
      <w:r w:rsidRPr="00645878">
        <w:rPr>
          <w:rFonts w:ascii="Times New Roman" w:hAnsi="Times New Roman"/>
        </w:rPr>
        <w:t>priority</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allocations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hampered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unclear</w:t>
      </w:r>
      <w:r w:rsidR="00900061" w:rsidRPr="00645878">
        <w:rPr>
          <w:rFonts w:ascii="Times New Roman" w:hAnsi="Times New Roman"/>
        </w:rPr>
        <w:t xml:space="preserve"> </w:t>
      </w:r>
      <w:r w:rsidRPr="00645878">
        <w:rPr>
          <w:rFonts w:ascii="Times New Roman" w:hAnsi="Times New Roman"/>
        </w:rPr>
        <w:t>separation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costs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existing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new</w:t>
      </w:r>
      <w:r w:rsidR="00900061" w:rsidRPr="00645878">
        <w:rPr>
          <w:rFonts w:ascii="Times New Roman" w:hAnsi="Times New Roman"/>
        </w:rPr>
        <w:t xml:space="preserve"> </w:t>
      </w:r>
      <w:r w:rsidRPr="00645878">
        <w:rPr>
          <w:rFonts w:ascii="Times New Roman" w:hAnsi="Times New Roman"/>
        </w:rPr>
        <w:t>policies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requests.</w:t>
      </w:r>
      <w:r w:rsidR="00900061" w:rsidRPr="00645878">
        <w:rPr>
          <w:rFonts w:ascii="Times New Roman" w:hAnsi="Times New Roman"/>
        </w:rPr>
        <w:t xml:space="preserve"> </w:t>
      </w:r>
      <w:r w:rsidR="005A1140" w:rsidRPr="00645878">
        <w:rPr>
          <w:rFonts w:ascii="Times New Roman" w:hAnsi="Times New Roman"/>
        </w:rPr>
        <w:t>The g</w:t>
      </w:r>
      <w:r w:rsidRPr="00645878">
        <w:rPr>
          <w:rFonts w:ascii="Times New Roman" w:hAnsi="Times New Roman"/>
        </w:rPr>
        <w:t>overnment</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introduced</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new</w:t>
      </w:r>
      <w:r w:rsidR="00900061" w:rsidRPr="00645878">
        <w:rPr>
          <w:rFonts w:ascii="Times New Roman" w:hAnsi="Times New Roman"/>
        </w:rPr>
        <w:t xml:space="preserve"> </w:t>
      </w:r>
      <w:r w:rsidRPr="00645878">
        <w:rPr>
          <w:rFonts w:ascii="Times New Roman" w:hAnsi="Times New Roman"/>
        </w:rPr>
        <w:t>bylaw</w:t>
      </w:r>
      <w:r w:rsidR="00900061" w:rsidRPr="00645878">
        <w:rPr>
          <w:rFonts w:ascii="Times New Roman" w:hAnsi="Times New Roman"/>
        </w:rPr>
        <w:t xml:space="preserve"> </w:t>
      </w:r>
      <w:r w:rsidRPr="00645878">
        <w:rPr>
          <w:rFonts w:ascii="Times New Roman" w:hAnsi="Times New Roman"/>
        </w:rPr>
        <w:t>(April</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improve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assessment</w:t>
      </w:r>
      <w:r w:rsidR="00900061" w:rsidRPr="00645878">
        <w:rPr>
          <w:rFonts w:ascii="Times New Roman" w:hAnsi="Times New Roman"/>
        </w:rPr>
        <w:t xml:space="preserve"> </w:t>
      </w:r>
      <w:r w:rsidR="00094A10" w:rsidRPr="00645878">
        <w:rPr>
          <w:rFonts w:ascii="Times New Roman" w:hAnsi="Times New Roman"/>
        </w:rPr>
        <w:t xml:space="preserve">of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impact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new</w:t>
      </w:r>
      <w:r w:rsidR="00900061" w:rsidRPr="00645878">
        <w:rPr>
          <w:rFonts w:ascii="Times New Roman" w:hAnsi="Times New Roman"/>
        </w:rPr>
        <w:t xml:space="preserve"> </w:t>
      </w:r>
      <w:r w:rsidRPr="00645878">
        <w:rPr>
          <w:rFonts w:ascii="Times New Roman" w:hAnsi="Times New Roman"/>
        </w:rPr>
        <w:t>policies</w:t>
      </w:r>
      <w:r w:rsidR="00C71DF5"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but</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too</w:t>
      </w:r>
      <w:r w:rsidR="00900061" w:rsidRPr="00645878">
        <w:rPr>
          <w:rFonts w:ascii="Times New Roman" w:hAnsi="Times New Roman"/>
        </w:rPr>
        <w:t xml:space="preserve"> </w:t>
      </w:r>
      <w:r w:rsidRPr="00645878">
        <w:rPr>
          <w:rFonts w:ascii="Times New Roman" w:hAnsi="Times New Roman"/>
        </w:rPr>
        <w:t>early</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assess</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results.</w:t>
      </w:r>
      <w:r w:rsidR="00900061" w:rsidRPr="00645878">
        <w:rPr>
          <w:rFonts w:ascii="Times New Roman" w:hAnsi="Times New Roman"/>
        </w:rPr>
        <w:t xml:space="preserve"> </w:t>
      </w:r>
      <w:r w:rsidRPr="00645878">
        <w:rPr>
          <w:rFonts w:ascii="Times New Roman" w:hAnsi="Times New Roman"/>
        </w:rPr>
        <w:t>Moreover,</w:t>
      </w:r>
      <w:r w:rsidR="00900061" w:rsidRPr="00645878">
        <w:rPr>
          <w:rFonts w:ascii="Times New Roman" w:hAnsi="Times New Roman"/>
        </w:rPr>
        <w:t xml:space="preserve"> </w:t>
      </w:r>
      <w:r w:rsidR="00C71DF5" w:rsidRPr="00645878">
        <w:rPr>
          <w:rFonts w:ascii="Times New Roman" w:hAnsi="Times New Roman"/>
        </w:rPr>
        <w:t xml:space="preserve">the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Department</w:t>
      </w:r>
      <w:r w:rsidR="00900061" w:rsidRPr="00645878">
        <w:rPr>
          <w:rFonts w:ascii="Times New Roman" w:hAnsi="Times New Roman"/>
        </w:rPr>
        <w:t xml:space="preserve"> </w:t>
      </w:r>
      <w:r w:rsidRPr="00645878">
        <w:rPr>
          <w:rFonts w:ascii="Times New Roman" w:hAnsi="Times New Roman"/>
        </w:rPr>
        <w:t>negotiates</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large</w:t>
      </w:r>
      <w:r w:rsidR="00900061" w:rsidRPr="00645878">
        <w:rPr>
          <w:rFonts w:ascii="Times New Roman" w:hAnsi="Times New Roman"/>
        </w:rPr>
        <w:t xml:space="preserve"> </w:t>
      </w:r>
      <w:r w:rsidRPr="00645878">
        <w:rPr>
          <w:rFonts w:ascii="Times New Roman" w:hAnsi="Times New Roman"/>
        </w:rPr>
        <w:t>number</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direct</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lastRenderedPageBreak/>
        <w:t>beneficiaries</w:t>
      </w:r>
      <w:r w:rsidR="00900061" w:rsidRPr="00645878">
        <w:rPr>
          <w:rFonts w:ascii="Times New Roman" w:hAnsi="Times New Roman"/>
        </w:rPr>
        <w:t xml:space="preserve"> </w:t>
      </w:r>
      <w:r w:rsidR="00D3232D" w:rsidRPr="00645878">
        <w:rPr>
          <w:rFonts w:ascii="Times New Roman" w:hAnsi="Times New Roman"/>
        </w:rPr>
        <w:t>(DBBs)</w:t>
      </w:r>
      <w:r w:rsidR="00D76DED" w:rsidRPr="00645878">
        <w:rPr>
          <w:rFonts w:ascii="Times New Roman" w:hAnsi="Times New Roman"/>
        </w:rPr>
        <w:t>,</w:t>
      </w:r>
      <w:r w:rsidR="00D3232D" w:rsidRPr="00645878">
        <w:rPr>
          <w:rFonts w:ascii="Times New Roman" w:hAnsi="Times New Roman"/>
        </w:rPr>
        <w:t xml:space="preserve"> </w:t>
      </w:r>
      <w:r w:rsidRPr="00645878">
        <w:rPr>
          <w:rFonts w:ascii="Times New Roman" w:hAnsi="Times New Roman"/>
        </w:rPr>
        <w:t>each</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whom</w:t>
      </w:r>
      <w:r w:rsidR="00900061" w:rsidRPr="00645878">
        <w:rPr>
          <w:rFonts w:ascii="Times New Roman" w:hAnsi="Times New Roman"/>
        </w:rPr>
        <w:t xml:space="preserve"> </w:t>
      </w:r>
      <w:r w:rsidRPr="00645878">
        <w:rPr>
          <w:rFonts w:ascii="Times New Roman" w:hAnsi="Times New Roman"/>
        </w:rPr>
        <w:t>submits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separate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request.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number</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entities/</w:t>
      </w:r>
      <w:r w:rsidR="00D3232D" w:rsidRPr="00645878">
        <w:rPr>
          <w:rFonts w:ascii="Times New Roman" w:hAnsi="Times New Roman"/>
        </w:rPr>
        <w:t>DBBs</w:t>
      </w:r>
      <w:r w:rsidR="00900061" w:rsidRPr="00645878">
        <w:rPr>
          <w:rFonts w:ascii="Times New Roman" w:hAnsi="Times New Roman"/>
        </w:rPr>
        <w:t xml:space="preserve"> </w:t>
      </w:r>
      <w:r w:rsidRPr="00645878">
        <w:rPr>
          <w:rFonts w:ascii="Times New Roman" w:hAnsi="Times New Roman"/>
        </w:rPr>
        <w:t>was</w:t>
      </w:r>
      <w:r w:rsidR="00900061" w:rsidRPr="00645878">
        <w:rPr>
          <w:rFonts w:ascii="Times New Roman" w:hAnsi="Times New Roman"/>
        </w:rPr>
        <w:t xml:space="preserve"> </w:t>
      </w:r>
      <w:r w:rsidRPr="00645878">
        <w:rPr>
          <w:rFonts w:ascii="Times New Roman" w:hAnsi="Times New Roman"/>
        </w:rPr>
        <w:t>standing</w:t>
      </w:r>
      <w:r w:rsidR="00900061" w:rsidRPr="00645878">
        <w:rPr>
          <w:rFonts w:ascii="Times New Roman" w:hAnsi="Times New Roman"/>
        </w:rPr>
        <w:t xml:space="preserve"> </w:t>
      </w:r>
      <w:r w:rsidRPr="00645878">
        <w:rPr>
          <w:rFonts w:ascii="Times New Roman" w:hAnsi="Times New Roman"/>
        </w:rPr>
        <w:t>at</w:t>
      </w:r>
      <w:r w:rsidR="00900061" w:rsidRPr="00645878">
        <w:rPr>
          <w:rFonts w:ascii="Times New Roman" w:hAnsi="Times New Roman"/>
        </w:rPr>
        <w:t xml:space="preserve"> </w:t>
      </w:r>
      <w:r w:rsidRPr="00645878">
        <w:rPr>
          <w:rFonts w:ascii="Times New Roman" w:hAnsi="Times New Roman"/>
        </w:rPr>
        <w:t>54</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2014,</w:t>
      </w:r>
      <w:r w:rsidR="00900061" w:rsidRPr="00645878">
        <w:rPr>
          <w:rFonts w:ascii="Times New Roman" w:hAnsi="Times New Roman"/>
        </w:rPr>
        <w:t xml:space="preserve"> </w:t>
      </w:r>
      <w:r w:rsidRPr="00645878">
        <w:rPr>
          <w:rFonts w:ascii="Times New Roman" w:hAnsi="Times New Roman"/>
        </w:rPr>
        <w:t>but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number</w:t>
      </w:r>
      <w:r w:rsidR="00900061" w:rsidRPr="00645878">
        <w:rPr>
          <w:rFonts w:ascii="Times New Roman" w:hAnsi="Times New Roman"/>
        </w:rPr>
        <w:t xml:space="preserve"> </w:t>
      </w:r>
      <w:r w:rsidRPr="00645878">
        <w:rPr>
          <w:rFonts w:ascii="Times New Roman" w:hAnsi="Times New Roman"/>
        </w:rPr>
        <w:t>varies</w:t>
      </w:r>
      <w:r w:rsidR="00900061" w:rsidRPr="00645878">
        <w:rPr>
          <w:rFonts w:ascii="Times New Roman" w:hAnsi="Times New Roman"/>
        </w:rPr>
        <w:t xml:space="preserve"> </w:t>
      </w:r>
      <w:r w:rsidRPr="00645878">
        <w:rPr>
          <w:rFonts w:ascii="Times New Roman" w:hAnsi="Times New Roman"/>
        </w:rPr>
        <w:t>each</w:t>
      </w:r>
      <w:r w:rsidR="00900061" w:rsidRPr="00645878">
        <w:rPr>
          <w:rFonts w:ascii="Times New Roman" w:hAnsi="Times New Roman"/>
        </w:rPr>
        <w:t xml:space="preserve"> </w:t>
      </w:r>
      <w:r w:rsidRPr="00645878">
        <w:rPr>
          <w:rFonts w:ascii="Times New Roman" w:hAnsi="Times New Roman"/>
        </w:rPr>
        <w:t>year.</w:t>
      </w:r>
      <w:r w:rsidRPr="00645878">
        <w:rPr>
          <w:rStyle w:val="FootnoteReference"/>
          <w:rFonts w:ascii="Times New Roman" w:hAnsi="Times New Roman"/>
        </w:rPr>
        <w:footnoteReference w:id="2"/>
      </w:r>
      <w:r w:rsidR="00900061" w:rsidRPr="00645878">
        <w:rPr>
          <w:rFonts w:ascii="Times New Roman" w:hAnsi="Times New Roman"/>
        </w:rPr>
        <w:t xml:space="preserve"> </w:t>
      </w:r>
    </w:p>
    <w:p w14:paraId="138EE7F7" w14:textId="282FBC89" w:rsidR="00C97E10" w:rsidRPr="00645878" w:rsidRDefault="005F61FA"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have</w:t>
      </w:r>
      <w:r w:rsidR="00900061" w:rsidRPr="00645878">
        <w:rPr>
          <w:rFonts w:ascii="Times New Roman" w:hAnsi="Times New Roman"/>
          <w:b/>
        </w:rPr>
        <w:t xml:space="preserve"> </w:t>
      </w:r>
      <w:r w:rsidRPr="00645878">
        <w:rPr>
          <w:rFonts w:ascii="Times New Roman" w:hAnsi="Times New Roman"/>
          <w:b/>
        </w:rPr>
        <w:t>submitted</w:t>
      </w:r>
      <w:r w:rsidR="00900061" w:rsidRPr="00645878">
        <w:rPr>
          <w:rFonts w:ascii="Times New Roman" w:hAnsi="Times New Roman"/>
          <w:b/>
        </w:rPr>
        <w:t xml:space="preserve"> </w:t>
      </w:r>
      <w:r w:rsidRPr="00645878">
        <w:rPr>
          <w:rFonts w:ascii="Times New Roman" w:hAnsi="Times New Roman"/>
          <w:b/>
        </w:rPr>
        <w:t>their</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plans</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12064C" w:rsidRPr="00645878">
        <w:rPr>
          <w:rFonts w:ascii="Times New Roman" w:hAnsi="Times New Roman"/>
          <w:b/>
        </w:rPr>
        <w:t>MoF</w:t>
      </w:r>
      <w:r w:rsidR="00900061" w:rsidRPr="00645878">
        <w:rPr>
          <w:rFonts w:ascii="Times New Roman" w:hAnsi="Times New Roman"/>
          <w:b/>
        </w:rPr>
        <w:t xml:space="preserve"> </w:t>
      </w:r>
      <w:r w:rsidR="00B206BA" w:rsidRPr="00645878">
        <w:rPr>
          <w:rFonts w:ascii="Times New Roman" w:hAnsi="Times New Roman"/>
          <w:b/>
        </w:rPr>
        <w:t xml:space="preserve">on time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line</w:t>
      </w:r>
      <w:r w:rsidR="00900061" w:rsidRPr="00645878">
        <w:rPr>
          <w:rFonts w:ascii="Times New Roman" w:hAnsi="Times New Roman"/>
          <w:b/>
        </w:rPr>
        <w:t xml:space="preserve"> </w:t>
      </w:r>
      <w:r w:rsidRPr="00645878">
        <w:rPr>
          <w:rFonts w:ascii="Times New Roman" w:hAnsi="Times New Roman"/>
          <w:b/>
        </w:rPr>
        <w:t>with</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calendar</w:t>
      </w:r>
      <w:r w:rsidR="00900061" w:rsidRPr="00645878">
        <w:rPr>
          <w:rFonts w:ascii="Times New Roman" w:hAnsi="Times New Roman"/>
          <w:b/>
        </w:rPr>
        <w:t xml:space="preserve"> </w:t>
      </w:r>
      <w:r w:rsidRPr="00645878">
        <w:rPr>
          <w:rFonts w:ascii="Times New Roman" w:hAnsi="Times New Roman"/>
          <w:b/>
        </w:rPr>
        <w:t>over</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past</w:t>
      </w:r>
      <w:r w:rsidR="00900061" w:rsidRPr="00645878">
        <w:rPr>
          <w:rFonts w:ascii="Times New Roman" w:hAnsi="Times New Roman"/>
          <w:b/>
        </w:rPr>
        <w:t xml:space="preserve"> </w:t>
      </w:r>
      <w:r w:rsidRPr="00645878">
        <w:rPr>
          <w:rFonts w:ascii="Times New Roman" w:hAnsi="Times New Roman"/>
          <w:b/>
        </w:rPr>
        <w:t>three</w:t>
      </w:r>
      <w:r w:rsidR="00900061" w:rsidRPr="00645878">
        <w:rPr>
          <w:rFonts w:ascii="Times New Roman" w:hAnsi="Times New Roman"/>
          <w:b/>
        </w:rPr>
        <w:t xml:space="preserve"> </w:t>
      </w:r>
      <w:r w:rsidRPr="00645878">
        <w:rPr>
          <w:rFonts w:ascii="Times New Roman" w:hAnsi="Times New Roman"/>
          <w:b/>
        </w:rPr>
        <w:t>years.</w:t>
      </w:r>
      <w:r w:rsidR="00900061" w:rsidRPr="00645878">
        <w:rPr>
          <w:rFonts w:ascii="Times New Roman" w:hAnsi="Times New Roman"/>
        </w:rPr>
        <w:t xml:space="preserve"> </w:t>
      </w:r>
      <w:r w:rsidRPr="00645878">
        <w:rPr>
          <w:rFonts w:ascii="Times New Roman" w:hAnsi="Times New Roman"/>
        </w:rPr>
        <w:t>Track</w:t>
      </w:r>
      <w:r w:rsidR="00900061" w:rsidRPr="00645878">
        <w:rPr>
          <w:rFonts w:ascii="Times New Roman" w:hAnsi="Times New Roman"/>
        </w:rPr>
        <w:t xml:space="preserve"> </w:t>
      </w:r>
      <w:r w:rsidRPr="00645878">
        <w:rPr>
          <w:rFonts w:ascii="Times New Roman" w:hAnsi="Times New Roman"/>
        </w:rPr>
        <w:t>record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timeliness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submission</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approval</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National</w:t>
      </w:r>
      <w:r w:rsidR="00900061" w:rsidRPr="00645878">
        <w:rPr>
          <w:rFonts w:ascii="Times New Roman" w:hAnsi="Times New Roman"/>
        </w:rPr>
        <w:t xml:space="preserve"> </w:t>
      </w:r>
      <w:r w:rsidRPr="00645878">
        <w:rPr>
          <w:rFonts w:ascii="Times New Roman" w:hAnsi="Times New Roman"/>
        </w:rPr>
        <w:t>Assembly</w:t>
      </w:r>
      <w:r w:rsidR="00900061" w:rsidRPr="00645878">
        <w:rPr>
          <w:rFonts w:ascii="Times New Roman" w:hAnsi="Times New Roman"/>
        </w:rPr>
        <w:t xml:space="preserve"> </w:t>
      </w:r>
      <w:r w:rsidR="003C78A1" w:rsidRPr="00645878">
        <w:rPr>
          <w:rFonts w:ascii="Times New Roman" w:hAnsi="Times New Roman"/>
        </w:rPr>
        <w:t xml:space="preserve">(NA)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overall</w:t>
      </w:r>
      <w:r w:rsidR="00900061" w:rsidRPr="00645878">
        <w:rPr>
          <w:rFonts w:ascii="Times New Roman" w:hAnsi="Times New Roman"/>
        </w:rPr>
        <w:t xml:space="preserve"> </w:t>
      </w:r>
      <w:r w:rsidRPr="00645878">
        <w:rPr>
          <w:rFonts w:ascii="Times New Roman" w:hAnsi="Times New Roman"/>
        </w:rPr>
        <w:t>solid.</w:t>
      </w:r>
      <w:r w:rsidR="00900061" w:rsidRPr="00645878">
        <w:rPr>
          <w:rFonts w:ascii="Times New Roman" w:hAnsi="Times New Roman"/>
          <w:b/>
        </w:rPr>
        <w:t xml:space="preserve"> </w:t>
      </w:r>
      <w:r w:rsidRPr="00645878">
        <w:rPr>
          <w:rFonts w:ascii="Times New Roman" w:hAnsi="Times New Roman"/>
        </w:rPr>
        <w:t>While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submission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3C78A1"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00D76DED" w:rsidRPr="00645878">
        <w:rPr>
          <w:rFonts w:ascii="Times New Roman" w:hAnsi="Times New Roman"/>
        </w:rPr>
        <w:t xml:space="preserve">on </w:t>
      </w:r>
      <w:r w:rsidRPr="00645878">
        <w:rPr>
          <w:rFonts w:ascii="Times New Roman" w:hAnsi="Times New Roman"/>
        </w:rPr>
        <w:t>time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2013</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2014,</w:t>
      </w:r>
      <w:r w:rsidR="00900061" w:rsidRPr="00645878">
        <w:rPr>
          <w:rFonts w:ascii="Times New Roman" w:hAnsi="Times New Roman"/>
        </w:rPr>
        <w:t xml:space="preserve"> </w:t>
      </w:r>
      <w:r w:rsidRPr="00645878">
        <w:rPr>
          <w:rFonts w:ascii="Times New Roman" w:hAnsi="Times New Roman"/>
        </w:rPr>
        <w:t>submission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Pr="00645878">
        <w:rPr>
          <w:rFonts w:ascii="Times New Roman" w:hAnsi="Times New Roman"/>
        </w:rPr>
        <w:t>was</w:t>
      </w:r>
      <w:r w:rsidR="00900061" w:rsidRPr="00645878">
        <w:rPr>
          <w:rFonts w:ascii="Times New Roman" w:hAnsi="Times New Roman"/>
        </w:rPr>
        <w:t xml:space="preserve"> </w:t>
      </w:r>
      <w:r w:rsidRPr="00645878">
        <w:rPr>
          <w:rFonts w:ascii="Times New Roman" w:hAnsi="Times New Roman"/>
        </w:rPr>
        <w:t>delayed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limited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time</w:t>
      </w:r>
      <w:r w:rsidR="00900061" w:rsidRPr="00645878">
        <w:rPr>
          <w:rFonts w:ascii="Times New Roman" w:hAnsi="Times New Roman"/>
        </w:rPr>
        <w:t xml:space="preserve"> </w:t>
      </w:r>
      <w:r w:rsidRPr="00645878">
        <w:rPr>
          <w:rFonts w:ascii="Times New Roman" w:hAnsi="Times New Roman"/>
        </w:rPr>
        <w:t>available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legislative</w:t>
      </w:r>
      <w:r w:rsidR="00900061" w:rsidRPr="00645878">
        <w:rPr>
          <w:rFonts w:ascii="Times New Roman" w:hAnsi="Times New Roman"/>
        </w:rPr>
        <w:t xml:space="preserve"> </w:t>
      </w:r>
      <w:r w:rsidRPr="00645878">
        <w:rPr>
          <w:rFonts w:ascii="Times New Roman" w:hAnsi="Times New Roman"/>
        </w:rPr>
        <w:t>review.</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positive</w:t>
      </w:r>
      <w:r w:rsidR="00900061" w:rsidRPr="00645878">
        <w:rPr>
          <w:rFonts w:ascii="Times New Roman" w:hAnsi="Times New Roman"/>
        </w:rPr>
        <w:t xml:space="preserve"> </w:t>
      </w:r>
      <w:r w:rsidRPr="00645878">
        <w:rPr>
          <w:rFonts w:ascii="Times New Roman" w:hAnsi="Times New Roman"/>
        </w:rPr>
        <w:t>note,</w:t>
      </w:r>
      <w:r w:rsidR="00900061" w:rsidRPr="00645878">
        <w:rPr>
          <w:rFonts w:ascii="Times New Roman" w:hAnsi="Times New Roman"/>
        </w:rPr>
        <w:t xml:space="preserve"> </w:t>
      </w:r>
      <w:r w:rsidRPr="00645878">
        <w:rPr>
          <w:rFonts w:ascii="Times New Roman" w:hAnsi="Times New Roman"/>
        </w:rPr>
        <w:t>budgets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coming</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recent</w:t>
      </w:r>
      <w:r w:rsidR="00900061" w:rsidRPr="00645878">
        <w:rPr>
          <w:rFonts w:ascii="Times New Roman" w:hAnsi="Times New Roman"/>
        </w:rPr>
        <w:t xml:space="preserve"> </w:t>
      </w:r>
      <w:r w:rsidRPr="00645878">
        <w:rPr>
          <w:rFonts w:ascii="Times New Roman" w:hAnsi="Times New Roman"/>
        </w:rPr>
        <w:t>past</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consistently</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adopted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6D39F0" w:rsidRPr="00645878">
        <w:rPr>
          <w:rFonts w:ascii="Times New Roman" w:hAnsi="Times New Roman"/>
        </w:rPr>
        <w:t>p</w:t>
      </w:r>
      <w:r w:rsidRPr="00645878">
        <w:rPr>
          <w:rFonts w:ascii="Times New Roman" w:hAnsi="Times New Roman"/>
        </w:rPr>
        <w:t>arliament</w:t>
      </w:r>
      <w:r w:rsidR="00900061" w:rsidRPr="00645878">
        <w:rPr>
          <w:rFonts w:ascii="Times New Roman" w:hAnsi="Times New Roman"/>
        </w:rPr>
        <w:t xml:space="preserve"> </w:t>
      </w:r>
      <w:r w:rsidRPr="00645878">
        <w:rPr>
          <w:rFonts w:ascii="Times New Roman" w:hAnsi="Times New Roman"/>
        </w:rPr>
        <w:t>before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current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007D4F13"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007D4F13" w:rsidRPr="00645878">
        <w:rPr>
          <w:rFonts w:ascii="Times New Roman" w:hAnsi="Times New Roman"/>
        </w:rPr>
        <w:t>L</w:t>
      </w:r>
      <w:r w:rsidRPr="00645878">
        <w:rPr>
          <w:rFonts w:ascii="Times New Roman" w:hAnsi="Times New Roman"/>
        </w:rPr>
        <w:t>aw</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2016</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adopted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December</w:t>
      </w:r>
      <w:r w:rsidR="00900061" w:rsidRPr="00645878">
        <w:rPr>
          <w:rFonts w:ascii="Times New Roman" w:hAnsi="Times New Roman"/>
        </w:rPr>
        <w:t xml:space="preserve"> </w:t>
      </w:r>
      <w:r w:rsidRPr="00645878">
        <w:rPr>
          <w:rFonts w:ascii="Times New Roman" w:hAnsi="Times New Roman"/>
        </w:rPr>
        <w:t>11</w:t>
      </w:r>
      <w:r w:rsidR="00B206BA"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plans</w:t>
      </w:r>
      <w:r w:rsidR="00900061" w:rsidRPr="00645878">
        <w:rPr>
          <w:rFonts w:ascii="Times New Roman" w:hAnsi="Times New Roman"/>
        </w:rPr>
        <w:t xml:space="preserve"> </w:t>
      </w:r>
      <w:r w:rsidR="00F66D55" w:rsidRPr="00645878">
        <w:rPr>
          <w:rFonts w:ascii="Times New Roman" w:hAnsi="Times New Roman"/>
        </w:rPr>
        <w:t xml:space="preserve">that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prepare</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subject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MoF’s</w:t>
      </w:r>
      <w:r w:rsidR="00900061" w:rsidRPr="00645878">
        <w:rPr>
          <w:rFonts w:ascii="Times New Roman" w:hAnsi="Times New Roman"/>
        </w:rPr>
        <w:t xml:space="preserve"> </w:t>
      </w:r>
      <w:r w:rsidRPr="00645878">
        <w:rPr>
          <w:rFonts w:ascii="Times New Roman" w:hAnsi="Times New Roman"/>
        </w:rPr>
        <w:t>scrutiny</w:t>
      </w:r>
      <w:r w:rsidR="00900061" w:rsidRPr="00645878">
        <w:rPr>
          <w:rFonts w:ascii="Times New Roman" w:hAnsi="Times New Roman"/>
        </w:rPr>
        <w:t xml:space="preserve"> </w:t>
      </w:r>
      <w:r w:rsidRPr="00645878">
        <w:rPr>
          <w:rFonts w:ascii="Times New Roman" w:hAnsi="Times New Roman"/>
        </w:rPr>
        <w:t>when</w:t>
      </w:r>
      <w:r w:rsidR="00900061" w:rsidRPr="00645878">
        <w:rPr>
          <w:rFonts w:ascii="Times New Roman" w:hAnsi="Times New Roman"/>
        </w:rPr>
        <w:t xml:space="preserve"> </w:t>
      </w:r>
      <w:r w:rsidR="008024EF" w:rsidRPr="00645878">
        <w:rPr>
          <w:rFonts w:ascii="Times New Roman" w:hAnsi="Times New Roman"/>
        </w:rPr>
        <w:t xml:space="preserve">it comes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specific</w:t>
      </w:r>
      <w:r w:rsidR="00900061" w:rsidRPr="00645878">
        <w:rPr>
          <w:rFonts w:ascii="Times New Roman" w:hAnsi="Times New Roman"/>
        </w:rPr>
        <w:t xml:space="preserve"> </w:t>
      </w:r>
      <w:r w:rsidRPr="00645878">
        <w:rPr>
          <w:rFonts w:ascii="Times New Roman" w:hAnsi="Times New Roman"/>
        </w:rPr>
        <w:t>entity’s</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r w:rsidRPr="00645878">
        <w:rPr>
          <w:rFonts w:ascii="Times New Roman" w:hAnsi="Times New Roman"/>
        </w:rPr>
        <w:t>lacks</w:t>
      </w:r>
      <w:r w:rsidR="00900061" w:rsidRPr="00645878">
        <w:rPr>
          <w:rFonts w:ascii="Times New Roman" w:hAnsi="Times New Roman"/>
        </w:rPr>
        <w:t xml:space="preserve"> </w:t>
      </w:r>
      <w:r w:rsidRPr="00645878">
        <w:rPr>
          <w:rFonts w:ascii="Times New Roman" w:hAnsi="Times New Roman"/>
        </w:rPr>
        <w:t>better</w:t>
      </w:r>
      <w:r w:rsidR="00900061" w:rsidRPr="00645878">
        <w:rPr>
          <w:rFonts w:ascii="Times New Roman" w:hAnsi="Times New Roman"/>
        </w:rPr>
        <w:t xml:space="preserve"> </w:t>
      </w:r>
      <w:r w:rsidRPr="00645878">
        <w:rPr>
          <w:rFonts w:ascii="Times New Roman" w:hAnsi="Times New Roman"/>
        </w:rPr>
        <w:t>two-way</w:t>
      </w:r>
      <w:r w:rsidR="00900061" w:rsidRPr="00645878">
        <w:rPr>
          <w:rFonts w:ascii="Times New Roman" w:hAnsi="Times New Roman"/>
        </w:rPr>
        <w:t xml:space="preserve"> </w:t>
      </w:r>
      <w:r w:rsidRPr="00645878">
        <w:rPr>
          <w:rFonts w:ascii="Times New Roman" w:hAnsi="Times New Roman"/>
        </w:rPr>
        <w:t>communication.</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risk</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mitigated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fact</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committed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inclusion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Severance</w:t>
      </w:r>
      <w:r w:rsidR="00900061" w:rsidRPr="00645878">
        <w:rPr>
          <w:rFonts w:ascii="Times New Roman" w:hAnsi="Times New Roman"/>
        </w:rPr>
        <w:t xml:space="preserve"> </w:t>
      </w:r>
      <w:r w:rsidRPr="00645878">
        <w:rPr>
          <w:rFonts w:ascii="Times New Roman" w:hAnsi="Times New Roman"/>
        </w:rPr>
        <w:t>cost</w:t>
      </w:r>
      <w:r w:rsidR="00900061" w:rsidRPr="00645878">
        <w:rPr>
          <w:rFonts w:ascii="Times New Roman" w:hAnsi="Times New Roman"/>
        </w:rPr>
        <w:t xml:space="preserve"> </w:t>
      </w:r>
      <w:r w:rsidR="00F228DA" w:rsidRPr="00645878">
        <w:rPr>
          <w:rFonts w:ascii="Times New Roman" w:hAnsi="Times New Roman"/>
        </w:rPr>
        <w:t xml:space="preserve">adds </w:t>
      </w:r>
      <w:r w:rsidRPr="00645878">
        <w:rPr>
          <w:rFonts w:ascii="Times New Roman" w:hAnsi="Times New Roman"/>
        </w:rPr>
        <w:t>up</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80</w:t>
      </w:r>
      <w:r w:rsidR="00950355" w:rsidRPr="00645878">
        <w:rPr>
          <w:rFonts w:ascii="Times New Roman" w:hAnsi="Times New Roman"/>
        </w:rPr>
        <w:t xml:space="preserve"> percent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financed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loan</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inclusion</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00423C4E" w:rsidRPr="00645878">
        <w:rPr>
          <w:rFonts w:ascii="Times New Roman" w:hAnsi="Times New Roman"/>
        </w:rPr>
        <w:t>the next three</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rather</w:t>
      </w:r>
      <w:r w:rsidR="00900061" w:rsidRPr="00645878">
        <w:rPr>
          <w:rFonts w:ascii="Times New Roman" w:hAnsi="Times New Roman"/>
        </w:rPr>
        <w:t xml:space="preserve"> </w:t>
      </w:r>
      <w:r w:rsidRPr="00645878">
        <w:rPr>
          <w:rFonts w:ascii="Times New Roman" w:hAnsi="Times New Roman"/>
        </w:rPr>
        <w:t>certain.</w:t>
      </w:r>
      <w:r w:rsidR="00900061" w:rsidRPr="00645878">
        <w:rPr>
          <w:rFonts w:ascii="Times New Roman" w:hAnsi="Times New Roman"/>
        </w:rPr>
        <w:t xml:space="preserve"> </w:t>
      </w:r>
      <w:r w:rsidR="00F228DA" w:rsidRPr="00645878">
        <w:rPr>
          <w:rFonts w:ascii="Times New Roman" w:hAnsi="Times New Roman"/>
        </w:rPr>
        <w:t xml:space="preserve">The </w:t>
      </w:r>
      <w:r w:rsidRPr="00645878">
        <w:rPr>
          <w:rFonts w:ascii="Times New Roman" w:hAnsi="Times New Roman"/>
        </w:rPr>
        <w:t>Budget</w:t>
      </w:r>
      <w:r w:rsidR="00900061" w:rsidRPr="00645878">
        <w:rPr>
          <w:rFonts w:ascii="Times New Roman" w:hAnsi="Times New Roman"/>
        </w:rPr>
        <w:t xml:space="preserve"> </w:t>
      </w:r>
      <w:r w:rsidR="00F228DA" w:rsidRPr="00645878">
        <w:rPr>
          <w:rFonts w:ascii="Times New Roman" w:hAnsi="Times New Roman"/>
        </w:rPr>
        <w:t>D</w:t>
      </w:r>
      <w:r w:rsidRPr="00645878">
        <w:rPr>
          <w:rFonts w:ascii="Times New Roman" w:hAnsi="Times New Roman"/>
        </w:rPr>
        <w:t>epartment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2064C" w:rsidRPr="00645878">
        <w:rPr>
          <w:rFonts w:ascii="Times New Roman" w:hAnsi="Times New Roman"/>
        </w:rPr>
        <w:t>MoF</w:t>
      </w:r>
      <w:r w:rsidR="00F228DA"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charge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preparing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F228DA"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understaffed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should</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strengthened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coming</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ensure</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process.</w:t>
      </w:r>
      <w:r w:rsidR="00900061" w:rsidRPr="00645878">
        <w:rPr>
          <w:rFonts w:ascii="Times New Roman" w:hAnsi="Times New Roman"/>
        </w:rPr>
        <w:t xml:space="preserve"> </w:t>
      </w:r>
    </w:p>
    <w:p w14:paraId="6C65A726" w14:textId="3EFB7185" w:rsidR="00C97E10" w:rsidRPr="00645878" w:rsidRDefault="00C97E10"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Medium-term</w:t>
      </w:r>
      <w:r w:rsidR="00900061" w:rsidRPr="00645878">
        <w:rPr>
          <w:rFonts w:ascii="Times New Roman" w:hAnsi="Times New Roman"/>
          <w:b/>
        </w:rPr>
        <w:t xml:space="preserve"> </w:t>
      </w:r>
      <w:r w:rsidR="00447EF7" w:rsidRPr="00645878">
        <w:rPr>
          <w:rFonts w:ascii="Times New Roman" w:hAnsi="Times New Roman"/>
          <w:b/>
        </w:rPr>
        <w:t>E</w:t>
      </w:r>
      <w:r w:rsidRPr="00645878">
        <w:rPr>
          <w:rFonts w:ascii="Times New Roman" w:hAnsi="Times New Roman"/>
          <w:b/>
        </w:rPr>
        <w:t>xpenditure</w:t>
      </w:r>
      <w:r w:rsidR="00900061" w:rsidRPr="00645878">
        <w:rPr>
          <w:rFonts w:ascii="Times New Roman" w:hAnsi="Times New Roman"/>
          <w:b/>
        </w:rPr>
        <w:t xml:space="preserve"> </w:t>
      </w:r>
      <w:r w:rsidR="00447EF7" w:rsidRPr="00645878">
        <w:rPr>
          <w:rFonts w:ascii="Times New Roman" w:hAnsi="Times New Roman"/>
          <w:b/>
        </w:rPr>
        <w:t>F</w:t>
      </w:r>
      <w:r w:rsidRPr="00645878">
        <w:rPr>
          <w:rFonts w:ascii="Times New Roman" w:hAnsi="Times New Roman"/>
          <w:b/>
        </w:rPr>
        <w:t>ramework</w:t>
      </w:r>
      <w:r w:rsidR="00900061" w:rsidRPr="00645878">
        <w:rPr>
          <w:rFonts w:ascii="Times New Roman" w:hAnsi="Times New Roman"/>
          <w:b/>
        </w:rPr>
        <w:t xml:space="preserve"> </w:t>
      </w:r>
      <w:r w:rsidRPr="00645878">
        <w:rPr>
          <w:rFonts w:ascii="Times New Roman" w:hAnsi="Times New Roman"/>
          <w:b/>
        </w:rPr>
        <w:t>(MTEF)</w:t>
      </w:r>
      <w:r w:rsidR="00900061" w:rsidRPr="00645878">
        <w:rPr>
          <w:rFonts w:ascii="Times New Roman" w:hAnsi="Times New Roman"/>
          <w:b/>
        </w:rPr>
        <w:t xml:space="preserve"> </w:t>
      </w:r>
      <w:r w:rsidRPr="00645878">
        <w:rPr>
          <w:rFonts w:ascii="Times New Roman" w:hAnsi="Times New Roman"/>
          <w:b/>
        </w:rPr>
        <w:t>estimates</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ceilings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generally</w:t>
      </w:r>
      <w:r w:rsidR="00900061" w:rsidRPr="00645878">
        <w:rPr>
          <w:rFonts w:ascii="Times New Roman" w:hAnsi="Times New Roman"/>
          <w:b/>
        </w:rPr>
        <w:t xml:space="preserve"> </w:t>
      </w:r>
      <w:r w:rsidRPr="00645878">
        <w:rPr>
          <w:rFonts w:ascii="Times New Roman" w:hAnsi="Times New Roman"/>
          <w:b/>
        </w:rPr>
        <w:t>ineffective</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providing</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starting</w:t>
      </w:r>
      <w:r w:rsidR="00900061" w:rsidRPr="00645878">
        <w:rPr>
          <w:rFonts w:ascii="Times New Roman" w:hAnsi="Times New Roman"/>
          <w:b/>
        </w:rPr>
        <w:t xml:space="preserve"> </w:t>
      </w:r>
      <w:r w:rsidRPr="00645878">
        <w:rPr>
          <w:rFonts w:ascii="Times New Roman" w:hAnsi="Times New Roman"/>
          <w:b/>
        </w:rPr>
        <w:t>point</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preparation</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00423C4E" w:rsidRPr="00645878">
        <w:rPr>
          <w:rFonts w:ascii="Times New Roman" w:hAnsi="Times New Roman"/>
          <w:b/>
        </w:rPr>
        <w:t xml:space="preserve">the </w:t>
      </w:r>
      <w:r w:rsidRPr="00645878">
        <w:rPr>
          <w:rFonts w:ascii="Times New Roman" w:hAnsi="Times New Roman"/>
          <w:b/>
        </w:rPr>
        <w:t>following</w:t>
      </w:r>
      <w:r w:rsidR="00900061" w:rsidRPr="00645878">
        <w:rPr>
          <w:rFonts w:ascii="Times New Roman" w:hAnsi="Times New Roman"/>
          <w:b/>
        </w:rPr>
        <w:t xml:space="preserve"> </w:t>
      </w:r>
      <w:r w:rsidRPr="00645878">
        <w:rPr>
          <w:rFonts w:ascii="Times New Roman" w:hAnsi="Times New Roman"/>
          <w:b/>
        </w:rPr>
        <w:t>years’</w:t>
      </w:r>
      <w:r w:rsidR="00900061" w:rsidRPr="00645878">
        <w:rPr>
          <w:rFonts w:ascii="Times New Roman" w:hAnsi="Times New Roman"/>
          <w:b/>
        </w:rPr>
        <w:t xml:space="preserve"> </w:t>
      </w:r>
      <w:r w:rsidRPr="00645878">
        <w:rPr>
          <w:rFonts w:ascii="Times New Roman" w:hAnsi="Times New Roman"/>
          <w:b/>
        </w:rPr>
        <w:t>budgets.</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three-year</w:t>
      </w:r>
      <w:r w:rsidR="00900061" w:rsidRPr="00645878">
        <w:rPr>
          <w:rFonts w:ascii="Times New Roman" w:hAnsi="Times New Roman"/>
        </w:rPr>
        <w:t xml:space="preserve"> </w:t>
      </w:r>
      <w:r w:rsidR="00447EF7" w:rsidRPr="00645878">
        <w:rPr>
          <w:rFonts w:ascii="Times New Roman" w:hAnsi="Times New Roman"/>
        </w:rPr>
        <w:t>E</w:t>
      </w:r>
      <w:r w:rsidRPr="00645878">
        <w:rPr>
          <w:rFonts w:ascii="Times New Roman" w:hAnsi="Times New Roman"/>
        </w:rPr>
        <w:t>xpenditure</w:t>
      </w:r>
      <w:r w:rsidR="00900061" w:rsidRPr="00645878">
        <w:rPr>
          <w:rFonts w:ascii="Times New Roman" w:hAnsi="Times New Roman"/>
        </w:rPr>
        <w:t xml:space="preserve"> </w:t>
      </w:r>
      <w:r w:rsidR="00447EF7" w:rsidRPr="00645878">
        <w:rPr>
          <w:rFonts w:ascii="Times New Roman" w:hAnsi="Times New Roman"/>
        </w:rPr>
        <w:t>F</w:t>
      </w:r>
      <w:r w:rsidRPr="00645878">
        <w:rPr>
          <w:rFonts w:ascii="Times New Roman" w:hAnsi="Times New Roman"/>
        </w:rPr>
        <w:t>ramework</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place,</w:t>
      </w:r>
      <w:r w:rsidR="00900061" w:rsidRPr="00645878">
        <w:rPr>
          <w:rFonts w:ascii="Times New Roman" w:hAnsi="Times New Roman"/>
        </w:rPr>
        <w:t xml:space="preserve"> </w:t>
      </w:r>
      <w:r w:rsidRPr="00645878">
        <w:rPr>
          <w:rFonts w:ascii="Times New Roman" w:hAnsi="Times New Roman"/>
        </w:rPr>
        <w:t>articulated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Pr="00645878">
        <w:rPr>
          <w:rFonts w:ascii="Times New Roman" w:hAnsi="Times New Roman"/>
        </w:rPr>
        <w:t>’s</w:t>
      </w:r>
      <w:r w:rsidR="00900061" w:rsidRPr="00645878">
        <w:rPr>
          <w:rFonts w:ascii="Times New Roman" w:hAnsi="Times New Roman"/>
        </w:rPr>
        <w:t xml:space="preserve"> </w:t>
      </w:r>
      <w:r w:rsidRPr="00645878">
        <w:rPr>
          <w:rFonts w:ascii="Times New Roman" w:hAnsi="Times New Roman"/>
        </w:rPr>
        <w:t>Fiscal</w:t>
      </w:r>
      <w:r w:rsidR="00900061" w:rsidRPr="00645878">
        <w:rPr>
          <w:rFonts w:ascii="Times New Roman" w:hAnsi="Times New Roman"/>
        </w:rPr>
        <w:t xml:space="preserve"> </w:t>
      </w:r>
      <w:r w:rsidRPr="00645878">
        <w:rPr>
          <w:rFonts w:ascii="Times New Roman" w:hAnsi="Times New Roman"/>
        </w:rPr>
        <w:t>Strategy,</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reviewed</w:t>
      </w:r>
      <w:r w:rsidR="00900061" w:rsidRPr="00645878">
        <w:rPr>
          <w:rFonts w:ascii="Times New Roman" w:hAnsi="Times New Roman"/>
        </w:rPr>
        <w:t xml:space="preserve"> </w:t>
      </w:r>
      <w:r w:rsidRPr="00645878">
        <w:rPr>
          <w:rFonts w:ascii="Times New Roman" w:hAnsi="Times New Roman"/>
        </w:rPr>
        <w:t>but</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adopted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3C78A1" w:rsidRPr="00645878">
        <w:rPr>
          <w:rFonts w:ascii="Times New Roman" w:hAnsi="Times New Roman"/>
        </w:rPr>
        <w:t>NA</w:t>
      </w:r>
      <w:r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absence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procedures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enforcement,</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largely</w:t>
      </w:r>
      <w:r w:rsidR="00900061" w:rsidRPr="00645878">
        <w:rPr>
          <w:rFonts w:ascii="Times New Roman" w:hAnsi="Times New Roman"/>
        </w:rPr>
        <w:t xml:space="preserve"> </w:t>
      </w:r>
      <w:r w:rsidRPr="00645878">
        <w:rPr>
          <w:rFonts w:ascii="Times New Roman" w:hAnsi="Times New Roman"/>
        </w:rPr>
        <w:t>do</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operate</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MTEF</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projections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two</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following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observed.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actual</w:t>
      </w:r>
      <w:r w:rsidR="00900061" w:rsidRPr="00645878">
        <w:rPr>
          <w:rFonts w:ascii="Times New Roman" w:hAnsi="Times New Roman"/>
        </w:rPr>
        <w:t xml:space="preserve"> </w:t>
      </w:r>
      <w:r w:rsidRPr="00645878">
        <w:rPr>
          <w:rFonts w:ascii="Times New Roman" w:hAnsi="Times New Roman"/>
        </w:rPr>
        <w:t>outturns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past</w:t>
      </w:r>
      <w:r w:rsidR="00900061" w:rsidRPr="00645878">
        <w:rPr>
          <w:rFonts w:ascii="Times New Roman" w:hAnsi="Times New Roman"/>
        </w:rPr>
        <w:t xml:space="preserve"> </w:t>
      </w:r>
      <w:r w:rsidRPr="00645878">
        <w:rPr>
          <w:rFonts w:ascii="Times New Roman" w:hAnsi="Times New Roman"/>
        </w:rPr>
        <w:t>projected</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imply</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00F228DA" w:rsidRPr="00645878">
        <w:rPr>
          <w:rFonts w:ascii="Times New Roman" w:hAnsi="Times New Roman"/>
        </w:rPr>
        <w:t xml:space="preserve">the </w:t>
      </w:r>
      <w:r w:rsidRPr="00645878">
        <w:rPr>
          <w:rFonts w:ascii="Times New Roman" w:hAnsi="Times New Roman"/>
        </w:rPr>
        <w:t>MTEF-set</w:t>
      </w:r>
      <w:r w:rsidR="00900061" w:rsidRPr="00645878">
        <w:rPr>
          <w:rFonts w:ascii="Times New Roman" w:hAnsi="Times New Roman"/>
        </w:rPr>
        <w:t xml:space="preserve"> </w:t>
      </w:r>
      <w:r w:rsidRPr="00645878">
        <w:rPr>
          <w:rFonts w:ascii="Times New Roman" w:hAnsi="Times New Roman"/>
        </w:rPr>
        <w:t>ceilings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indicative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largely</w:t>
      </w:r>
      <w:r w:rsidR="00900061" w:rsidRPr="00645878">
        <w:rPr>
          <w:rFonts w:ascii="Times New Roman" w:hAnsi="Times New Roman"/>
        </w:rPr>
        <w:t xml:space="preserve"> </w:t>
      </w:r>
      <w:r w:rsidRPr="00645878">
        <w:rPr>
          <w:rFonts w:ascii="Times New Roman" w:hAnsi="Times New Roman"/>
        </w:rPr>
        <w:t>inconsequential</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medium-term</w:t>
      </w:r>
      <w:r w:rsidR="00900061" w:rsidRPr="00645878">
        <w:rPr>
          <w:rFonts w:ascii="Times New Roman" w:hAnsi="Times New Roman"/>
        </w:rPr>
        <w:t xml:space="preserve"> </w:t>
      </w:r>
      <w:r w:rsidRPr="00645878">
        <w:rPr>
          <w:rFonts w:ascii="Times New Roman" w:hAnsi="Times New Roman"/>
        </w:rPr>
        <w:t>planning</w:t>
      </w:r>
      <w:r w:rsidR="00900061" w:rsidRPr="00645878">
        <w:rPr>
          <w:rFonts w:ascii="Times New Roman" w:hAnsi="Times New Roman"/>
        </w:rPr>
        <w:t xml:space="preserve"> </w:t>
      </w:r>
      <w:r w:rsidRPr="00645878">
        <w:rPr>
          <w:rFonts w:ascii="Times New Roman" w:hAnsi="Times New Roman"/>
        </w:rPr>
        <w:t>instrument.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mitigate</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risk</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targeting</w:t>
      </w:r>
      <w:r w:rsidR="00900061" w:rsidRPr="00645878">
        <w:rPr>
          <w:rFonts w:ascii="Times New Roman" w:hAnsi="Times New Roman"/>
        </w:rPr>
        <w:t xml:space="preserve"> </w:t>
      </w:r>
      <w:r w:rsidRPr="00645878">
        <w:rPr>
          <w:rFonts w:ascii="Times New Roman" w:hAnsi="Times New Roman"/>
        </w:rPr>
        <w:t>key</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rograms/</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activities</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indicated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447EF7" w:rsidRPr="00645878">
        <w:rPr>
          <w:rFonts w:ascii="Times New Roman" w:hAnsi="Times New Roman"/>
        </w:rPr>
        <w:t>E</w:t>
      </w:r>
      <w:r w:rsidRPr="00645878">
        <w:rPr>
          <w:rFonts w:ascii="Times New Roman" w:hAnsi="Times New Roman"/>
        </w:rPr>
        <w:t>xpenditure</w:t>
      </w:r>
      <w:r w:rsidR="00900061" w:rsidRPr="00645878">
        <w:rPr>
          <w:rFonts w:ascii="Times New Roman" w:hAnsi="Times New Roman"/>
        </w:rPr>
        <w:t xml:space="preserve"> </w:t>
      </w:r>
      <w:r w:rsidR="00447EF7" w:rsidRPr="00645878">
        <w:rPr>
          <w:rFonts w:ascii="Times New Roman" w:hAnsi="Times New Roman"/>
        </w:rPr>
        <w:t>F</w:t>
      </w:r>
      <w:r w:rsidRPr="00645878">
        <w:rPr>
          <w:rFonts w:ascii="Times New Roman" w:hAnsi="Times New Roman"/>
        </w:rPr>
        <w:t>ramework,</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relatively</w:t>
      </w:r>
      <w:r w:rsidR="00900061" w:rsidRPr="00645878">
        <w:rPr>
          <w:rFonts w:ascii="Times New Roman" w:hAnsi="Times New Roman"/>
        </w:rPr>
        <w:t xml:space="preserve"> </w:t>
      </w:r>
      <w:r w:rsidRPr="00645878">
        <w:rPr>
          <w:rFonts w:ascii="Times New Roman" w:hAnsi="Times New Roman"/>
        </w:rPr>
        <w:t>high</w:t>
      </w:r>
      <w:r w:rsidR="00900061" w:rsidRPr="00645878">
        <w:rPr>
          <w:rFonts w:ascii="Times New Roman" w:hAnsi="Times New Roman"/>
        </w:rPr>
        <w:t xml:space="preserve"> </w:t>
      </w:r>
      <w:r w:rsidRPr="00645878">
        <w:rPr>
          <w:rFonts w:ascii="Times New Roman" w:hAnsi="Times New Roman"/>
        </w:rPr>
        <w:t>certainty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being</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over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period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realistic</w:t>
      </w:r>
      <w:r w:rsidR="00900061" w:rsidRPr="00645878">
        <w:rPr>
          <w:rFonts w:ascii="Times New Roman" w:hAnsi="Times New Roman"/>
        </w:rPr>
        <w:t xml:space="preserve"> </w:t>
      </w:r>
      <w:r w:rsidRPr="00645878">
        <w:rPr>
          <w:rFonts w:ascii="Times New Roman" w:hAnsi="Times New Roman"/>
        </w:rPr>
        <w:t>cost</w:t>
      </w:r>
      <w:r w:rsidR="00900061" w:rsidRPr="00645878">
        <w:rPr>
          <w:rFonts w:ascii="Times New Roman" w:hAnsi="Times New Roman"/>
        </w:rPr>
        <w:t xml:space="preserve"> </w:t>
      </w:r>
      <w:r w:rsidRPr="00645878">
        <w:rPr>
          <w:rFonts w:ascii="Times New Roman" w:hAnsi="Times New Roman"/>
        </w:rPr>
        <w:t>estimates</w:t>
      </w:r>
      <w:r w:rsidR="00900061" w:rsidRPr="00645878">
        <w:rPr>
          <w:rFonts w:ascii="Times New Roman" w:hAnsi="Times New Roman"/>
        </w:rPr>
        <w:t xml:space="preserve"> </w:t>
      </w:r>
      <w:r w:rsidRPr="00645878">
        <w:rPr>
          <w:rFonts w:ascii="Times New Roman" w:hAnsi="Times New Roman"/>
        </w:rPr>
        <w:t>available.</w:t>
      </w:r>
    </w:p>
    <w:p w14:paraId="12CA5465" w14:textId="54EE79E3" w:rsidR="007F1DBA" w:rsidRPr="00645878" w:rsidRDefault="00B03657"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Revenue</w:t>
      </w:r>
      <w:r w:rsidR="00900061" w:rsidRPr="00645878">
        <w:rPr>
          <w:rFonts w:ascii="Times New Roman" w:hAnsi="Times New Roman"/>
          <w:b/>
        </w:rPr>
        <w:t xml:space="preserve"> </w:t>
      </w:r>
      <w:r w:rsidRPr="00645878">
        <w:rPr>
          <w:rFonts w:ascii="Times New Roman" w:hAnsi="Times New Roman"/>
          <w:b/>
        </w:rPr>
        <w:t>outturn</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not</w:t>
      </w:r>
      <w:r w:rsidR="00900061" w:rsidRPr="00645878">
        <w:rPr>
          <w:rFonts w:ascii="Times New Roman" w:hAnsi="Times New Roman"/>
          <w:b/>
        </w:rPr>
        <w:t xml:space="preserve"> </w:t>
      </w:r>
      <w:r w:rsidRPr="00645878">
        <w:rPr>
          <w:rFonts w:ascii="Times New Roman" w:hAnsi="Times New Roman"/>
          <w:b/>
        </w:rPr>
        <w:t>necessarily</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line</w:t>
      </w:r>
      <w:r w:rsidR="00900061" w:rsidRPr="00645878">
        <w:rPr>
          <w:rFonts w:ascii="Times New Roman" w:hAnsi="Times New Roman"/>
          <w:b/>
        </w:rPr>
        <w:t xml:space="preserve"> </w:t>
      </w:r>
      <w:r w:rsidRPr="00645878">
        <w:rPr>
          <w:rFonts w:ascii="Times New Roman" w:hAnsi="Times New Roman"/>
          <w:b/>
        </w:rPr>
        <w:t>with</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budgeted</w:t>
      </w:r>
      <w:r w:rsidR="00900061" w:rsidRPr="00645878">
        <w:rPr>
          <w:rFonts w:ascii="Times New Roman" w:hAnsi="Times New Roman"/>
          <w:b/>
        </w:rPr>
        <w:t xml:space="preserve"> </w:t>
      </w:r>
      <w:r w:rsidRPr="00645878">
        <w:rPr>
          <w:rFonts w:ascii="Times New Roman" w:hAnsi="Times New Roman"/>
          <w:b/>
        </w:rPr>
        <w:t>forecasts.</w:t>
      </w:r>
      <w:r w:rsidR="00900061" w:rsidRPr="00645878">
        <w:rPr>
          <w:rFonts w:ascii="Times New Roman" w:hAnsi="Times New Roman"/>
          <w:b/>
        </w:rPr>
        <w:t xml:space="preserve"> </w:t>
      </w:r>
      <w:r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domestic</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referred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7D4F13" w:rsidRPr="00645878">
        <w:rPr>
          <w:rFonts w:ascii="Times New Roman" w:hAnsi="Times New Roman"/>
        </w:rPr>
        <w:t>A</w:t>
      </w:r>
      <w:r w:rsidRPr="00645878">
        <w:rPr>
          <w:rFonts w:ascii="Times New Roman" w:hAnsi="Times New Roman"/>
        </w:rPr>
        <w:t>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Pr="00645878">
        <w:rPr>
          <w:rFonts w:ascii="Times New Roman" w:hAnsi="Times New Roman"/>
        </w:rPr>
        <w:t>include</w:t>
      </w:r>
      <w:r w:rsidR="00900061" w:rsidRPr="00645878">
        <w:rPr>
          <w:rFonts w:ascii="Times New Roman" w:hAnsi="Times New Roman"/>
        </w:rPr>
        <w:t xml:space="preserve"> </w:t>
      </w:r>
      <w:r w:rsidRPr="00645878">
        <w:rPr>
          <w:rFonts w:ascii="Times New Roman" w:hAnsi="Times New Roman"/>
        </w:rPr>
        <w:t>tax</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nontax</w:t>
      </w:r>
      <w:r w:rsidR="00900061" w:rsidRPr="00645878">
        <w:rPr>
          <w:rFonts w:ascii="Times New Roman" w:hAnsi="Times New Roman"/>
        </w:rPr>
        <w:t xml:space="preserve"> </w:t>
      </w:r>
      <w:r w:rsidRPr="00645878">
        <w:rPr>
          <w:rFonts w:ascii="Times New Roman" w:hAnsi="Times New Roman"/>
        </w:rPr>
        <w:t>revenues</w:t>
      </w:r>
      <w:r w:rsidR="00A751B2"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grants.</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including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own</w:t>
      </w:r>
      <w:r w:rsidR="00900061" w:rsidRPr="00645878">
        <w:rPr>
          <w:rFonts w:ascii="Times New Roman" w:hAnsi="Times New Roman"/>
        </w:rPr>
        <w:t xml:space="preserve"> </w:t>
      </w:r>
      <w:r w:rsidRPr="00645878">
        <w:rPr>
          <w:rFonts w:ascii="Times New Roman" w:hAnsi="Times New Roman"/>
        </w:rPr>
        <w:t>generated</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00D311C0" w:rsidRPr="00645878">
        <w:rPr>
          <w:rFonts w:ascii="Times New Roman" w:hAnsi="Times New Roman"/>
        </w:rPr>
        <w:t>DBBs and IBBs</w:t>
      </w:r>
      <w:r w:rsidR="00F228DA"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deposited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registered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reported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year-end</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well</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institutional</w:t>
      </w:r>
      <w:r w:rsidR="00900061" w:rsidRPr="00645878">
        <w:rPr>
          <w:rFonts w:ascii="Times New Roman" w:hAnsi="Times New Roman"/>
        </w:rPr>
        <w:t xml:space="preserve"> </w:t>
      </w:r>
      <w:r w:rsidRPr="00645878">
        <w:rPr>
          <w:rFonts w:ascii="Times New Roman" w:hAnsi="Times New Roman"/>
        </w:rPr>
        <w:t>or</w:t>
      </w:r>
      <w:r w:rsidR="00900061" w:rsidRPr="00645878">
        <w:rPr>
          <w:rFonts w:ascii="Times New Roman" w:hAnsi="Times New Roman"/>
        </w:rPr>
        <w:t xml:space="preserve"> </w:t>
      </w:r>
      <w:r w:rsidRPr="00645878">
        <w:rPr>
          <w:rFonts w:ascii="Times New Roman" w:hAnsi="Times New Roman"/>
        </w:rPr>
        <w:t>sectoral</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when</w:t>
      </w:r>
      <w:r w:rsidR="00900061" w:rsidRPr="00645878">
        <w:rPr>
          <w:rFonts w:ascii="Times New Roman" w:hAnsi="Times New Roman"/>
        </w:rPr>
        <w:t xml:space="preserve"> </w:t>
      </w:r>
      <w:r w:rsidRPr="00645878">
        <w:rPr>
          <w:rFonts w:ascii="Times New Roman" w:hAnsi="Times New Roman"/>
        </w:rPr>
        <w:t>applicable.</w:t>
      </w:r>
      <w:r w:rsidR="00900061" w:rsidRPr="00645878">
        <w:rPr>
          <w:rFonts w:ascii="Times New Roman" w:hAnsi="Times New Roman"/>
        </w:rPr>
        <w:t xml:space="preserve"> </w:t>
      </w:r>
      <w:r w:rsidRPr="00645878">
        <w:rPr>
          <w:rFonts w:ascii="Times New Roman" w:hAnsi="Times New Roman"/>
        </w:rPr>
        <w:t>However,</w:t>
      </w:r>
      <w:r w:rsidR="00900061" w:rsidRPr="00645878">
        <w:rPr>
          <w:rFonts w:ascii="Times New Roman" w:hAnsi="Times New Roman"/>
        </w:rPr>
        <w:t xml:space="preserve"> </w:t>
      </w:r>
      <w:r w:rsidRPr="00645878">
        <w:rPr>
          <w:rFonts w:ascii="Times New Roman" w:hAnsi="Times New Roman"/>
        </w:rPr>
        <w:t>variance</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Pr="00645878">
        <w:rPr>
          <w:rFonts w:ascii="Times New Roman" w:hAnsi="Times New Roman"/>
        </w:rPr>
        <w:t>budgeted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actual</w:t>
      </w:r>
      <w:r w:rsidR="00900061" w:rsidRPr="00645878">
        <w:rPr>
          <w:rFonts w:ascii="Times New Roman" w:hAnsi="Times New Roman"/>
        </w:rPr>
        <w:t xml:space="preserve"> </w:t>
      </w:r>
      <w:r w:rsidRPr="00645878">
        <w:rPr>
          <w:rFonts w:ascii="Times New Roman" w:hAnsi="Times New Roman"/>
        </w:rPr>
        <w:t>domestic</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reported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recent</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illustrating</w:t>
      </w:r>
      <w:r w:rsidR="00900061" w:rsidRPr="00645878">
        <w:rPr>
          <w:rFonts w:ascii="Times New Roman" w:hAnsi="Times New Roman"/>
        </w:rPr>
        <w:t xml:space="preserve"> </w:t>
      </w:r>
      <w:r w:rsidRPr="00645878">
        <w:rPr>
          <w:rFonts w:ascii="Times New Roman" w:hAnsi="Times New Roman"/>
        </w:rPr>
        <w:t>an</w:t>
      </w:r>
      <w:r w:rsidR="00900061" w:rsidRPr="00645878">
        <w:rPr>
          <w:rFonts w:ascii="Times New Roman" w:hAnsi="Times New Roman"/>
        </w:rPr>
        <w:t xml:space="preserve"> </w:t>
      </w:r>
      <w:r w:rsidRPr="00645878">
        <w:rPr>
          <w:rFonts w:ascii="Times New Roman" w:hAnsi="Times New Roman"/>
        </w:rPr>
        <w:t>uneven</w:t>
      </w:r>
      <w:r w:rsidR="00900061" w:rsidRPr="00645878">
        <w:rPr>
          <w:rFonts w:ascii="Times New Roman" w:hAnsi="Times New Roman"/>
        </w:rPr>
        <w:t xml:space="preserve"> </w:t>
      </w:r>
      <w:r w:rsidRPr="00645878">
        <w:rPr>
          <w:rFonts w:ascii="Times New Roman" w:hAnsi="Times New Roman"/>
        </w:rPr>
        <w:t>trend.</w:t>
      </w:r>
      <w:r w:rsidR="00900061" w:rsidRPr="00645878">
        <w:rPr>
          <w:rFonts w:ascii="Times New Roman" w:hAnsi="Times New Roman"/>
        </w:rPr>
        <w:t xml:space="preserve"> </w:t>
      </w:r>
      <w:r w:rsidRPr="00645878">
        <w:rPr>
          <w:rFonts w:ascii="Times New Roman" w:hAnsi="Times New Roman"/>
        </w:rPr>
        <w:t>None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directly</w:t>
      </w:r>
      <w:r w:rsidR="00900061" w:rsidRPr="00645878">
        <w:rPr>
          <w:rFonts w:ascii="Times New Roman" w:hAnsi="Times New Roman"/>
        </w:rPr>
        <w:t xml:space="preserve"> </w:t>
      </w:r>
      <w:r w:rsidRPr="00645878">
        <w:rPr>
          <w:rFonts w:ascii="Times New Roman" w:hAnsi="Times New Roman"/>
        </w:rPr>
        <w:t>charged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revenue</w:t>
      </w:r>
      <w:r w:rsidR="00900061" w:rsidRPr="00645878">
        <w:rPr>
          <w:rFonts w:ascii="Times New Roman" w:hAnsi="Times New Roman"/>
        </w:rPr>
        <w:t xml:space="preserve"> </w:t>
      </w:r>
      <w:r w:rsidRPr="00645878">
        <w:rPr>
          <w:rFonts w:ascii="Times New Roman" w:hAnsi="Times New Roman"/>
        </w:rPr>
        <w:t>collection</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any</w:t>
      </w:r>
      <w:r w:rsidR="00900061" w:rsidRPr="00645878">
        <w:rPr>
          <w:rFonts w:ascii="Times New Roman" w:hAnsi="Times New Roman"/>
        </w:rPr>
        <w:t xml:space="preserve"> </w:t>
      </w:r>
      <w:r w:rsidRPr="00645878">
        <w:rPr>
          <w:rFonts w:ascii="Times New Roman" w:hAnsi="Times New Roman"/>
        </w:rPr>
        <w:t>generated</w:t>
      </w:r>
      <w:r w:rsidR="00900061" w:rsidRPr="00645878">
        <w:rPr>
          <w:rFonts w:ascii="Times New Roman" w:hAnsi="Times New Roman"/>
        </w:rPr>
        <w:t xml:space="preserve"> </w:t>
      </w:r>
      <w:r w:rsidRPr="00645878">
        <w:rPr>
          <w:rFonts w:ascii="Times New Roman" w:hAnsi="Times New Roman"/>
        </w:rPr>
        <w:t>own-source</w:t>
      </w:r>
      <w:r w:rsidR="00900061" w:rsidRPr="00645878">
        <w:rPr>
          <w:rFonts w:ascii="Times New Roman" w:hAnsi="Times New Roman"/>
        </w:rPr>
        <w:t xml:space="preserve"> </w:t>
      </w:r>
      <w:r w:rsidRPr="00645878">
        <w:rPr>
          <w:rFonts w:ascii="Times New Roman" w:hAnsi="Times New Roman"/>
        </w:rPr>
        <w:t>revenues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earmarked.</w:t>
      </w:r>
      <w:r w:rsidR="00900061" w:rsidRPr="00645878">
        <w:rPr>
          <w:rFonts w:ascii="Times New Roman" w:hAnsi="Times New Roman"/>
        </w:rPr>
        <w:t xml:space="preserve"> </w:t>
      </w:r>
      <w:r w:rsidR="00FC5056" w:rsidRPr="00645878">
        <w:rPr>
          <w:rFonts w:ascii="Times New Roman" w:hAnsi="Times New Roman"/>
        </w:rPr>
        <w:t>Revenue</w:t>
      </w:r>
      <w:r w:rsidR="00900061" w:rsidRPr="00645878">
        <w:rPr>
          <w:rFonts w:ascii="Times New Roman" w:hAnsi="Times New Roman"/>
        </w:rPr>
        <w:t xml:space="preserve"> </w:t>
      </w:r>
      <w:r w:rsidR="00FC5056" w:rsidRPr="00645878">
        <w:rPr>
          <w:rFonts w:ascii="Times New Roman" w:hAnsi="Times New Roman"/>
        </w:rPr>
        <w:t>shortfall</w:t>
      </w:r>
      <w:r w:rsidR="00900061" w:rsidRPr="00645878">
        <w:rPr>
          <w:rFonts w:ascii="Times New Roman" w:hAnsi="Times New Roman"/>
        </w:rPr>
        <w:t xml:space="preserve"> </w:t>
      </w:r>
      <w:r w:rsidR="00FC5056" w:rsidRPr="00645878">
        <w:rPr>
          <w:rFonts w:ascii="Times New Roman" w:hAnsi="Times New Roman"/>
        </w:rPr>
        <w:t>to</w:t>
      </w:r>
      <w:r w:rsidR="00900061" w:rsidRPr="00645878">
        <w:rPr>
          <w:rFonts w:ascii="Times New Roman" w:hAnsi="Times New Roman"/>
        </w:rPr>
        <w:t xml:space="preserve"> </w:t>
      </w:r>
      <w:r w:rsidR="00FC5056" w:rsidRPr="00645878">
        <w:rPr>
          <w:rFonts w:ascii="Times New Roman" w:hAnsi="Times New Roman"/>
        </w:rPr>
        <w:t>the</w:t>
      </w:r>
      <w:r w:rsidR="00900061" w:rsidRPr="00645878">
        <w:rPr>
          <w:rFonts w:ascii="Times New Roman" w:hAnsi="Times New Roman"/>
        </w:rPr>
        <w:t xml:space="preserve"> </w:t>
      </w:r>
      <w:r w:rsidR="00FC5056" w:rsidRPr="00645878">
        <w:rPr>
          <w:rFonts w:ascii="Times New Roman" w:hAnsi="Times New Roman"/>
        </w:rPr>
        <w:t>budgeted</w:t>
      </w:r>
      <w:r w:rsidR="00900061" w:rsidRPr="00645878">
        <w:rPr>
          <w:rFonts w:ascii="Times New Roman" w:hAnsi="Times New Roman"/>
        </w:rPr>
        <w:t xml:space="preserve"> </w:t>
      </w:r>
      <w:r w:rsidR="00FC5056" w:rsidRPr="00645878">
        <w:rPr>
          <w:rFonts w:ascii="Times New Roman" w:hAnsi="Times New Roman"/>
        </w:rPr>
        <w:t>figure</w:t>
      </w:r>
      <w:r w:rsidR="00900061" w:rsidRPr="00645878">
        <w:rPr>
          <w:rFonts w:ascii="Times New Roman" w:hAnsi="Times New Roman"/>
        </w:rPr>
        <w:t xml:space="preserve"> </w:t>
      </w:r>
      <w:r w:rsidR="00FC5056" w:rsidRPr="00645878">
        <w:rPr>
          <w:rFonts w:ascii="Times New Roman" w:hAnsi="Times New Roman"/>
        </w:rPr>
        <w:t>can</w:t>
      </w:r>
      <w:r w:rsidR="00900061" w:rsidRPr="00645878">
        <w:rPr>
          <w:rFonts w:ascii="Times New Roman" w:hAnsi="Times New Roman"/>
        </w:rPr>
        <w:t xml:space="preserve"> </w:t>
      </w:r>
      <w:r w:rsidR="00FC5056" w:rsidRPr="00645878">
        <w:rPr>
          <w:rFonts w:ascii="Times New Roman" w:hAnsi="Times New Roman"/>
        </w:rPr>
        <w:t>lead</w:t>
      </w:r>
      <w:r w:rsidR="00900061" w:rsidRPr="00645878">
        <w:rPr>
          <w:rFonts w:ascii="Times New Roman" w:hAnsi="Times New Roman"/>
        </w:rPr>
        <w:t xml:space="preserve"> </w:t>
      </w:r>
      <w:r w:rsidR="00FC5056" w:rsidRPr="00645878">
        <w:rPr>
          <w:rFonts w:ascii="Times New Roman" w:hAnsi="Times New Roman"/>
        </w:rPr>
        <w:t>to</w:t>
      </w:r>
      <w:r w:rsidR="00900061" w:rsidRPr="00645878">
        <w:rPr>
          <w:rFonts w:ascii="Times New Roman" w:hAnsi="Times New Roman"/>
        </w:rPr>
        <w:t xml:space="preserve"> </w:t>
      </w:r>
      <w:r w:rsidR="00FC5056" w:rsidRPr="00645878">
        <w:rPr>
          <w:rFonts w:ascii="Times New Roman" w:hAnsi="Times New Roman"/>
        </w:rPr>
        <w:t>decreasing</w:t>
      </w:r>
      <w:r w:rsidR="00900061" w:rsidRPr="00645878">
        <w:rPr>
          <w:rFonts w:ascii="Times New Roman" w:hAnsi="Times New Roman"/>
        </w:rPr>
        <w:t xml:space="preserve"> </w:t>
      </w:r>
      <w:r w:rsidR="00FC5056" w:rsidRPr="00645878">
        <w:rPr>
          <w:rFonts w:ascii="Times New Roman" w:hAnsi="Times New Roman"/>
        </w:rPr>
        <w:t>budgeted</w:t>
      </w:r>
      <w:r w:rsidR="00900061" w:rsidRPr="00645878">
        <w:rPr>
          <w:rFonts w:ascii="Times New Roman" w:hAnsi="Times New Roman"/>
        </w:rPr>
        <w:t xml:space="preserve"> </w:t>
      </w:r>
      <w:r w:rsidR="00FC5056" w:rsidRPr="00645878">
        <w:rPr>
          <w:rFonts w:ascii="Times New Roman" w:hAnsi="Times New Roman"/>
        </w:rPr>
        <w:t>expenditures</w:t>
      </w:r>
      <w:r w:rsidR="00900061" w:rsidRPr="00645878">
        <w:rPr>
          <w:rFonts w:ascii="Times New Roman" w:hAnsi="Times New Roman"/>
        </w:rPr>
        <w:t xml:space="preserve"> </w:t>
      </w:r>
      <w:r w:rsidR="00FC5056" w:rsidRPr="00645878">
        <w:rPr>
          <w:rFonts w:ascii="Times New Roman" w:hAnsi="Times New Roman"/>
        </w:rPr>
        <w:t>through</w:t>
      </w:r>
      <w:r w:rsidR="00900061" w:rsidRPr="00645878">
        <w:rPr>
          <w:rFonts w:ascii="Times New Roman" w:hAnsi="Times New Roman"/>
        </w:rPr>
        <w:t xml:space="preserve"> </w:t>
      </w:r>
      <w:r w:rsidR="00FC5056" w:rsidRPr="00645878">
        <w:rPr>
          <w:rFonts w:ascii="Times New Roman" w:hAnsi="Times New Roman"/>
        </w:rPr>
        <w:t>supplementary</w:t>
      </w:r>
      <w:r w:rsidR="00900061" w:rsidRPr="00645878">
        <w:rPr>
          <w:rFonts w:ascii="Times New Roman" w:hAnsi="Times New Roman"/>
        </w:rPr>
        <w:t xml:space="preserve"> </w:t>
      </w:r>
      <w:r w:rsidR="00FC5056" w:rsidRPr="00645878">
        <w:rPr>
          <w:rFonts w:ascii="Times New Roman" w:hAnsi="Times New Roman"/>
        </w:rPr>
        <w:t>budgets</w:t>
      </w:r>
      <w:r w:rsidR="00900061" w:rsidRPr="00645878">
        <w:rPr>
          <w:rFonts w:ascii="Times New Roman" w:hAnsi="Times New Roman"/>
        </w:rPr>
        <w:t xml:space="preserve"> </w:t>
      </w:r>
      <w:r w:rsidR="006F5734" w:rsidRPr="00645878">
        <w:rPr>
          <w:rFonts w:ascii="Times New Roman" w:hAnsi="Times New Roman"/>
        </w:rPr>
        <w:t>and</w:t>
      </w:r>
      <w:r w:rsidR="00900061" w:rsidRPr="00645878">
        <w:rPr>
          <w:rFonts w:ascii="Times New Roman" w:hAnsi="Times New Roman"/>
        </w:rPr>
        <w:t xml:space="preserve"> </w:t>
      </w:r>
      <w:r w:rsidR="006F5734" w:rsidRPr="00645878">
        <w:rPr>
          <w:rFonts w:ascii="Times New Roman" w:hAnsi="Times New Roman"/>
        </w:rPr>
        <w:t>hence</w:t>
      </w:r>
      <w:r w:rsidR="00C257A4" w:rsidRPr="00645878">
        <w:rPr>
          <w:rFonts w:ascii="Times New Roman" w:hAnsi="Times New Roman"/>
        </w:rPr>
        <w:t>,</w:t>
      </w:r>
      <w:r w:rsidR="00900061" w:rsidRPr="00645878">
        <w:rPr>
          <w:rFonts w:ascii="Times New Roman" w:hAnsi="Times New Roman"/>
        </w:rPr>
        <w:t xml:space="preserve"> </w:t>
      </w:r>
      <w:r w:rsidR="006F5734" w:rsidRPr="00645878">
        <w:rPr>
          <w:rFonts w:ascii="Times New Roman" w:hAnsi="Times New Roman"/>
        </w:rPr>
        <w:t>pose</w:t>
      </w:r>
      <w:r w:rsidR="00900061" w:rsidRPr="00645878">
        <w:rPr>
          <w:rFonts w:ascii="Times New Roman" w:hAnsi="Times New Roman"/>
        </w:rPr>
        <w:t xml:space="preserve"> </w:t>
      </w:r>
      <w:r w:rsidR="006F5734" w:rsidRPr="00645878">
        <w:rPr>
          <w:rFonts w:ascii="Times New Roman" w:hAnsi="Times New Roman"/>
        </w:rPr>
        <w:t>a</w:t>
      </w:r>
      <w:r w:rsidR="00900061" w:rsidRPr="00645878">
        <w:rPr>
          <w:rFonts w:ascii="Times New Roman" w:hAnsi="Times New Roman"/>
        </w:rPr>
        <w:t xml:space="preserve"> </w:t>
      </w:r>
      <w:r w:rsidR="006F5734" w:rsidRPr="00645878">
        <w:rPr>
          <w:rFonts w:ascii="Times New Roman" w:hAnsi="Times New Roman"/>
        </w:rPr>
        <w:t>risk</w:t>
      </w:r>
      <w:r w:rsidR="00900061" w:rsidRPr="00645878">
        <w:rPr>
          <w:rFonts w:ascii="Times New Roman" w:hAnsi="Times New Roman"/>
        </w:rPr>
        <w:t xml:space="preserve"> </w:t>
      </w:r>
      <w:r w:rsidR="006F5734" w:rsidRPr="00645878">
        <w:rPr>
          <w:rFonts w:ascii="Times New Roman" w:hAnsi="Times New Roman"/>
        </w:rPr>
        <w:t>to</w:t>
      </w:r>
      <w:r w:rsidR="00900061" w:rsidRPr="00645878">
        <w:rPr>
          <w:rFonts w:ascii="Times New Roman" w:hAnsi="Times New Roman"/>
        </w:rPr>
        <w:t xml:space="preserve"> </w:t>
      </w:r>
      <w:r w:rsidR="00802ACD" w:rsidRPr="00645878">
        <w:rPr>
          <w:rFonts w:ascii="Times New Roman" w:hAnsi="Times New Roman"/>
        </w:rPr>
        <w:t xml:space="preserve">the </w:t>
      </w:r>
      <w:r w:rsidR="001E41F4" w:rsidRPr="00645878">
        <w:rPr>
          <w:rFonts w:ascii="Times New Roman" w:hAnsi="Times New Roman"/>
        </w:rPr>
        <w:t>P</w:t>
      </w:r>
      <w:r w:rsidR="006F5734" w:rsidRPr="00645878">
        <w:rPr>
          <w:rFonts w:ascii="Times New Roman" w:hAnsi="Times New Roman"/>
        </w:rPr>
        <w:t>rogram</w:t>
      </w:r>
      <w:r w:rsidR="00900061" w:rsidRPr="00645878">
        <w:rPr>
          <w:rFonts w:ascii="Times New Roman" w:hAnsi="Times New Roman"/>
        </w:rPr>
        <w:t xml:space="preserve"> </w:t>
      </w:r>
      <w:r w:rsidR="001E41F4" w:rsidRPr="00645878">
        <w:rPr>
          <w:rFonts w:ascii="Times New Roman" w:hAnsi="Times New Roman"/>
        </w:rPr>
        <w:t>E</w:t>
      </w:r>
      <w:r w:rsidR="006F5734" w:rsidRPr="00645878">
        <w:rPr>
          <w:rFonts w:ascii="Times New Roman" w:hAnsi="Times New Roman"/>
        </w:rPr>
        <w:t>xpenditure</w:t>
      </w:r>
      <w:r w:rsidR="00900061" w:rsidRPr="00645878">
        <w:rPr>
          <w:rFonts w:ascii="Times New Roman" w:hAnsi="Times New Roman"/>
        </w:rPr>
        <w:t xml:space="preserve"> </w:t>
      </w:r>
      <w:r w:rsidR="001E41F4" w:rsidRPr="00645878">
        <w:rPr>
          <w:rFonts w:ascii="Times New Roman" w:hAnsi="Times New Roman"/>
        </w:rPr>
        <w:t>F</w:t>
      </w:r>
      <w:r w:rsidR="006F5734" w:rsidRPr="00645878">
        <w:rPr>
          <w:rFonts w:ascii="Times New Roman" w:hAnsi="Times New Roman"/>
        </w:rPr>
        <w:t>ramework</w:t>
      </w:r>
      <w:r w:rsidR="00900061" w:rsidRPr="00645878">
        <w:rPr>
          <w:rFonts w:ascii="Times New Roman" w:hAnsi="Times New Roman"/>
        </w:rPr>
        <w:t xml:space="preserve"> </w:t>
      </w:r>
      <w:r w:rsidR="006F5734" w:rsidRPr="00645878">
        <w:rPr>
          <w:rFonts w:ascii="Times New Roman" w:hAnsi="Times New Roman"/>
        </w:rPr>
        <w:t>being</w:t>
      </w:r>
      <w:r w:rsidR="00900061" w:rsidRPr="00645878">
        <w:rPr>
          <w:rFonts w:ascii="Times New Roman" w:hAnsi="Times New Roman"/>
        </w:rPr>
        <w:t xml:space="preserve"> </w:t>
      </w:r>
      <w:r w:rsidR="006F5734" w:rsidRPr="00645878">
        <w:rPr>
          <w:rFonts w:ascii="Times New Roman" w:hAnsi="Times New Roman"/>
        </w:rPr>
        <w:t>implemented</w:t>
      </w:r>
      <w:r w:rsidR="00C257A4" w:rsidRPr="00645878">
        <w:rPr>
          <w:rFonts w:ascii="Times New Roman" w:hAnsi="Times New Roman"/>
        </w:rPr>
        <w:t>;</w:t>
      </w:r>
      <w:r w:rsidR="00900061" w:rsidRPr="00645878">
        <w:rPr>
          <w:rFonts w:ascii="Times New Roman" w:hAnsi="Times New Roman"/>
        </w:rPr>
        <w:t xml:space="preserve"> </w:t>
      </w:r>
      <w:r w:rsidR="006F5734" w:rsidRPr="00645878">
        <w:rPr>
          <w:rFonts w:ascii="Times New Roman" w:hAnsi="Times New Roman"/>
        </w:rPr>
        <w:t>however</w:t>
      </w:r>
      <w:r w:rsidR="00C257A4" w:rsidRPr="00645878">
        <w:rPr>
          <w:rFonts w:ascii="Times New Roman" w:hAnsi="Times New Roman"/>
        </w:rPr>
        <w:t>,</w:t>
      </w:r>
      <w:r w:rsidR="00900061" w:rsidRPr="00645878">
        <w:rPr>
          <w:rFonts w:ascii="Times New Roman" w:hAnsi="Times New Roman"/>
        </w:rPr>
        <w:t xml:space="preserve"> </w:t>
      </w:r>
      <w:r w:rsidR="00FC5056" w:rsidRPr="00645878">
        <w:rPr>
          <w:rFonts w:ascii="Times New Roman" w:hAnsi="Times New Roman"/>
        </w:rPr>
        <w:t>this</w:t>
      </w:r>
      <w:r w:rsidR="00900061" w:rsidRPr="00645878">
        <w:rPr>
          <w:rFonts w:ascii="Times New Roman" w:hAnsi="Times New Roman"/>
        </w:rPr>
        <w:t xml:space="preserve"> </w:t>
      </w:r>
      <w:r w:rsidR="00FC5056" w:rsidRPr="00645878">
        <w:rPr>
          <w:rFonts w:ascii="Times New Roman" w:hAnsi="Times New Roman"/>
        </w:rPr>
        <w:t>has</w:t>
      </w:r>
      <w:r w:rsidR="00900061" w:rsidRPr="00645878">
        <w:rPr>
          <w:rFonts w:ascii="Times New Roman" w:hAnsi="Times New Roman"/>
        </w:rPr>
        <w:t xml:space="preserve"> </w:t>
      </w:r>
      <w:r w:rsidR="00FC5056" w:rsidRPr="00645878">
        <w:rPr>
          <w:rFonts w:ascii="Times New Roman" w:hAnsi="Times New Roman"/>
        </w:rPr>
        <w:t>not</w:t>
      </w:r>
      <w:r w:rsidR="00900061" w:rsidRPr="00645878">
        <w:rPr>
          <w:rFonts w:ascii="Times New Roman" w:hAnsi="Times New Roman"/>
        </w:rPr>
        <w:t xml:space="preserve"> </w:t>
      </w:r>
      <w:r w:rsidR="00FC5056" w:rsidRPr="00645878">
        <w:rPr>
          <w:rFonts w:ascii="Times New Roman" w:hAnsi="Times New Roman"/>
        </w:rPr>
        <w:t>happened</w:t>
      </w:r>
      <w:r w:rsidR="00900061" w:rsidRPr="00645878">
        <w:rPr>
          <w:rFonts w:ascii="Times New Roman" w:hAnsi="Times New Roman"/>
        </w:rPr>
        <w:t xml:space="preserve"> </w:t>
      </w:r>
      <w:r w:rsidR="00FC5056" w:rsidRPr="00645878">
        <w:rPr>
          <w:rFonts w:ascii="Times New Roman" w:hAnsi="Times New Roman"/>
        </w:rPr>
        <w:t>frequently</w:t>
      </w:r>
      <w:r w:rsidR="00900061" w:rsidRPr="00645878">
        <w:rPr>
          <w:rFonts w:ascii="Times New Roman" w:hAnsi="Times New Roman"/>
        </w:rPr>
        <w:t xml:space="preserve"> </w:t>
      </w:r>
      <w:r w:rsidR="00FC5056" w:rsidRPr="00645878">
        <w:rPr>
          <w:rFonts w:ascii="Times New Roman" w:hAnsi="Times New Roman"/>
        </w:rPr>
        <w:t>as</w:t>
      </w:r>
      <w:r w:rsidR="00900061" w:rsidRPr="00645878">
        <w:rPr>
          <w:rFonts w:ascii="Times New Roman" w:hAnsi="Times New Roman"/>
        </w:rPr>
        <w:t xml:space="preserve"> </w:t>
      </w:r>
      <w:r w:rsidR="00FC5056" w:rsidRPr="00645878">
        <w:rPr>
          <w:rFonts w:ascii="Times New Roman" w:hAnsi="Times New Roman"/>
        </w:rPr>
        <w:t>reaching</w:t>
      </w:r>
      <w:r w:rsidR="00900061" w:rsidRPr="00645878">
        <w:rPr>
          <w:rFonts w:ascii="Times New Roman" w:hAnsi="Times New Roman"/>
        </w:rPr>
        <w:t xml:space="preserve"> </w:t>
      </w:r>
      <w:r w:rsidR="00FC5056" w:rsidRPr="00645878">
        <w:rPr>
          <w:rFonts w:ascii="Times New Roman" w:hAnsi="Times New Roman"/>
        </w:rPr>
        <w:t>toward</w:t>
      </w:r>
      <w:r w:rsidR="00900061" w:rsidRPr="00645878">
        <w:rPr>
          <w:rFonts w:ascii="Times New Roman" w:hAnsi="Times New Roman"/>
        </w:rPr>
        <w:t xml:space="preserve"> </w:t>
      </w:r>
      <w:r w:rsidR="00FC5056" w:rsidRPr="00645878">
        <w:rPr>
          <w:rFonts w:ascii="Times New Roman" w:hAnsi="Times New Roman"/>
        </w:rPr>
        <w:t>other</w:t>
      </w:r>
      <w:r w:rsidR="00900061" w:rsidRPr="00645878">
        <w:rPr>
          <w:rFonts w:ascii="Times New Roman" w:hAnsi="Times New Roman"/>
        </w:rPr>
        <w:t xml:space="preserve"> </w:t>
      </w:r>
      <w:r w:rsidR="00FC5056" w:rsidRPr="00645878">
        <w:rPr>
          <w:rFonts w:ascii="Times New Roman" w:hAnsi="Times New Roman"/>
        </w:rPr>
        <w:t>sources</w:t>
      </w:r>
      <w:r w:rsidR="00900061" w:rsidRPr="00645878">
        <w:rPr>
          <w:rFonts w:ascii="Times New Roman" w:hAnsi="Times New Roman"/>
        </w:rPr>
        <w:t xml:space="preserve"> </w:t>
      </w:r>
      <w:r w:rsidR="00FC5056" w:rsidRPr="00645878">
        <w:rPr>
          <w:rFonts w:ascii="Times New Roman" w:hAnsi="Times New Roman"/>
        </w:rPr>
        <w:t>of</w:t>
      </w:r>
      <w:r w:rsidR="00900061" w:rsidRPr="00645878">
        <w:rPr>
          <w:rFonts w:ascii="Times New Roman" w:hAnsi="Times New Roman"/>
        </w:rPr>
        <w:t xml:space="preserve"> </w:t>
      </w:r>
      <w:r w:rsidR="00FC5056" w:rsidRPr="00645878">
        <w:rPr>
          <w:rFonts w:ascii="Times New Roman" w:hAnsi="Times New Roman"/>
        </w:rPr>
        <w:t>financing,</w:t>
      </w:r>
      <w:r w:rsidR="00900061" w:rsidRPr="00645878">
        <w:rPr>
          <w:rFonts w:ascii="Times New Roman" w:hAnsi="Times New Roman"/>
        </w:rPr>
        <w:t xml:space="preserve"> </w:t>
      </w:r>
      <w:r w:rsidR="00FC5056" w:rsidRPr="00645878">
        <w:rPr>
          <w:rFonts w:ascii="Times New Roman" w:hAnsi="Times New Roman"/>
        </w:rPr>
        <w:t>such</w:t>
      </w:r>
      <w:r w:rsidR="00900061" w:rsidRPr="00645878">
        <w:rPr>
          <w:rFonts w:ascii="Times New Roman" w:hAnsi="Times New Roman"/>
        </w:rPr>
        <w:t xml:space="preserve"> </w:t>
      </w:r>
      <w:r w:rsidR="00FC5056" w:rsidRPr="00645878">
        <w:rPr>
          <w:rFonts w:ascii="Times New Roman" w:hAnsi="Times New Roman"/>
        </w:rPr>
        <w:t>as</w:t>
      </w:r>
      <w:r w:rsidR="00900061" w:rsidRPr="00645878">
        <w:rPr>
          <w:rFonts w:ascii="Times New Roman" w:hAnsi="Times New Roman"/>
        </w:rPr>
        <w:t xml:space="preserve"> </w:t>
      </w:r>
      <w:r w:rsidR="00FC5056" w:rsidRPr="00645878">
        <w:rPr>
          <w:rFonts w:ascii="Times New Roman" w:hAnsi="Times New Roman"/>
        </w:rPr>
        <w:t>debt</w:t>
      </w:r>
      <w:r w:rsidR="00900061" w:rsidRPr="00645878">
        <w:rPr>
          <w:rFonts w:ascii="Times New Roman" w:hAnsi="Times New Roman"/>
        </w:rPr>
        <w:t xml:space="preserve"> </w:t>
      </w:r>
      <w:r w:rsidR="00FC5056" w:rsidRPr="00645878">
        <w:rPr>
          <w:rFonts w:ascii="Times New Roman" w:hAnsi="Times New Roman"/>
        </w:rPr>
        <w:t>increase</w:t>
      </w:r>
      <w:r w:rsidR="00900061" w:rsidRPr="00645878">
        <w:rPr>
          <w:rFonts w:ascii="Times New Roman" w:hAnsi="Times New Roman"/>
        </w:rPr>
        <w:t xml:space="preserve"> </w:t>
      </w:r>
      <w:r w:rsidR="00FC5056" w:rsidRPr="00645878">
        <w:rPr>
          <w:rFonts w:ascii="Times New Roman" w:hAnsi="Times New Roman"/>
        </w:rPr>
        <w:t>was</w:t>
      </w:r>
      <w:r w:rsidR="00900061" w:rsidRPr="00645878">
        <w:rPr>
          <w:rFonts w:ascii="Times New Roman" w:hAnsi="Times New Roman"/>
        </w:rPr>
        <w:t xml:space="preserve"> </w:t>
      </w:r>
      <w:r w:rsidR="00FC5056" w:rsidRPr="00645878">
        <w:rPr>
          <w:rFonts w:ascii="Times New Roman" w:hAnsi="Times New Roman"/>
        </w:rPr>
        <w:t>the</w:t>
      </w:r>
      <w:r w:rsidR="00900061" w:rsidRPr="00645878">
        <w:rPr>
          <w:rFonts w:ascii="Times New Roman" w:hAnsi="Times New Roman"/>
        </w:rPr>
        <w:t xml:space="preserve"> </w:t>
      </w:r>
      <w:r w:rsidR="00FC5056" w:rsidRPr="00645878">
        <w:rPr>
          <w:rFonts w:ascii="Times New Roman" w:hAnsi="Times New Roman"/>
        </w:rPr>
        <w:t>most</w:t>
      </w:r>
      <w:r w:rsidR="00900061" w:rsidRPr="00645878">
        <w:rPr>
          <w:rFonts w:ascii="Times New Roman" w:hAnsi="Times New Roman"/>
        </w:rPr>
        <w:t xml:space="preserve"> </w:t>
      </w:r>
      <w:r w:rsidR="00FC5056" w:rsidRPr="00645878">
        <w:rPr>
          <w:rFonts w:ascii="Times New Roman" w:hAnsi="Times New Roman"/>
        </w:rPr>
        <w:t>common</w:t>
      </w:r>
      <w:r w:rsidR="00900061" w:rsidRPr="00645878">
        <w:rPr>
          <w:rFonts w:ascii="Times New Roman" w:hAnsi="Times New Roman"/>
        </w:rPr>
        <w:t xml:space="preserve"> </w:t>
      </w:r>
      <w:r w:rsidR="00FC5056" w:rsidRPr="00645878">
        <w:rPr>
          <w:rFonts w:ascii="Times New Roman" w:hAnsi="Times New Roman"/>
        </w:rPr>
        <w:t>measure</w:t>
      </w:r>
      <w:r w:rsidR="00900061" w:rsidRPr="00645878">
        <w:rPr>
          <w:rFonts w:ascii="Times New Roman" w:hAnsi="Times New Roman"/>
        </w:rPr>
        <w:t xml:space="preserve"> </w:t>
      </w:r>
      <w:r w:rsidR="00FC5056" w:rsidRPr="00645878">
        <w:rPr>
          <w:rFonts w:ascii="Times New Roman" w:hAnsi="Times New Roman"/>
        </w:rPr>
        <w:t>of</w:t>
      </w:r>
      <w:r w:rsidR="00900061" w:rsidRPr="00645878">
        <w:rPr>
          <w:rFonts w:ascii="Times New Roman" w:hAnsi="Times New Roman"/>
        </w:rPr>
        <w:t xml:space="preserve"> </w:t>
      </w:r>
      <w:r w:rsidR="00FC5056" w:rsidRPr="00645878">
        <w:rPr>
          <w:rFonts w:ascii="Times New Roman" w:hAnsi="Times New Roman"/>
        </w:rPr>
        <w:t>addressing</w:t>
      </w:r>
      <w:r w:rsidR="00900061" w:rsidRPr="00645878">
        <w:rPr>
          <w:rFonts w:ascii="Times New Roman" w:hAnsi="Times New Roman"/>
        </w:rPr>
        <w:t xml:space="preserve"> </w:t>
      </w:r>
      <w:r w:rsidR="00FC5056" w:rsidRPr="00645878">
        <w:rPr>
          <w:rFonts w:ascii="Times New Roman" w:hAnsi="Times New Roman"/>
        </w:rPr>
        <w:t>this</w:t>
      </w:r>
      <w:r w:rsidR="00900061" w:rsidRPr="00645878">
        <w:rPr>
          <w:rFonts w:ascii="Times New Roman" w:hAnsi="Times New Roman"/>
        </w:rPr>
        <w:t xml:space="preserve"> </w:t>
      </w:r>
      <w:r w:rsidR="00FC5056" w:rsidRPr="00645878">
        <w:rPr>
          <w:rFonts w:ascii="Times New Roman" w:hAnsi="Times New Roman"/>
        </w:rPr>
        <w:t>issue.</w:t>
      </w:r>
      <w:r w:rsidR="00900061" w:rsidRPr="00645878">
        <w:rPr>
          <w:rFonts w:ascii="Times New Roman" w:hAnsi="Times New Roman"/>
        </w:rPr>
        <w:t xml:space="preserve"> </w:t>
      </w:r>
    </w:p>
    <w:p w14:paraId="77145645" w14:textId="64DA1357" w:rsidR="007F1DBA" w:rsidRPr="00645878" w:rsidRDefault="00A14345"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lastRenderedPageBreak/>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do</w:t>
      </w:r>
      <w:r w:rsidR="00900061" w:rsidRPr="00645878">
        <w:rPr>
          <w:rFonts w:ascii="Times New Roman" w:hAnsi="Times New Roman"/>
          <w:b/>
        </w:rPr>
        <w:t xml:space="preserve"> </w:t>
      </w:r>
      <w:r w:rsidRPr="00645878">
        <w:rPr>
          <w:rFonts w:ascii="Times New Roman" w:hAnsi="Times New Roman"/>
          <w:b/>
        </w:rPr>
        <w:t>not</w:t>
      </w:r>
      <w:r w:rsidR="00900061" w:rsidRPr="00645878">
        <w:rPr>
          <w:rFonts w:ascii="Times New Roman" w:hAnsi="Times New Roman"/>
          <w:b/>
        </w:rPr>
        <w:t xml:space="preserve"> </w:t>
      </w:r>
      <w:r w:rsidRPr="00645878">
        <w:rPr>
          <w:rFonts w:ascii="Times New Roman" w:hAnsi="Times New Roman"/>
          <w:b/>
        </w:rPr>
        <w:t>have</w:t>
      </w:r>
      <w:r w:rsidR="00900061" w:rsidRPr="00645878">
        <w:rPr>
          <w:rFonts w:ascii="Times New Roman" w:hAnsi="Times New Roman"/>
          <w:b/>
        </w:rPr>
        <w:t xml:space="preserve"> </w:t>
      </w: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track</w:t>
      </w:r>
      <w:r w:rsidR="00900061" w:rsidRPr="00645878">
        <w:rPr>
          <w:rFonts w:ascii="Times New Roman" w:hAnsi="Times New Roman"/>
          <w:b/>
        </w:rPr>
        <w:t xml:space="preserve"> </w:t>
      </w:r>
      <w:r w:rsidRPr="00645878">
        <w:rPr>
          <w:rFonts w:ascii="Times New Roman" w:hAnsi="Times New Roman"/>
          <w:b/>
        </w:rPr>
        <w:t>record</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extensive</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changes</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line</w:t>
      </w:r>
      <w:r w:rsidR="00900061" w:rsidRPr="00645878">
        <w:rPr>
          <w:rFonts w:ascii="Times New Roman" w:hAnsi="Times New Roman"/>
          <w:b/>
        </w:rPr>
        <w:t xml:space="preserve"> </w:t>
      </w:r>
      <w:r w:rsidRPr="00645878">
        <w:rPr>
          <w:rFonts w:ascii="Times New Roman" w:hAnsi="Times New Roman"/>
          <w:b/>
        </w:rPr>
        <w:t>with</w:t>
      </w:r>
      <w:r w:rsidR="00900061" w:rsidRPr="00645878">
        <w:rPr>
          <w:rFonts w:ascii="Times New Roman" w:hAnsi="Times New Roman"/>
          <w:b/>
        </w:rPr>
        <w:t xml:space="preserve"> </w:t>
      </w:r>
      <w:r w:rsidRPr="00645878">
        <w:rPr>
          <w:rFonts w:ascii="Times New Roman" w:hAnsi="Times New Roman"/>
          <w:b/>
        </w:rPr>
        <w:t>r</w:t>
      </w:r>
      <w:r w:rsidR="004C4C58" w:rsidRPr="00645878">
        <w:rPr>
          <w:rFonts w:ascii="Times New Roman" w:hAnsi="Times New Roman"/>
          <w:b/>
        </w:rPr>
        <w:t>ules</w:t>
      </w:r>
      <w:r w:rsidR="00900061" w:rsidRPr="00645878">
        <w:rPr>
          <w:rFonts w:ascii="Times New Roman" w:hAnsi="Times New Roman"/>
          <w:b/>
        </w:rPr>
        <w:t xml:space="preserve"> </w:t>
      </w:r>
      <w:r w:rsidR="004C4C58" w:rsidRPr="00645878">
        <w:rPr>
          <w:rFonts w:ascii="Times New Roman" w:hAnsi="Times New Roman"/>
          <w:b/>
        </w:rPr>
        <w:t>and</w:t>
      </w:r>
      <w:r w:rsidR="00900061" w:rsidRPr="00645878">
        <w:rPr>
          <w:rFonts w:ascii="Times New Roman" w:hAnsi="Times New Roman"/>
          <w:b/>
        </w:rPr>
        <w:t xml:space="preserve"> </w:t>
      </w:r>
      <w:r w:rsidR="004C4C58" w:rsidRPr="00645878">
        <w:rPr>
          <w:rFonts w:ascii="Times New Roman" w:hAnsi="Times New Roman"/>
          <w:b/>
        </w:rPr>
        <w:t>procedures</w:t>
      </w:r>
      <w:r w:rsidR="00900061" w:rsidRPr="00645878">
        <w:rPr>
          <w:rFonts w:ascii="Times New Roman" w:hAnsi="Times New Roman"/>
          <w:b/>
        </w:rPr>
        <w:t xml:space="preserve"> </w:t>
      </w:r>
      <w:r w:rsidR="004C4C58" w:rsidRPr="00645878">
        <w:rPr>
          <w:rFonts w:ascii="Times New Roman" w:hAnsi="Times New Roman"/>
          <w:b/>
        </w:rPr>
        <w:t>for</w:t>
      </w:r>
      <w:r w:rsidR="00900061" w:rsidRPr="00645878">
        <w:rPr>
          <w:rFonts w:ascii="Times New Roman" w:hAnsi="Times New Roman"/>
          <w:b/>
        </w:rPr>
        <w:t xml:space="preserve"> </w:t>
      </w:r>
      <w:r w:rsidR="004C4C58" w:rsidRPr="00645878">
        <w:rPr>
          <w:rFonts w:ascii="Times New Roman" w:hAnsi="Times New Roman"/>
          <w:b/>
        </w:rPr>
        <w:t>i</w:t>
      </w:r>
      <w:r w:rsidR="00B261B1" w:rsidRPr="00645878">
        <w:rPr>
          <w:rFonts w:ascii="Times New Roman" w:hAnsi="Times New Roman"/>
          <w:b/>
        </w:rPr>
        <w:t>n-year</w:t>
      </w:r>
      <w:r w:rsidR="00900061" w:rsidRPr="00645878">
        <w:rPr>
          <w:rFonts w:ascii="Times New Roman" w:hAnsi="Times New Roman"/>
          <w:b/>
        </w:rPr>
        <w:t xml:space="preserve"> </w:t>
      </w:r>
      <w:r w:rsidR="00B261B1" w:rsidRPr="00645878">
        <w:rPr>
          <w:rFonts w:ascii="Times New Roman" w:hAnsi="Times New Roman"/>
          <w:b/>
        </w:rPr>
        <w:t>chang</w:t>
      </w:r>
      <w:r w:rsidR="007C7380" w:rsidRPr="00645878">
        <w:rPr>
          <w:rFonts w:ascii="Times New Roman" w:hAnsi="Times New Roman"/>
          <w:b/>
        </w:rPr>
        <w:t>es</w:t>
      </w:r>
      <w:r w:rsidR="00900061" w:rsidRPr="00645878">
        <w:rPr>
          <w:rFonts w:ascii="Times New Roman" w:hAnsi="Times New Roman"/>
          <w:b/>
        </w:rPr>
        <w:t xml:space="preserve"> </w:t>
      </w:r>
      <w:r w:rsidR="007C7380" w:rsidRPr="00645878">
        <w:rPr>
          <w:rFonts w:ascii="Times New Roman" w:hAnsi="Times New Roman"/>
          <w:b/>
        </w:rPr>
        <w:t>to</w:t>
      </w:r>
      <w:r w:rsidR="00900061" w:rsidRPr="00645878">
        <w:rPr>
          <w:rFonts w:ascii="Times New Roman" w:hAnsi="Times New Roman"/>
          <w:b/>
        </w:rPr>
        <w:t xml:space="preserve"> </w:t>
      </w:r>
      <w:r w:rsidR="007C7380" w:rsidRPr="00645878">
        <w:rPr>
          <w:rFonts w:ascii="Times New Roman" w:hAnsi="Times New Roman"/>
          <w:b/>
        </w:rPr>
        <w:t>the</w:t>
      </w:r>
      <w:r w:rsidR="00900061" w:rsidRPr="00645878">
        <w:rPr>
          <w:rFonts w:ascii="Times New Roman" w:hAnsi="Times New Roman"/>
          <w:b/>
        </w:rPr>
        <w:t xml:space="preserve"> </w:t>
      </w:r>
      <w:r w:rsidR="007C7380" w:rsidRPr="00645878">
        <w:rPr>
          <w:rFonts w:ascii="Times New Roman" w:hAnsi="Times New Roman"/>
          <w:b/>
        </w:rPr>
        <w:t>budget</w:t>
      </w:r>
      <w:r w:rsidR="00900061" w:rsidRPr="00645878">
        <w:rPr>
          <w:rFonts w:ascii="Times New Roman" w:hAnsi="Times New Roman"/>
          <w:b/>
        </w:rPr>
        <w:t xml:space="preserve"> </w:t>
      </w:r>
      <w:r w:rsidR="007C7380" w:rsidRPr="00645878">
        <w:rPr>
          <w:rFonts w:ascii="Times New Roman" w:hAnsi="Times New Roman"/>
          <w:b/>
        </w:rPr>
        <w:t>appropriations</w:t>
      </w:r>
      <w:r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rules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changes</w:t>
      </w:r>
      <w:r w:rsidR="00900061" w:rsidRPr="00645878">
        <w:rPr>
          <w:rFonts w:ascii="Times New Roman" w:hAnsi="Times New Roman"/>
          <w:b/>
        </w:rPr>
        <w:t xml:space="preserve"> </w:t>
      </w:r>
      <w:r w:rsidR="004C4C58" w:rsidRPr="00645878">
        <w:rPr>
          <w:rFonts w:ascii="Times New Roman" w:hAnsi="Times New Roman"/>
        </w:rPr>
        <w:t>are</w:t>
      </w:r>
      <w:r w:rsidR="00900061" w:rsidRPr="00645878">
        <w:rPr>
          <w:rFonts w:ascii="Times New Roman" w:hAnsi="Times New Roman"/>
        </w:rPr>
        <w:t xml:space="preserve"> </w:t>
      </w:r>
      <w:r w:rsidR="004C4C58" w:rsidRPr="00645878">
        <w:rPr>
          <w:rFonts w:ascii="Times New Roman" w:hAnsi="Times New Roman"/>
        </w:rPr>
        <w:t>clearly</w:t>
      </w:r>
      <w:r w:rsidR="00900061" w:rsidRPr="00645878">
        <w:rPr>
          <w:rFonts w:ascii="Times New Roman" w:hAnsi="Times New Roman"/>
        </w:rPr>
        <w:t xml:space="preserve"> </w:t>
      </w:r>
      <w:r w:rsidR="004C4C58" w:rsidRPr="00645878">
        <w:rPr>
          <w:rFonts w:ascii="Times New Roman" w:hAnsi="Times New Roman"/>
        </w:rPr>
        <w:t>outlined</w:t>
      </w:r>
      <w:r w:rsidR="00900061" w:rsidRPr="00645878">
        <w:rPr>
          <w:rFonts w:ascii="Times New Roman" w:hAnsi="Times New Roman"/>
        </w:rPr>
        <w:t xml:space="preserve"> </w:t>
      </w:r>
      <w:r w:rsidR="004C4C58" w:rsidRPr="00645878">
        <w:rPr>
          <w:rFonts w:ascii="Times New Roman" w:hAnsi="Times New Roman"/>
        </w:rPr>
        <w:t>in</w:t>
      </w:r>
      <w:r w:rsidR="00900061" w:rsidRPr="00645878">
        <w:rPr>
          <w:rFonts w:ascii="Times New Roman" w:hAnsi="Times New Roman"/>
        </w:rPr>
        <w:t xml:space="preserve"> </w:t>
      </w:r>
      <w:r w:rsidR="004C4C58" w:rsidRPr="00645878">
        <w:rPr>
          <w:rFonts w:ascii="Times New Roman" w:hAnsi="Times New Roman"/>
        </w:rPr>
        <w:t>the</w:t>
      </w:r>
      <w:r w:rsidR="00900061" w:rsidRPr="00645878">
        <w:rPr>
          <w:rFonts w:ascii="Times New Roman" w:hAnsi="Times New Roman"/>
        </w:rPr>
        <w:t xml:space="preserve"> </w:t>
      </w:r>
      <w:r w:rsidR="00911237" w:rsidRPr="00645878">
        <w:rPr>
          <w:rFonts w:ascii="Times New Roman" w:hAnsi="Times New Roman"/>
        </w:rPr>
        <w:t>legislation</w:t>
      </w:r>
      <w:r w:rsidR="00900061" w:rsidRPr="00645878">
        <w:rPr>
          <w:rFonts w:ascii="Times New Roman" w:hAnsi="Times New Roman"/>
        </w:rPr>
        <w:t xml:space="preserve"> </w:t>
      </w:r>
      <w:r w:rsidR="00911237" w:rsidRPr="00645878">
        <w:rPr>
          <w:rFonts w:ascii="Times New Roman" w:hAnsi="Times New Roman"/>
        </w:rPr>
        <w:t>and</w:t>
      </w:r>
      <w:r w:rsidR="00900061" w:rsidRPr="00645878">
        <w:rPr>
          <w:rFonts w:ascii="Times New Roman" w:hAnsi="Times New Roman"/>
        </w:rPr>
        <w:t xml:space="preserve"> </w:t>
      </w:r>
      <w:r w:rsidR="00911237" w:rsidRPr="00645878">
        <w:rPr>
          <w:rFonts w:ascii="Times New Roman" w:hAnsi="Times New Roman"/>
        </w:rPr>
        <w:t>adhered</w:t>
      </w:r>
      <w:r w:rsidR="00900061" w:rsidRPr="00645878">
        <w:rPr>
          <w:rFonts w:ascii="Times New Roman" w:hAnsi="Times New Roman"/>
        </w:rPr>
        <w:t xml:space="preserve"> </w:t>
      </w:r>
      <w:r w:rsidR="00911237" w:rsidRPr="00645878">
        <w:rPr>
          <w:rFonts w:ascii="Times New Roman" w:hAnsi="Times New Roman"/>
        </w:rPr>
        <w:t>to</w:t>
      </w:r>
      <w:r w:rsidR="004C4C58" w:rsidRPr="00645878">
        <w:rPr>
          <w:rFonts w:ascii="Times New Roman" w:hAnsi="Times New Roman"/>
        </w:rPr>
        <w:t>.</w:t>
      </w:r>
      <w:r w:rsidR="00900061" w:rsidRPr="00645878">
        <w:rPr>
          <w:rFonts w:ascii="Times New Roman" w:hAnsi="Times New Roman"/>
          <w:b/>
        </w:rPr>
        <w:t xml:space="preserve"> </w:t>
      </w:r>
      <w:r w:rsidR="007C7380" w:rsidRPr="00645878">
        <w:rPr>
          <w:rFonts w:ascii="Times New Roman" w:hAnsi="Times New Roman"/>
        </w:rPr>
        <w:t>This</w:t>
      </w:r>
      <w:r w:rsidR="00900061" w:rsidRPr="00645878">
        <w:rPr>
          <w:rFonts w:ascii="Times New Roman" w:hAnsi="Times New Roman"/>
        </w:rPr>
        <w:t xml:space="preserve"> </w:t>
      </w:r>
      <w:r w:rsidR="007C7380" w:rsidRPr="00645878">
        <w:rPr>
          <w:rFonts w:ascii="Times New Roman" w:hAnsi="Times New Roman"/>
        </w:rPr>
        <w:t>inclu</w:t>
      </w:r>
      <w:r w:rsidRPr="00645878">
        <w:rPr>
          <w:rFonts w:ascii="Times New Roman" w:hAnsi="Times New Roman"/>
        </w:rPr>
        <w:t>d</w:t>
      </w:r>
      <w:r w:rsidR="007C7380" w:rsidRPr="00645878">
        <w:rPr>
          <w:rFonts w:ascii="Times New Roman" w:hAnsi="Times New Roman"/>
        </w:rPr>
        <w:t>es</w:t>
      </w:r>
      <w:r w:rsidR="00900061" w:rsidRPr="00645878">
        <w:rPr>
          <w:rFonts w:ascii="Times New Roman" w:hAnsi="Times New Roman"/>
        </w:rPr>
        <w:t xml:space="preserve"> </w:t>
      </w:r>
      <w:r w:rsidR="007C7380" w:rsidRPr="00645878">
        <w:rPr>
          <w:rFonts w:ascii="Times New Roman" w:hAnsi="Times New Roman"/>
        </w:rPr>
        <w:t>procedure</w:t>
      </w:r>
      <w:r w:rsidR="002D725B" w:rsidRPr="00645878">
        <w:rPr>
          <w:rFonts w:ascii="Times New Roman" w:hAnsi="Times New Roman"/>
        </w:rPr>
        <w:t>s</w:t>
      </w:r>
      <w:r w:rsidR="00900061" w:rsidRPr="00645878">
        <w:rPr>
          <w:rFonts w:ascii="Times New Roman" w:hAnsi="Times New Roman"/>
        </w:rPr>
        <w:t xml:space="preserve"> </w:t>
      </w:r>
      <w:r w:rsidR="007C7380" w:rsidRPr="00645878">
        <w:rPr>
          <w:rFonts w:ascii="Times New Roman" w:hAnsi="Times New Roman"/>
        </w:rPr>
        <w:t>requiring</w:t>
      </w:r>
      <w:r w:rsidR="00900061" w:rsidRPr="00645878">
        <w:rPr>
          <w:rFonts w:ascii="Times New Roman" w:hAnsi="Times New Roman"/>
        </w:rPr>
        <w:t xml:space="preserve"> </w:t>
      </w:r>
      <w:r w:rsidR="007C7380" w:rsidRPr="00645878">
        <w:rPr>
          <w:rFonts w:ascii="Times New Roman" w:hAnsi="Times New Roman"/>
        </w:rPr>
        <w:t>approval</w:t>
      </w:r>
      <w:r w:rsidR="00900061" w:rsidRPr="00645878">
        <w:rPr>
          <w:rFonts w:ascii="Times New Roman" w:hAnsi="Times New Roman"/>
        </w:rPr>
        <w:t xml:space="preserve"> </w:t>
      </w:r>
      <w:r w:rsidR="007C7380" w:rsidRPr="00645878">
        <w:rPr>
          <w:rFonts w:ascii="Times New Roman" w:hAnsi="Times New Roman"/>
        </w:rPr>
        <w:t>of</w:t>
      </w:r>
      <w:r w:rsidR="00900061" w:rsidRPr="00645878">
        <w:rPr>
          <w:rFonts w:ascii="Times New Roman" w:hAnsi="Times New Roman"/>
        </w:rPr>
        <w:t xml:space="preserve"> </w:t>
      </w:r>
      <w:r w:rsidR="007C7380" w:rsidRPr="00645878">
        <w:rPr>
          <w:rFonts w:ascii="Times New Roman" w:hAnsi="Times New Roman"/>
        </w:rPr>
        <w:t>the</w:t>
      </w:r>
      <w:r w:rsidR="00900061" w:rsidRPr="00645878">
        <w:rPr>
          <w:rFonts w:ascii="Times New Roman" w:hAnsi="Times New Roman"/>
        </w:rPr>
        <w:t xml:space="preserve"> </w:t>
      </w:r>
      <w:r w:rsidR="007C7380" w:rsidRPr="00645878">
        <w:rPr>
          <w:rFonts w:ascii="Times New Roman" w:hAnsi="Times New Roman"/>
        </w:rPr>
        <w:t>legislature</w:t>
      </w:r>
      <w:r w:rsidR="00900061" w:rsidRPr="00645878">
        <w:rPr>
          <w:rFonts w:ascii="Times New Roman" w:hAnsi="Times New Roman"/>
        </w:rPr>
        <w:t xml:space="preserve"> </w:t>
      </w:r>
      <w:r w:rsidR="007C7380" w:rsidRPr="00645878">
        <w:rPr>
          <w:rFonts w:ascii="Times New Roman" w:hAnsi="Times New Roman"/>
        </w:rPr>
        <w:t>as</w:t>
      </w:r>
      <w:r w:rsidR="00900061" w:rsidRPr="00645878">
        <w:rPr>
          <w:rFonts w:ascii="Times New Roman" w:hAnsi="Times New Roman"/>
        </w:rPr>
        <w:t xml:space="preserve"> </w:t>
      </w:r>
      <w:r w:rsidR="007C7380" w:rsidRPr="00645878">
        <w:rPr>
          <w:rFonts w:ascii="Times New Roman" w:hAnsi="Times New Roman"/>
        </w:rPr>
        <w:t>well</w:t>
      </w:r>
      <w:r w:rsidR="00900061" w:rsidRPr="00645878">
        <w:rPr>
          <w:rFonts w:ascii="Times New Roman" w:hAnsi="Times New Roman"/>
        </w:rPr>
        <w:t xml:space="preserve"> </w:t>
      </w:r>
      <w:r w:rsidR="007C7380" w:rsidRPr="00645878">
        <w:rPr>
          <w:rFonts w:ascii="Times New Roman" w:hAnsi="Times New Roman"/>
        </w:rPr>
        <w:t>as</w:t>
      </w:r>
      <w:r w:rsidR="00900061" w:rsidRPr="00645878">
        <w:rPr>
          <w:rFonts w:ascii="Times New Roman" w:hAnsi="Times New Roman"/>
        </w:rPr>
        <w:t xml:space="preserve"> </w:t>
      </w:r>
      <w:r w:rsidR="007C7380" w:rsidRPr="00645878">
        <w:rPr>
          <w:rFonts w:ascii="Times New Roman" w:hAnsi="Times New Roman"/>
        </w:rPr>
        <w:t>those</w:t>
      </w:r>
      <w:r w:rsidR="00900061" w:rsidRPr="00645878">
        <w:rPr>
          <w:rFonts w:ascii="Times New Roman" w:hAnsi="Times New Roman"/>
        </w:rPr>
        <w:t xml:space="preserve"> </w:t>
      </w:r>
      <w:r w:rsidR="00B03657" w:rsidRPr="00645878">
        <w:rPr>
          <w:rFonts w:ascii="Times New Roman" w:hAnsi="Times New Roman"/>
        </w:rPr>
        <w:t>managed</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executive.</w:t>
      </w:r>
      <w:r w:rsidR="00900061" w:rsidRPr="00645878">
        <w:rPr>
          <w:rFonts w:ascii="Times New Roman" w:hAnsi="Times New Roman"/>
          <w:b/>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recent</w:t>
      </w:r>
      <w:r w:rsidR="00900061" w:rsidRPr="00645878">
        <w:rPr>
          <w:rFonts w:ascii="Times New Roman" w:hAnsi="Times New Roman"/>
        </w:rPr>
        <w:t xml:space="preserve"> </w:t>
      </w:r>
      <w:r w:rsidR="00B03657" w:rsidRPr="00645878">
        <w:rPr>
          <w:rFonts w:ascii="Times New Roman" w:hAnsi="Times New Roman"/>
        </w:rPr>
        <w:t>years,</w:t>
      </w:r>
      <w:r w:rsidR="00900061" w:rsidRPr="00645878">
        <w:rPr>
          <w:rFonts w:ascii="Times New Roman" w:hAnsi="Times New Roman"/>
        </w:rPr>
        <w:t xml:space="preserve"> </w:t>
      </w:r>
      <w:r w:rsidR="00B03657" w:rsidRPr="00645878">
        <w:rPr>
          <w:rFonts w:ascii="Times New Roman" w:hAnsi="Times New Roman"/>
        </w:rPr>
        <w:t>in-year</w:t>
      </w:r>
      <w:r w:rsidR="00900061" w:rsidRPr="00645878">
        <w:rPr>
          <w:rFonts w:ascii="Times New Roman" w:hAnsi="Times New Roman"/>
        </w:rPr>
        <w:t xml:space="preserve"> </w:t>
      </w:r>
      <w:r w:rsidR="00B03657" w:rsidRPr="00645878">
        <w:rPr>
          <w:rFonts w:ascii="Times New Roman" w:hAnsi="Times New Roman"/>
        </w:rPr>
        <w:t>changes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appropriations</w:t>
      </w:r>
      <w:r w:rsidR="00900061" w:rsidRPr="00645878">
        <w:rPr>
          <w:rFonts w:ascii="Times New Roman" w:hAnsi="Times New Roman"/>
        </w:rPr>
        <w:t xml:space="preserve"> </w:t>
      </w:r>
      <w:r w:rsidR="00B03657" w:rsidRPr="00645878">
        <w:rPr>
          <w:rFonts w:ascii="Times New Roman" w:hAnsi="Times New Roman"/>
        </w:rPr>
        <w:t>have</w:t>
      </w:r>
      <w:r w:rsidR="00900061" w:rsidRPr="00645878">
        <w:rPr>
          <w:rFonts w:ascii="Times New Roman" w:hAnsi="Times New Roman"/>
        </w:rPr>
        <w:t xml:space="preserve"> </w:t>
      </w:r>
      <w:r w:rsidR="00B03657" w:rsidRPr="00645878">
        <w:rPr>
          <w:rFonts w:ascii="Times New Roman" w:hAnsi="Times New Roman"/>
        </w:rPr>
        <w:t>been</w:t>
      </w:r>
      <w:r w:rsidR="00900061" w:rsidRPr="00645878">
        <w:rPr>
          <w:rFonts w:ascii="Times New Roman" w:hAnsi="Times New Roman"/>
        </w:rPr>
        <w:t xml:space="preserve"> </w:t>
      </w:r>
      <w:r w:rsidR="00B03657" w:rsidRPr="00645878">
        <w:rPr>
          <w:rFonts w:ascii="Times New Roman" w:hAnsi="Times New Roman"/>
        </w:rPr>
        <w:t>undertaken</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transparent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predictable</w:t>
      </w:r>
      <w:r w:rsidR="00900061" w:rsidRPr="00645878">
        <w:rPr>
          <w:rFonts w:ascii="Times New Roman" w:hAnsi="Times New Roman"/>
        </w:rPr>
        <w:t xml:space="preserve"> </w:t>
      </w:r>
      <w:r w:rsidR="00B03657" w:rsidRPr="00645878">
        <w:rPr>
          <w:rFonts w:ascii="Times New Roman" w:hAnsi="Times New Roman"/>
        </w:rPr>
        <w:t>manner.</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executive</w:t>
      </w:r>
      <w:r w:rsidR="00900061" w:rsidRPr="00645878">
        <w:rPr>
          <w:rFonts w:ascii="Times New Roman" w:hAnsi="Times New Roman"/>
        </w:rPr>
        <w:t xml:space="preserve"> </w:t>
      </w:r>
      <w:r w:rsidR="00B03657" w:rsidRPr="00645878">
        <w:rPr>
          <w:rFonts w:ascii="Times New Roman" w:hAnsi="Times New Roman"/>
        </w:rPr>
        <w:t>side,</w:t>
      </w:r>
      <w:r w:rsidR="00900061" w:rsidRPr="00645878">
        <w:rPr>
          <w:rFonts w:ascii="Times New Roman" w:hAnsi="Times New Roman"/>
        </w:rPr>
        <w:t xml:space="preserve"> </w:t>
      </w:r>
      <w:r w:rsidR="00B03657" w:rsidRPr="00645878">
        <w:rPr>
          <w:rFonts w:ascii="Times New Roman" w:hAnsi="Times New Roman"/>
        </w:rPr>
        <w:t>decisions</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reallocations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annual</w:t>
      </w:r>
      <w:r w:rsidR="00900061" w:rsidRPr="00645878">
        <w:rPr>
          <w:rFonts w:ascii="Times New Roman" w:hAnsi="Times New Roman"/>
        </w:rPr>
        <w:t xml:space="preserve"> </w:t>
      </w:r>
      <w:r w:rsidR="00B03657" w:rsidRPr="00645878">
        <w:rPr>
          <w:rFonts w:ascii="Times New Roman" w:hAnsi="Times New Roman"/>
        </w:rPr>
        <w:t>appropriations</w:t>
      </w:r>
      <w:r w:rsidR="00900061" w:rsidRPr="00645878">
        <w:rPr>
          <w:rFonts w:ascii="Times New Roman" w:hAnsi="Times New Roman"/>
        </w:rPr>
        <w:t xml:space="preserve"> </w:t>
      </w:r>
      <w:r w:rsidR="00B03657" w:rsidRPr="00645878">
        <w:rPr>
          <w:rFonts w:ascii="Times New Roman" w:hAnsi="Times New Roman"/>
        </w:rPr>
        <w:t>require</w:t>
      </w:r>
      <w:r w:rsidR="00900061" w:rsidRPr="00645878">
        <w:rPr>
          <w:rFonts w:ascii="Times New Roman" w:hAnsi="Times New Roman"/>
        </w:rPr>
        <w:t xml:space="preserve"> </w:t>
      </w:r>
      <w:r w:rsidR="00B03657" w:rsidRPr="00645878">
        <w:rPr>
          <w:rFonts w:ascii="Times New Roman" w:hAnsi="Times New Roman"/>
        </w:rPr>
        <w:t>prior</w:t>
      </w:r>
      <w:r w:rsidR="00900061" w:rsidRPr="00645878">
        <w:rPr>
          <w:rFonts w:ascii="Times New Roman" w:hAnsi="Times New Roman"/>
        </w:rPr>
        <w:t xml:space="preserve"> </w:t>
      </w:r>
      <w:r w:rsidR="00B03657" w:rsidRPr="00645878">
        <w:rPr>
          <w:rFonts w:ascii="Times New Roman" w:hAnsi="Times New Roman"/>
        </w:rPr>
        <w:t>approval</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MoF.</w:t>
      </w:r>
      <w:r w:rsidR="00900061" w:rsidRPr="00645878">
        <w:rPr>
          <w:rFonts w:ascii="Times New Roman" w:hAnsi="Times New Roman"/>
        </w:rPr>
        <w:t xml:space="preserve"> </w:t>
      </w:r>
      <w:r w:rsidR="00B03657" w:rsidRPr="00645878">
        <w:rPr>
          <w:rFonts w:ascii="Times New Roman" w:hAnsi="Times New Roman"/>
        </w:rPr>
        <w:t>Any</w:t>
      </w:r>
      <w:r w:rsidR="00900061" w:rsidRPr="00645878">
        <w:rPr>
          <w:rFonts w:ascii="Times New Roman" w:hAnsi="Times New Roman"/>
        </w:rPr>
        <w:t xml:space="preserve"> </w:t>
      </w:r>
      <w:r w:rsidR="00B03657" w:rsidRPr="00645878">
        <w:rPr>
          <w:rFonts w:ascii="Times New Roman" w:hAnsi="Times New Roman"/>
        </w:rPr>
        <w:t>reallocations</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capped</w:t>
      </w:r>
      <w:r w:rsidR="00900061" w:rsidRPr="00645878">
        <w:rPr>
          <w:rFonts w:ascii="Times New Roman" w:hAnsi="Times New Roman"/>
        </w:rPr>
        <w:t xml:space="preserve"> </w:t>
      </w:r>
      <w:r w:rsidR="00B03657" w:rsidRPr="00645878">
        <w:rPr>
          <w:rFonts w:ascii="Times New Roman" w:hAnsi="Times New Roman"/>
        </w:rPr>
        <w:t>at</w:t>
      </w:r>
      <w:r w:rsidR="00900061" w:rsidRPr="00645878">
        <w:rPr>
          <w:rFonts w:ascii="Times New Roman" w:hAnsi="Times New Roman"/>
        </w:rPr>
        <w:t xml:space="preserve"> </w:t>
      </w:r>
      <w:r w:rsidR="00B03657" w:rsidRPr="00645878">
        <w:rPr>
          <w:rFonts w:ascii="Times New Roman" w:hAnsi="Times New Roman"/>
        </w:rPr>
        <w:t>5</w:t>
      </w:r>
      <w:r w:rsidR="00900061" w:rsidRPr="00645878">
        <w:rPr>
          <w:rFonts w:ascii="Times New Roman" w:hAnsi="Times New Roman"/>
        </w:rPr>
        <w:t xml:space="preserve"> </w:t>
      </w:r>
      <w:r w:rsidR="00B03657" w:rsidRPr="00645878">
        <w:rPr>
          <w:rFonts w:ascii="Times New Roman" w:hAnsi="Times New Roman"/>
        </w:rPr>
        <w:t>percent</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annual</w:t>
      </w:r>
      <w:r w:rsidR="00900061" w:rsidRPr="00645878">
        <w:rPr>
          <w:rFonts w:ascii="Times New Roman" w:hAnsi="Times New Roman"/>
        </w:rPr>
        <w:t xml:space="preserve"> </w:t>
      </w:r>
      <w:r w:rsidR="00B03657" w:rsidRPr="00645878">
        <w:rPr>
          <w:rFonts w:ascii="Times New Roman" w:hAnsi="Times New Roman"/>
        </w:rPr>
        <w:t>appropriation</w:t>
      </w:r>
      <w:r w:rsidR="00900061" w:rsidRPr="00645878">
        <w:rPr>
          <w:rFonts w:ascii="Times New Roman" w:hAnsi="Times New Roman"/>
        </w:rPr>
        <w:t xml:space="preserve"> </w:t>
      </w:r>
      <w:r w:rsidR="00B03657" w:rsidRPr="00645878">
        <w:rPr>
          <w:rFonts w:ascii="Times New Roman" w:hAnsi="Times New Roman"/>
        </w:rPr>
        <w:t>approved</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particular</w:t>
      </w:r>
      <w:r w:rsidR="00900061" w:rsidRPr="00645878">
        <w:rPr>
          <w:rFonts w:ascii="Times New Roman" w:hAnsi="Times New Roman"/>
        </w:rPr>
        <w:t xml:space="preserve"> </w:t>
      </w:r>
      <w:r w:rsidR="00B03657" w:rsidRPr="00645878">
        <w:rPr>
          <w:rFonts w:ascii="Times New Roman" w:hAnsi="Times New Roman"/>
        </w:rPr>
        <w:t>type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expenditure</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expense</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8D14C4" w:rsidRPr="00645878">
        <w:rPr>
          <w:rFonts w:ascii="Times New Roman" w:hAnsi="Times New Roman"/>
        </w:rPr>
        <w:t>DBB</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up</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10</w:t>
      </w:r>
      <w:r w:rsidR="00900061" w:rsidRPr="00645878">
        <w:rPr>
          <w:rFonts w:ascii="Times New Roman" w:hAnsi="Times New Roman"/>
        </w:rPr>
        <w:t xml:space="preserve"> </w:t>
      </w:r>
      <w:r w:rsidR="00B03657" w:rsidRPr="00645878">
        <w:rPr>
          <w:rFonts w:ascii="Times New Roman" w:hAnsi="Times New Roman"/>
        </w:rPr>
        <w:t>percent</w:t>
      </w:r>
      <w:r w:rsidR="00900061" w:rsidRPr="00645878">
        <w:rPr>
          <w:rFonts w:ascii="Times New Roman" w:hAnsi="Times New Roman"/>
        </w:rPr>
        <w:t xml:space="preserve"> </w:t>
      </w:r>
      <w:r w:rsidR="00B03657" w:rsidRPr="00645878">
        <w:rPr>
          <w:rFonts w:ascii="Times New Roman" w:hAnsi="Times New Roman"/>
        </w:rPr>
        <w:t>within</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9329A9" w:rsidRPr="00645878">
        <w:rPr>
          <w:rFonts w:ascii="Times New Roman" w:hAnsi="Times New Roman"/>
        </w:rPr>
        <w:t>P</w:t>
      </w:r>
      <w:r w:rsidR="00B03657" w:rsidRPr="00645878">
        <w:rPr>
          <w:rFonts w:ascii="Times New Roman" w:hAnsi="Times New Roman"/>
        </w:rPr>
        <w:t>rogram</w:t>
      </w:r>
      <w:r w:rsidR="00900061" w:rsidRPr="00645878">
        <w:rPr>
          <w:rFonts w:ascii="Times New Roman" w:hAnsi="Times New Roman"/>
        </w:rPr>
        <w:t xml:space="preserve"> </w:t>
      </w:r>
      <w:r w:rsidR="00B03657" w:rsidRPr="00645878">
        <w:rPr>
          <w:rFonts w:ascii="Times New Roman" w:hAnsi="Times New Roman"/>
        </w:rPr>
        <w:t>appropriation.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00B03657" w:rsidRPr="00645878">
        <w:rPr>
          <w:rFonts w:ascii="Times New Roman" w:hAnsi="Times New Roman"/>
        </w:rPr>
        <w:t>may</w:t>
      </w:r>
      <w:r w:rsidR="00900061" w:rsidRPr="00645878">
        <w:rPr>
          <w:rFonts w:ascii="Times New Roman" w:hAnsi="Times New Roman"/>
        </w:rPr>
        <w:t xml:space="preserve"> </w:t>
      </w:r>
      <w:r w:rsidR="00B03657" w:rsidRPr="00645878">
        <w:rPr>
          <w:rFonts w:ascii="Times New Roman" w:hAnsi="Times New Roman"/>
        </w:rPr>
        <w:t>also</w:t>
      </w:r>
      <w:r w:rsidR="00900061" w:rsidRPr="00645878">
        <w:rPr>
          <w:rFonts w:ascii="Times New Roman" w:hAnsi="Times New Roman"/>
        </w:rPr>
        <w:t xml:space="preserve"> </w:t>
      </w:r>
      <w:r w:rsidR="00B03657" w:rsidRPr="00645878">
        <w:rPr>
          <w:rFonts w:ascii="Times New Roman" w:hAnsi="Times New Roman"/>
        </w:rPr>
        <w:t>use</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contingency</w:t>
      </w:r>
      <w:r w:rsidR="00900061" w:rsidRPr="00645878">
        <w:rPr>
          <w:rFonts w:ascii="Times New Roman" w:hAnsi="Times New Roman"/>
        </w:rPr>
        <w:t xml:space="preserve"> </w:t>
      </w:r>
      <w:r w:rsidR="00B03657" w:rsidRPr="00645878">
        <w:rPr>
          <w:rFonts w:ascii="Times New Roman" w:hAnsi="Times New Roman"/>
        </w:rPr>
        <w:t>fund</w:t>
      </w:r>
      <w:r w:rsidR="00900061" w:rsidRPr="00645878">
        <w:rPr>
          <w:rFonts w:ascii="Times New Roman" w:hAnsi="Times New Roman"/>
        </w:rPr>
        <w:t xml:space="preserve"> </w:t>
      </w:r>
      <w:r w:rsidR="008359ED" w:rsidRPr="00645878">
        <w:rPr>
          <w:rFonts w:ascii="Times New Roman" w:hAnsi="Times New Roman"/>
        </w:rPr>
        <w:t>current</w:t>
      </w:r>
      <w:r w:rsidR="00900061" w:rsidRPr="00645878">
        <w:rPr>
          <w:rFonts w:ascii="Times New Roman" w:hAnsi="Times New Roman"/>
        </w:rPr>
        <w:t xml:space="preserve"> </w:t>
      </w:r>
      <w:r w:rsidR="008359ED" w:rsidRPr="00645878">
        <w:rPr>
          <w:rFonts w:ascii="Times New Roman" w:hAnsi="Times New Roman"/>
        </w:rPr>
        <w:t>budget</w:t>
      </w:r>
      <w:r w:rsidR="00900061" w:rsidRPr="00645878">
        <w:rPr>
          <w:rFonts w:ascii="Times New Roman" w:hAnsi="Times New Roman"/>
        </w:rPr>
        <w:t xml:space="preserve"> </w:t>
      </w:r>
      <w:r w:rsidR="008359ED" w:rsidRPr="00645878">
        <w:rPr>
          <w:rFonts w:ascii="Times New Roman" w:hAnsi="Times New Roman"/>
        </w:rPr>
        <w:t>reserve</w:t>
      </w:r>
      <w:r w:rsidR="00B03657"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whose</w:t>
      </w:r>
      <w:r w:rsidR="00900061" w:rsidRPr="00645878">
        <w:rPr>
          <w:rFonts w:ascii="Times New Roman" w:hAnsi="Times New Roman"/>
        </w:rPr>
        <w:t xml:space="preserve"> </w:t>
      </w:r>
      <w:r w:rsidR="00B03657" w:rsidRPr="00645878">
        <w:rPr>
          <w:rFonts w:ascii="Times New Roman" w:hAnsi="Times New Roman"/>
        </w:rPr>
        <w:t>value</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capped</w:t>
      </w:r>
      <w:r w:rsidR="00900061" w:rsidRPr="00645878">
        <w:rPr>
          <w:rFonts w:ascii="Times New Roman" w:hAnsi="Times New Roman"/>
        </w:rPr>
        <w:t xml:space="preserve"> </w:t>
      </w:r>
      <w:r w:rsidR="00B03657" w:rsidRPr="00645878">
        <w:rPr>
          <w:rFonts w:ascii="Times New Roman" w:hAnsi="Times New Roman"/>
        </w:rPr>
        <w:t>at</w:t>
      </w:r>
      <w:r w:rsidR="00900061" w:rsidRPr="00645878">
        <w:rPr>
          <w:rFonts w:ascii="Times New Roman" w:hAnsi="Times New Roman"/>
        </w:rPr>
        <w:t xml:space="preserve"> </w:t>
      </w:r>
      <w:r w:rsidR="00B03657" w:rsidRPr="00645878">
        <w:rPr>
          <w:rFonts w:ascii="Times New Roman" w:hAnsi="Times New Roman"/>
        </w:rPr>
        <w:t>2</w:t>
      </w:r>
      <w:r w:rsidR="00950355" w:rsidRPr="00645878">
        <w:rPr>
          <w:rFonts w:ascii="Times New Roman" w:hAnsi="Times New Roman"/>
        </w:rPr>
        <w:t xml:space="preserve"> percent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total</w:t>
      </w:r>
      <w:r w:rsidR="00900061" w:rsidRPr="00645878">
        <w:rPr>
          <w:rFonts w:ascii="Times New Roman" w:hAnsi="Times New Roman"/>
        </w:rPr>
        <w:t xml:space="preserve"> </w:t>
      </w:r>
      <w:r w:rsidR="00B03657" w:rsidRPr="00645878">
        <w:rPr>
          <w:rFonts w:ascii="Times New Roman" w:hAnsi="Times New Roman"/>
        </w:rPr>
        <w:t>revenues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income</w:t>
      </w:r>
      <w:r w:rsidR="00900061" w:rsidRPr="00645878">
        <w:rPr>
          <w:rFonts w:ascii="Times New Roman" w:hAnsi="Times New Roman"/>
        </w:rPr>
        <w:t xml:space="preserve"> </w:t>
      </w:r>
      <w:r w:rsidR="00B03657" w:rsidRPr="00645878">
        <w:rPr>
          <w:rFonts w:ascii="Times New Roman" w:hAnsi="Times New Roman"/>
        </w:rPr>
        <w:t>from</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sales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nonfinancial</w:t>
      </w:r>
      <w:r w:rsidR="00900061" w:rsidRPr="00645878">
        <w:rPr>
          <w:rFonts w:ascii="Times New Roman" w:hAnsi="Times New Roman"/>
        </w:rPr>
        <w:t xml:space="preserve"> </w:t>
      </w:r>
      <w:r w:rsidR="00B03657" w:rsidRPr="00645878">
        <w:rPr>
          <w:rFonts w:ascii="Times New Roman" w:hAnsi="Times New Roman"/>
        </w:rPr>
        <w:t>assets</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year,</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unplanned</w:t>
      </w:r>
      <w:r w:rsidR="00900061" w:rsidRPr="00645878">
        <w:rPr>
          <w:rFonts w:ascii="Times New Roman" w:hAnsi="Times New Roman"/>
        </w:rPr>
        <w:t xml:space="preserve"> </w:t>
      </w:r>
      <w:r w:rsidR="00B03657" w:rsidRPr="00645878">
        <w:rPr>
          <w:rFonts w:ascii="Times New Roman" w:hAnsi="Times New Roman"/>
        </w:rPr>
        <w:t>purposes</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which</w:t>
      </w:r>
      <w:r w:rsidR="00900061" w:rsidRPr="00645878">
        <w:rPr>
          <w:rFonts w:ascii="Times New Roman" w:hAnsi="Times New Roman"/>
        </w:rPr>
        <w:t xml:space="preserve"> </w:t>
      </w:r>
      <w:r w:rsidR="00B03657" w:rsidRPr="00645878">
        <w:rPr>
          <w:rFonts w:ascii="Times New Roman" w:hAnsi="Times New Roman"/>
        </w:rPr>
        <w:t>no</w:t>
      </w:r>
      <w:r w:rsidR="00900061" w:rsidRPr="00645878">
        <w:rPr>
          <w:rFonts w:ascii="Times New Roman" w:hAnsi="Times New Roman"/>
        </w:rPr>
        <w:t xml:space="preserve"> </w:t>
      </w:r>
      <w:r w:rsidR="00B03657" w:rsidRPr="00645878">
        <w:rPr>
          <w:rFonts w:ascii="Times New Roman" w:hAnsi="Times New Roman"/>
        </w:rPr>
        <w:t>appropriations</w:t>
      </w:r>
      <w:r w:rsidR="00900061" w:rsidRPr="00645878">
        <w:rPr>
          <w:rFonts w:ascii="Times New Roman" w:hAnsi="Times New Roman"/>
        </w:rPr>
        <w:t xml:space="preserve"> </w:t>
      </w:r>
      <w:r w:rsidR="00B03657" w:rsidRPr="00645878">
        <w:rPr>
          <w:rFonts w:ascii="Times New Roman" w:hAnsi="Times New Roman"/>
        </w:rPr>
        <w:t>have</w:t>
      </w:r>
      <w:r w:rsidR="00900061" w:rsidRPr="00645878">
        <w:rPr>
          <w:rFonts w:ascii="Times New Roman" w:hAnsi="Times New Roman"/>
        </w:rPr>
        <w:t xml:space="preserve"> </w:t>
      </w:r>
      <w:r w:rsidR="00B03657" w:rsidRPr="00645878">
        <w:rPr>
          <w:rFonts w:ascii="Times New Roman" w:hAnsi="Times New Roman"/>
        </w:rPr>
        <w:t>been</w:t>
      </w:r>
      <w:r w:rsidR="00900061" w:rsidRPr="00645878">
        <w:rPr>
          <w:rFonts w:ascii="Times New Roman" w:hAnsi="Times New Roman"/>
        </w:rPr>
        <w:t xml:space="preserve"> </w:t>
      </w:r>
      <w:r w:rsidR="00B03657" w:rsidRPr="00645878">
        <w:rPr>
          <w:rFonts w:ascii="Times New Roman" w:hAnsi="Times New Roman"/>
        </w:rPr>
        <w:t>foreseen</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purposes</w:t>
      </w:r>
      <w:r w:rsidR="00900061" w:rsidRPr="00645878">
        <w:rPr>
          <w:rFonts w:ascii="Times New Roman" w:hAnsi="Times New Roman"/>
        </w:rPr>
        <w:t xml:space="preserve"> </w:t>
      </w:r>
      <w:r w:rsidR="00B03657" w:rsidRPr="00645878">
        <w:rPr>
          <w:rFonts w:ascii="Times New Roman" w:hAnsi="Times New Roman"/>
        </w:rPr>
        <w:t>where</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appropriations</w:t>
      </w:r>
      <w:r w:rsidR="00900061" w:rsidRPr="00645878">
        <w:rPr>
          <w:rFonts w:ascii="Times New Roman" w:hAnsi="Times New Roman"/>
        </w:rPr>
        <w:t xml:space="preserve"> </w:t>
      </w:r>
      <w:r w:rsidR="00B03657" w:rsidRPr="00645878">
        <w:rPr>
          <w:rFonts w:ascii="Times New Roman" w:hAnsi="Times New Roman"/>
        </w:rPr>
        <w:t>prove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be</w:t>
      </w:r>
      <w:r w:rsidR="00900061" w:rsidRPr="00645878">
        <w:rPr>
          <w:rFonts w:ascii="Times New Roman" w:hAnsi="Times New Roman"/>
        </w:rPr>
        <w:t xml:space="preserve"> </w:t>
      </w:r>
      <w:r w:rsidR="00B03657" w:rsidRPr="00645878">
        <w:rPr>
          <w:rFonts w:ascii="Times New Roman" w:hAnsi="Times New Roman"/>
        </w:rPr>
        <w:t>insufficient</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course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year.</w:t>
      </w:r>
      <w:r w:rsidR="00900061" w:rsidRPr="00645878">
        <w:rPr>
          <w:rFonts w:ascii="Times New Roman" w:hAnsi="Times New Roman"/>
        </w:rPr>
        <w:t xml:space="preserve"> </w:t>
      </w:r>
      <w:r w:rsidR="00B03657" w:rsidRPr="00645878">
        <w:rPr>
          <w:rFonts w:ascii="Times New Roman" w:hAnsi="Times New Roman"/>
        </w:rPr>
        <w:t>Decisions</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use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this</w:t>
      </w:r>
      <w:r w:rsidR="00900061" w:rsidRPr="00645878">
        <w:rPr>
          <w:rFonts w:ascii="Times New Roman" w:hAnsi="Times New Roman"/>
        </w:rPr>
        <w:t xml:space="preserve"> </w:t>
      </w:r>
      <w:r w:rsidR="00B03657" w:rsidRPr="00645878">
        <w:rPr>
          <w:rFonts w:ascii="Times New Roman" w:hAnsi="Times New Roman"/>
        </w:rPr>
        <w:t>contingency</w:t>
      </w:r>
      <w:r w:rsidR="00900061" w:rsidRPr="00645878">
        <w:rPr>
          <w:rFonts w:ascii="Times New Roman" w:hAnsi="Times New Roman"/>
        </w:rPr>
        <w:t xml:space="preserve"> </w:t>
      </w:r>
      <w:r w:rsidR="00B03657" w:rsidRPr="00645878">
        <w:rPr>
          <w:rFonts w:ascii="Times New Roman" w:hAnsi="Times New Roman"/>
        </w:rPr>
        <w:t>fund</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made</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A77BC5" w:rsidRPr="00645878">
        <w:rPr>
          <w:rFonts w:ascii="Times New Roman" w:hAnsi="Times New Roman"/>
        </w:rPr>
        <w:t>g</w:t>
      </w:r>
      <w:r w:rsidR="00B03657" w:rsidRPr="00645878">
        <w:rPr>
          <w:rFonts w:ascii="Times New Roman" w:hAnsi="Times New Roman"/>
        </w:rPr>
        <w:t>overnment</w:t>
      </w:r>
      <w:r w:rsidR="00900061" w:rsidRPr="00645878">
        <w:rPr>
          <w:rFonts w:ascii="Times New Roman" w:hAnsi="Times New Roman"/>
        </w:rPr>
        <w:t xml:space="preserve"> </w:t>
      </w:r>
      <w:r w:rsidR="00B03657" w:rsidRPr="00645878">
        <w:rPr>
          <w:rFonts w:ascii="Times New Roman" w:hAnsi="Times New Roman"/>
        </w:rPr>
        <w:t>upon</w:t>
      </w:r>
      <w:r w:rsidR="00900061" w:rsidRPr="00645878">
        <w:rPr>
          <w:rFonts w:ascii="Times New Roman" w:hAnsi="Times New Roman"/>
        </w:rPr>
        <w:t xml:space="preserve"> </w:t>
      </w:r>
      <w:r w:rsidR="00B03657" w:rsidRPr="00645878">
        <w:rPr>
          <w:rFonts w:ascii="Times New Roman" w:hAnsi="Times New Roman"/>
        </w:rPr>
        <w:t>proposal</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A77BC5" w:rsidRPr="00645878">
        <w:rPr>
          <w:rFonts w:ascii="Times New Roman" w:hAnsi="Times New Roman"/>
        </w:rPr>
        <w:t>MoF</w:t>
      </w:r>
      <w:r w:rsidR="00B03657" w:rsidRPr="00645878">
        <w:rPr>
          <w:rFonts w:ascii="Times New Roman" w:hAnsi="Times New Roman"/>
        </w:rPr>
        <w:t>.</w:t>
      </w:r>
      <w:r w:rsidR="00900061" w:rsidRPr="00645878">
        <w:rPr>
          <w:rFonts w:ascii="Times New Roman" w:hAnsi="Times New Roman"/>
        </w:rPr>
        <w:t xml:space="preserve"> </w:t>
      </w:r>
    </w:p>
    <w:p w14:paraId="623E7C04" w14:textId="1105DF9F" w:rsidR="007F1DBA" w:rsidRPr="00645878" w:rsidRDefault="00D96644"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 xml:space="preserve">The </w:t>
      </w:r>
      <w:r w:rsidR="00B03657" w:rsidRPr="00645878">
        <w:rPr>
          <w:rFonts w:ascii="Times New Roman" w:hAnsi="Times New Roman"/>
          <w:b/>
        </w:rPr>
        <w:t>NA</w:t>
      </w:r>
      <w:r w:rsidR="00900061" w:rsidRPr="00645878">
        <w:rPr>
          <w:rFonts w:ascii="Times New Roman" w:hAnsi="Times New Roman"/>
          <w:b/>
        </w:rPr>
        <w:t xml:space="preserve"> </w:t>
      </w:r>
      <w:r w:rsidR="00B03657" w:rsidRPr="00645878">
        <w:rPr>
          <w:rFonts w:ascii="Times New Roman" w:hAnsi="Times New Roman"/>
          <w:b/>
        </w:rPr>
        <w:t>decides</w:t>
      </w:r>
      <w:r w:rsidR="00900061" w:rsidRPr="00645878">
        <w:rPr>
          <w:rFonts w:ascii="Times New Roman" w:hAnsi="Times New Roman"/>
          <w:b/>
        </w:rPr>
        <w:t xml:space="preserve"> </w:t>
      </w:r>
      <w:r w:rsidR="00B03657" w:rsidRPr="00645878">
        <w:rPr>
          <w:rFonts w:ascii="Times New Roman" w:hAnsi="Times New Roman"/>
          <w:b/>
        </w:rPr>
        <w:t>on</w:t>
      </w:r>
      <w:r w:rsidR="00900061" w:rsidRPr="00645878">
        <w:rPr>
          <w:rFonts w:ascii="Times New Roman" w:hAnsi="Times New Roman"/>
          <w:b/>
        </w:rPr>
        <w:t xml:space="preserve"> </w:t>
      </w:r>
      <w:r w:rsidR="00B03657" w:rsidRPr="00645878">
        <w:rPr>
          <w:rFonts w:ascii="Times New Roman" w:hAnsi="Times New Roman"/>
          <w:b/>
        </w:rPr>
        <w:t>any</w:t>
      </w:r>
      <w:r w:rsidR="00900061" w:rsidRPr="00645878">
        <w:rPr>
          <w:rFonts w:ascii="Times New Roman" w:hAnsi="Times New Roman"/>
          <w:b/>
        </w:rPr>
        <w:t xml:space="preserve"> </w:t>
      </w:r>
      <w:r w:rsidR="00B03657" w:rsidRPr="00645878">
        <w:rPr>
          <w:rFonts w:ascii="Times New Roman" w:hAnsi="Times New Roman"/>
          <w:b/>
        </w:rPr>
        <w:t>supplementary</w:t>
      </w:r>
      <w:r w:rsidR="00900061" w:rsidRPr="00645878">
        <w:rPr>
          <w:rFonts w:ascii="Times New Roman" w:hAnsi="Times New Roman"/>
          <w:b/>
        </w:rPr>
        <w:t xml:space="preserve"> </w:t>
      </w:r>
      <w:r w:rsidR="00B03657" w:rsidRPr="00645878">
        <w:rPr>
          <w:rFonts w:ascii="Times New Roman" w:hAnsi="Times New Roman"/>
          <w:b/>
        </w:rPr>
        <w:t>budgets</w:t>
      </w:r>
      <w:r w:rsidR="00900061" w:rsidRPr="00645878">
        <w:rPr>
          <w:rFonts w:ascii="Times New Roman" w:hAnsi="Times New Roman"/>
          <w:b/>
        </w:rPr>
        <w:t xml:space="preserve"> </w:t>
      </w:r>
      <w:r w:rsidR="00B03657" w:rsidRPr="00645878">
        <w:rPr>
          <w:rFonts w:ascii="Times New Roman" w:hAnsi="Times New Roman"/>
          <w:b/>
        </w:rPr>
        <w:t>in</w:t>
      </w:r>
      <w:r w:rsidR="00900061" w:rsidRPr="00645878">
        <w:rPr>
          <w:rFonts w:ascii="Times New Roman" w:hAnsi="Times New Roman"/>
          <w:b/>
        </w:rPr>
        <w:t xml:space="preserve"> </w:t>
      </w:r>
      <w:r w:rsidR="00B03657" w:rsidRPr="00645878">
        <w:rPr>
          <w:rFonts w:ascii="Times New Roman" w:hAnsi="Times New Roman"/>
          <w:b/>
        </w:rPr>
        <w:t>the</w:t>
      </w:r>
      <w:r w:rsidR="00900061" w:rsidRPr="00645878">
        <w:rPr>
          <w:rFonts w:ascii="Times New Roman" w:hAnsi="Times New Roman"/>
          <w:b/>
        </w:rPr>
        <w:t xml:space="preserve"> </w:t>
      </w:r>
      <w:r w:rsidR="00B03657" w:rsidRPr="00645878">
        <w:rPr>
          <w:rFonts w:ascii="Times New Roman" w:hAnsi="Times New Roman"/>
          <w:b/>
        </w:rPr>
        <w:t>course</w:t>
      </w:r>
      <w:r w:rsidR="00900061" w:rsidRPr="00645878">
        <w:rPr>
          <w:rFonts w:ascii="Times New Roman" w:hAnsi="Times New Roman"/>
          <w:b/>
        </w:rPr>
        <w:t xml:space="preserve"> </w:t>
      </w:r>
      <w:r w:rsidR="00B03657" w:rsidRPr="00645878">
        <w:rPr>
          <w:rFonts w:ascii="Times New Roman" w:hAnsi="Times New Roman"/>
          <w:b/>
        </w:rPr>
        <w:t>of</w:t>
      </w:r>
      <w:r w:rsidR="00900061" w:rsidRPr="00645878">
        <w:rPr>
          <w:rFonts w:ascii="Times New Roman" w:hAnsi="Times New Roman"/>
          <w:b/>
        </w:rPr>
        <w:t xml:space="preserve"> </w:t>
      </w:r>
      <w:r w:rsidR="00B03657" w:rsidRPr="00645878">
        <w:rPr>
          <w:rFonts w:ascii="Times New Roman" w:hAnsi="Times New Roman"/>
          <w:b/>
        </w:rPr>
        <w:t>the</w:t>
      </w:r>
      <w:r w:rsidR="00900061" w:rsidRPr="00645878">
        <w:rPr>
          <w:rFonts w:ascii="Times New Roman" w:hAnsi="Times New Roman"/>
          <w:b/>
        </w:rPr>
        <w:t xml:space="preserve"> </w:t>
      </w:r>
      <w:r w:rsidR="00B03657" w:rsidRPr="00645878">
        <w:rPr>
          <w:rFonts w:ascii="Times New Roman" w:hAnsi="Times New Roman"/>
          <w:b/>
        </w:rPr>
        <w:t>year.</w:t>
      </w:r>
      <w:r w:rsidR="00900061" w:rsidRPr="00645878">
        <w:rPr>
          <w:rFonts w:ascii="Times New Roman" w:hAnsi="Times New Roman"/>
        </w:rPr>
        <w:t xml:space="preserve"> </w:t>
      </w:r>
      <w:r w:rsidR="00B03657" w:rsidRPr="00645878">
        <w:rPr>
          <w:rFonts w:ascii="Times New Roman" w:hAnsi="Times New Roman"/>
        </w:rPr>
        <w:t>Supplementary</w:t>
      </w:r>
      <w:r w:rsidR="00900061" w:rsidRPr="00645878">
        <w:rPr>
          <w:rFonts w:ascii="Times New Roman" w:hAnsi="Times New Roman"/>
        </w:rPr>
        <w:t xml:space="preserve"> </w:t>
      </w:r>
      <w:r w:rsidR="00B03657" w:rsidRPr="00645878">
        <w:rPr>
          <w:rFonts w:ascii="Times New Roman" w:hAnsi="Times New Roman"/>
        </w:rPr>
        <w:t>budgets</w:t>
      </w:r>
      <w:r w:rsidR="00900061" w:rsidRPr="00645878">
        <w:rPr>
          <w:rFonts w:ascii="Times New Roman" w:hAnsi="Times New Roman"/>
        </w:rPr>
        <w:t xml:space="preserve"> </w:t>
      </w:r>
      <w:r w:rsidR="00B03657" w:rsidRPr="00645878">
        <w:rPr>
          <w:rFonts w:ascii="Times New Roman" w:hAnsi="Times New Roman"/>
        </w:rPr>
        <w:t>have</w:t>
      </w:r>
      <w:r w:rsidR="00900061" w:rsidRPr="00645878">
        <w:rPr>
          <w:rFonts w:ascii="Times New Roman" w:hAnsi="Times New Roman"/>
        </w:rPr>
        <w:t xml:space="preserve"> </w:t>
      </w:r>
      <w:r w:rsidR="00B03657" w:rsidRPr="00645878">
        <w:rPr>
          <w:rFonts w:ascii="Times New Roman" w:hAnsi="Times New Roman"/>
        </w:rPr>
        <w:t>been</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regular</w:t>
      </w:r>
      <w:r w:rsidR="00900061" w:rsidRPr="00645878">
        <w:rPr>
          <w:rFonts w:ascii="Times New Roman" w:hAnsi="Times New Roman"/>
        </w:rPr>
        <w:t xml:space="preserve"> </w:t>
      </w:r>
      <w:r w:rsidR="00B03657" w:rsidRPr="00645878">
        <w:rPr>
          <w:rFonts w:ascii="Times New Roman" w:hAnsi="Times New Roman"/>
        </w:rPr>
        <w:t>feature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DF4628" w:rsidRPr="00645878">
        <w:rPr>
          <w:rFonts w:ascii="Times New Roman" w:hAnsi="Times New Roman"/>
        </w:rPr>
        <w:t xml:space="preserve">public </w:t>
      </w:r>
      <w:r w:rsidR="00B03657" w:rsidRPr="00645878">
        <w:rPr>
          <w:rFonts w:ascii="Times New Roman" w:hAnsi="Times New Roman"/>
        </w:rPr>
        <w:t>FM</w:t>
      </w:r>
      <w:r w:rsidR="00900061" w:rsidRPr="00645878">
        <w:rPr>
          <w:rFonts w:ascii="Times New Roman" w:hAnsi="Times New Roman"/>
        </w:rPr>
        <w:t xml:space="preserve"> </w:t>
      </w:r>
      <w:r w:rsidR="00B03657" w:rsidRPr="00645878">
        <w:rPr>
          <w:rFonts w:ascii="Times New Roman" w:hAnsi="Times New Roman"/>
        </w:rPr>
        <w:t>system</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Serbia</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past</w:t>
      </w:r>
      <w:r w:rsidR="00900061" w:rsidRPr="00645878">
        <w:rPr>
          <w:rFonts w:ascii="Times New Roman" w:hAnsi="Times New Roman"/>
        </w:rPr>
        <w:t xml:space="preserve"> </w:t>
      </w:r>
      <w:r w:rsidR="00B03657" w:rsidRPr="00645878">
        <w:rPr>
          <w:rFonts w:ascii="Times New Roman" w:hAnsi="Times New Roman"/>
        </w:rPr>
        <w:t>years.</w:t>
      </w:r>
      <w:r w:rsidR="00900061" w:rsidRPr="00645878">
        <w:rPr>
          <w:rFonts w:ascii="Times New Roman" w:hAnsi="Times New Roman"/>
        </w:rPr>
        <w:t xml:space="preserve"> </w:t>
      </w:r>
      <w:r w:rsidR="00B03657" w:rsidRPr="00645878">
        <w:rPr>
          <w:rFonts w:ascii="Times New Roman" w:hAnsi="Times New Roman"/>
        </w:rPr>
        <w:t>Variances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actual</w:t>
      </w:r>
      <w:r w:rsidR="00900061" w:rsidRPr="00645878">
        <w:rPr>
          <w:rFonts w:ascii="Times New Roman" w:hAnsi="Times New Roman"/>
        </w:rPr>
        <w:t xml:space="preserve"> </w:t>
      </w:r>
      <w:r w:rsidR="00B03657" w:rsidRPr="00645878">
        <w:rPr>
          <w:rFonts w:ascii="Times New Roman" w:hAnsi="Times New Roman"/>
        </w:rPr>
        <w:t>expenditures</w:t>
      </w:r>
      <w:r w:rsidR="00900061" w:rsidRPr="00645878">
        <w:rPr>
          <w:rFonts w:ascii="Times New Roman" w:hAnsi="Times New Roman"/>
        </w:rPr>
        <w:t xml:space="preserve"> </w:t>
      </w:r>
      <w:r w:rsidR="00B03657" w:rsidRPr="00645878">
        <w:rPr>
          <w:rFonts w:ascii="Times New Roman" w:hAnsi="Times New Roman"/>
        </w:rPr>
        <w:t>compared</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originally</w:t>
      </w:r>
      <w:r w:rsidR="00900061" w:rsidRPr="00645878">
        <w:rPr>
          <w:rFonts w:ascii="Times New Roman" w:hAnsi="Times New Roman"/>
        </w:rPr>
        <w:t xml:space="preserve"> </w:t>
      </w:r>
      <w:r w:rsidR="00B03657" w:rsidRPr="00645878">
        <w:rPr>
          <w:rFonts w:ascii="Times New Roman" w:hAnsi="Times New Roman"/>
        </w:rPr>
        <w:t>approved</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exist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assessed</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be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moderate</w:t>
      </w:r>
      <w:r w:rsidR="00900061" w:rsidRPr="00645878">
        <w:rPr>
          <w:rFonts w:ascii="Times New Roman" w:hAnsi="Times New Roman"/>
        </w:rPr>
        <w:t xml:space="preserve"> </w:t>
      </w:r>
      <w:r w:rsidR="00B03657" w:rsidRPr="00645878">
        <w:rPr>
          <w:rFonts w:ascii="Times New Roman" w:hAnsi="Times New Roman"/>
        </w:rPr>
        <w:t>levels.</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0C12E1" w:rsidRPr="00645878">
        <w:rPr>
          <w:rFonts w:ascii="Times New Roman" w:hAnsi="Times New Roman"/>
        </w:rPr>
        <w:t>P</w:t>
      </w:r>
      <w:r w:rsidR="00B03657" w:rsidRPr="00645878">
        <w:rPr>
          <w:rFonts w:ascii="Times New Roman" w:hAnsi="Times New Roman"/>
        </w:rPr>
        <w:t>rogram</w:t>
      </w:r>
      <w:r w:rsidR="00900061" w:rsidRPr="00645878">
        <w:rPr>
          <w:rFonts w:ascii="Times New Roman" w:hAnsi="Times New Roman"/>
        </w:rPr>
        <w:t xml:space="preserve"> </w:t>
      </w:r>
      <w:r w:rsidR="00B03657" w:rsidRPr="00645878">
        <w:rPr>
          <w:rFonts w:ascii="Times New Roman" w:hAnsi="Times New Roman"/>
        </w:rPr>
        <w:t>will</w:t>
      </w:r>
      <w:r w:rsidR="00900061" w:rsidRPr="00645878">
        <w:rPr>
          <w:rFonts w:ascii="Times New Roman" w:hAnsi="Times New Roman"/>
        </w:rPr>
        <w:t xml:space="preserve"> </w:t>
      </w:r>
      <w:r w:rsidR="00B03657" w:rsidRPr="00645878">
        <w:rPr>
          <w:rFonts w:ascii="Times New Roman" w:hAnsi="Times New Roman"/>
        </w:rPr>
        <w:t>mitigate</w:t>
      </w:r>
      <w:r w:rsidR="00900061" w:rsidRPr="00645878">
        <w:rPr>
          <w:rFonts w:ascii="Times New Roman" w:hAnsi="Times New Roman"/>
        </w:rPr>
        <w:t xml:space="preserve"> </w:t>
      </w:r>
      <w:r w:rsidR="00B03657" w:rsidRPr="00645878">
        <w:rPr>
          <w:rFonts w:ascii="Times New Roman" w:hAnsi="Times New Roman"/>
        </w:rPr>
        <w:t>this</w:t>
      </w:r>
      <w:r w:rsidR="00900061" w:rsidRPr="00645878">
        <w:rPr>
          <w:rFonts w:ascii="Times New Roman" w:hAnsi="Times New Roman"/>
        </w:rPr>
        <w:t xml:space="preserve"> </w:t>
      </w:r>
      <w:r w:rsidR="00B03657" w:rsidRPr="00645878">
        <w:rPr>
          <w:rFonts w:ascii="Times New Roman" w:hAnsi="Times New Roman"/>
        </w:rPr>
        <w:t>risk</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focusing</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9329A9" w:rsidRPr="00645878">
        <w:rPr>
          <w:rFonts w:ascii="Times New Roman" w:hAnsi="Times New Roman"/>
        </w:rPr>
        <w:t>P</w:t>
      </w:r>
      <w:r w:rsidR="00B03657" w:rsidRPr="00645878">
        <w:rPr>
          <w:rFonts w:ascii="Times New Roman" w:hAnsi="Times New Roman"/>
        </w:rPr>
        <w:t>rograms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relevance</w:t>
      </w:r>
      <w:r w:rsidR="00900061" w:rsidRPr="00645878">
        <w:rPr>
          <w:rFonts w:ascii="Times New Roman" w:hAnsi="Times New Roman"/>
        </w:rPr>
        <w:t xml:space="preserve"> </w:t>
      </w:r>
      <w:r w:rsidR="00B03657" w:rsidRPr="00645878">
        <w:rPr>
          <w:rFonts w:ascii="Times New Roman" w:hAnsi="Times New Roman"/>
        </w:rPr>
        <w:t>and</w:t>
      </w:r>
      <w:r w:rsidR="00F228DA"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therefore</w:t>
      </w:r>
      <w:r w:rsidR="00DA44CF"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certitude</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regard</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being</w:t>
      </w:r>
      <w:r w:rsidR="00900061" w:rsidRPr="00645878">
        <w:rPr>
          <w:rFonts w:ascii="Times New Roman" w:hAnsi="Times New Roman"/>
        </w:rPr>
        <w:t xml:space="preserve"> </w:t>
      </w:r>
      <w:r w:rsidR="00B03657" w:rsidRPr="00645878">
        <w:rPr>
          <w:rFonts w:ascii="Times New Roman" w:hAnsi="Times New Roman"/>
        </w:rPr>
        <w:t>included</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Additionally,</w:t>
      </w:r>
      <w:r w:rsidR="00900061" w:rsidRPr="00645878">
        <w:rPr>
          <w:rFonts w:ascii="Times New Roman" w:hAnsi="Times New Roman"/>
        </w:rPr>
        <w:t xml:space="preserve"> </w:t>
      </w:r>
      <w:r w:rsidR="00B03657" w:rsidRPr="00645878">
        <w:rPr>
          <w:rFonts w:ascii="Times New Roman" w:hAnsi="Times New Roman"/>
        </w:rPr>
        <w:t>selected</w:t>
      </w:r>
      <w:r w:rsidR="00900061" w:rsidRPr="00645878">
        <w:rPr>
          <w:rFonts w:ascii="Times New Roman" w:hAnsi="Times New Roman"/>
        </w:rPr>
        <w:t xml:space="preserve"> </w:t>
      </w:r>
      <w:r w:rsidR="009329A9" w:rsidRPr="00645878">
        <w:rPr>
          <w:rFonts w:ascii="Times New Roman" w:hAnsi="Times New Roman"/>
        </w:rPr>
        <w:t>P</w:t>
      </w:r>
      <w:r w:rsidR="00B03657" w:rsidRPr="00645878">
        <w:rPr>
          <w:rFonts w:ascii="Times New Roman" w:hAnsi="Times New Roman"/>
        </w:rPr>
        <w:t>rograms</w:t>
      </w:r>
      <w:r w:rsidR="00900061" w:rsidRPr="00645878">
        <w:rPr>
          <w:rFonts w:ascii="Times New Roman" w:hAnsi="Times New Roman"/>
        </w:rPr>
        <w:t xml:space="preserve"> </w:t>
      </w:r>
      <w:r w:rsidR="00B03657" w:rsidRPr="00645878">
        <w:rPr>
          <w:rFonts w:ascii="Times New Roman" w:hAnsi="Times New Roman"/>
        </w:rPr>
        <w:t>will</w:t>
      </w:r>
      <w:r w:rsidR="00900061" w:rsidRPr="00645878">
        <w:rPr>
          <w:rFonts w:ascii="Times New Roman" w:hAnsi="Times New Roman"/>
        </w:rPr>
        <w:t xml:space="preserve"> </w:t>
      </w:r>
      <w:r w:rsidR="00B03657" w:rsidRPr="00645878">
        <w:rPr>
          <w:rFonts w:ascii="Times New Roman" w:hAnsi="Times New Roman"/>
        </w:rPr>
        <w:t>be</w:t>
      </w:r>
      <w:r w:rsidR="00900061" w:rsidRPr="00645878">
        <w:rPr>
          <w:rFonts w:ascii="Times New Roman" w:hAnsi="Times New Roman"/>
        </w:rPr>
        <w:t xml:space="preserve"> </w:t>
      </w:r>
      <w:r w:rsidR="00B03657" w:rsidRPr="00645878">
        <w:rPr>
          <w:rFonts w:ascii="Times New Roman" w:hAnsi="Times New Roman"/>
        </w:rPr>
        <w:t>those</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cost</w:t>
      </w:r>
      <w:r w:rsidR="00900061" w:rsidRPr="00645878">
        <w:rPr>
          <w:rFonts w:ascii="Times New Roman" w:hAnsi="Times New Roman"/>
        </w:rPr>
        <w:t xml:space="preserve"> </w:t>
      </w:r>
      <w:r w:rsidR="00B03657" w:rsidRPr="00645878">
        <w:rPr>
          <w:rFonts w:ascii="Times New Roman" w:hAnsi="Times New Roman"/>
        </w:rPr>
        <w:t>estimates</w:t>
      </w:r>
      <w:r w:rsidR="00F228DA"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which</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based</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solid</w:t>
      </w:r>
      <w:r w:rsidR="00900061" w:rsidRPr="00645878">
        <w:rPr>
          <w:rFonts w:ascii="Times New Roman" w:hAnsi="Times New Roman"/>
        </w:rPr>
        <w:t xml:space="preserve"> </w:t>
      </w:r>
      <w:r w:rsidR="00B03657" w:rsidRPr="00645878">
        <w:rPr>
          <w:rFonts w:ascii="Times New Roman" w:hAnsi="Times New Roman"/>
        </w:rPr>
        <w:t>ground</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rationale,</w:t>
      </w:r>
      <w:r w:rsidR="00900061" w:rsidRPr="00645878">
        <w:rPr>
          <w:rFonts w:ascii="Times New Roman" w:hAnsi="Times New Roman"/>
        </w:rPr>
        <w:t xml:space="preserve"> </w:t>
      </w:r>
      <w:r w:rsidR="00B03657" w:rsidRPr="00645878">
        <w:rPr>
          <w:rFonts w:ascii="Times New Roman" w:hAnsi="Times New Roman"/>
        </w:rPr>
        <w:t>as</w:t>
      </w:r>
      <w:r w:rsidR="00900061" w:rsidRPr="00645878">
        <w:rPr>
          <w:rFonts w:ascii="Times New Roman" w:hAnsi="Times New Roman"/>
        </w:rPr>
        <w:t xml:space="preserve"> </w:t>
      </w:r>
      <w:r w:rsidR="00B03657" w:rsidRPr="00645878">
        <w:rPr>
          <w:rFonts w:ascii="Times New Roman" w:hAnsi="Times New Roman"/>
        </w:rPr>
        <w:t>confirmed</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assessment.</w:t>
      </w:r>
    </w:p>
    <w:p w14:paraId="12289579" w14:textId="70F63E2D" w:rsidR="007F1DBA" w:rsidRPr="00645878" w:rsidRDefault="00B03657"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structures</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procedures</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review</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annual</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proposal</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firmly</w:t>
      </w:r>
      <w:r w:rsidR="00900061" w:rsidRPr="00645878">
        <w:rPr>
          <w:rFonts w:ascii="Times New Roman" w:hAnsi="Times New Roman"/>
          <w:b/>
        </w:rPr>
        <w:t xml:space="preserve"> </w:t>
      </w:r>
      <w:r w:rsidRPr="00645878">
        <w:rPr>
          <w:rFonts w:ascii="Times New Roman" w:hAnsi="Times New Roman"/>
          <w:b/>
        </w:rPr>
        <w:t>established</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respected.</w:t>
      </w:r>
      <w:r w:rsidR="00900061" w:rsidRPr="00645878">
        <w:rPr>
          <w:rFonts w:ascii="Times New Roman" w:hAnsi="Times New Roman"/>
        </w:rPr>
        <w:t xml:space="preserve"> </w:t>
      </w:r>
      <w:r w:rsidRPr="00645878">
        <w:rPr>
          <w:rFonts w:ascii="Times New Roman" w:hAnsi="Times New Roman"/>
        </w:rPr>
        <w:t>Legislative</w:t>
      </w:r>
      <w:r w:rsidR="00900061" w:rsidRPr="00645878">
        <w:rPr>
          <w:rFonts w:ascii="Times New Roman" w:hAnsi="Times New Roman"/>
        </w:rPr>
        <w:t xml:space="preserve"> </w:t>
      </w:r>
      <w:r w:rsidRPr="00645878">
        <w:rPr>
          <w:rFonts w:ascii="Times New Roman" w:hAnsi="Times New Roman"/>
        </w:rPr>
        <w:t>review</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Fiscal</w:t>
      </w:r>
      <w:r w:rsidR="00900061" w:rsidRPr="00645878">
        <w:rPr>
          <w:rFonts w:ascii="Times New Roman" w:hAnsi="Times New Roman"/>
        </w:rPr>
        <w:t xml:space="preserve"> </w:t>
      </w:r>
      <w:r w:rsidRPr="00645878">
        <w:rPr>
          <w:rFonts w:ascii="Times New Roman" w:hAnsi="Times New Roman"/>
        </w:rPr>
        <w:t>Strategy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prescribed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BSL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parliamentary</w:t>
      </w:r>
      <w:r w:rsidR="00900061" w:rsidRPr="00645878">
        <w:rPr>
          <w:rFonts w:ascii="Times New Roman" w:hAnsi="Times New Roman"/>
        </w:rPr>
        <w:t xml:space="preserve"> </w:t>
      </w:r>
      <w:r w:rsidRPr="00645878">
        <w:rPr>
          <w:rFonts w:ascii="Times New Roman" w:hAnsi="Times New Roman"/>
        </w:rPr>
        <w:t>Rules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Procedure.</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requirement,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accordingly</w:t>
      </w:r>
      <w:r w:rsidR="00900061" w:rsidRPr="00645878">
        <w:rPr>
          <w:rFonts w:ascii="Times New Roman" w:hAnsi="Times New Roman"/>
        </w:rPr>
        <w:t xml:space="preserve"> </w:t>
      </w: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deadline,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MTEF</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approved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legislation</w:t>
      </w:r>
      <w:r w:rsidR="00900061" w:rsidRPr="00645878">
        <w:rPr>
          <w:rFonts w:ascii="Times New Roman" w:hAnsi="Times New Roman"/>
        </w:rPr>
        <w:t xml:space="preserve"> </w:t>
      </w:r>
      <w:r w:rsidRPr="00645878">
        <w:rPr>
          <w:rFonts w:ascii="Times New Roman" w:hAnsi="Times New Roman"/>
        </w:rPr>
        <w:t>foresees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45-day</w:t>
      </w:r>
      <w:r w:rsidR="00900061" w:rsidRPr="00645878">
        <w:rPr>
          <w:rFonts w:ascii="Times New Roman" w:hAnsi="Times New Roman"/>
        </w:rPr>
        <w:t xml:space="preserve"> </w:t>
      </w:r>
      <w:r w:rsidRPr="00645878">
        <w:rPr>
          <w:rFonts w:ascii="Times New Roman" w:hAnsi="Times New Roman"/>
        </w:rPr>
        <w:t>window</w:t>
      </w:r>
      <w:r w:rsidR="00900061" w:rsidRPr="00645878">
        <w:rPr>
          <w:rFonts w:ascii="Times New Roman" w:hAnsi="Times New Roman"/>
        </w:rPr>
        <w:t xml:space="preserve"> </w:t>
      </w:r>
      <w:r w:rsidRPr="00645878">
        <w:rPr>
          <w:rFonts w:ascii="Times New Roman" w:hAnsi="Times New Roman"/>
        </w:rPr>
        <w:t>(November</w:t>
      </w:r>
      <w:r w:rsidR="00900061" w:rsidRPr="00645878">
        <w:rPr>
          <w:rFonts w:ascii="Times New Roman" w:hAnsi="Times New Roman"/>
        </w:rPr>
        <w:t xml:space="preserve"> </w:t>
      </w:r>
      <w:r w:rsidRPr="00645878">
        <w:rPr>
          <w:rFonts w:ascii="Times New Roman" w:hAnsi="Times New Roman"/>
        </w:rPr>
        <w:t>1–December</w:t>
      </w:r>
      <w:r w:rsidR="00900061" w:rsidRPr="00645878">
        <w:rPr>
          <w:rFonts w:ascii="Times New Roman" w:hAnsi="Times New Roman"/>
        </w:rPr>
        <w:t xml:space="preserve"> </w:t>
      </w:r>
      <w:r w:rsidRPr="00645878">
        <w:rPr>
          <w:rFonts w:ascii="Times New Roman" w:hAnsi="Times New Roman"/>
        </w:rPr>
        <w:t>15)</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legislative</w:t>
      </w:r>
      <w:r w:rsidR="00900061" w:rsidRPr="00645878">
        <w:rPr>
          <w:rFonts w:ascii="Times New Roman" w:hAnsi="Times New Roman"/>
        </w:rPr>
        <w:t xml:space="preserve"> </w:t>
      </w:r>
      <w:r w:rsidRPr="00645878">
        <w:rPr>
          <w:rFonts w:ascii="Times New Roman" w:hAnsi="Times New Roman"/>
        </w:rPr>
        <w:t>review</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approval.</w:t>
      </w:r>
      <w:r w:rsidR="00900061" w:rsidRPr="00645878">
        <w:rPr>
          <w:rFonts w:ascii="Times New Roman" w:hAnsi="Times New Roman"/>
        </w:rPr>
        <w:t xml:space="preserve"> </w:t>
      </w:r>
      <w:r w:rsidR="00F228DA" w:rsidRPr="00645878">
        <w:rPr>
          <w:rFonts w:ascii="Times New Roman" w:hAnsi="Times New Roman"/>
        </w:rPr>
        <w:t>The t</w:t>
      </w:r>
      <w:r w:rsidRPr="00645878">
        <w:rPr>
          <w:rFonts w:ascii="Times New Roman" w:hAnsi="Times New Roman"/>
        </w:rPr>
        <w:t>echnical</w:t>
      </w:r>
      <w:r w:rsidR="00900061" w:rsidRPr="00645878">
        <w:rPr>
          <w:rFonts w:ascii="Times New Roman" w:hAnsi="Times New Roman"/>
        </w:rPr>
        <w:t xml:space="preserve"> </w:t>
      </w:r>
      <w:r w:rsidRPr="00645878">
        <w:rPr>
          <w:rFonts w:ascii="Times New Roman" w:hAnsi="Times New Roman"/>
        </w:rPr>
        <w:t>part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legislature</w:t>
      </w:r>
      <w:r w:rsidR="00900061" w:rsidRPr="00645878">
        <w:rPr>
          <w:rFonts w:ascii="Times New Roman" w:hAnsi="Times New Roman"/>
        </w:rPr>
        <w:t xml:space="preserve"> </w:t>
      </w:r>
      <w:r w:rsidRPr="00645878">
        <w:rPr>
          <w:rFonts w:ascii="Times New Roman" w:hAnsi="Times New Roman"/>
        </w:rPr>
        <w:t>review,</w:t>
      </w:r>
      <w:r w:rsidR="00900061" w:rsidRPr="00645878">
        <w:rPr>
          <w:rFonts w:ascii="Times New Roman" w:hAnsi="Times New Roman"/>
        </w:rPr>
        <w:t xml:space="preserve"> </w:t>
      </w:r>
      <w:r w:rsidR="00D62826" w:rsidRPr="00645878">
        <w:rPr>
          <w:rFonts w:ascii="Times New Roman" w:hAnsi="Times New Roman"/>
        </w:rPr>
        <w:t>before</w:t>
      </w:r>
      <w:r w:rsidR="00900061" w:rsidRPr="00645878">
        <w:rPr>
          <w:rFonts w:ascii="Times New Roman" w:hAnsi="Times New Roman"/>
        </w:rPr>
        <w:t xml:space="preserve"> </w:t>
      </w:r>
      <w:r w:rsidR="00010C3C" w:rsidRPr="00645878">
        <w:rPr>
          <w:rFonts w:ascii="Times New Roman" w:hAnsi="Times New Roman"/>
        </w:rPr>
        <w:t>plenary</w:t>
      </w:r>
      <w:r w:rsidR="00900061" w:rsidRPr="00645878">
        <w:rPr>
          <w:rFonts w:ascii="Times New Roman" w:hAnsi="Times New Roman"/>
        </w:rPr>
        <w:t xml:space="preserve"> </w:t>
      </w:r>
      <w:r w:rsidR="00010C3C" w:rsidRPr="00645878">
        <w:rPr>
          <w:rFonts w:ascii="Times New Roman" w:hAnsi="Times New Roman"/>
        </w:rPr>
        <w:t>deliberation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carried</w:t>
      </w:r>
      <w:r w:rsidR="00900061" w:rsidRPr="00645878">
        <w:rPr>
          <w:rFonts w:ascii="Times New Roman" w:hAnsi="Times New Roman"/>
        </w:rPr>
        <w:t xml:space="preserve"> </w:t>
      </w:r>
      <w:r w:rsidRPr="00645878">
        <w:rPr>
          <w:rFonts w:ascii="Times New Roman" w:hAnsi="Times New Roman"/>
        </w:rPr>
        <w:t>out</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parliamentary</w:t>
      </w:r>
      <w:r w:rsidR="00900061" w:rsidRPr="00645878">
        <w:rPr>
          <w:rFonts w:ascii="Times New Roman" w:hAnsi="Times New Roman"/>
        </w:rPr>
        <w:t xml:space="preserve"> </w:t>
      </w:r>
      <w:r w:rsidRPr="00645878">
        <w:rPr>
          <w:rFonts w:ascii="Times New Roman" w:hAnsi="Times New Roman"/>
        </w:rPr>
        <w:t>Committee</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Finance,</w:t>
      </w:r>
      <w:r w:rsidR="00900061" w:rsidRPr="00645878">
        <w:rPr>
          <w:rFonts w:ascii="Times New Roman" w:hAnsi="Times New Roman"/>
        </w:rPr>
        <w:t xml:space="preserve"> </w:t>
      </w:r>
      <w:r w:rsidRPr="00645878">
        <w:rPr>
          <w:rFonts w:ascii="Times New Roman" w:hAnsi="Times New Roman"/>
        </w:rPr>
        <w:t>State</w:t>
      </w:r>
      <w:r w:rsidR="00900061" w:rsidRPr="00645878">
        <w:rPr>
          <w:rFonts w:ascii="Times New Roman" w:hAnsi="Times New Roman"/>
        </w:rPr>
        <w:t xml:space="preserve"> </w:t>
      </w:r>
      <w:r w:rsidRPr="00645878">
        <w:rPr>
          <w:rFonts w:ascii="Times New Roman" w:hAnsi="Times New Roman"/>
        </w:rPr>
        <w:t>Budget</w:t>
      </w:r>
      <w:r w:rsidR="00F228DA"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Insufficient</w:t>
      </w:r>
      <w:r w:rsidR="00900061" w:rsidRPr="00645878">
        <w:rPr>
          <w:rFonts w:ascii="Times New Roman" w:hAnsi="Times New Roman"/>
        </w:rPr>
        <w:t xml:space="preserve"> </w:t>
      </w:r>
      <w:r w:rsidRPr="00645878">
        <w:rPr>
          <w:rFonts w:ascii="Times New Roman" w:hAnsi="Times New Roman"/>
        </w:rPr>
        <w:t>staffing</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Committee</w:t>
      </w:r>
      <w:r w:rsidR="00900061" w:rsidRPr="00645878">
        <w:rPr>
          <w:rFonts w:ascii="Times New Roman" w:hAnsi="Times New Roman"/>
        </w:rPr>
        <w:t xml:space="preserve"> </w:t>
      </w:r>
      <w:r w:rsidRPr="00645878">
        <w:rPr>
          <w:rFonts w:ascii="Times New Roman" w:hAnsi="Times New Roman"/>
        </w:rPr>
        <w:t>Secretariat</w:t>
      </w:r>
      <w:r w:rsidR="00900061" w:rsidRPr="00645878">
        <w:rPr>
          <w:rFonts w:ascii="Times New Roman" w:hAnsi="Times New Roman"/>
        </w:rPr>
        <w:t xml:space="preserve"> </w:t>
      </w:r>
      <w:r w:rsidRPr="00645878">
        <w:rPr>
          <w:rFonts w:ascii="Times New Roman" w:hAnsi="Times New Roman"/>
        </w:rPr>
        <w:t>poses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challenge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detailed</w:t>
      </w:r>
      <w:r w:rsidR="00900061" w:rsidRPr="00645878">
        <w:rPr>
          <w:rFonts w:ascii="Times New Roman" w:hAnsi="Times New Roman"/>
        </w:rPr>
        <w:t xml:space="preserve"> </w:t>
      </w:r>
      <w:r w:rsidRPr="00645878">
        <w:rPr>
          <w:rFonts w:ascii="Times New Roman" w:hAnsi="Times New Roman"/>
        </w:rPr>
        <w:t>fiscal</w:t>
      </w:r>
      <w:r w:rsidR="00900061" w:rsidRPr="00645878">
        <w:rPr>
          <w:rFonts w:ascii="Times New Roman" w:hAnsi="Times New Roman"/>
        </w:rPr>
        <w:t xml:space="preserve"> </w:t>
      </w:r>
      <w:r w:rsidRPr="00645878">
        <w:rPr>
          <w:rFonts w:ascii="Times New Roman" w:hAnsi="Times New Roman"/>
        </w:rPr>
        <w:t>analysis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partly</w:t>
      </w:r>
      <w:r w:rsidR="00900061" w:rsidRPr="00645878">
        <w:rPr>
          <w:rFonts w:ascii="Times New Roman" w:hAnsi="Times New Roman"/>
        </w:rPr>
        <w:t xml:space="preserve"> </w:t>
      </w:r>
      <w:r w:rsidRPr="00645878">
        <w:rPr>
          <w:rFonts w:ascii="Times New Roman" w:hAnsi="Times New Roman"/>
        </w:rPr>
        <w:t>offset</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available</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analyses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Fiscal</w:t>
      </w:r>
      <w:r w:rsidR="00900061" w:rsidRPr="00645878">
        <w:rPr>
          <w:rFonts w:ascii="Times New Roman" w:hAnsi="Times New Roman"/>
        </w:rPr>
        <w:t xml:space="preserve"> </w:t>
      </w:r>
      <w:r w:rsidRPr="00645878">
        <w:rPr>
          <w:rFonts w:ascii="Times New Roman" w:hAnsi="Times New Roman"/>
        </w:rPr>
        <w:t>Strategy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7D4F13" w:rsidRPr="00645878">
        <w:rPr>
          <w:rFonts w:ascii="Times New Roman" w:hAnsi="Times New Roman"/>
        </w:rPr>
        <w:t>A</w:t>
      </w:r>
      <w:r w:rsidRPr="00645878">
        <w:rPr>
          <w:rFonts w:ascii="Times New Roman" w:hAnsi="Times New Roman"/>
        </w:rPr>
        <w:t>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Pr="00645878">
        <w:rPr>
          <w:rFonts w:ascii="Times New Roman" w:hAnsi="Times New Roman"/>
        </w:rPr>
        <w:t>carried</w:t>
      </w:r>
      <w:r w:rsidR="00900061" w:rsidRPr="00645878">
        <w:rPr>
          <w:rFonts w:ascii="Times New Roman" w:hAnsi="Times New Roman"/>
        </w:rPr>
        <w:t xml:space="preserve"> </w:t>
      </w:r>
      <w:r w:rsidRPr="00645878">
        <w:rPr>
          <w:rFonts w:ascii="Times New Roman" w:hAnsi="Times New Roman"/>
        </w:rPr>
        <w:t>out</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Fiscal</w:t>
      </w:r>
      <w:r w:rsidR="00900061" w:rsidRPr="00645878">
        <w:rPr>
          <w:rFonts w:ascii="Times New Roman" w:hAnsi="Times New Roman"/>
        </w:rPr>
        <w:t xml:space="preserve"> </w:t>
      </w:r>
      <w:r w:rsidRPr="00645878">
        <w:rPr>
          <w:rFonts w:ascii="Times New Roman" w:hAnsi="Times New Roman"/>
        </w:rPr>
        <w:t>Council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Serbia.</w:t>
      </w:r>
      <w:r w:rsidR="00900061" w:rsidRPr="00645878">
        <w:rPr>
          <w:rFonts w:ascii="Times New Roman" w:hAnsi="Times New Roman"/>
        </w:rPr>
        <w:t xml:space="preserve"> </w:t>
      </w:r>
      <w:r w:rsidR="00B77A41" w:rsidRPr="00645878">
        <w:rPr>
          <w:rFonts w:ascii="Times New Roman" w:hAnsi="Times New Roman"/>
        </w:rPr>
        <w:t xml:space="preserve">The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does</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present</w:t>
      </w:r>
      <w:r w:rsidR="00900061" w:rsidRPr="00645878">
        <w:rPr>
          <w:rFonts w:ascii="Times New Roman" w:hAnsi="Times New Roman"/>
        </w:rPr>
        <w:t xml:space="preserve"> </w:t>
      </w:r>
      <w:r w:rsidRPr="00645878">
        <w:rPr>
          <w:rFonts w:ascii="Times New Roman" w:hAnsi="Times New Roman"/>
        </w:rPr>
        <w:t>comparison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F228DA" w:rsidRPr="00645878">
        <w:rPr>
          <w:rFonts w:ascii="Times New Roman" w:hAnsi="Times New Roman"/>
        </w:rPr>
        <w:t xml:space="preserve">the </w:t>
      </w:r>
      <w:r w:rsidRPr="00645878">
        <w:rPr>
          <w:rFonts w:ascii="Times New Roman" w:hAnsi="Times New Roman"/>
        </w:rPr>
        <w:t>previous</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outturn</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budgeted</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current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making</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difficult</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legislature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easily</w:t>
      </w:r>
      <w:r w:rsidR="00900061" w:rsidRPr="00645878">
        <w:rPr>
          <w:rFonts w:ascii="Times New Roman" w:hAnsi="Times New Roman"/>
        </w:rPr>
        <w:t xml:space="preserve"> </w:t>
      </w:r>
      <w:r w:rsidRPr="00645878">
        <w:rPr>
          <w:rFonts w:ascii="Times New Roman" w:hAnsi="Times New Roman"/>
        </w:rPr>
        <w:t>identify</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trends</w:t>
      </w:r>
      <w:r w:rsidR="00900061" w:rsidRPr="00645878">
        <w:rPr>
          <w:rFonts w:ascii="Times New Roman" w:hAnsi="Times New Roman"/>
        </w:rPr>
        <w:t xml:space="preserve"> </w:t>
      </w:r>
      <w:r w:rsidRPr="00645878">
        <w:rPr>
          <w:rFonts w:ascii="Times New Roman" w:hAnsi="Times New Roman"/>
        </w:rPr>
        <w:t>over</w:t>
      </w:r>
      <w:r w:rsidR="00900061" w:rsidRPr="00645878">
        <w:rPr>
          <w:rFonts w:ascii="Times New Roman" w:hAnsi="Times New Roman"/>
        </w:rPr>
        <w:t xml:space="preserve"> </w:t>
      </w:r>
      <w:r w:rsidRPr="00645878">
        <w:rPr>
          <w:rFonts w:ascii="Times New Roman" w:hAnsi="Times New Roman"/>
        </w:rPr>
        <w:t>time.</w:t>
      </w:r>
      <w:r w:rsidR="00900061" w:rsidRPr="00645878">
        <w:rPr>
          <w:rFonts w:ascii="Times New Roman" w:hAnsi="Times New Roman"/>
        </w:rPr>
        <w:t xml:space="preserve"> </w:t>
      </w:r>
    </w:p>
    <w:p w14:paraId="39FB0BA3" w14:textId="77777777" w:rsidR="003F42B4" w:rsidRPr="00645878" w:rsidRDefault="00B03657" w:rsidP="00645878">
      <w:pPr>
        <w:pStyle w:val="Heading2"/>
        <w:spacing w:before="120" w:after="120" w:line="240" w:lineRule="auto"/>
        <w:ind w:left="0" w:firstLine="0"/>
      </w:pPr>
      <w:bookmarkStart w:id="4" w:name="_Toc442428949"/>
      <w:r w:rsidRPr="00645878">
        <w:t>Transparency</w:t>
      </w:r>
      <w:bookmarkEnd w:id="4"/>
    </w:p>
    <w:p w14:paraId="6EFA4D65" w14:textId="1670393B" w:rsidR="006B160B" w:rsidRPr="00645878" w:rsidRDefault="005F61FA"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availability</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execution</w:t>
      </w:r>
      <w:r w:rsidR="00900061" w:rsidRPr="00645878">
        <w:rPr>
          <w:rFonts w:ascii="Times New Roman" w:hAnsi="Times New Roman"/>
          <w:b/>
        </w:rPr>
        <w:t xml:space="preserve"> </w:t>
      </w:r>
      <w:r w:rsidRPr="00645878">
        <w:rPr>
          <w:rFonts w:ascii="Times New Roman" w:hAnsi="Times New Roman"/>
          <w:b/>
        </w:rPr>
        <w:t>documentation</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public</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reported</w:t>
      </w:r>
      <w:r w:rsidR="00900061" w:rsidRPr="00645878">
        <w:rPr>
          <w:rFonts w:ascii="Times New Roman" w:hAnsi="Times New Roman"/>
          <w:b/>
        </w:rPr>
        <w:t xml:space="preserve"> </w:t>
      </w:r>
      <w:r w:rsidRPr="00645878">
        <w:rPr>
          <w:rFonts w:ascii="Times New Roman" w:hAnsi="Times New Roman"/>
          <w:b/>
        </w:rPr>
        <w:t>as</w:t>
      </w:r>
      <w:r w:rsidR="00900061" w:rsidRPr="00645878">
        <w:rPr>
          <w:rFonts w:ascii="Times New Roman" w:hAnsi="Times New Roman"/>
          <w:b/>
        </w:rPr>
        <w:t xml:space="preserve"> </w:t>
      </w:r>
      <w:r w:rsidRPr="00645878">
        <w:rPr>
          <w:rFonts w:ascii="Times New Roman" w:hAnsi="Times New Roman"/>
          <w:b/>
        </w:rPr>
        <w:t>overall</w:t>
      </w:r>
      <w:r w:rsidR="00900061" w:rsidRPr="00645878">
        <w:rPr>
          <w:rFonts w:ascii="Times New Roman" w:hAnsi="Times New Roman"/>
          <w:b/>
        </w:rPr>
        <w:t xml:space="preserve"> </w:t>
      </w:r>
      <w:r w:rsidRPr="00645878">
        <w:rPr>
          <w:rFonts w:ascii="Times New Roman" w:hAnsi="Times New Roman"/>
          <w:b/>
        </w:rPr>
        <w:t>partial,</w:t>
      </w:r>
      <w:r w:rsidR="00900061" w:rsidRPr="00645878">
        <w:rPr>
          <w:rFonts w:ascii="Times New Roman" w:hAnsi="Times New Roman"/>
          <w:b/>
        </w:rPr>
        <w:t xml:space="preserve"> </w:t>
      </w:r>
      <w:r w:rsidRPr="00645878">
        <w:rPr>
          <w:rFonts w:ascii="Times New Roman" w:hAnsi="Times New Roman"/>
          <w:b/>
        </w:rPr>
        <w:t>although</w:t>
      </w:r>
      <w:r w:rsidR="00900061" w:rsidRPr="00645878">
        <w:rPr>
          <w:rFonts w:ascii="Times New Roman" w:hAnsi="Times New Roman"/>
          <w:b/>
        </w:rPr>
        <w:t xml:space="preserve"> </w:t>
      </w:r>
      <w:r w:rsidRPr="00645878">
        <w:rPr>
          <w:rFonts w:ascii="Times New Roman" w:hAnsi="Times New Roman"/>
          <w:b/>
        </w:rPr>
        <w:t>principal</w:t>
      </w:r>
      <w:r w:rsidR="00900061" w:rsidRPr="00645878">
        <w:rPr>
          <w:rFonts w:ascii="Times New Roman" w:hAnsi="Times New Roman"/>
          <w:b/>
        </w:rPr>
        <w:t xml:space="preserve"> </w:t>
      </w:r>
      <w:r w:rsidRPr="00645878">
        <w:rPr>
          <w:rFonts w:ascii="Times New Roman" w:hAnsi="Times New Roman"/>
          <w:b/>
        </w:rPr>
        <w:t>documents</w:t>
      </w:r>
      <w:r w:rsidR="00900061" w:rsidRPr="00645878">
        <w:rPr>
          <w:rFonts w:ascii="Times New Roman" w:hAnsi="Times New Roman"/>
          <w:b/>
        </w:rPr>
        <w:t xml:space="preserve"> </w:t>
      </w:r>
      <w:r w:rsidRPr="00645878">
        <w:rPr>
          <w:rFonts w:ascii="Times New Roman" w:hAnsi="Times New Roman"/>
          <w:b/>
        </w:rPr>
        <w:t>such</w:t>
      </w:r>
      <w:r w:rsidR="00900061" w:rsidRPr="00645878">
        <w:rPr>
          <w:rFonts w:ascii="Times New Roman" w:hAnsi="Times New Roman"/>
          <w:b/>
        </w:rPr>
        <w:t xml:space="preserve"> </w:t>
      </w:r>
      <w:r w:rsidRPr="00645878">
        <w:rPr>
          <w:rFonts w:ascii="Times New Roman" w:hAnsi="Times New Roman"/>
          <w:b/>
        </w:rPr>
        <w:t>as</w:t>
      </w:r>
      <w:r w:rsidR="00900061" w:rsidRPr="00645878">
        <w:rPr>
          <w:rFonts w:ascii="Times New Roman" w:hAnsi="Times New Roman"/>
          <w:b/>
        </w:rPr>
        <w:t xml:space="preserve"> </w:t>
      </w:r>
      <w:r w:rsidRPr="00645878">
        <w:rPr>
          <w:rFonts w:ascii="Times New Roman" w:hAnsi="Times New Roman"/>
          <w:b/>
        </w:rPr>
        <w:t>annual</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year-end</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statements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readily</w:t>
      </w:r>
      <w:r w:rsidR="00900061" w:rsidRPr="00645878">
        <w:rPr>
          <w:rFonts w:ascii="Times New Roman" w:hAnsi="Times New Roman"/>
          <w:b/>
        </w:rPr>
        <w:t xml:space="preserve"> </w:t>
      </w:r>
      <w:r w:rsidRPr="00645878">
        <w:rPr>
          <w:rFonts w:ascii="Times New Roman" w:hAnsi="Times New Roman"/>
          <w:b/>
        </w:rPr>
        <w:t>available</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00DB121E" w:rsidRPr="00645878">
        <w:rPr>
          <w:rFonts w:ascii="Times New Roman" w:hAnsi="Times New Roman"/>
          <w:b/>
        </w:rPr>
        <w:t xml:space="preserve">the </w:t>
      </w:r>
      <w:r w:rsidRPr="00645878">
        <w:rPr>
          <w:rFonts w:ascii="Times New Roman" w:hAnsi="Times New Roman"/>
          <w:b/>
        </w:rPr>
        <w:t>public.</w:t>
      </w:r>
      <w:r w:rsidR="00900061" w:rsidRPr="00645878">
        <w:rPr>
          <w:rFonts w:ascii="Times New Roman" w:hAnsi="Times New Roman"/>
          <w:b/>
        </w:rPr>
        <w:t xml:space="preserve"> </w:t>
      </w:r>
      <w:r w:rsidRPr="00645878">
        <w:rPr>
          <w:rFonts w:ascii="Times New Roman" w:hAnsi="Times New Roman"/>
        </w:rPr>
        <w:t>Documentation</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must</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submitted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3C78A1"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review</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approval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007D4F13"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specified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Pr="00645878">
        <w:rPr>
          <w:rFonts w:ascii="Times New Roman" w:hAnsi="Times New Roman"/>
        </w:rPr>
        <w:t>Nonfinancial</w:t>
      </w:r>
      <w:r w:rsidR="00900061" w:rsidRPr="00645878">
        <w:rPr>
          <w:rFonts w:ascii="Times New Roman" w:hAnsi="Times New Roman"/>
        </w:rPr>
        <w:t xml:space="preserve"> </w:t>
      </w:r>
      <w:r w:rsidRPr="00645878">
        <w:rPr>
          <w:rFonts w:ascii="Times New Roman" w:hAnsi="Times New Roman"/>
        </w:rPr>
        <w:t>performance</w:t>
      </w:r>
      <w:r w:rsidR="00900061" w:rsidRPr="00645878">
        <w:rPr>
          <w:rFonts w:ascii="Times New Roman" w:hAnsi="Times New Roman"/>
        </w:rPr>
        <w:t xml:space="preserve"> </w:t>
      </w:r>
      <w:r w:rsidRPr="00645878">
        <w:rPr>
          <w:rFonts w:ascii="Times New Roman" w:hAnsi="Times New Roman"/>
        </w:rPr>
        <w:t>targets</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2462FF"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first</w:t>
      </w:r>
      <w:r w:rsidR="00900061" w:rsidRPr="00645878">
        <w:rPr>
          <w:rFonts w:ascii="Times New Roman" w:hAnsi="Times New Roman"/>
        </w:rPr>
        <w:t xml:space="preserve"> </w:t>
      </w:r>
      <w:r w:rsidRPr="00645878">
        <w:rPr>
          <w:rFonts w:ascii="Times New Roman" w:hAnsi="Times New Roman"/>
        </w:rPr>
        <w:t>time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Pr="00645878">
        <w:rPr>
          <w:rFonts w:ascii="Times New Roman" w:hAnsi="Times New Roman"/>
        </w:rPr>
        <w:t>following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transition</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005F4265" w:rsidRPr="00645878">
        <w:rPr>
          <w:rFonts w:ascii="Times New Roman" w:hAnsi="Times New Roman"/>
        </w:rPr>
        <w:t xml:space="preserve">the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budgeting</w:t>
      </w:r>
      <w:r w:rsidR="00900061" w:rsidRPr="00645878">
        <w:rPr>
          <w:rFonts w:ascii="Times New Roman" w:hAnsi="Times New Roman"/>
        </w:rPr>
        <w:t xml:space="preserve"> </w:t>
      </w:r>
      <w:r w:rsidRPr="00645878">
        <w:rPr>
          <w:rFonts w:ascii="Times New Roman" w:hAnsi="Times New Roman"/>
        </w:rPr>
        <w:t>format</w:t>
      </w:r>
      <w:r w:rsidR="00900061" w:rsidRPr="00645878">
        <w:rPr>
          <w:rFonts w:ascii="Times New Roman" w:hAnsi="Times New Roman"/>
        </w:rPr>
        <w:t xml:space="preserve"> </w:t>
      </w:r>
      <w:r w:rsidRPr="00645878">
        <w:rPr>
          <w:rFonts w:ascii="Times New Roman" w:hAnsi="Times New Roman"/>
        </w:rPr>
        <w:t>aimed</w:t>
      </w:r>
      <w:r w:rsidR="00900061" w:rsidRPr="00645878">
        <w:rPr>
          <w:rFonts w:ascii="Times New Roman" w:hAnsi="Times New Roman"/>
        </w:rPr>
        <w:t xml:space="preserve"> </w:t>
      </w:r>
      <w:r w:rsidRPr="00645878">
        <w:rPr>
          <w:rFonts w:ascii="Times New Roman" w:hAnsi="Times New Roman"/>
        </w:rPr>
        <w:t>at</w:t>
      </w:r>
      <w:r w:rsidR="00900061" w:rsidRPr="00645878">
        <w:rPr>
          <w:rFonts w:ascii="Times New Roman" w:hAnsi="Times New Roman"/>
        </w:rPr>
        <w:t xml:space="preserve"> </w:t>
      </w:r>
      <w:r w:rsidRPr="00645878">
        <w:rPr>
          <w:rFonts w:ascii="Times New Roman" w:hAnsi="Times New Roman"/>
        </w:rPr>
        <w:t>ensuring</w:t>
      </w:r>
      <w:r w:rsidR="00900061" w:rsidRPr="00645878">
        <w:rPr>
          <w:rFonts w:ascii="Times New Roman" w:hAnsi="Times New Roman"/>
        </w:rPr>
        <w:t xml:space="preserve"> </w:t>
      </w:r>
      <w:r w:rsidRPr="00645878">
        <w:rPr>
          <w:rFonts w:ascii="Times New Roman" w:hAnsi="Times New Roman"/>
        </w:rPr>
        <w:t>greater</w:t>
      </w:r>
      <w:r w:rsidR="00900061" w:rsidRPr="00645878">
        <w:rPr>
          <w:rFonts w:ascii="Times New Roman" w:hAnsi="Times New Roman"/>
        </w:rPr>
        <w:t xml:space="preserve"> </w:t>
      </w:r>
      <w:r w:rsidRPr="00645878">
        <w:rPr>
          <w:rFonts w:ascii="Times New Roman" w:hAnsi="Times New Roman"/>
        </w:rPr>
        <w:t>transparency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higher</w:t>
      </w:r>
      <w:r w:rsidR="00900061" w:rsidRPr="00645878">
        <w:rPr>
          <w:rFonts w:ascii="Times New Roman" w:hAnsi="Times New Roman"/>
        </w:rPr>
        <w:t xml:space="preserve"> </w:t>
      </w:r>
      <w:r w:rsidRPr="00645878">
        <w:rPr>
          <w:rFonts w:ascii="Times New Roman" w:hAnsi="Times New Roman"/>
        </w:rPr>
        <w:t>degree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accountability</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results.</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exception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5F4265" w:rsidRPr="00645878">
        <w:rPr>
          <w:rFonts w:ascii="Times New Roman" w:hAnsi="Times New Roman"/>
        </w:rPr>
        <w:t xml:space="preserve">a </w:t>
      </w:r>
      <w:r w:rsidRPr="00645878">
        <w:rPr>
          <w:rFonts w:ascii="Times New Roman" w:hAnsi="Times New Roman"/>
        </w:rPr>
        <w:t>monthly</w:t>
      </w:r>
      <w:r w:rsidR="00900061" w:rsidRPr="00645878">
        <w:rPr>
          <w:rFonts w:ascii="Times New Roman" w:hAnsi="Times New Roman"/>
        </w:rPr>
        <w:t xml:space="preserve"> </w:t>
      </w:r>
      <w:r w:rsidRPr="00645878">
        <w:rPr>
          <w:rFonts w:ascii="Times New Roman" w:hAnsi="Times New Roman"/>
        </w:rPr>
        <w:lastRenderedPageBreak/>
        <w:t>Public</w:t>
      </w:r>
      <w:r w:rsidR="00900061" w:rsidRPr="00645878">
        <w:rPr>
          <w:rFonts w:ascii="Times New Roman" w:hAnsi="Times New Roman"/>
        </w:rPr>
        <w:t xml:space="preserve"> </w:t>
      </w:r>
      <w:r w:rsidRPr="00645878">
        <w:rPr>
          <w:rFonts w:ascii="Times New Roman" w:hAnsi="Times New Roman"/>
        </w:rPr>
        <w:t>Finance</w:t>
      </w:r>
      <w:r w:rsidR="00900061" w:rsidRPr="00645878">
        <w:rPr>
          <w:rFonts w:ascii="Times New Roman" w:hAnsi="Times New Roman"/>
        </w:rPr>
        <w:t xml:space="preserve"> </w:t>
      </w:r>
      <w:r w:rsidRPr="00645878">
        <w:rPr>
          <w:rFonts w:ascii="Times New Roman" w:hAnsi="Times New Roman"/>
        </w:rPr>
        <w:t>Bulletin,</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presents</w:t>
      </w:r>
      <w:r w:rsidR="00900061" w:rsidRPr="00645878">
        <w:rPr>
          <w:rFonts w:ascii="Times New Roman" w:hAnsi="Times New Roman"/>
        </w:rPr>
        <w:t xml:space="preserve"> </w:t>
      </w:r>
      <w:r w:rsidRPr="00645878">
        <w:rPr>
          <w:rFonts w:ascii="Times New Roman" w:hAnsi="Times New Roman"/>
        </w:rPr>
        <w:t>aggregate</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availability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partial.</w:t>
      </w:r>
      <w:r w:rsidR="00900061" w:rsidRPr="00645878">
        <w:rPr>
          <w:rFonts w:ascii="Times New Roman" w:hAnsi="Times New Roman"/>
        </w:rPr>
        <w:t xml:space="preserve"> </w:t>
      </w:r>
      <w:r w:rsidR="005F4265" w:rsidRPr="00645878">
        <w:rPr>
          <w:rFonts w:ascii="Times New Roman" w:hAnsi="Times New Roman"/>
        </w:rPr>
        <w:t>The m</w:t>
      </w:r>
      <w:r w:rsidRPr="00645878">
        <w:rPr>
          <w:rFonts w:ascii="Times New Roman" w:hAnsi="Times New Roman"/>
        </w:rPr>
        <w:t>onthly</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Finance</w:t>
      </w:r>
      <w:r w:rsidR="00900061" w:rsidRPr="00645878">
        <w:rPr>
          <w:rFonts w:ascii="Times New Roman" w:hAnsi="Times New Roman"/>
        </w:rPr>
        <w:t xml:space="preserve"> </w:t>
      </w:r>
      <w:r w:rsidRPr="00645878">
        <w:rPr>
          <w:rFonts w:ascii="Times New Roman" w:hAnsi="Times New Roman"/>
        </w:rPr>
        <w:t>Bulletin</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published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website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but</w:t>
      </w:r>
      <w:r w:rsidR="00900061" w:rsidRPr="00645878">
        <w:rPr>
          <w:rFonts w:ascii="Times New Roman" w:hAnsi="Times New Roman"/>
        </w:rPr>
        <w:t xml:space="preserve"> </w:t>
      </w:r>
      <w:r w:rsidRPr="00645878">
        <w:rPr>
          <w:rFonts w:ascii="Times New Roman" w:hAnsi="Times New Roman"/>
        </w:rPr>
        <w:t>other</w:t>
      </w:r>
      <w:r w:rsidR="00900061" w:rsidRPr="00645878">
        <w:rPr>
          <w:rFonts w:ascii="Times New Roman" w:hAnsi="Times New Roman"/>
        </w:rPr>
        <w:t xml:space="preserve"> </w:t>
      </w:r>
      <w:r w:rsidRPr="00645878">
        <w:rPr>
          <w:rFonts w:ascii="Times New Roman" w:hAnsi="Times New Roman"/>
        </w:rPr>
        <w:t>official</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only</w:t>
      </w:r>
      <w:r w:rsidR="00900061" w:rsidRPr="00645878">
        <w:rPr>
          <w:rFonts w:ascii="Times New Roman" w:hAnsi="Times New Roman"/>
        </w:rPr>
        <w:t xml:space="preserve"> </w:t>
      </w:r>
      <w:r w:rsidRPr="00645878">
        <w:rPr>
          <w:rFonts w:ascii="Times New Roman" w:hAnsi="Times New Roman"/>
        </w:rPr>
        <w:t>available</w:t>
      </w:r>
      <w:r w:rsidR="00900061" w:rsidRPr="00645878">
        <w:rPr>
          <w:rFonts w:ascii="Times New Roman" w:hAnsi="Times New Roman"/>
        </w:rPr>
        <w:t xml:space="preserve"> </w:t>
      </w:r>
      <w:r w:rsidRPr="00645878">
        <w:rPr>
          <w:rFonts w:ascii="Times New Roman" w:hAnsi="Times New Roman"/>
        </w:rPr>
        <w:t>upon</w:t>
      </w:r>
      <w:r w:rsidR="00900061" w:rsidRPr="00645878">
        <w:rPr>
          <w:rFonts w:ascii="Times New Roman" w:hAnsi="Times New Roman"/>
        </w:rPr>
        <w:t xml:space="preserve"> </w:t>
      </w:r>
      <w:r w:rsidRPr="00645878">
        <w:rPr>
          <w:rFonts w:ascii="Times New Roman" w:hAnsi="Times New Roman"/>
        </w:rPr>
        <w:t>request</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institutions</w:t>
      </w:r>
      <w:r w:rsidR="00900061" w:rsidRPr="00645878">
        <w:rPr>
          <w:rFonts w:ascii="Times New Roman" w:hAnsi="Times New Roman"/>
        </w:rPr>
        <w:t xml:space="preserve"> </w:t>
      </w:r>
      <w:r w:rsidRPr="00645878">
        <w:rPr>
          <w:rFonts w:ascii="Times New Roman" w:hAnsi="Times New Roman"/>
        </w:rPr>
        <w:t>(</w:t>
      </w:r>
      <w:r w:rsidR="002462FF" w:rsidRPr="00645878">
        <w:rPr>
          <w:rFonts w:ascii="Times New Roman" w:hAnsi="Times New Roman"/>
        </w:rPr>
        <w:t xml:space="preserve">the </w:t>
      </w:r>
      <w:r w:rsidRPr="00645878">
        <w:rPr>
          <w:rFonts w:ascii="Times New Roman" w:hAnsi="Times New Roman"/>
        </w:rPr>
        <w:t>MoF,</w:t>
      </w:r>
      <w:r w:rsidR="00900061" w:rsidRPr="00645878">
        <w:rPr>
          <w:rFonts w:ascii="Times New Roman" w:hAnsi="Times New Roman"/>
        </w:rPr>
        <w:t xml:space="preserve"> </w:t>
      </w:r>
      <w:r w:rsidR="00CA575C" w:rsidRPr="00645878">
        <w:rPr>
          <w:rFonts w:ascii="Times New Roman" w:hAnsi="Times New Roman"/>
        </w:rPr>
        <w:t>g</w:t>
      </w:r>
      <w:r w:rsidRPr="00645878">
        <w:rPr>
          <w:rFonts w:ascii="Times New Roman" w:hAnsi="Times New Roman"/>
        </w:rPr>
        <w:t>overnment,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line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00773D3C" w:rsidRPr="00645878">
        <w:rPr>
          <w:rFonts w:ascii="Times New Roman" w:hAnsi="Times New Roman"/>
        </w:rPr>
        <w:t xml:space="preserve">the </w:t>
      </w:r>
      <w:r w:rsidRPr="00645878">
        <w:rPr>
          <w:rFonts w:ascii="Times New Roman" w:hAnsi="Times New Roman"/>
        </w:rPr>
        <w:t>regulation,</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prepare</w:t>
      </w:r>
      <w:r w:rsidR="00900061" w:rsidRPr="00645878">
        <w:rPr>
          <w:rFonts w:ascii="Times New Roman" w:hAnsi="Times New Roman"/>
        </w:rPr>
        <w:t xml:space="preserve"> </w:t>
      </w:r>
      <w:r w:rsidRPr="00645878">
        <w:rPr>
          <w:rFonts w:ascii="Times New Roman" w:hAnsi="Times New Roman"/>
        </w:rPr>
        <w:t>quarterly</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include</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Although</w:t>
      </w:r>
      <w:r w:rsidR="00900061" w:rsidRPr="00645878">
        <w:rPr>
          <w:rFonts w:ascii="Times New Roman" w:hAnsi="Times New Roman"/>
        </w:rPr>
        <w:t xml:space="preserve"> </w:t>
      </w:r>
      <w:r w:rsidRPr="00645878">
        <w:rPr>
          <w:rFonts w:ascii="Times New Roman" w:hAnsi="Times New Roman"/>
        </w:rPr>
        <w:t>foreseen</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measure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Anti</w:t>
      </w:r>
      <w:r w:rsidR="00A11A3B" w:rsidRPr="00645878">
        <w:rPr>
          <w:rFonts w:ascii="Times New Roman" w:hAnsi="Times New Roman"/>
        </w:rPr>
        <w:t>c</w:t>
      </w:r>
      <w:r w:rsidRPr="00645878">
        <w:rPr>
          <w:rFonts w:ascii="Times New Roman" w:hAnsi="Times New Roman"/>
        </w:rPr>
        <w:t>orruption</w:t>
      </w:r>
      <w:r w:rsidR="00900061" w:rsidRPr="00645878">
        <w:rPr>
          <w:rFonts w:ascii="Times New Roman" w:hAnsi="Times New Roman"/>
        </w:rPr>
        <w:t xml:space="preserve"> </w:t>
      </w:r>
      <w:r w:rsidRPr="00645878">
        <w:rPr>
          <w:rFonts w:ascii="Times New Roman" w:hAnsi="Times New Roman"/>
        </w:rPr>
        <w:t>Strategy,</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Inspection</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Report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yet</w:t>
      </w:r>
      <w:r w:rsidR="00900061" w:rsidRPr="00645878">
        <w:rPr>
          <w:rFonts w:ascii="Times New Roman" w:hAnsi="Times New Roman"/>
        </w:rPr>
        <w:t xml:space="preserve"> </w:t>
      </w:r>
      <w:r w:rsidRPr="00645878">
        <w:rPr>
          <w:rFonts w:ascii="Times New Roman" w:hAnsi="Times New Roman"/>
        </w:rPr>
        <w:t>being</w:t>
      </w:r>
      <w:r w:rsidR="00900061" w:rsidRPr="00645878">
        <w:rPr>
          <w:rFonts w:ascii="Times New Roman" w:hAnsi="Times New Roman"/>
        </w:rPr>
        <w:t xml:space="preserve"> </w:t>
      </w:r>
      <w:r w:rsidRPr="00645878">
        <w:rPr>
          <w:rFonts w:ascii="Times New Roman" w:hAnsi="Times New Roman"/>
        </w:rPr>
        <w:t>made</w:t>
      </w:r>
      <w:r w:rsidR="00900061" w:rsidRPr="00645878">
        <w:rPr>
          <w:rFonts w:ascii="Times New Roman" w:hAnsi="Times New Roman"/>
        </w:rPr>
        <w:t xml:space="preserve"> </w:t>
      </w:r>
      <w:r w:rsidRPr="00645878">
        <w:rPr>
          <w:rFonts w:ascii="Times New Roman" w:hAnsi="Times New Roman"/>
        </w:rPr>
        <w:t>publicly</w:t>
      </w:r>
      <w:r w:rsidR="00900061" w:rsidRPr="00645878">
        <w:rPr>
          <w:rFonts w:ascii="Times New Roman" w:hAnsi="Times New Roman"/>
        </w:rPr>
        <w:t xml:space="preserve"> </w:t>
      </w:r>
      <w:r w:rsidRPr="00645878">
        <w:rPr>
          <w:rFonts w:ascii="Times New Roman" w:hAnsi="Times New Roman"/>
        </w:rPr>
        <w:t>available</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A11A3B"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Republic</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easily</w:t>
      </w:r>
      <w:r w:rsidR="00900061" w:rsidRPr="00645878">
        <w:rPr>
          <w:rFonts w:ascii="Times New Roman" w:hAnsi="Times New Roman"/>
        </w:rPr>
        <w:t xml:space="preserve"> </w:t>
      </w:r>
      <w:r w:rsidRPr="00645878">
        <w:rPr>
          <w:rFonts w:ascii="Times New Roman" w:hAnsi="Times New Roman"/>
        </w:rPr>
        <w:t>accessible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form</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proposal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Law</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Final</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submitted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approval.</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external</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widely</w:t>
      </w:r>
      <w:r w:rsidR="00900061" w:rsidRPr="00645878">
        <w:rPr>
          <w:rFonts w:ascii="Times New Roman" w:hAnsi="Times New Roman"/>
        </w:rPr>
        <w:t xml:space="preserve"> </w:t>
      </w:r>
      <w:r w:rsidRPr="00645878">
        <w:rPr>
          <w:rFonts w:ascii="Times New Roman" w:hAnsi="Times New Roman"/>
        </w:rPr>
        <w:t>accessible</w:t>
      </w:r>
      <w:r w:rsidR="00900061" w:rsidRPr="00645878">
        <w:rPr>
          <w:rFonts w:ascii="Times New Roman" w:hAnsi="Times New Roman"/>
        </w:rPr>
        <w:t xml:space="preserve"> </w:t>
      </w:r>
      <w:r w:rsidRPr="00645878">
        <w:rPr>
          <w:rFonts w:ascii="Times New Roman" w:hAnsi="Times New Roman"/>
        </w:rPr>
        <w:t>through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website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State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Institution</w:t>
      </w:r>
      <w:r w:rsidR="00900061" w:rsidRPr="00645878">
        <w:rPr>
          <w:rFonts w:ascii="Times New Roman" w:hAnsi="Times New Roman"/>
        </w:rPr>
        <w:t xml:space="preserv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posted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website</w:t>
      </w:r>
      <w:r w:rsidR="00900061" w:rsidRPr="00645878">
        <w:rPr>
          <w:rFonts w:ascii="Times New Roman" w:hAnsi="Times New Roman"/>
        </w:rPr>
        <w:t xml:space="preserve"> </w:t>
      </w:r>
      <w:r w:rsidRPr="00645878">
        <w:rPr>
          <w:rFonts w:ascii="Times New Roman" w:hAnsi="Times New Roman"/>
        </w:rPr>
        <w:t>without</w:t>
      </w:r>
      <w:r w:rsidR="00900061" w:rsidRPr="00645878">
        <w:rPr>
          <w:rFonts w:ascii="Times New Roman" w:hAnsi="Times New Roman"/>
        </w:rPr>
        <w:t xml:space="preserve"> </w:t>
      </w:r>
      <w:r w:rsidRPr="00645878">
        <w:rPr>
          <w:rFonts w:ascii="Times New Roman" w:hAnsi="Times New Roman"/>
        </w:rPr>
        <w:t>delay</w:t>
      </w:r>
      <w:r w:rsidR="00900061" w:rsidRPr="00645878">
        <w:rPr>
          <w:rFonts w:ascii="Times New Roman" w:hAnsi="Times New Roman"/>
        </w:rPr>
        <w:t xml:space="preserve"> </w:t>
      </w:r>
      <w:r w:rsidRPr="00645878">
        <w:rPr>
          <w:rFonts w:ascii="Times New Roman" w:hAnsi="Times New Roman"/>
        </w:rPr>
        <w:t>upon</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finalization.</w:t>
      </w:r>
    </w:p>
    <w:p w14:paraId="13780C16" w14:textId="77777777" w:rsidR="004A0A40" w:rsidRPr="00645878" w:rsidRDefault="00B03657" w:rsidP="00645878">
      <w:pPr>
        <w:pStyle w:val="Heading2"/>
        <w:spacing w:before="120" w:after="120" w:line="240" w:lineRule="auto"/>
        <w:ind w:left="0" w:firstLine="0"/>
      </w:pPr>
      <w:bookmarkStart w:id="5" w:name="_Toc442428950"/>
      <w:r w:rsidRPr="00645878">
        <w:t>Accounting</w:t>
      </w:r>
      <w:r w:rsidR="00900061" w:rsidRPr="00645878">
        <w:t xml:space="preserve"> </w:t>
      </w:r>
      <w:r w:rsidRPr="00645878">
        <w:t>and</w:t>
      </w:r>
      <w:r w:rsidR="00900061" w:rsidRPr="00645878">
        <w:t xml:space="preserve"> </w:t>
      </w:r>
      <w:r w:rsidRPr="00645878">
        <w:t>Financial</w:t>
      </w:r>
      <w:r w:rsidR="00900061" w:rsidRPr="00645878">
        <w:t xml:space="preserve"> </w:t>
      </w:r>
      <w:r w:rsidRPr="00645878">
        <w:t>Reporting</w:t>
      </w:r>
      <w:bookmarkEnd w:id="5"/>
    </w:p>
    <w:p w14:paraId="7F746D26" w14:textId="54411150"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Adequate</w:t>
      </w:r>
      <w:r w:rsidR="00900061" w:rsidRPr="00645878">
        <w:rPr>
          <w:rFonts w:ascii="Times New Roman" w:hAnsi="Times New Roman"/>
          <w:b/>
        </w:rPr>
        <w:t xml:space="preserve"> </w:t>
      </w:r>
      <w:r w:rsidRPr="00645878">
        <w:rPr>
          <w:rFonts w:ascii="Times New Roman" w:hAnsi="Times New Roman"/>
          <w:b/>
        </w:rPr>
        <w:t>capacity</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accounting</w:t>
      </w:r>
      <w:r w:rsidR="00900061" w:rsidRPr="00645878">
        <w:rPr>
          <w:rFonts w:ascii="Times New Roman" w:hAnsi="Times New Roman"/>
          <w:b/>
        </w:rPr>
        <w:t xml:space="preserve"> </w:t>
      </w:r>
      <w:r w:rsidRPr="00645878">
        <w:rPr>
          <w:rFonts w:ascii="Times New Roman" w:hAnsi="Times New Roman"/>
          <w:b/>
        </w:rPr>
        <w:t>system</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place</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track</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report</w:t>
      </w:r>
      <w:r w:rsidR="00900061" w:rsidRPr="00645878">
        <w:rPr>
          <w:rFonts w:ascii="Times New Roman" w:hAnsi="Times New Roman"/>
          <w:b/>
        </w:rPr>
        <w:t xml:space="preserve"> </w:t>
      </w:r>
      <w:r w:rsidRPr="00645878">
        <w:rPr>
          <w:rFonts w:ascii="Times New Roman" w:hAnsi="Times New Roman"/>
          <w:b/>
        </w:rPr>
        <w:t>actual</w:t>
      </w:r>
      <w:r w:rsidR="00900061" w:rsidRPr="00645878">
        <w:rPr>
          <w:rFonts w:ascii="Times New Roman" w:hAnsi="Times New Roman"/>
          <w:b/>
        </w:rPr>
        <w:t xml:space="preserve"> </w:t>
      </w:r>
      <w:r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expenditures</w:t>
      </w:r>
      <w:r w:rsidR="00900061" w:rsidRPr="00645878">
        <w:rPr>
          <w:rFonts w:ascii="Times New Roman" w:hAnsi="Times New Roman"/>
          <w:b/>
        </w:rPr>
        <w:t xml:space="preserve"> </w:t>
      </w:r>
      <w:r w:rsidRPr="00645878">
        <w:rPr>
          <w:rFonts w:ascii="Times New Roman" w:hAnsi="Times New Roman"/>
          <w:b/>
        </w:rPr>
        <w:t>against</w:t>
      </w:r>
      <w:r w:rsidR="00900061" w:rsidRPr="00645878">
        <w:rPr>
          <w:rFonts w:ascii="Times New Roman" w:hAnsi="Times New Roman"/>
          <w:b/>
        </w:rPr>
        <w:t xml:space="preserve"> </w:t>
      </w: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comprehensive</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classification</w:t>
      </w:r>
      <w:r w:rsidR="00900061" w:rsidRPr="00645878">
        <w:rPr>
          <w:rFonts w:ascii="Times New Roman" w:hAnsi="Times New Roman"/>
          <w:b/>
        </w:rPr>
        <w:t xml:space="preserve"> </w:t>
      </w:r>
      <w:r w:rsidRPr="00645878">
        <w:rPr>
          <w:rFonts w:ascii="Times New Roman" w:hAnsi="Times New Roman"/>
          <w:b/>
        </w:rPr>
        <w:t>system.</w:t>
      </w:r>
      <w:r w:rsidR="00900061" w:rsidRPr="00645878">
        <w:rPr>
          <w:rFonts w:ascii="Times New Roman" w:hAnsi="Times New Roman"/>
          <w:b/>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monitoring</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managed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TA</w:t>
      </w:r>
      <w:r w:rsidR="00900061" w:rsidRPr="00645878">
        <w:rPr>
          <w:rFonts w:ascii="Times New Roman" w:hAnsi="Times New Roman"/>
        </w:rPr>
        <w:t xml:space="preserve"> </w:t>
      </w:r>
      <w:r w:rsidRPr="00645878">
        <w:rPr>
          <w:rFonts w:ascii="Times New Roman" w:hAnsi="Times New Roman"/>
        </w:rPr>
        <w:t>through</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centralized</w:t>
      </w:r>
      <w:r w:rsidR="00900061" w:rsidRPr="00645878">
        <w:rPr>
          <w:rFonts w:ascii="Times New Roman" w:hAnsi="Times New Roman"/>
        </w:rPr>
        <w:t xml:space="preserve"> </w:t>
      </w:r>
      <w:r w:rsidRPr="00645878">
        <w:rPr>
          <w:rFonts w:ascii="Times New Roman" w:hAnsi="Times New Roman"/>
        </w:rPr>
        <w:t>transaction</w:t>
      </w:r>
      <w:r w:rsidR="00900061" w:rsidRPr="00645878">
        <w:rPr>
          <w:rFonts w:ascii="Times New Roman" w:hAnsi="Times New Roman"/>
        </w:rPr>
        <w:t xml:space="preserve"> </w:t>
      </w:r>
      <w:r w:rsidRPr="00645878">
        <w:rPr>
          <w:rFonts w:ascii="Times New Roman" w:hAnsi="Times New Roman"/>
        </w:rPr>
        <w:t>processing</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captured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Main</w:t>
      </w:r>
      <w:r w:rsidR="00900061" w:rsidRPr="00645878">
        <w:rPr>
          <w:rFonts w:ascii="Times New Roman" w:hAnsi="Times New Roman"/>
        </w:rPr>
        <w:t xml:space="preserve"> </w:t>
      </w:r>
      <w:r w:rsidRPr="00645878">
        <w:rPr>
          <w:rFonts w:ascii="Times New Roman" w:hAnsi="Times New Roman"/>
        </w:rPr>
        <w:t>Ledger</w:t>
      </w:r>
      <w:r w:rsidR="00900061" w:rsidRPr="00645878">
        <w:rPr>
          <w:rFonts w:ascii="Times New Roman" w:hAnsi="Times New Roman"/>
        </w:rPr>
        <w:t xml:space="preserve"> </w:t>
      </w:r>
      <w:r w:rsidRPr="00645878">
        <w:rPr>
          <w:rFonts w:ascii="Times New Roman" w:hAnsi="Times New Roman"/>
        </w:rPr>
        <w:t>(TML).</w:t>
      </w:r>
      <w:r w:rsidR="00900061" w:rsidRPr="00645878">
        <w:rPr>
          <w:rFonts w:ascii="Times New Roman" w:hAnsi="Times New Roman"/>
        </w:rPr>
        <w:t xml:space="preserve"> </w:t>
      </w:r>
      <w:r w:rsidR="00CA575C" w:rsidRPr="00645878">
        <w:rPr>
          <w:rFonts w:ascii="Times New Roman" w:hAnsi="Times New Roman"/>
        </w:rPr>
        <w:t xml:space="preserve">The </w:t>
      </w:r>
      <w:r w:rsidRPr="00645878">
        <w:rPr>
          <w:rFonts w:ascii="Times New Roman" w:hAnsi="Times New Roman"/>
        </w:rPr>
        <w:t>TML,</w:t>
      </w:r>
      <w:r w:rsidR="00900061" w:rsidRPr="00645878">
        <w:rPr>
          <w:rFonts w:ascii="Times New Roman" w:hAnsi="Times New Roman"/>
        </w:rPr>
        <w:t xml:space="preserve"> </w:t>
      </w:r>
      <w:r w:rsidRPr="00645878">
        <w:rPr>
          <w:rFonts w:ascii="Times New Roman" w:hAnsi="Times New Roman"/>
        </w:rPr>
        <w:t>running</w:t>
      </w:r>
      <w:r w:rsidR="00900061" w:rsidRPr="00645878">
        <w:rPr>
          <w:rFonts w:ascii="Times New Roman" w:hAnsi="Times New Roman"/>
        </w:rPr>
        <w:t xml:space="preserve"> </w:t>
      </w:r>
      <w:r w:rsidRPr="00645878">
        <w:rPr>
          <w:rFonts w:ascii="Times New Roman" w:hAnsi="Times New Roman"/>
        </w:rPr>
        <w:t>on</w:t>
      </w:r>
      <w:r w:rsidR="006215B7" w:rsidRPr="00645878">
        <w:rPr>
          <w:rFonts w:ascii="Times New Roman" w:hAnsi="Times New Roman"/>
        </w:rPr>
        <w:t xml:space="preserve"> the</w:t>
      </w:r>
      <w:r w:rsidR="00900061" w:rsidRPr="00645878">
        <w:rPr>
          <w:rFonts w:ascii="Times New Roman" w:hAnsi="Times New Roman"/>
        </w:rPr>
        <w:t xml:space="preserve"> </w:t>
      </w:r>
      <w:r w:rsidRPr="00645878">
        <w:rPr>
          <w:rFonts w:ascii="Times New Roman" w:hAnsi="Times New Roman"/>
        </w:rPr>
        <w:t>SAP</w:t>
      </w:r>
      <w:r w:rsidR="00900061" w:rsidRPr="00645878">
        <w:rPr>
          <w:rFonts w:ascii="Times New Roman" w:hAnsi="Times New Roman"/>
        </w:rPr>
        <w:t xml:space="preserve"> </w:t>
      </w:r>
      <w:r w:rsidRPr="00645878">
        <w:rPr>
          <w:rFonts w:ascii="Times New Roman" w:hAnsi="Times New Roman"/>
        </w:rPr>
        <w:t>platform,</w:t>
      </w:r>
      <w:r w:rsidR="00900061" w:rsidRPr="00645878">
        <w:rPr>
          <w:rFonts w:ascii="Times New Roman" w:hAnsi="Times New Roman"/>
        </w:rPr>
        <w:t xml:space="preserve"> </w:t>
      </w:r>
      <w:r w:rsidRPr="00645878">
        <w:rPr>
          <w:rFonts w:ascii="Times New Roman" w:hAnsi="Times New Roman"/>
        </w:rPr>
        <w:t>captures</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revenue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coding</w:t>
      </w:r>
      <w:r w:rsidR="00900061" w:rsidRPr="00645878">
        <w:rPr>
          <w:rFonts w:ascii="Times New Roman" w:hAnsi="Times New Roman"/>
        </w:rPr>
        <w:t xml:space="preserve"> </w:t>
      </w:r>
      <w:r w:rsidRPr="00645878">
        <w:rPr>
          <w:rFonts w:ascii="Times New Roman" w:hAnsi="Times New Roman"/>
        </w:rPr>
        <w:t>structures</w:t>
      </w:r>
      <w:r w:rsidR="00E67E38"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follow</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organizational,</w:t>
      </w:r>
      <w:r w:rsidR="00900061" w:rsidRPr="00645878">
        <w:rPr>
          <w:rFonts w:ascii="Times New Roman" w:hAnsi="Times New Roman"/>
        </w:rPr>
        <w:t xml:space="preserve"> </w:t>
      </w:r>
      <w:r w:rsidRPr="00645878">
        <w:rPr>
          <w:rFonts w:ascii="Times New Roman" w:hAnsi="Times New Roman"/>
        </w:rPr>
        <w:t>functional,</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three-digit</w:t>
      </w:r>
      <w:r w:rsidR="00900061" w:rsidRPr="00645878">
        <w:rPr>
          <w:rFonts w:ascii="Times New Roman" w:hAnsi="Times New Roman"/>
        </w:rPr>
        <w:t xml:space="preserve"> </w:t>
      </w:r>
      <w:r w:rsidRPr="00645878">
        <w:rPr>
          <w:rFonts w:ascii="Times New Roman" w:hAnsi="Times New Roman"/>
        </w:rPr>
        <w:t>economic,</w:t>
      </w:r>
      <w:r w:rsidR="00900061" w:rsidRPr="00645878">
        <w:rPr>
          <w:rFonts w:ascii="Times New Roman" w:hAnsi="Times New Roman"/>
        </w:rPr>
        <w:t xml:space="preserve"> </w:t>
      </w:r>
      <w:r w:rsidRPr="00645878">
        <w:rPr>
          <w:rFonts w:ascii="Times New Roman" w:hAnsi="Times New Roman"/>
        </w:rPr>
        <w:t>six-digit</w:t>
      </w:r>
      <w:r w:rsidR="00900061" w:rsidRPr="00645878">
        <w:rPr>
          <w:rFonts w:ascii="Times New Roman" w:hAnsi="Times New Roman"/>
        </w:rPr>
        <w:t xml:space="preserve"> </w:t>
      </w:r>
      <w:r w:rsidRPr="00645878">
        <w:rPr>
          <w:rFonts w:ascii="Times New Roman" w:hAnsi="Times New Roman"/>
        </w:rPr>
        <w:t>economic</w:t>
      </w:r>
      <w:r w:rsidR="006215B7"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source-of-funds</w:t>
      </w:r>
      <w:r w:rsidR="00900061" w:rsidRPr="00645878">
        <w:rPr>
          <w:rFonts w:ascii="Times New Roman" w:hAnsi="Times New Roman"/>
        </w:rPr>
        <w:t xml:space="preserve"> </w:t>
      </w:r>
      <w:r w:rsidRPr="00645878">
        <w:rPr>
          <w:rFonts w:ascii="Times New Roman" w:hAnsi="Times New Roman"/>
        </w:rPr>
        <w:t>classification.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arrangements</w:t>
      </w:r>
      <w:r w:rsidR="00900061" w:rsidRPr="00645878">
        <w:rPr>
          <w:rFonts w:ascii="Times New Roman" w:hAnsi="Times New Roman"/>
        </w:rPr>
        <w:t xml:space="preserve"> </w:t>
      </w:r>
      <w:r w:rsidRPr="00645878">
        <w:rPr>
          <w:rFonts w:ascii="Times New Roman" w:hAnsi="Times New Roman"/>
        </w:rPr>
        <w:t>facilitate</w:t>
      </w:r>
      <w:r w:rsidR="00900061" w:rsidRPr="00645878">
        <w:rPr>
          <w:rFonts w:ascii="Times New Roman" w:hAnsi="Times New Roman"/>
        </w:rPr>
        <w:t xml:space="preserve"> </w:t>
      </w:r>
      <w:r w:rsidRPr="00645878">
        <w:rPr>
          <w:rFonts w:ascii="Times New Roman" w:hAnsi="Times New Roman"/>
        </w:rPr>
        <w:t>detailed</w:t>
      </w:r>
      <w:r w:rsidR="00900061" w:rsidRPr="00645878">
        <w:rPr>
          <w:rFonts w:ascii="Times New Roman" w:hAnsi="Times New Roman"/>
        </w:rPr>
        <w:t xml:space="preserve"> </w:t>
      </w:r>
      <w:r w:rsidRPr="00645878">
        <w:rPr>
          <w:rFonts w:ascii="Times New Roman" w:hAnsi="Times New Roman"/>
        </w:rPr>
        <w:t>analysis,</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necessary.</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use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standard</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classifications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captured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TML.</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why</w:t>
      </w:r>
      <w:r w:rsidR="00900061" w:rsidRPr="00645878">
        <w:rPr>
          <w:rFonts w:ascii="Times New Roman" w:hAnsi="Times New Roman"/>
        </w:rPr>
        <w:t xml:space="preserve"> </w:t>
      </w:r>
      <w:r w:rsidR="006215B7" w:rsidRPr="00645878">
        <w:rPr>
          <w:rFonts w:ascii="Times New Roman" w:hAnsi="Times New Roman"/>
        </w:rPr>
        <w:t xml:space="preserve">the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operated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TA</w:t>
      </w:r>
      <w:r w:rsidR="00900061" w:rsidRPr="00645878">
        <w:rPr>
          <w:rFonts w:ascii="Times New Roman" w:hAnsi="Times New Roman"/>
        </w:rPr>
        <w:t xml:space="preserve"> </w:t>
      </w:r>
      <w:r w:rsidRPr="00645878">
        <w:rPr>
          <w:rFonts w:ascii="Times New Roman" w:hAnsi="Times New Roman"/>
        </w:rPr>
        <w:t>through</w:t>
      </w:r>
      <w:r w:rsidR="00900061" w:rsidRPr="00645878">
        <w:rPr>
          <w:rFonts w:ascii="Times New Roman" w:hAnsi="Times New Roman"/>
        </w:rPr>
        <w:t xml:space="preserve"> </w:t>
      </w:r>
      <w:r w:rsidR="00E67E38" w:rsidRPr="00645878">
        <w:rPr>
          <w:rFonts w:ascii="Times New Roman" w:hAnsi="Times New Roman"/>
        </w:rPr>
        <w:t xml:space="preserve">the </w:t>
      </w:r>
      <w:r w:rsidR="00A2644D" w:rsidRPr="00645878">
        <w:rPr>
          <w:rFonts w:ascii="Times New Roman" w:hAnsi="Times New Roman"/>
        </w:rPr>
        <w:t>financial management information system (</w:t>
      </w:r>
      <w:r w:rsidRPr="00645878">
        <w:rPr>
          <w:rFonts w:ascii="Times New Roman" w:hAnsi="Times New Roman"/>
        </w:rPr>
        <w:t>FMIS</w:t>
      </w:r>
      <w:r w:rsidR="00A2644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application</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center</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reporting</w:t>
      </w:r>
      <w:r w:rsidR="00900061" w:rsidRPr="00645878">
        <w:rPr>
          <w:rFonts w:ascii="Times New Roman" w:hAnsi="Times New Roman"/>
        </w:rPr>
        <w:t xml:space="preserve"> </w:t>
      </w:r>
      <w:r w:rsidRPr="00645878">
        <w:rPr>
          <w:rFonts w:ascii="Times New Roman" w:hAnsi="Times New Roman"/>
        </w:rPr>
        <w:t>assessment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6017C7"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reliable.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maintain</w:t>
      </w:r>
      <w:r w:rsidR="00900061" w:rsidRPr="00645878">
        <w:rPr>
          <w:rFonts w:ascii="Times New Roman" w:hAnsi="Times New Roman"/>
        </w:rPr>
        <w:t xml:space="preserve"> </w:t>
      </w:r>
      <w:r w:rsidRPr="00645878">
        <w:rPr>
          <w:rFonts w:ascii="Times New Roman" w:hAnsi="Times New Roman"/>
        </w:rPr>
        <w:t>additional</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records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auxiliary</w:t>
      </w:r>
      <w:r w:rsidR="00900061" w:rsidRPr="00645878">
        <w:rPr>
          <w:rFonts w:ascii="Times New Roman" w:hAnsi="Times New Roman"/>
        </w:rPr>
        <w:t xml:space="preserve"> </w:t>
      </w:r>
      <w:r w:rsidRPr="00645878">
        <w:rPr>
          <w:rFonts w:ascii="Times New Roman" w:hAnsi="Times New Roman"/>
        </w:rPr>
        <w:t>ledgers</w:t>
      </w:r>
      <w:r w:rsidR="00A459A0"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reconcile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000B2E55" w:rsidRPr="00645878">
        <w:rPr>
          <w:rFonts w:ascii="Times New Roman" w:hAnsi="Times New Roman"/>
        </w:rPr>
        <w:t xml:space="preserve">the </w:t>
      </w:r>
      <w:r w:rsidRPr="00645878">
        <w:rPr>
          <w:rFonts w:ascii="Times New Roman" w:hAnsi="Times New Roman"/>
        </w:rPr>
        <w:t>TML</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course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reporting</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acceptable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departments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those</w:t>
      </w:r>
      <w:r w:rsidR="00900061" w:rsidRPr="00645878">
        <w:rPr>
          <w:rFonts w:ascii="Times New Roman" w:hAnsi="Times New Roman"/>
        </w:rPr>
        <w:t xml:space="preserve"> </w:t>
      </w:r>
      <w:r w:rsidRPr="00645878">
        <w:rPr>
          <w:rFonts w:ascii="Times New Roman" w:hAnsi="Times New Roman"/>
        </w:rPr>
        <w:t>institutions</w:t>
      </w:r>
      <w:r w:rsidR="00900061" w:rsidRPr="00645878">
        <w:rPr>
          <w:rFonts w:ascii="Times New Roman" w:hAnsi="Times New Roman"/>
        </w:rPr>
        <w:t xml:space="preserve"> </w:t>
      </w:r>
      <w:r w:rsidRPr="00645878">
        <w:rPr>
          <w:rFonts w:ascii="Times New Roman" w:hAnsi="Times New Roman"/>
        </w:rPr>
        <w:t>employ</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experienced</w:t>
      </w:r>
      <w:r w:rsidR="00900061" w:rsidRPr="00645878">
        <w:rPr>
          <w:rFonts w:ascii="Times New Roman" w:hAnsi="Times New Roman"/>
        </w:rPr>
        <w:t xml:space="preserve"> </w:t>
      </w:r>
      <w:r w:rsidRPr="00645878">
        <w:rPr>
          <w:rFonts w:ascii="Times New Roman" w:hAnsi="Times New Roman"/>
        </w:rPr>
        <w:t>staff</w:t>
      </w:r>
      <w:r w:rsidR="00900061" w:rsidRPr="00645878">
        <w:rPr>
          <w:rFonts w:ascii="Times New Roman" w:hAnsi="Times New Roman"/>
        </w:rPr>
        <w:t xml:space="preserve"> </w:t>
      </w:r>
      <w:r w:rsidRPr="00645878">
        <w:rPr>
          <w:rFonts w:ascii="Times New Roman" w:hAnsi="Times New Roman"/>
        </w:rPr>
        <w:t>working</w:t>
      </w:r>
      <w:r w:rsidR="00900061" w:rsidRPr="00645878">
        <w:rPr>
          <w:rFonts w:ascii="Times New Roman" w:hAnsi="Times New Roman"/>
        </w:rPr>
        <w:t xml:space="preserve"> </w:t>
      </w:r>
      <w:r w:rsidR="009C4AD6" w:rsidRPr="00645878">
        <w:rPr>
          <w:rFonts w:ascii="Times New Roman" w:hAnsi="Times New Roman"/>
        </w:rPr>
        <w:t xml:space="preserve">on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reporting.</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written</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policies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procedures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applied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practice.</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maintain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prescribed</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records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submit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statutory</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p>
    <w:p w14:paraId="308C3DBF" w14:textId="7978E4AA" w:rsidR="00094991" w:rsidRPr="00645878" w:rsidRDefault="002317D9"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 g</w:t>
      </w:r>
      <w:r w:rsidR="00094991" w:rsidRPr="00645878">
        <w:rPr>
          <w:rFonts w:ascii="Times New Roman" w:hAnsi="Times New Roman"/>
          <w:b/>
        </w:rPr>
        <w:t>overnment’s</w:t>
      </w:r>
      <w:r w:rsidR="00900061" w:rsidRPr="00645878">
        <w:rPr>
          <w:rFonts w:ascii="Times New Roman" w:hAnsi="Times New Roman"/>
          <w:b/>
        </w:rPr>
        <w:t xml:space="preserve"> </w:t>
      </w:r>
      <w:r w:rsidR="00094991" w:rsidRPr="00645878">
        <w:rPr>
          <w:rFonts w:ascii="Times New Roman" w:hAnsi="Times New Roman"/>
          <w:b/>
        </w:rPr>
        <w:t>accounting</w:t>
      </w:r>
      <w:r w:rsidR="00900061" w:rsidRPr="00645878">
        <w:rPr>
          <w:rFonts w:ascii="Times New Roman" w:hAnsi="Times New Roman"/>
          <w:b/>
        </w:rPr>
        <w:t xml:space="preserve"> </w:t>
      </w:r>
      <w:r w:rsidR="00094991" w:rsidRPr="00645878">
        <w:rPr>
          <w:rFonts w:ascii="Times New Roman" w:hAnsi="Times New Roman"/>
          <w:b/>
        </w:rPr>
        <w:t>and</w:t>
      </w:r>
      <w:r w:rsidR="00900061" w:rsidRPr="00645878">
        <w:rPr>
          <w:rFonts w:ascii="Times New Roman" w:hAnsi="Times New Roman"/>
          <w:b/>
        </w:rPr>
        <w:t xml:space="preserve"> </w:t>
      </w:r>
      <w:r w:rsidR="00094991" w:rsidRPr="00645878">
        <w:rPr>
          <w:rFonts w:ascii="Times New Roman" w:hAnsi="Times New Roman"/>
          <w:b/>
        </w:rPr>
        <w:t>financial</w:t>
      </w:r>
      <w:r w:rsidR="00900061" w:rsidRPr="00645878">
        <w:rPr>
          <w:rFonts w:ascii="Times New Roman" w:hAnsi="Times New Roman"/>
          <w:b/>
        </w:rPr>
        <w:t xml:space="preserve"> </w:t>
      </w:r>
      <w:r w:rsidR="00094991" w:rsidRPr="00645878">
        <w:rPr>
          <w:rFonts w:ascii="Times New Roman" w:hAnsi="Times New Roman"/>
          <w:b/>
        </w:rPr>
        <w:t>reporting</w:t>
      </w:r>
      <w:r w:rsidR="00900061" w:rsidRPr="00645878">
        <w:rPr>
          <w:rFonts w:ascii="Times New Roman" w:hAnsi="Times New Roman"/>
          <w:b/>
        </w:rPr>
        <w:t xml:space="preserve"> </w:t>
      </w:r>
      <w:r w:rsidR="00094991" w:rsidRPr="00645878">
        <w:rPr>
          <w:rFonts w:ascii="Times New Roman" w:hAnsi="Times New Roman"/>
          <w:b/>
        </w:rPr>
        <w:t>is</w:t>
      </w:r>
      <w:r w:rsidR="00900061" w:rsidRPr="00645878">
        <w:rPr>
          <w:rFonts w:ascii="Times New Roman" w:hAnsi="Times New Roman"/>
          <w:b/>
        </w:rPr>
        <w:t xml:space="preserve"> </w:t>
      </w:r>
      <w:r w:rsidR="00094991" w:rsidRPr="00645878">
        <w:rPr>
          <w:rFonts w:ascii="Times New Roman" w:hAnsi="Times New Roman"/>
          <w:b/>
        </w:rPr>
        <w:t>performed</w:t>
      </w:r>
      <w:r w:rsidR="00900061" w:rsidRPr="00645878">
        <w:rPr>
          <w:rFonts w:ascii="Times New Roman" w:hAnsi="Times New Roman"/>
          <w:b/>
        </w:rPr>
        <w:t xml:space="preserve"> </w:t>
      </w:r>
      <w:r w:rsidR="00094991" w:rsidRPr="00645878">
        <w:rPr>
          <w:rFonts w:ascii="Times New Roman" w:hAnsi="Times New Roman"/>
          <w:b/>
        </w:rPr>
        <w:t>on</w:t>
      </w:r>
      <w:r w:rsidR="00900061" w:rsidRPr="00645878">
        <w:rPr>
          <w:rFonts w:ascii="Times New Roman" w:hAnsi="Times New Roman"/>
          <w:b/>
        </w:rPr>
        <w:t xml:space="preserve"> </w:t>
      </w:r>
      <w:r w:rsidR="00094991" w:rsidRPr="00645878">
        <w:rPr>
          <w:rFonts w:ascii="Times New Roman" w:hAnsi="Times New Roman"/>
          <w:b/>
        </w:rPr>
        <w:t>cash</w:t>
      </w:r>
      <w:r w:rsidR="00900061" w:rsidRPr="00645878">
        <w:rPr>
          <w:rFonts w:ascii="Times New Roman" w:hAnsi="Times New Roman"/>
          <w:b/>
        </w:rPr>
        <w:t xml:space="preserve"> </w:t>
      </w:r>
      <w:r w:rsidR="00094991" w:rsidRPr="00645878">
        <w:rPr>
          <w:rFonts w:ascii="Times New Roman" w:hAnsi="Times New Roman"/>
          <w:b/>
        </w:rPr>
        <w:t>basis,</w:t>
      </w:r>
      <w:r w:rsidR="00900061" w:rsidRPr="00645878">
        <w:rPr>
          <w:rFonts w:ascii="Times New Roman" w:hAnsi="Times New Roman"/>
          <w:b/>
        </w:rPr>
        <w:t xml:space="preserve"> </w:t>
      </w:r>
      <w:r w:rsidR="00094991" w:rsidRPr="00645878">
        <w:rPr>
          <w:rFonts w:ascii="Times New Roman" w:hAnsi="Times New Roman"/>
          <w:b/>
        </w:rPr>
        <w:t>with</w:t>
      </w:r>
      <w:r w:rsidR="00900061" w:rsidRPr="00645878">
        <w:rPr>
          <w:rFonts w:ascii="Times New Roman" w:hAnsi="Times New Roman"/>
          <w:b/>
        </w:rPr>
        <w:t xml:space="preserve"> </w:t>
      </w:r>
      <w:r w:rsidR="00094991" w:rsidRPr="00645878">
        <w:rPr>
          <w:rFonts w:ascii="Times New Roman" w:hAnsi="Times New Roman"/>
          <w:b/>
        </w:rPr>
        <w:t>additional</w:t>
      </w:r>
      <w:r w:rsidR="00900061" w:rsidRPr="00645878">
        <w:rPr>
          <w:rFonts w:ascii="Times New Roman" w:hAnsi="Times New Roman"/>
          <w:b/>
        </w:rPr>
        <w:t xml:space="preserve"> </w:t>
      </w:r>
      <w:r w:rsidR="00094991" w:rsidRPr="00645878">
        <w:rPr>
          <w:rFonts w:ascii="Times New Roman" w:hAnsi="Times New Roman"/>
          <w:b/>
        </w:rPr>
        <w:t>information</w:t>
      </w:r>
      <w:r w:rsidR="00900061" w:rsidRPr="00645878">
        <w:rPr>
          <w:rFonts w:ascii="Times New Roman" w:hAnsi="Times New Roman"/>
          <w:b/>
        </w:rPr>
        <w:t xml:space="preserve"> </w:t>
      </w:r>
      <w:r w:rsidR="00094991" w:rsidRPr="00645878">
        <w:rPr>
          <w:rFonts w:ascii="Times New Roman" w:hAnsi="Times New Roman"/>
          <w:b/>
        </w:rPr>
        <w:t>on</w:t>
      </w:r>
      <w:r w:rsidR="00900061" w:rsidRPr="00645878">
        <w:rPr>
          <w:rFonts w:ascii="Times New Roman" w:hAnsi="Times New Roman"/>
          <w:b/>
        </w:rPr>
        <w:t xml:space="preserve"> </w:t>
      </w:r>
      <w:r w:rsidR="00094991" w:rsidRPr="00645878">
        <w:rPr>
          <w:rFonts w:ascii="Times New Roman" w:hAnsi="Times New Roman"/>
          <w:b/>
        </w:rPr>
        <w:t>assets</w:t>
      </w:r>
      <w:r w:rsidR="00900061" w:rsidRPr="00645878">
        <w:rPr>
          <w:rFonts w:ascii="Times New Roman" w:hAnsi="Times New Roman"/>
          <w:b/>
        </w:rPr>
        <w:t xml:space="preserve"> </w:t>
      </w:r>
      <w:r w:rsidR="00094991" w:rsidRPr="00645878">
        <w:rPr>
          <w:rFonts w:ascii="Times New Roman" w:hAnsi="Times New Roman"/>
          <w:b/>
        </w:rPr>
        <w:t>and</w:t>
      </w:r>
      <w:r w:rsidR="00900061" w:rsidRPr="00645878">
        <w:rPr>
          <w:rFonts w:ascii="Times New Roman" w:hAnsi="Times New Roman"/>
          <w:b/>
        </w:rPr>
        <w:t xml:space="preserve"> </w:t>
      </w:r>
      <w:r w:rsidR="00094991" w:rsidRPr="00645878">
        <w:rPr>
          <w:rFonts w:ascii="Times New Roman" w:hAnsi="Times New Roman"/>
          <w:b/>
        </w:rPr>
        <w:t>liabilities.</w:t>
      </w:r>
      <w:r w:rsidR="00900061" w:rsidRPr="00645878">
        <w:rPr>
          <w:rFonts w:ascii="Times New Roman" w:hAnsi="Times New Roman"/>
          <w:b/>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reporting</w:t>
      </w:r>
      <w:r w:rsidR="00900061" w:rsidRPr="00645878">
        <w:rPr>
          <w:rFonts w:ascii="Times New Roman" w:hAnsi="Times New Roman"/>
        </w:rPr>
        <w:t xml:space="preserve"> </w:t>
      </w:r>
      <w:r w:rsidR="00094991" w:rsidRPr="00645878">
        <w:rPr>
          <w:rFonts w:ascii="Times New Roman" w:hAnsi="Times New Roman"/>
        </w:rPr>
        <w:t>meets</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3F5ECB" w:rsidRPr="00645878">
        <w:rPr>
          <w:rFonts w:ascii="Times New Roman" w:hAnsi="Times New Roman"/>
        </w:rPr>
        <w:t xml:space="preserve">World </w:t>
      </w:r>
      <w:r w:rsidR="00094991" w:rsidRPr="00645878">
        <w:rPr>
          <w:rFonts w:ascii="Times New Roman" w:hAnsi="Times New Roman"/>
        </w:rPr>
        <w:t>Bank’s</w:t>
      </w:r>
      <w:r w:rsidR="00900061" w:rsidRPr="00645878">
        <w:rPr>
          <w:rFonts w:ascii="Times New Roman" w:hAnsi="Times New Roman"/>
        </w:rPr>
        <w:t xml:space="preserve"> </w:t>
      </w:r>
      <w:r w:rsidR="00094991" w:rsidRPr="00645878">
        <w:rPr>
          <w:rFonts w:ascii="Times New Roman" w:hAnsi="Times New Roman"/>
        </w:rPr>
        <w:t>requirements</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9329A9" w:rsidRPr="00645878">
        <w:rPr>
          <w:rFonts w:ascii="Times New Roman" w:hAnsi="Times New Roman"/>
        </w:rPr>
        <w:t>P</w:t>
      </w:r>
      <w:r w:rsidR="00094991" w:rsidRPr="00645878">
        <w:rPr>
          <w:rFonts w:ascii="Times New Roman" w:hAnsi="Times New Roman"/>
        </w:rPr>
        <w:t>rogram</w:t>
      </w:r>
      <w:r w:rsidR="00900061" w:rsidRPr="00645878">
        <w:rPr>
          <w:rFonts w:ascii="Times New Roman" w:hAnsi="Times New Roman"/>
        </w:rPr>
        <w:t xml:space="preserve"> </w:t>
      </w:r>
      <w:r w:rsidR="00094991" w:rsidRPr="00645878">
        <w:rPr>
          <w:rFonts w:ascii="Times New Roman" w:hAnsi="Times New Roman"/>
        </w:rPr>
        <w:t>financial</w:t>
      </w:r>
      <w:r w:rsidR="00900061" w:rsidRPr="00645878">
        <w:rPr>
          <w:rFonts w:ascii="Times New Roman" w:hAnsi="Times New Roman"/>
        </w:rPr>
        <w:t xml:space="preserve"> </w:t>
      </w:r>
      <w:r w:rsidR="00094991" w:rsidRPr="00645878">
        <w:rPr>
          <w:rFonts w:ascii="Times New Roman" w:hAnsi="Times New Roman"/>
        </w:rPr>
        <w:t>reporting.</w:t>
      </w:r>
      <w:r w:rsidR="00900061" w:rsidRPr="00645878">
        <w:rPr>
          <w:rFonts w:ascii="Times New Roman" w:hAnsi="Times New Roman"/>
        </w:rPr>
        <w:t xml:space="preserve"> </w:t>
      </w:r>
      <w:r w:rsidR="00094991" w:rsidRPr="00645878">
        <w:rPr>
          <w:rFonts w:ascii="Times New Roman" w:hAnsi="Times New Roman"/>
        </w:rPr>
        <w:t>Under</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Decree</w:t>
      </w:r>
      <w:r w:rsidR="00900061" w:rsidRPr="00645878">
        <w:rPr>
          <w:rFonts w:ascii="Times New Roman" w:hAnsi="Times New Roman"/>
        </w:rPr>
        <w:t xml:space="preserve"> </w:t>
      </w:r>
      <w:r w:rsidR="00094991" w:rsidRPr="00645878">
        <w:rPr>
          <w:rFonts w:ascii="Times New Roman" w:hAnsi="Times New Roman"/>
        </w:rPr>
        <w:t>on</w:t>
      </w:r>
      <w:r w:rsidR="00900061" w:rsidRPr="00645878">
        <w:rPr>
          <w:rFonts w:ascii="Times New Roman" w:hAnsi="Times New Roman"/>
        </w:rPr>
        <w:t xml:space="preserve"> </w:t>
      </w:r>
      <w:r w:rsidR="00094991" w:rsidRPr="00645878">
        <w:rPr>
          <w:rFonts w:ascii="Times New Roman" w:hAnsi="Times New Roman"/>
        </w:rPr>
        <w:t>Application</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094991" w:rsidRPr="00645878">
        <w:rPr>
          <w:rFonts w:ascii="Times New Roman" w:hAnsi="Times New Roman"/>
        </w:rPr>
        <w:t>International</w:t>
      </w:r>
      <w:r w:rsidR="00900061" w:rsidRPr="00645878">
        <w:rPr>
          <w:rFonts w:ascii="Times New Roman" w:hAnsi="Times New Roman"/>
        </w:rPr>
        <w:t xml:space="preserve"> </w:t>
      </w:r>
      <w:r w:rsidR="00094991" w:rsidRPr="00645878">
        <w:rPr>
          <w:rFonts w:ascii="Times New Roman" w:hAnsi="Times New Roman"/>
        </w:rPr>
        <w:t>Public</w:t>
      </w:r>
      <w:r w:rsidR="00900061" w:rsidRPr="00645878">
        <w:rPr>
          <w:rFonts w:ascii="Times New Roman" w:hAnsi="Times New Roman"/>
        </w:rPr>
        <w:t xml:space="preserve"> </w:t>
      </w:r>
      <w:r w:rsidR="00094991" w:rsidRPr="00645878">
        <w:rPr>
          <w:rFonts w:ascii="Times New Roman" w:hAnsi="Times New Roman"/>
        </w:rPr>
        <w:t>Sector</w:t>
      </w:r>
      <w:r w:rsidR="00900061" w:rsidRPr="00645878">
        <w:rPr>
          <w:rFonts w:ascii="Times New Roman" w:hAnsi="Times New Roman"/>
        </w:rPr>
        <w:t xml:space="preserve"> </w:t>
      </w:r>
      <w:r w:rsidR="00094991" w:rsidRPr="00645878">
        <w:rPr>
          <w:rFonts w:ascii="Times New Roman" w:hAnsi="Times New Roman"/>
        </w:rPr>
        <w:t>Accounting</w:t>
      </w:r>
      <w:r w:rsidR="00900061" w:rsidRPr="00645878">
        <w:rPr>
          <w:rFonts w:ascii="Times New Roman" w:hAnsi="Times New Roman"/>
        </w:rPr>
        <w:t xml:space="preserve"> </w:t>
      </w:r>
      <w:r w:rsidR="00094991" w:rsidRPr="00645878">
        <w:rPr>
          <w:rFonts w:ascii="Times New Roman" w:hAnsi="Times New Roman"/>
        </w:rPr>
        <w:t>Standards</w:t>
      </w:r>
      <w:r w:rsidR="00900061" w:rsidRPr="00645878">
        <w:rPr>
          <w:rFonts w:ascii="Times New Roman" w:hAnsi="Times New Roman"/>
        </w:rPr>
        <w:t xml:space="preserve"> </w:t>
      </w:r>
      <w:r w:rsidR="00094991" w:rsidRPr="00645878">
        <w:rPr>
          <w:rFonts w:ascii="Times New Roman" w:hAnsi="Times New Roman"/>
        </w:rPr>
        <w:t>(IPSAS),</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officially</w:t>
      </w:r>
      <w:r w:rsidR="00900061" w:rsidRPr="00645878">
        <w:rPr>
          <w:rFonts w:ascii="Times New Roman" w:hAnsi="Times New Roman"/>
        </w:rPr>
        <w:t xml:space="preserve"> </w:t>
      </w:r>
      <w:r w:rsidR="00094991" w:rsidRPr="00645878">
        <w:rPr>
          <w:rFonts w:ascii="Times New Roman" w:hAnsi="Times New Roman"/>
        </w:rPr>
        <w:t>prescribed</w:t>
      </w:r>
      <w:r w:rsidR="00900061" w:rsidRPr="00645878">
        <w:rPr>
          <w:rFonts w:ascii="Times New Roman" w:hAnsi="Times New Roman"/>
        </w:rPr>
        <w:t xml:space="preserve"> </w:t>
      </w:r>
      <w:r w:rsidR="00094991" w:rsidRPr="00645878">
        <w:rPr>
          <w:rFonts w:ascii="Times New Roman" w:hAnsi="Times New Roman"/>
        </w:rPr>
        <w:t>accounting</w:t>
      </w:r>
      <w:r w:rsidR="00900061" w:rsidRPr="00645878">
        <w:rPr>
          <w:rFonts w:ascii="Times New Roman" w:hAnsi="Times New Roman"/>
        </w:rPr>
        <w:t xml:space="preserve"> </w:t>
      </w:r>
      <w:r w:rsidR="00094991" w:rsidRPr="00645878">
        <w:rPr>
          <w:rFonts w:ascii="Times New Roman" w:hAnsi="Times New Roman"/>
        </w:rPr>
        <w:t>standards</w:t>
      </w:r>
      <w:r w:rsidR="00900061" w:rsidRPr="00645878">
        <w:rPr>
          <w:rFonts w:ascii="Times New Roman" w:hAnsi="Times New Roman"/>
        </w:rPr>
        <w:t xml:space="preserve"> </w:t>
      </w:r>
      <w:r w:rsidR="00094991" w:rsidRPr="00645878">
        <w:rPr>
          <w:rFonts w:ascii="Times New Roman" w:hAnsi="Times New Roman"/>
        </w:rPr>
        <w:t>for</w:t>
      </w:r>
      <w:r w:rsidR="00900061" w:rsidRPr="00645878">
        <w:rPr>
          <w:rFonts w:ascii="Times New Roman" w:hAnsi="Times New Roman"/>
        </w:rPr>
        <w:t xml:space="preserve"> </w:t>
      </w:r>
      <w:r w:rsidR="00094991" w:rsidRPr="00645878">
        <w:rPr>
          <w:rFonts w:ascii="Times New Roman" w:hAnsi="Times New Roman"/>
        </w:rPr>
        <w:t>DBBs</w:t>
      </w:r>
      <w:r w:rsidR="00900061" w:rsidRPr="00645878">
        <w:rPr>
          <w:rFonts w:ascii="Times New Roman" w:hAnsi="Times New Roman"/>
        </w:rPr>
        <w:t xml:space="preserve"> </w:t>
      </w:r>
      <w:r w:rsidR="00094991" w:rsidRPr="00645878">
        <w:rPr>
          <w:rFonts w:ascii="Times New Roman" w:hAnsi="Times New Roman"/>
        </w:rPr>
        <w:t>and</w:t>
      </w:r>
      <w:r w:rsidR="00900061" w:rsidRPr="00645878">
        <w:rPr>
          <w:rFonts w:ascii="Times New Roman" w:hAnsi="Times New Roman"/>
        </w:rPr>
        <w:t xml:space="preserve"> </w:t>
      </w:r>
      <w:r w:rsidR="00094991" w:rsidRPr="00645878">
        <w:rPr>
          <w:rFonts w:ascii="Times New Roman" w:hAnsi="Times New Roman"/>
        </w:rPr>
        <w:t>IBBs,</w:t>
      </w:r>
      <w:r w:rsidR="00900061" w:rsidRPr="00645878">
        <w:rPr>
          <w:rFonts w:ascii="Times New Roman" w:hAnsi="Times New Roman"/>
        </w:rPr>
        <w:t xml:space="preserve"> </w:t>
      </w:r>
      <w:r w:rsidR="00094991" w:rsidRPr="00645878">
        <w:rPr>
          <w:rFonts w:ascii="Times New Roman" w:hAnsi="Times New Roman"/>
        </w:rPr>
        <w:t>users</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094991" w:rsidRPr="00645878">
        <w:rPr>
          <w:rFonts w:ascii="Times New Roman" w:hAnsi="Times New Roman"/>
        </w:rPr>
        <w:t>funds</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094991" w:rsidRPr="00645878">
        <w:rPr>
          <w:rFonts w:ascii="Times New Roman" w:hAnsi="Times New Roman"/>
        </w:rPr>
        <w:t>mandatory</w:t>
      </w:r>
      <w:r w:rsidR="00900061" w:rsidRPr="00645878">
        <w:rPr>
          <w:rFonts w:ascii="Times New Roman" w:hAnsi="Times New Roman"/>
        </w:rPr>
        <w:t xml:space="preserve"> </w:t>
      </w:r>
      <w:r w:rsidR="00094991" w:rsidRPr="00645878">
        <w:rPr>
          <w:rFonts w:ascii="Times New Roman" w:hAnsi="Times New Roman"/>
        </w:rPr>
        <w:t>social</w:t>
      </w:r>
      <w:r w:rsidR="00900061" w:rsidRPr="00645878">
        <w:rPr>
          <w:rFonts w:ascii="Times New Roman" w:hAnsi="Times New Roman"/>
        </w:rPr>
        <w:t xml:space="preserve"> </w:t>
      </w:r>
      <w:r w:rsidR="00094991" w:rsidRPr="00645878">
        <w:rPr>
          <w:rFonts w:ascii="Times New Roman" w:hAnsi="Times New Roman"/>
        </w:rPr>
        <w:t>insurance</w:t>
      </w:r>
      <w:r w:rsidR="00900061" w:rsidRPr="00645878">
        <w:rPr>
          <w:rFonts w:ascii="Times New Roman" w:hAnsi="Times New Roman"/>
        </w:rPr>
        <w:t xml:space="preserve"> </w:t>
      </w:r>
      <w:r w:rsidR="00094991" w:rsidRPr="00645878">
        <w:rPr>
          <w:rFonts w:ascii="Times New Roman" w:hAnsi="Times New Roman"/>
        </w:rPr>
        <w:t>organizations</w:t>
      </w:r>
      <w:r w:rsidR="00900061" w:rsidRPr="00645878">
        <w:rPr>
          <w:rFonts w:ascii="Times New Roman" w:hAnsi="Times New Roman"/>
        </w:rPr>
        <w:t xml:space="preserve"> </w:t>
      </w:r>
      <w:r w:rsidR="00094991" w:rsidRPr="00645878">
        <w:rPr>
          <w:rFonts w:ascii="Times New Roman" w:hAnsi="Times New Roman"/>
        </w:rPr>
        <w:t>and</w:t>
      </w:r>
      <w:r w:rsidR="00900061" w:rsidRPr="00645878">
        <w:rPr>
          <w:rFonts w:ascii="Times New Roman" w:hAnsi="Times New Roman"/>
        </w:rPr>
        <w:t xml:space="preserve"> </w:t>
      </w:r>
      <w:r w:rsidR="00094991" w:rsidRPr="00645878">
        <w:rPr>
          <w:rFonts w:ascii="Times New Roman" w:hAnsi="Times New Roman"/>
        </w:rPr>
        <w:t>budgetary</w:t>
      </w:r>
      <w:r w:rsidR="00900061" w:rsidRPr="00645878">
        <w:rPr>
          <w:rFonts w:ascii="Times New Roman" w:hAnsi="Times New Roman"/>
        </w:rPr>
        <w:t xml:space="preserve"> </w:t>
      </w:r>
      <w:r w:rsidR="00094991" w:rsidRPr="00645878">
        <w:rPr>
          <w:rFonts w:ascii="Times New Roman" w:hAnsi="Times New Roman"/>
        </w:rPr>
        <w:t>funds</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Republic</w:t>
      </w:r>
      <w:r w:rsidR="00900061" w:rsidRPr="00645878">
        <w:rPr>
          <w:rFonts w:ascii="Times New Roman" w:hAnsi="Times New Roman"/>
        </w:rPr>
        <w:t xml:space="preserve"> </w:t>
      </w:r>
      <w:r w:rsidR="00094991" w:rsidRPr="00645878">
        <w:rPr>
          <w:rFonts w:ascii="Times New Roman" w:hAnsi="Times New Roman"/>
        </w:rPr>
        <w:t>as</w:t>
      </w:r>
      <w:r w:rsidR="00900061" w:rsidRPr="00645878">
        <w:rPr>
          <w:rFonts w:ascii="Times New Roman" w:hAnsi="Times New Roman"/>
        </w:rPr>
        <w:t xml:space="preserve"> </w:t>
      </w:r>
      <w:r w:rsidR="00094991" w:rsidRPr="00645878">
        <w:rPr>
          <w:rFonts w:ascii="Times New Roman" w:hAnsi="Times New Roman"/>
        </w:rPr>
        <w:t>of</w:t>
      </w:r>
      <w:r w:rsidR="00900061" w:rsidRPr="00645878">
        <w:rPr>
          <w:rFonts w:ascii="Times New Roman" w:hAnsi="Times New Roman"/>
        </w:rPr>
        <w:t xml:space="preserve"> </w:t>
      </w:r>
      <w:r w:rsidR="00094991" w:rsidRPr="00645878">
        <w:rPr>
          <w:rFonts w:ascii="Times New Roman" w:hAnsi="Times New Roman"/>
        </w:rPr>
        <w:t>2010</w:t>
      </w:r>
      <w:r w:rsidR="00900061" w:rsidRPr="00645878">
        <w:rPr>
          <w:rFonts w:ascii="Times New Roman" w:hAnsi="Times New Roman"/>
        </w:rPr>
        <w:t xml:space="preserve"> </w:t>
      </w:r>
      <w:r w:rsidR="00094991" w:rsidRPr="00645878">
        <w:rPr>
          <w:rFonts w:ascii="Times New Roman" w:hAnsi="Times New Roman"/>
        </w:rPr>
        <w:t>are</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cash-based</w:t>
      </w:r>
      <w:r w:rsidR="00900061" w:rsidRPr="00645878">
        <w:rPr>
          <w:rFonts w:ascii="Times New Roman" w:hAnsi="Times New Roman"/>
        </w:rPr>
        <w:t xml:space="preserve"> </w:t>
      </w:r>
      <w:r w:rsidR="00094991" w:rsidRPr="00645878">
        <w:rPr>
          <w:rFonts w:ascii="Times New Roman" w:hAnsi="Times New Roman"/>
        </w:rPr>
        <w:t>IPSAS.</w:t>
      </w:r>
      <w:r w:rsidR="00900061" w:rsidRPr="00645878">
        <w:rPr>
          <w:rFonts w:ascii="Times New Roman" w:hAnsi="Times New Roman"/>
        </w:rPr>
        <w:t xml:space="preserve"> </w:t>
      </w:r>
      <w:r w:rsidR="00094991" w:rsidRPr="00645878">
        <w:rPr>
          <w:rFonts w:ascii="Times New Roman" w:hAnsi="Times New Roman"/>
        </w:rPr>
        <w:t>All</w:t>
      </w:r>
      <w:r w:rsidR="00900061" w:rsidRPr="00645878">
        <w:rPr>
          <w:rFonts w:ascii="Times New Roman" w:hAnsi="Times New Roman"/>
        </w:rPr>
        <w:t xml:space="preserve"> </w:t>
      </w:r>
      <w:r w:rsidR="00094991" w:rsidRPr="00645878">
        <w:rPr>
          <w:rFonts w:ascii="Times New Roman" w:hAnsi="Times New Roman"/>
        </w:rPr>
        <w:t>entities</w:t>
      </w:r>
      <w:r w:rsidR="00900061" w:rsidRPr="00645878">
        <w:rPr>
          <w:rFonts w:ascii="Times New Roman" w:hAnsi="Times New Roman"/>
        </w:rPr>
        <w:t xml:space="preserve"> </w:t>
      </w:r>
      <w:r w:rsidR="00094991" w:rsidRPr="00645878">
        <w:rPr>
          <w:rFonts w:ascii="Times New Roman" w:hAnsi="Times New Roman"/>
        </w:rPr>
        <w:t>involved</w:t>
      </w:r>
      <w:r w:rsidR="00900061" w:rsidRPr="00645878">
        <w:rPr>
          <w:rFonts w:ascii="Times New Roman" w:hAnsi="Times New Roman"/>
        </w:rPr>
        <w:t xml:space="preserve"> </w:t>
      </w:r>
      <w:r w:rsidR="00094991" w:rsidRPr="00645878">
        <w:rPr>
          <w:rFonts w:ascii="Times New Roman" w:hAnsi="Times New Roman"/>
        </w:rPr>
        <w:t>in</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630304" w:rsidRPr="00645878">
        <w:rPr>
          <w:rFonts w:ascii="Times New Roman" w:hAnsi="Times New Roman"/>
        </w:rPr>
        <w:t>P</w:t>
      </w:r>
      <w:r w:rsidR="00094991" w:rsidRPr="00645878">
        <w:rPr>
          <w:rFonts w:ascii="Times New Roman" w:hAnsi="Times New Roman"/>
        </w:rPr>
        <w:t>rogram</w:t>
      </w:r>
      <w:r w:rsidR="00900061" w:rsidRPr="00645878">
        <w:rPr>
          <w:rFonts w:ascii="Times New Roman" w:hAnsi="Times New Roman"/>
        </w:rPr>
        <w:t xml:space="preserve"> </w:t>
      </w:r>
      <w:r w:rsidR="00094991" w:rsidRPr="00645878">
        <w:rPr>
          <w:rFonts w:ascii="Times New Roman" w:hAnsi="Times New Roman"/>
        </w:rPr>
        <w:t>are</w:t>
      </w:r>
      <w:r w:rsidR="00900061" w:rsidRPr="00645878">
        <w:rPr>
          <w:rFonts w:ascii="Times New Roman" w:hAnsi="Times New Roman"/>
        </w:rPr>
        <w:t xml:space="preserve"> </w:t>
      </w:r>
      <w:r w:rsidR="00094991" w:rsidRPr="00645878">
        <w:rPr>
          <w:rFonts w:ascii="Times New Roman" w:hAnsi="Times New Roman"/>
        </w:rPr>
        <w:t>subject</w:t>
      </w:r>
      <w:r w:rsidR="00900061" w:rsidRPr="00645878">
        <w:rPr>
          <w:rFonts w:ascii="Times New Roman" w:hAnsi="Times New Roman"/>
        </w:rPr>
        <w:t xml:space="preserve"> </w:t>
      </w:r>
      <w:r w:rsidR="00094991" w:rsidRPr="00645878">
        <w:rPr>
          <w:rFonts w:ascii="Times New Roman" w:hAnsi="Times New Roman"/>
        </w:rPr>
        <w:t>to</w:t>
      </w:r>
      <w:r w:rsidR="00900061" w:rsidRPr="00645878">
        <w:rPr>
          <w:rFonts w:ascii="Times New Roman" w:hAnsi="Times New Roman"/>
        </w:rPr>
        <w:t xml:space="preserve"> </w:t>
      </w:r>
      <w:r w:rsidR="00094991" w:rsidRPr="00645878">
        <w:rPr>
          <w:rFonts w:ascii="Times New Roman" w:hAnsi="Times New Roman"/>
        </w:rPr>
        <w:t>this</w:t>
      </w:r>
      <w:r w:rsidR="00900061" w:rsidRPr="00645878">
        <w:rPr>
          <w:rFonts w:ascii="Times New Roman" w:hAnsi="Times New Roman"/>
        </w:rPr>
        <w:t xml:space="preserve"> </w:t>
      </w:r>
      <w:r w:rsidR="00094991" w:rsidRPr="00645878">
        <w:rPr>
          <w:rFonts w:ascii="Times New Roman" w:hAnsi="Times New Roman"/>
        </w:rPr>
        <w:t>regulation.</w:t>
      </w:r>
      <w:r w:rsidR="00900061" w:rsidRPr="00645878">
        <w:rPr>
          <w:rFonts w:ascii="Times New Roman" w:hAnsi="Times New Roman"/>
        </w:rPr>
        <w:t xml:space="preserve"> </w:t>
      </w:r>
      <w:r w:rsidR="00094991" w:rsidRPr="00645878">
        <w:rPr>
          <w:rFonts w:ascii="Times New Roman" w:hAnsi="Times New Roman"/>
        </w:rPr>
        <w:t>However,</w:t>
      </w:r>
      <w:r w:rsidR="00900061" w:rsidRPr="00645878">
        <w:rPr>
          <w:rFonts w:ascii="Times New Roman" w:hAnsi="Times New Roman"/>
        </w:rPr>
        <w:t xml:space="preserve"> </w:t>
      </w:r>
      <w:r w:rsidR="00094991" w:rsidRPr="00645878">
        <w:rPr>
          <w:rFonts w:ascii="Times New Roman" w:hAnsi="Times New Roman"/>
        </w:rPr>
        <w:t>since</w:t>
      </w:r>
      <w:r w:rsidR="00900061" w:rsidRPr="00645878">
        <w:rPr>
          <w:rFonts w:ascii="Times New Roman" w:hAnsi="Times New Roman"/>
        </w:rPr>
        <w:t xml:space="preserve"> </w:t>
      </w:r>
      <w:r w:rsidR="00094991" w:rsidRPr="00645878">
        <w:rPr>
          <w:rFonts w:ascii="Times New Roman" w:hAnsi="Times New Roman"/>
        </w:rPr>
        <w:t>there</w:t>
      </w:r>
      <w:r w:rsidR="00900061" w:rsidRPr="00645878">
        <w:rPr>
          <w:rFonts w:ascii="Times New Roman" w:hAnsi="Times New Roman"/>
        </w:rPr>
        <w:t xml:space="preserve"> </w:t>
      </w:r>
      <w:r w:rsidR="00094991" w:rsidRPr="00645878">
        <w:rPr>
          <w:rFonts w:ascii="Times New Roman" w:hAnsi="Times New Roman"/>
        </w:rPr>
        <w:t>are</w:t>
      </w:r>
      <w:r w:rsidR="00900061" w:rsidRPr="00645878">
        <w:rPr>
          <w:rFonts w:ascii="Times New Roman" w:hAnsi="Times New Roman"/>
        </w:rPr>
        <w:t xml:space="preserve"> </w:t>
      </w:r>
      <w:r w:rsidR="00094991" w:rsidRPr="00645878">
        <w:rPr>
          <w:rFonts w:ascii="Times New Roman" w:hAnsi="Times New Roman"/>
        </w:rPr>
        <w:t>bylaws</w:t>
      </w:r>
      <w:r w:rsidR="00900061" w:rsidRPr="00645878">
        <w:rPr>
          <w:rFonts w:ascii="Times New Roman" w:hAnsi="Times New Roman"/>
        </w:rPr>
        <w:t xml:space="preserve"> </w:t>
      </w:r>
      <w:r w:rsidR="00094991" w:rsidRPr="00645878">
        <w:rPr>
          <w:rFonts w:ascii="Times New Roman" w:hAnsi="Times New Roman"/>
        </w:rPr>
        <w:t>issued</w:t>
      </w:r>
      <w:r w:rsidR="00900061" w:rsidRPr="00645878">
        <w:rPr>
          <w:rFonts w:ascii="Times New Roman" w:hAnsi="Times New Roman"/>
        </w:rPr>
        <w:t xml:space="preserve"> </w:t>
      </w:r>
      <w:r w:rsidR="00094991" w:rsidRPr="00645878">
        <w:rPr>
          <w:rFonts w:ascii="Times New Roman" w:hAnsi="Times New Roman"/>
        </w:rPr>
        <w:t>by</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MoF</w:t>
      </w:r>
      <w:r w:rsidR="00900061" w:rsidRPr="00645878">
        <w:rPr>
          <w:rFonts w:ascii="Times New Roman" w:hAnsi="Times New Roman"/>
        </w:rPr>
        <w:t xml:space="preserve"> </w:t>
      </w:r>
      <w:r w:rsidR="00A459A0" w:rsidRPr="00645878">
        <w:rPr>
          <w:rFonts w:ascii="Times New Roman" w:hAnsi="Times New Roman"/>
        </w:rPr>
        <w:t xml:space="preserve">that </w:t>
      </w:r>
      <w:r w:rsidR="00094991" w:rsidRPr="00645878">
        <w:rPr>
          <w:rFonts w:ascii="Times New Roman" w:hAnsi="Times New Roman"/>
        </w:rPr>
        <w:t>prescribe</w:t>
      </w:r>
      <w:r w:rsidR="00900061" w:rsidRPr="00645878">
        <w:rPr>
          <w:rFonts w:ascii="Times New Roman" w:hAnsi="Times New Roman"/>
        </w:rPr>
        <w:t xml:space="preserve"> </w:t>
      </w:r>
      <w:r w:rsidR="00094991" w:rsidRPr="00645878">
        <w:rPr>
          <w:rFonts w:ascii="Times New Roman" w:hAnsi="Times New Roman"/>
        </w:rPr>
        <w:t>specific</w:t>
      </w:r>
      <w:r w:rsidR="00900061" w:rsidRPr="00645878">
        <w:rPr>
          <w:rFonts w:ascii="Times New Roman" w:hAnsi="Times New Roman"/>
        </w:rPr>
        <w:t xml:space="preserve"> </w:t>
      </w:r>
      <w:r w:rsidR="00094991" w:rsidRPr="00645878">
        <w:rPr>
          <w:rFonts w:ascii="Times New Roman" w:hAnsi="Times New Roman"/>
        </w:rPr>
        <w:t>accounting</w:t>
      </w:r>
      <w:r w:rsidR="00900061" w:rsidRPr="00645878">
        <w:rPr>
          <w:rFonts w:ascii="Times New Roman" w:hAnsi="Times New Roman"/>
        </w:rPr>
        <w:t xml:space="preserve"> </w:t>
      </w:r>
      <w:r w:rsidR="00094991" w:rsidRPr="00645878">
        <w:rPr>
          <w:rFonts w:ascii="Times New Roman" w:hAnsi="Times New Roman"/>
        </w:rPr>
        <w:t>policies</w:t>
      </w:r>
      <w:r w:rsidR="00900061" w:rsidRPr="00645878">
        <w:rPr>
          <w:rFonts w:ascii="Times New Roman" w:hAnsi="Times New Roman"/>
        </w:rPr>
        <w:t xml:space="preserve"> </w:t>
      </w:r>
      <w:r w:rsidR="00094991" w:rsidRPr="00645878">
        <w:rPr>
          <w:rFonts w:ascii="Times New Roman" w:hAnsi="Times New Roman"/>
        </w:rPr>
        <w:t>and</w:t>
      </w:r>
      <w:r w:rsidR="00900061" w:rsidRPr="00645878">
        <w:rPr>
          <w:rFonts w:ascii="Times New Roman" w:hAnsi="Times New Roman"/>
        </w:rPr>
        <w:t xml:space="preserve"> </w:t>
      </w:r>
      <w:r w:rsidR="00094991" w:rsidRPr="00645878">
        <w:rPr>
          <w:rFonts w:ascii="Times New Roman" w:hAnsi="Times New Roman"/>
        </w:rPr>
        <w:t>reporting</w:t>
      </w:r>
      <w:r w:rsidR="00900061" w:rsidRPr="00645878">
        <w:rPr>
          <w:rFonts w:ascii="Times New Roman" w:hAnsi="Times New Roman"/>
        </w:rPr>
        <w:t xml:space="preserve"> </w:t>
      </w:r>
      <w:r w:rsidR="00094991" w:rsidRPr="00645878">
        <w:rPr>
          <w:rFonts w:ascii="Times New Roman" w:hAnsi="Times New Roman"/>
        </w:rPr>
        <w:t>template,</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implication</w:t>
      </w:r>
      <w:r w:rsidR="00900061" w:rsidRPr="00645878">
        <w:rPr>
          <w:rFonts w:ascii="Times New Roman" w:hAnsi="Times New Roman"/>
        </w:rPr>
        <w:t xml:space="preserve"> </w:t>
      </w:r>
      <w:r w:rsidR="00094991" w:rsidRPr="00645878">
        <w:rPr>
          <w:rFonts w:ascii="Times New Roman" w:hAnsi="Times New Roman"/>
        </w:rPr>
        <w:t>is</w:t>
      </w:r>
      <w:r w:rsidR="00900061" w:rsidRPr="00645878">
        <w:rPr>
          <w:rFonts w:ascii="Times New Roman" w:hAnsi="Times New Roman"/>
        </w:rPr>
        <w:t xml:space="preserve"> </w:t>
      </w:r>
      <w:r w:rsidR="00094991" w:rsidRPr="00645878">
        <w:rPr>
          <w:rFonts w:ascii="Times New Roman" w:hAnsi="Times New Roman"/>
        </w:rPr>
        <w:t>that</w:t>
      </w:r>
      <w:r w:rsidR="00900061" w:rsidRPr="00645878">
        <w:rPr>
          <w:rFonts w:ascii="Times New Roman" w:hAnsi="Times New Roman"/>
        </w:rPr>
        <w:t xml:space="preserve"> </w:t>
      </w:r>
      <w:r w:rsidR="00094991" w:rsidRPr="00645878">
        <w:rPr>
          <w:rFonts w:ascii="Times New Roman" w:hAnsi="Times New Roman"/>
        </w:rPr>
        <w:t>IPSAS</w:t>
      </w:r>
      <w:r w:rsidR="00900061" w:rsidRPr="00645878">
        <w:rPr>
          <w:rFonts w:ascii="Times New Roman" w:hAnsi="Times New Roman"/>
        </w:rPr>
        <w:t xml:space="preserve"> </w:t>
      </w:r>
      <w:r w:rsidR="00094991" w:rsidRPr="00645878">
        <w:rPr>
          <w:rFonts w:ascii="Times New Roman" w:hAnsi="Times New Roman"/>
        </w:rPr>
        <w:t>implementation</w:t>
      </w:r>
      <w:r w:rsidR="00900061" w:rsidRPr="00645878">
        <w:rPr>
          <w:rFonts w:ascii="Times New Roman" w:hAnsi="Times New Roman"/>
        </w:rPr>
        <w:t xml:space="preserve"> </w:t>
      </w:r>
      <w:r w:rsidR="00094991" w:rsidRPr="00645878">
        <w:rPr>
          <w:rFonts w:ascii="Times New Roman" w:hAnsi="Times New Roman"/>
        </w:rPr>
        <w:t>continues</w:t>
      </w:r>
      <w:r w:rsidR="00900061" w:rsidRPr="00645878">
        <w:rPr>
          <w:rFonts w:ascii="Times New Roman" w:hAnsi="Times New Roman"/>
        </w:rPr>
        <w:t xml:space="preserve"> </w:t>
      </w:r>
      <w:r w:rsidR="00094991" w:rsidRPr="00645878">
        <w:rPr>
          <w:rFonts w:ascii="Times New Roman" w:hAnsi="Times New Roman"/>
        </w:rPr>
        <w:t>to</w:t>
      </w:r>
      <w:r w:rsidR="00900061" w:rsidRPr="00645878">
        <w:rPr>
          <w:rFonts w:ascii="Times New Roman" w:hAnsi="Times New Roman"/>
        </w:rPr>
        <w:t xml:space="preserve"> </w:t>
      </w:r>
      <w:r w:rsidR="00094991" w:rsidRPr="00645878">
        <w:rPr>
          <w:rFonts w:ascii="Times New Roman" w:hAnsi="Times New Roman"/>
        </w:rPr>
        <w:t>be</w:t>
      </w:r>
      <w:r w:rsidR="00900061" w:rsidRPr="00645878">
        <w:rPr>
          <w:rFonts w:ascii="Times New Roman" w:hAnsi="Times New Roman"/>
        </w:rPr>
        <w:t xml:space="preserve"> </w:t>
      </w:r>
      <w:r w:rsidR="00094991" w:rsidRPr="00645878">
        <w:rPr>
          <w:rFonts w:ascii="Times New Roman" w:hAnsi="Times New Roman"/>
        </w:rPr>
        <w:t>indirect</w:t>
      </w:r>
      <w:r w:rsidR="00900061" w:rsidRPr="00645878">
        <w:rPr>
          <w:rFonts w:ascii="Times New Roman" w:hAnsi="Times New Roman"/>
        </w:rPr>
        <w:t xml:space="preserve"> </w:t>
      </w:r>
      <w:r w:rsidR="00094991" w:rsidRPr="00645878">
        <w:rPr>
          <w:rFonts w:ascii="Times New Roman" w:hAnsi="Times New Roman"/>
        </w:rPr>
        <w:t>(</w:t>
      </w:r>
      <w:r w:rsidR="00B71C7F" w:rsidRPr="00645878">
        <w:rPr>
          <w:rFonts w:ascii="Times New Roman" w:hAnsi="Times New Roman"/>
        </w:rPr>
        <w:t>that is</w:t>
      </w:r>
      <w:r w:rsidR="00094991" w:rsidRPr="00645878">
        <w:rPr>
          <w:rFonts w:ascii="Times New Roman" w:hAnsi="Times New Roman"/>
        </w:rPr>
        <w:t>,</w:t>
      </w:r>
      <w:r w:rsidR="00900061" w:rsidRPr="00645878">
        <w:rPr>
          <w:rFonts w:ascii="Times New Roman" w:hAnsi="Times New Roman"/>
        </w:rPr>
        <w:t xml:space="preserve"> </w:t>
      </w:r>
      <w:r w:rsidR="00094991" w:rsidRPr="00645878">
        <w:rPr>
          <w:rFonts w:ascii="Times New Roman" w:hAnsi="Times New Roman"/>
        </w:rPr>
        <w:t>applied</w:t>
      </w:r>
      <w:r w:rsidR="00900061" w:rsidRPr="00645878">
        <w:rPr>
          <w:rFonts w:ascii="Times New Roman" w:hAnsi="Times New Roman"/>
        </w:rPr>
        <w:t xml:space="preserve"> </w:t>
      </w:r>
      <w:r w:rsidR="00094991" w:rsidRPr="00645878">
        <w:rPr>
          <w:rFonts w:ascii="Times New Roman" w:hAnsi="Times New Roman"/>
        </w:rPr>
        <w:t>within</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094991" w:rsidRPr="00645878">
        <w:rPr>
          <w:rFonts w:ascii="Times New Roman" w:hAnsi="Times New Roman"/>
        </w:rPr>
        <w:t>limits</w:t>
      </w:r>
      <w:r w:rsidR="00900061" w:rsidRPr="00645878">
        <w:rPr>
          <w:rFonts w:ascii="Times New Roman" w:hAnsi="Times New Roman"/>
        </w:rPr>
        <w:t xml:space="preserve"> </w:t>
      </w:r>
      <w:r w:rsidR="00094991" w:rsidRPr="00645878">
        <w:rPr>
          <w:rFonts w:ascii="Times New Roman" w:hAnsi="Times New Roman"/>
        </w:rPr>
        <w:t>imposed</w:t>
      </w:r>
      <w:r w:rsidR="00900061" w:rsidRPr="00645878">
        <w:rPr>
          <w:rFonts w:ascii="Times New Roman" w:hAnsi="Times New Roman"/>
        </w:rPr>
        <w:t xml:space="preserve"> </w:t>
      </w:r>
      <w:r w:rsidR="00094991" w:rsidRPr="00645878">
        <w:rPr>
          <w:rFonts w:ascii="Times New Roman" w:hAnsi="Times New Roman"/>
        </w:rPr>
        <w:t>by</w:t>
      </w:r>
      <w:r w:rsidR="00900061" w:rsidRPr="00645878">
        <w:rPr>
          <w:rFonts w:ascii="Times New Roman" w:hAnsi="Times New Roman"/>
        </w:rPr>
        <w:t xml:space="preserve"> </w:t>
      </w:r>
      <w:r w:rsidR="00094991" w:rsidRPr="00645878">
        <w:rPr>
          <w:rFonts w:ascii="Times New Roman" w:hAnsi="Times New Roman"/>
        </w:rPr>
        <w:t>the</w:t>
      </w:r>
      <w:r w:rsidR="00900061" w:rsidRPr="00645878">
        <w:rPr>
          <w:rFonts w:ascii="Times New Roman" w:hAnsi="Times New Roman"/>
        </w:rPr>
        <w:t xml:space="preserve"> </w:t>
      </w:r>
      <w:r w:rsidR="001B3FD0" w:rsidRPr="00645878">
        <w:rPr>
          <w:rFonts w:ascii="Times New Roman" w:hAnsi="Times New Roman"/>
        </w:rPr>
        <w:t>N</w:t>
      </w:r>
      <w:r w:rsidR="00094991" w:rsidRPr="00645878">
        <w:rPr>
          <w:rFonts w:ascii="Times New Roman" w:hAnsi="Times New Roman"/>
        </w:rPr>
        <w:t>ational</w:t>
      </w:r>
      <w:r w:rsidR="00900061" w:rsidRPr="00645878">
        <w:rPr>
          <w:rFonts w:ascii="Times New Roman" w:hAnsi="Times New Roman"/>
        </w:rPr>
        <w:t xml:space="preserve"> </w:t>
      </w:r>
      <w:r w:rsidR="001B3FD0" w:rsidRPr="00645878">
        <w:rPr>
          <w:rFonts w:ascii="Times New Roman" w:hAnsi="Times New Roman"/>
        </w:rPr>
        <w:t>F</w:t>
      </w:r>
      <w:r w:rsidR="00094991" w:rsidRPr="00645878">
        <w:rPr>
          <w:rFonts w:ascii="Times New Roman" w:hAnsi="Times New Roman"/>
        </w:rPr>
        <w:t>ramework).</w:t>
      </w:r>
      <w:r w:rsidR="00900061" w:rsidRPr="00645878">
        <w:rPr>
          <w:rFonts w:ascii="Times New Roman" w:hAnsi="Times New Roman"/>
        </w:rPr>
        <w:t xml:space="preserve"> </w:t>
      </w:r>
    </w:p>
    <w:p w14:paraId="0F299471" w14:textId="48F3AE5A" w:rsidR="007F1DBA" w:rsidRPr="00645878" w:rsidRDefault="00B03657"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number</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in-year</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execution</w:t>
      </w:r>
      <w:r w:rsidR="00900061" w:rsidRPr="00645878">
        <w:rPr>
          <w:rFonts w:ascii="Times New Roman" w:hAnsi="Times New Roman"/>
          <w:b/>
        </w:rPr>
        <w:t xml:space="preserve"> </w:t>
      </w:r>
      <w:r w:rsidRPr="00645878">
        <w:rPr>
          <w:rFonts w:ascii="Times New Roman" w:hAnsi="Times New Roman"/>
          <w:b/>
        </w:rPr>
        <w:t>reports</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differing</w:t>
      </w:r>
      <w:r w:rsidR="00900061" w:rsidRPr="00645878">
        <w:rPr>
          <w:rFonts w:ascii="Times New Roman" w:hAnsi="Times New Roman"/>
          <w:b/>
        </w:rPr>
        <w:t xml:space="preserve"> </w:t>
      </w:r>
      <w:r w:rsidRPr="00645878">
        <w:rPr>
          <w:rFonts w:ascii="Times New Roman" w:hAnsi="Times New Roman"/>
          <w:b/>
        </w:rPr>
        <w:t>level</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detail</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issued</w:t>
      </w:r>
      <w:r w:rsidR="00900061" w:rsidRPr="00645878">
        <w:rPr>
          <w:rFonts w:ascii="Times New Roman" w:hAnsi="Times New Roman"/>
          <w:b/>
        </w:rPr>
        <w:t xml:space="preserve"> </w:t>
      </w:r>
      <w:r w:rsidRPr="00645878">
        <w:rPr>
          <w:rFonts w:ascii="Times New Roman" w:hAnsi="Times New Roman"/>
          <w:b/>
        </w:rPr>
        <w:t>regularly</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course</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year.</w:t>
      </w:r>
      <w:r w:rsidR="00900061" w:rsidRPr="00645878">
        <w:rPr>
          <w:rFonts w:ascii="Times New Roman" w:hAnsi="Times New Roman"/>
          <w:b/>
        </w:rPr>
        <w:t xml:space="preserve"> </w:t>
      </w:r>
      <w:r w:rsidRPr="00645878">
        <w:rPr>
          <w:rFonts w:ascii="Times New Roman" w:hAnsi="Times New Roman"/>
        </w:rPr>
        <w:t>Additionally,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deadlines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regulate</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BS</w:t>
      </w:r>
      <w:r w:rsidR="008520C4" w:rsidRPr="00645878">
        <w:rPr>
          <w:rFonts w:ascii="Times New Roman" w:hAnsi="Times New Roman"/>
        </w:rPr>
        <w:t>L</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observed.</w:t>
      </w:r>
      <w:r w:rsidR="00900061" w:rsidRPr="00645878">
        <w:rPr>
          <w:rFonts w:ascii="Times New Roman" w:hAnsi="Times New Roman"/>
          <w:b/>
        </w:rPr>
        <w:t xml:space="preserve"> </w:t>
      </w:r>
      <w:r w:rsidR="00FA55AB" w:rsidRPr="00645878">
        <w:rPr>
          <w:rFonts w:ascii="Times New Roman" w:hAnsi="Times New Roman"/>
        </w:rPr>
        <w:t xml:space="preserve">The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publishes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monthly</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Finance</w:t>
      </w:r>
      <w:r w:rsidR="00900061" w:rsidRPr="00645878">
        <w:rPr>
          <w:rFonts w:ascii="Times New Roman" w:hAnsi="Times New Roman"/>
        </w:rPr>
        <w:t xml:space="preserve"> </w:t>
      </w:r>
      <w:r w:rsidRPr="00645878">
        <w:rPr>
          <w:rFonts w:ascii="Times New Roman" w:hAnsi="Times New Roman"/>
        </w:rPr>
        <w:t>Bulletin,</w:t>
      </w:r>
      <w:r w:rsidR="00900061" w:rsidRPr="00645878">
        <w:rPr>
          <w:rFonts w:ascii="Times New Roman" w:hAnsi="Times New Roman"/>
        </w:rPr>
        <w:t xml:space="preserve"> </w:t>
      </w:r>
      <w:r w:rsidRPr="00645878">
        <w:rPr>
          <w:rFonts w:ascii="Times New Roman" w:hAnsi="Times New Roman"/>
        </w:rPr>
        <w:t>compiled</w:t>
      </w:r>
      <w:r w:rsidR="00900061" w:rsidRPr="00645878">
        <w:rPr>
          <w:rFonts w:ascii="Times New Roman" w:hAnsi="Times New Roman"/>
        </w:rPr>
        <w:t xml:space="preserve"> </w:t>
      </w:r>
      <w:r w:rsidRPr="00645878">
        <w:rPr>
          <w:rFonts w:ascii="Times New Roman" w:hAnsi="Times New Roman"/>
        </w:rPr>
        <w:lastRenderedPageBreak/>
        <w:t>using</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data</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aggregately</w:t>
      </w:r>
      <w:r w:rsidR="00900061" w:rsidRPr="00645878">
        <w:rPr>
          <w:rFonts w:ascii="Times New Roman" w:hAnsi="Times New Roman"/>
        </w:rPr>
        <w:t xml:space="preserve"> </w:t>
      </w:r>
      <w:r w:rsidRPr="00645878">
        <w:rPr>
          <w:rFonts w:ascii="Times New Roman" w:hAnsi="Times New Roman"/>
        </w:rPr>
        <w:t>reporting</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central</w:t>
      </w:r>
      <w:r w:rsidR="00900061" w:rsidRPr="00645878">
        <w:rPr>
          <w:rFonts w:ascii="Times New Roman" w:hAnsi="Times New Roman"/>
        </w:rPr>
        <w:t xml:space="preserve"> </w:t>
      </w:r>
      <w:r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revenue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cash</w:t>
      </w:r>
      <w:r w:rsidR="00900061" w:rsidRPr="00645878">
        <w:rPr>
          <w:rFonts w:ascii="Times New Roman" w:hAnsi="Times New Roman"/>
        </w:rPr>
        <w:t xml:space="preserve"> </w:t>
      </w:r>
      <w:r w:rsidRPr="00645878">
        <w:rPr>
          <w:rFonts w:ascii="Times New Roman" w:hAnsi="Times New Roman"/>
        </w:rPr>
        <w:t>flows,</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eight</w:t>
      </w:r>
      <w:r w:rsidR="00C94B2B" w:rsidRPr="00645878">
        <w:rPr>
          <w:rFonts w:ascii="Times New Roman" w:hAnsi="Times New Roman"/>
        </w:rPr>
        <w:t xml:space="preserve"> </w:t>
      </w:r>
      <w:r w:rsidRPr="00645878">
        <w:rPr>
          <w:rFonts w:ascii="Times New Roman" w:hAnsi="Times New Roman"/>
        </w:rPr>
        <w:t>weeks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respective</w:t>
      </w:r>
      <w:r w:rsidR="00900061" w:rsidRPr="00645878">
        <w:rPr>
          <w:rFonts w:ascii="Times New Roman" w:hAnsi="Times New Roman"/>
        </w:rPr>
        <w:t xml:space="preserve"> </w:t>
      </w:r>
      <w:r w:rsidRPr="00645878">
        <w:rPr>
          <w:rFonts w:ascii="Times New Roman" w:hAnsi="Times New Roman"/>
        </w:rPr>
        <w:t>period.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BB2D21" w:rsidRPr="00645878">
        <w:rPr>
          <w:rFonts w:ascii="Times New Roman" w:hAnsi="Times New Roman"/>
        </w:rPr>
        <w:t>b</w:t>
      </w:r>
      <w:r w:rsidRPr="00645878">
        <w:rPr>
          <w:rFonts w:ascii="Times New Roman" w:hAnsi="Times New Roman"/>
        </w:rPr>
        <w:t>ulletin</w:t>
      </w:r>
      <w:r w:rsidR="00900061" w:rsidRPr="00645878">
        <w:rPr>
          <w:rFonts w:ascii="Times New Roman" w:hAnsi="Times New Roman"/>
        </w:rPr>
        <w:t xml:space="preserve"> </w:t>
      </w:r>
      <w:r w:rsidRPr="00645878">
        <w:rPr>
          <w:rFonts w:ascii="Times New Roman" w:hAnsi="Times New Roman"/>
        </w:rPr>
        <w:t>does</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provide</w:t>
      </w:r>
      <w:r w:rsidR="00900061" w:rsidRPr="00645878">
        <w:rPr>
          <w:rFonts w:ascii="Times New Roman" w:hAnsi="Times New Roman"/>
        </w:rPr>
        <w:t xml:space="preserve"> </w:t>
      </w:r>
      <w:r w:rsidRPr="00645878">
        <w:rPr>
          <w:rFonts w:ascii="Times New Roman" w:hAnsi="Times New Roman"/>
        </w:rPr>
        <w:t>data</w:t>
      </w:r>
      <w:r w:rsidR="00900061" w:rsidRPr="00645878">
        <w:rPr>
          <w:rFonts w:ascii="Times New Roman" w:hAnsi="Times New Roman"/>
        </w:rPr>
        <w:t xml:space="preserve"> </w:t>
      </w:r>
      <w:r w:rsidRPr="00645878">
        <w:rPr>
          <w:rFonts w:ascii="Times New Roman" w:hAnsi="Times New Roman"/>
        </w:rPr>
        <w:t>about</w:t>
      </w:r>
      <w:r w:rsidR="00900061" w:rsidRPr="00645878">
        <w:rPr>
          <w:rFonts w:ascii="Times New Roman" w:hAnsi="Times New Roman"/>
        </w:rPr>
        <w:t xml:space="preserve"> </w:t>
      </w:r>
      <w:r w:rsidRPr="00645878">
        <w:rPr>
          <w:rFonts w:ascii="Times New Roman" w:hAnsi="Times New Roman"/>
        </w:rPr>
        <w:t>individual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organizations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future</w:t>
      </w:r>
      <w:r w:rsidR="00900061" w:rsidRPr="00645878">
        <w:rPr>
          <w:rFonts w:ascii="Times New Roman" w:hAnsi="Times New Roman"/>
        </w:rPr>
        <w:t xml:space="preserve"> </w:t>
      </w:r>
      <w:r w:rsidRPr="00645878">
        <w:rPr>
          <w:rFonts w:ascii="Times New Roman" w:hAnsi="Times New Roman"/>
        </w:rPr>
        <w:t>commitments.</w:t>
      </w:r>
      <w:r w:rsidR="00900061" w:rsidRPr="00645878">
        <w:rPr>
          <w:rFonts w:ascii="Times New Roman" w:hAnsi="Times New Roman"/>
        </w:rPr>
        <w:t xml:space="preserve"> </w:t>
      </w:r>
      <w:r w:rsidRPr="00645878">
        <w:rPr>
          <w:rFonts w:ascii="Times New Roman" w:hAnsi="Times New Roman"/>
        </w:rPr>
        <w:t>Likewise,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BB2D21" w:rsidRPr="00645878">
        <w:rPr>
          <w:rFonts w:ascii="Times New Roman" w:hAnsi="Times New Roman"/>
        </w:rPr>
        <w:t>b</w:t>
      </w:r>
      <w:r w:rsidRPr="00645878">
        <w:rPr>
          <w:rFonts w:ascii="Times New Roman" w:hAnsi="Times New Roman"/>
        </w:rPr>
        <w:t>ulletin</w:t>
      </w:r>
      <w:r w:rsidR="00900061" w:rsidRPr="00645878">
        <w:rPr>
          <w:rFonts w:ascii="Times New Roman" w:hAnsi="Times New Roman"/>
        </w:rPr>
        <w:t xml:space="preserve"> </w:t>
      </w:r>
      <w:r w:rsidRPr="00645878">
        <w:rPr>
          <w:rFonts w:ascii="Times New Roman" w:hAnsi="Times New Roman"/>
        </w:rPr>
        <w:t>does</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furnish</w:t>
      </w:r>
      <w:r w:rsidR="00900061" w:rsidRPr="00645878">
        <w:rPr>
          <w:rFonts w:ascii="Times New Roman" w:hAnsi="Times New Roman"/>
        </w:rPr>
        <w:t xml:space="preserve"> </w:t>
      </w:r>
      <w:r w:rsidRPr="00645878">
        <w:rPr>
          <w:rFonts w:ascii="Times New Roman" w:hAnsi="Times New Roman"/>
        </w:rPr>
        <w:t>explanation</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variations.</w:t>
      </w:r>
      <w:r w:rsidR="00900061" w:rsidRPr="00645878">
        <w:rPr>
          <w:rFonts w:ascii="Times New Roman" w:hAnsi="Times New Roman"/>
        </w:rPr>
        <w:t xml:space="preserve"> </w:t>
      </w:r>
    </w:p>
    <w:p w14:paraId="4930748A" w14:textId="38175AEC"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expenditures</w:t>
      </w:r>
      <w:r w:rsidR="00900061" w:rsidRPr="00645878">
        <w:rPr>
          <w:rFonts w:ascii="Times New Roman" w:hAnsi="Times New Roman"/>
          <w:b/>
        </w:rPr>
        <w:t xml:space="preserve"> </w:t>
      </w:r>
      <w:r w:rsidRPr="00645878">
        <w:rPr>
          <w:rFonts w:ascii="Times New Roman" w:hAnsi="Times New Roman"/>
          <w:b/>
        </w:rPr>
        <w:t>will</w:t>
      </w:r>
      <w:r w:rsidR="00900061" w:rsidRPr="00645878">
        <w:rPr>
          <w:rFonts w:ascii="Times New Roman" w:hAnsi="Times New Roman"/>
          <w:b/>
        </w:rPr>
        <w:t xml:space="preserve"> </w:t>
      </w:r>
      <w:r w:rsidRPr="00645878">
        <w:rPr>
          <w:rFonts w:ascii="Times New Roman" w:hAnsi="Times New Roman"/>
          <w:b/>
        </w:rPr>
        <w:t>be</w:t>
      </w:r>
      <w:r w:rsidR="00900061" w:rsidRPr="00645878">
        <w:rPr>
          <w:rFonts w:ascii="Times New Roman" w:hAnsi="Times New Roman"/>
          <w:b/>
        </w:rPr>
        <w:t xml:space="preserve"> </w:t>
      </w:r>
      <w:r w:rsidRPr="00645878">
        <w:rPr>
          <w:rFonts w:ascii="Times New Roman" w:hAnsi="Times New Roman"/>
          <w:b/>
        </w:rPr>
        <w:t>reported</w:t>
      </w:r>
      <w:r w:rsidR="00900061" w:rsidRPr="00645878">
        <w:rPr>
          <w:rFonts w:ascii="Times New Roman" w:hAnsi="Times New Roman"/>
          <w:b/>
        </w:rPr>
        <w:t xml:space="preserve"> </w:t>
      </w:r>
      <w:r w:rsidRPr="00645878">
        <w:rPr>
          <w:rFonts w:ascii="Times New Roman" w:hAnsi="Times New Roman"/>
          <w:b/>
        </w:rPr>
        <w:t>through</w:t>
      </w:r>
      <w:r w:rsidR="00900061" w:rsidRPr="00645878">
        <w:rPr>
          <w:rFonts w:ascii="Times New Roman" w:hAnsi="Times New Roman"/>
          <w:b/>
        </w:rPr>
        <w:t xml:space="preserve"> </w:t>
      </w:r>
      <w:r w:rsidRPr="00645878">
        <w:rPr>
          <w:rFonts w:ascii="Times New Roman" w:hAnsi="Times New Roman"/>
          <w:b/>
        </w:rPr>
        <w:t>quarterly</w:t>
      </w:r>
      <w:r w:rsidR="00900061" w:rsidRPr="00645878">
        <w:rPr>
          <w:rFonts w:ascii="Times New Roman" w:hAnsi="Times New Roman"/>
          <w:b/>
        </w:rPr>
        <w:t xml:space="preserve"> </w:t>
      </w:r>
      <w:r w:rsidRPr="00645878">
        <w:rPr>
          <w:rFonts w:ascii="Times New Roman" w:hAnsi="Times New Roman"/>
          <w:b/>
        </w:rPr>
        <w:t>reports</w:t>
      </w:r>
      <w:r w:rsidR="00900061" w:rsidRPr="00645878">
        <w:rPr>
          <w:rFonts w:ascii="Times New Roman" w:hAnsi="Times New Roman"/>
          <w:b/>
        </w:rPr>
        <w:t xml:space="preserve"> </w:t>
      </w:r>
      <w:r w:rsidRPr="00645878">
        <w:rPr>
          <w:rFonts w:ascii="Times New Roman" w:hAnsi="Times New Roman"/>
          <w:b/>
        </w:rPr>
        <w:t>on</w:t>
      </w:r>
      <w:r w:rsidR="00900061" w:rsidRPr="00645878">
        <w:rPr>
          <w:rFonts w:ascii="Times New Roman" w:hAnsi="Times New Roman"/>
          <w:b/>
        </w:rPr>
        <w:t xml:space="preserve"> </w:t>
      </w:r>
      <w:r w:rsidRPr="00645878">
        <w:rPr>
          <w:rFonts w:ascii="Times New Roman" w:hAnsi="Times New Roman"/>
          <w:b/>
        </w:rPr>
        <w:t>budget</w:t>
      </w:r>
      <w:r w:rsidR="00900061" w:rsidRPr="00645878">
        <w:rPr>
          <w:rFonts w:ascii="Times New Roman" w:hAnsi="Times New Roman"/>
          <w:b/>
        </w:rPr>
        <w:t xml:space="preserve"> </w:t>
      </w:r>
      <w:r w:rsidRPr="00645878">
        <w:rPr>
          <w:rFonts w:ascii="Times New Roman" w:hAnsi="Times New Roman"/>
          <w:b/>
        </w:rPr>
        <w:t>execution</w:t>
      </w:r>
      <w:r w:rsidR="00900061" w:rsidRPr="00645878">
        <w:rPr>
          <w:rFonts w:ascii="Times New Roman" w:hAnsi="Times New Roman"/>
          <w:b/>
        </w:rPr>
        <w:t xml:space="preserve"> </w:t>
      </w:r>
      <w:r w:rsidRPr="00645878">
        <w:rPr>
          <w:rFonts w:ascii="Times New Roman" w:hAnsi="Times New Roman"/>
          <w:b/>
        </w:rPr>
        <w:t>prepared</w:t>
      </w:r>
      <w:r w:rsidR="00900061" w:rsidRPr="00645878">
        <w:rPr>
          <w:rFonts w:ascii="Times New Roman" w:hAnsi="Times New Roman"/>
          <w:b/>
        </w:rPr>
        <w:t xml:space="preserve"> </w:t>
      </w:r>
      <w:r w:rsidRPr="00645878">
        <w:rPr>
          <w:rFonts w:ascii="Times New Roman" w:hAnsi="Times New Roman"/>
          <w:b/>
        </w:rPr>
        <w:t>by</w:t>
      </w:r>
      <w:r w:rsidR="00900061" w:rsidRPr="00645878">
        <w:rPr>
          <w:rFonts w:ascii="Times New Roman" w:hAnsi="Times New Roman"/>
          <w:b/>
        </w:rPr>
        <w:t xml:space="preserve"> </w:t>
      </w:r>
      <w:r w:rsidR="00BB2D21" w:rsidRPr="00645878">
        <w:rPr>
          <w:rFonts w:ascii="Times New Roman" w:hAnsi="Times New Roman"/>
          <w:b/>
        </w:rPr>
        <w:t xml:space="preserve">the </w:t>
      </w: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DBBs</w:t>
      </w:r>
      <w:r w:rsidR="00900061" w:rsidRPr="00645878">
        <w:rPr>
          <w:rFonts w:ascii="Times New Roman" w:hAnsi="Times New Roman"/>
        </w:rPr>
        <w:t xml:space="preserve"> </w:t>
      </w:r>
      <w:r w:rsidRPr="00645878">
        <w:rPr>
          <w:rFonts w:ascii="Times New Roman" w:hAnsi="Times New Roman"/>
        </w:rPr>
        <w:t>prepare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deliver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20</w:t>
      </w:r>
      <w:r w:rsidR="00900061" w:rsidRPr="00645878">
        <w:rPr>
          <w:rFonts w:ascii="Times New Roman" w:hAnsi="Times New Roman"/>
        </w:rPr>
        <w:t xml:space="preserve"> </w:t>
      </w:r>
      <w:r w:rsidRPr="00645878">
        <w:rPr>
          <w:rFonts w:ascii="Times New Roman" w:hAnsi="Times New Roman"/>
        </w:rPr>
        <w:t>days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00C94B2B" w:rsidRPr="00645878">
        <w:rPr>
          <w:rFonts w:ascii="Times New Roman" w:hAnsi="Times New Roman"/>
        </w:rPr>
        <w:t xml:space="preserve">of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quarter</w:t>
      </w:r>
      <w:r w:rsidR="00900061" w:rsidRPr="00645878">
        <w:rPr>
          <w:rFonts w:ascii="Times New Roman" w:hAnsi="Times New Roman"/>
        </w:rPr>
        <w:t xml:space="preserve"> </w:t>
      </w:r>
      <w:r w:rsidRPr="00645878">
        <w:rPr>
          <w:rFonts w:ascii="Times New Roman" w:hAnsi="Times New Roman"/>
        </w:rPr>
        <w:t>(except</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first</w:t>
      </w:r>
      <w:r w:rsidR="00900061" w:rsidRPr="00645878">
        <w:rPr>
          <w:rFonts w:ascii="Times New Roman" w:hAnsi="Times New Roman"/>
        </w:rPr>
        <w:t xml:space="preserve"> </w:t>
      </w:r>
      <w:r w:rsidRPr="00645878">
        <w:rPr>
          <w:rFonts w:ascii="Times New Roman" w:hAnsi="Times New Roman"/>
        </w:rPr>
        <w:t>quarter)</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categories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line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Chart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Accounts.</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relating</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00C94B2B" w:rsidRPr="00645878">
        <w:rPr>
          <w:rFonts w:ascii="Times New Roman" w:hAnsi="Times New Roman"/>
        </w:rPr>
        <w:t xml:space="preserve">the </w:t>
      </w:r>
      <w:r w:rsidRPr="00645878">
        <w:rPr>
          <w:rFonts w:ascii="Times New Roman" w:hAnsi="Times New Roman"/>
        </w:rPr>
        <w:t>abovementioned</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focus</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considered</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used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monitoring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009A6F79" w:rsidRPr="00645878">
        <w:rPr>
          <w:rFonts w:ascii="Times New Roman" w:hAnsi="Times New Roman"/>
        </w:rPr>
        <w:t xml:space="preserve">The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produces</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course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year</w:t>
      </w:r>
      <w:r w:rsidR="00C94B2B"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submitted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NA</w:t>
      </w:r>
      <w:r w:rsidR="00900061" w:rsidRPr="00645878">
        <w:rPr>
          <w:rFonts w:ascii="Times New Roman" w:hAnsi="Times New Roman"/>
        </w:rPr>
        <w:t xml:space="preserve"> </w:t>
      </w:r>
      <w:r w:rsidRPr="00645878">
        <w:rPr>
          <w:rFonts w:ascii="Times New Roman" w:hAnsi="Times New Roman"/>
        </w:rPr>
        <w:t>15</w:t>
      </w:r>
      <w:r w:rsidR="00900061" w:rsidRPr="00645878">
        <w:rPr>
          <w:rFonts w:ascii="Times New Roman" w:hAnsi="Times New Roman"/>
        </w:rPr>
        <w:t xml:space="preserve"> </w:t>
      </w:r>
      <w:r w:rsidRPr="00645878">
        <w:rPr>
          <w:rFonts w:ascii="Times New Roman" w:hAnsi="Times New Roman"/>
        </w:rPr>
        <w:t>days</w:t>
      </w:r>
      <w:r w:rsidR="00900061" w:rsidRPr="00645878">
        <w:rPr>
          <w:rFonts w:ascii="Times New Roman" w:hAnsi="Times New Roman"/>
        </w:rPr>
        <w:t xml:space="preserve"> </w:t>
      </w:r>
      <w:r w:rsidRPr="00645878">
        <w:rPr>
          <w:rFonts w:ascii="Times New Roman" w:hAnsi="Times New Roman"/>
        </w:rPr>
        <w:t>after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second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third</w:t>
      </w:r>
      <w:r w:rsidR="00900061" w:rsidRPr="00645878">
        <w:rPr>
          <w:rFonts w:ascii="Times New Roman" w:hAnsi="Times New Roman"/>
        </w:rPr>
        <w:t xml:space="preserve"> </w:t>
      </w:r>
      <w:r w:rsidRPr="00645878">
        <w:rPr>
          <w:rFonts w:ascii="Times New Roman" w:hAnsi="Times New Roman"/>
        </w:rPr>
        <w:t>quarters.</w:t>
      </w:r>
      <w:r w:rsidR="00900061" w:rsidRPr="00645878">
        <w:rPr>
          <w:rFonts w:ascii="Times New Roman" w:hAnsi="Times New Roman"/>
        </w:rPr>
        <w:t xml:space="preserve"> </w:t>
      </w: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report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generated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first</w:t>
      </w:r>
      <w:r w:rsidR="00900061" w:rsidRPr="00645878">
        <w:rPr>
          <w:rFonts w:ascii="Times New Roman" w:hAnsi="Times New Roman"/>
        </w:rPr>
        <w:t xml:space="preserve"> </w:t>
      </w:r>
      <w:r w:rsidRPr="00645878">
        <w:rPr>
          <w:rFonts w:ascii="Times New Roman" w:hAnsi="Times New Roman"/>
        </w:rPr>
        <w:t>quarter.</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aggregated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highest</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economic</w:t>
      </w:r>
      <w:r w:rsidR="00900061" w:rsidRPr="00645878">
        <w:rPr>
          <w:rFonts w:ascii="Times New Roman" w:hAnsi="Times New Roman"/>
        </w:rPr>
        <w:t xml:space="preserve"> </w:t>
      </w:r>
      <w:r w:rsidRPr="00645878">
        <w:rPr>
          <w:rFonts w:ascii="Times New Roman" w:hAnsi="Times New Roman"/>
        </w:rPr>
        <w:t>classification</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thus</w:t>
      </w:r>
      <w:r w:rsidR="00900061" w:rsidRPr="00645878">
        <w:rPr>
          <w:rFonts w:ascii="Times New Roman" w:hAnsi="Times New Roman"/>
        </w:rPr>
        <w:t xml:space="preserve"> </w:t>
      </w:r>
      <w:r w:rsidRPr="00645878">
        <w:rPr>
          <w:rFonts w:ascii="Times New Roman" w:hAnsi="Times New Roman"/>
        </w:rPr>
        <w:t>comparable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aggregate</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contained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00CA575C" w:rsidRPr="00645878">
        <w:rPr>
          <w:rFonts w:ascii="Times New Roman" w:hAnsi="Times New Roman"/>
        </w:rPr>
        <w:t xml:space="preserve">The </w:t>
      </w:r>
      <w:r w:rsidRPr="00645878">
        <w:rPr>
          <w:rFonts w:ascii="Times New Roman" w:hAnsi="Times New Roman"/>
        </w:rPr>
        <w:t>MPALSG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other</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deliver</w:t>
      </w:r>
      <w:r w:rsidR="00900061" w:rsidRPr="00645878">
        <w:rPr>
          <w:rFonts w:ascii="Times New Roman" w:hAnsi="Times New Roman"/>
        </w:rPr>
        <w:t xml:space="preserve"> </w:t>
      </w:r>
      <w:r w:rsidRPr="00645878">
        <w:rPr>
          <w:rFonts w:ascii="Times New Roman" w:hAnsi="Times New Roman"/>
        </w:rPr>
        <w:t>prescribed</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line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00BE4314" w:rsidRPr="00645878">
        <w:rPr>
          <w:rFonts w:ascii="Times New Roman" w:hAnsi="Times New Roman"/>
        </w:rPr>
        <w:t xml:space="preserve">the </w:t>
      </w:r>
      <w:r w:rsidRPr="00645878">
        <w:rPr>
          <w:rFonts w:ascii="Times New Roman" w:hAnsi="Times New Roman"/>
        </w:rPr>
        <w:t>legislation</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exception</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reasonable</w:t>
      </w:r>
      <w:r w:rsidR="00900061" w:rsidRPr="00645878">
        <w:rPr>
          <w:rFonts w:ascii="Times New Roman" w:hAnsi="Times New Roman"/>
        </w:rPr>
        <w:t xml:space="preserve"> </w:t>
      </w:r>
      <w:r w:rsidRPr="00645878">
        <w:rPr>
          <w:rFonts w:ascii="Times New Roman" w:hAnsi="Times New Roman"/>
        </w:rPr>
        <w:t>assurance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reliable.</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prepared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submitted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one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forms</w:t>
      </w:r>
      <w:r w:rsidR="00900061" w:rsidRPr="00645878">
        <w:rPr>
          <w:rFonts w:ascii="Times New Roman" w:hAnsi="Times New Roman"/>
        </w:rPr>
        <w:t xml:space="preserve"> </w:t>
      </w:r>
      <w:r w:rsidR="00C94B2B" w:rsidRPr="00645878">
        <w:rPr>
          <w:rFonts w:ascii="Times New Roman" w:hAnsi="Times New Roman"/>
        </w:rPr>
        <w:t xml:space="preserve">that are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also</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final</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namely</w:t>
      </w:r>
      <w:r w:rsidR="00900061" w:rsidRPr="00645878">
        <w:rPr>
          <w:rFonts w:ascii="Times New Roman" w:hAnsi="Times New Roman"/>
        </w:rPr>
        <w:t xml:space="preserve"> </w:t>
      </w:r>
      <w:r w:rsidR="00E621E9" w:rsidRPr="00645878">
        <w:rPr>
          <w:rFonts w:ascii="Times New Roman" w:hAnsi="Times New Roman"/>
        </w:rPr>
        <w:t xml:space="preserve">the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w:t>
      </w:r>
      <w:r w:rsidR="00900061" w:rsidRPr="00645878">
        <w:rPr>
          <w:rFonts w:ascii="Times New Roman" w:hAnsi="Times New Roman"/>
        </w:rPr>
        <w:t xml:space="preserve"> </w:t>
      </w:r>
      <w:r w:rsidRPr="00645878">
        <w:rPr>
          <w:rFonts w:ascii="Times New Roman" w:hAnsi="Times New Roman"/>
        </w:rPr>
        <w:t>(Form</w:t>
      </w:r>
      <w:r w:rsidR="00900061" w:rsidRPr="00645878">
        <w:rPr>
          <w:rFonts w:ascii="Times New Roman" w:hAnsi="Times New Roman"/>
        </w:rPr>
        <w:t xml:space="preserve"> </w:t>
      </w:r>
      <w:r w:rsidRPr="00645878">
        <w:rPr>
          <w:rFonts w:ascii="Times New Roman" w:hAnsi="Times New Roman"/>
        </w:rPr>
        <w:t>5),</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ensures</w:t>
      </w:r>
      <w:r w:rsidR="00900061" w:rsidRPr="00645878">
        <w:rPr>
          <w:rFonts w:ascii="Times New Roman" w:hAnsi="Times New Roman"/>
        </w:rPr>
        <w:t xml:space="preserve"> </w:t>
      </w:r>
      <w:r w:rsidRPr="00645878">
        <w:rPr>
          <w:rFonts w:ascii="Times New Roman" w:hAnsi="Times New Roman"/>
        </w:rPr>
        <w:t>consistency</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final</w:t>
      </w:r>
      <w:r w:rsidR="00900061" w:rsidRPr="00645878">
        <w:rPr>
          <w:rFonts w:ascii="Times New Roman" w:hAnsi="Times New Roman"/>
        </w:rPr>
        <w:t xml:space="preserve"> </w:t>
      </w:r>
      <w:r w:rsidRPr="00645878">
        <w:rPr>
          <w:rFonts w:ascii="Times New Roman" w:hAnsi="Times New Roman"/>
        </w:rPr>
        <w:t>account.</w:t>
      </w:r>
    </w:p>
    <w:p w14:paraId="62F3A287" w14:textId="3D849FD4" w:rsidR="007F1DBA" w:rsidRPr="00645878" w:rsidRDefault="00B03657"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Lack</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disaggregated</w:t>
      </w:r>
      <w:r w:rsidR="00900061" w:rsidRPr="00645878">
        <w:rPr>
          <w:rFonts w:ascii="Times New Roman" w:hAnsi="Times New Roman"/>
          <w:b/>
        </w:rPr>
        <w:t xml:space="preserve"> </w:t>
      </w:r>
      <w:r w:rsidRPr="00645878">
        <w:rPr>
          <w:rFonts w:ascii="Times New Roman" w:hAnsi="Times New Roman"/>
          <w:b/>
        </w:rPr>
        <w:t>data</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different</w:t>
      </w:r>
      <w:r w:rsidR="00900061" w:rsidRPr="00645878">
        <w:rPr>
          <w:rFonts w:ascii="Times New Roman" w:hAnsi="Times New Roman"/>
          <w:b/>
        </w:rPr>
        <w:t xml:space="preserve"> </w:t>
      </w:r>
      <w:r w:rsidRPr="00645878">
        <w:rPr>
          <w:rFonts w:ascii="Times New Roman" w:hAnsi="Times New Roman"/>
          <w:b/>
        </w:rPr>
        <w:t>types</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classification</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00CA575C" w:rsidRPr="00645878">
        <w:rPr>
          <w:rFonts w:ascii="Times New Roman" w:hAnsi="Times New Roman"/>
          <w:b/>
        </w:rPr>
        <w:t>g</w:t>
      </w:r>
      <w:r w:rsidRPr="00645878">
        <w:rPr>
          <w:rFonts w:ascii="Times New Roman" w:hAnsi="Times New Roman"/>
          <w:b/>
        </w:rPr>
        <w:t>overnment</w:t>
      </w:r>
      <w:r w:rsidR="00900061" w:rsidRPr="00645878">
        <w:rPr>
          <w:rFonts w:ascii="Times New Roman" w:hAnsi="Times New Roman"/>
          <w:b/>
        </w:rPr>
        <w:t xml:space="preserve"> </w:t>
      </w:r>
      <w:r w:rsidRPr="00645878">
        <w:rPr>
          <w:rFonts w:ascii="Times New Roman" w:hAnsi="Times New Roman"/>
          <w:b/>
        </w:rPr>
        <w:t>in-year</w:t>
      </w:r>
      <w:r w:rsidR="00900061" w:rsidRPr="00645878">
        <w:rPr>
          <w:rFonts w:ascii="Times New Roman" w:hAnsi="Times New Roman"/>
          <w:b/>
        </w:rPr>
        <w:t xml:space="preserve"> </w:t>
      </w:r>
      <w:r w:rsidRPr="00645878">
        <w:rPr>
          <w:rFonts w:ascii="Times New Roman" w:hAnsi="Times New Roman"/>
          <w:b/>
        </w:rPr>
        <w:t>reports</w:t>
      </w:r>
      <w:r w:rsidR="00900061" w:rsidRPr="00645878">
        <w:rPr>
          <w:rFonts w:ascii="Times New Roman" w:hAnsi="Times New Roman"/>
          <w:b/>
        </w:rPr>
        <w:t xml:space="preserve"> </w:t>
      </w:r>
      <w:r w:rsidRPr="00645878">
        <w:rPr>
          <w:rFonts w:ascii="Times New Roman" w:hAnsi="Times New Roman"/>
          <w:b/>
        </w:rPr>
        <w:t>may</w:t>
      </w:r>
      <w:r w:rsidR="00900061" w:rsidRPr="00645878">
        <w:rPr>
          <w:rFonts w:ascii="Times New Roman" w:hAnsi="Times New Roman"/>
          <w:b/>
        </w:rPr>
        <w:t xml:space="preserve"> </w:t>
      </w:r>
      <w:r w:rsidRPr="00645878">
        <w:rPr>
          <w:rFonts w:ascii="Times New Roman" w:hAnsi="Times New Roman"/>
          <w:b/>
        </w:rPr>
        <w:t>restrict</w:t>
      </w:r>
      <w:r w:rsidR="00900061" w:rsidRPr="00645878">
        <w:rPr>
          <w:rFonts w:ascii="Times New Roman" w:hAnsi="Times New Roman"/>
          <w:b/>
        </w:rPr>
        <w:t xml:space="preserve"> </w:t>
      </w:r>
      <w:r w:rsidRPr="00645878">
        <w:rPr>
          <w:rFonts w:ascii="Times New Roman" w:hAnsi="Times New Roman"/>
          <w:b/>
        </w:rPr>
        <w:t>monitoring</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hinder</w:t>
      </w:r>
      <w:r w:rsidR="00900061" w:rsidRPr="00645878">
        <w:rPr>
          <w:rFonts w:ascii="Times New Roman" w:hAnsi="Times New Roman"/>
          <w:b/>
        </w:rPr>
        <w:t xml:space="preserve"> </w:t>
      </w:r>
      <w:r w:rsidRPr="00645878">
        <w:rPr>
          <w:rFonts w:ascii="Times New Roman" w:hAnsi="Times New Roman"/>
          <w:b/>
        </w:rPr>
        <w:t>identification</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situations</w:t>
      </w:r>
      <w:r w:rsidR="00900061" w:rsidRPr="00645878">
        <w:rPr>
          <w:rFonts w:ascii="Times New Roman" w:hAnsi="Times New Roman"/>
          <w:b/>
        </w:rPr>
        <w:t xml:space="preserve"> </w:t>
      </w:r>
      <w:r w:rsidRPr="00645878">
        <w:rPr>
          <w:rFonts w:ascii="Times New Roman" w:hAnsi="Times New Roman"/>
          <w:b/>
        </w:rPr>
        <w:t>which</w:t>
      </w:r>
      <w:r w:rsidR="00900061" w:rsidRPr="00645878">
        <w:rPr>
          <w:rFonts w:ascii="Times New Roman" w:hAnsi="Times New Roman"/>
          <w:b/>
        </w:rPr>
        <w:t xml:space="preserve"> </w:t>
      </w:r>
      <w:r w:rsidRPr="00645878">
        <w:rPr>
          <w:rFonts w:ascii="Times New Roman" w:hAnsi="Times New Roman"/>
          <w:b/>
        </w:rPr>
        <w:t>require</w:t>
      </w:r>
      <w:r w:rsidR="00900061" w:rsidRPr="00645878">
        <w:rPr>
          <w:rFonts w:ascii="Times New Roman" w:hAnsi="Times New Roman"/>
          <w:b/>
        </w:rPr>
        <w:t xml:space="preserve"> </w:t>
      </w:r>
      <w:r w:rsidRPr="00645878">
        <w:rPr>
          <w:rFonts w:ascii="Times New Roman" w:hAnsi="Times New Roman"/>
          <w:b/>
        </w:rPr>
        <w:t>attention.</w:t>
      </w:r>
      <w:r w:rsidR="00900061" w:rsidRPr="00645878">
        <w:rPr>
          <w:rFonts w:ascii="Times New Roman" w:hAnsi="Times New Roman"/>
          <w:b/>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assessment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objective</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adequate</w:t>
      </w:r>
      <w:r w:rsidR="00900061" w:rsidRPr="00645878">
        <w:rPr>
          <w:rFonts w:ascii="Times New Roman" w:hAnsi="Times New Roman"/>
        </w:rPr>
        <w:t xml:space="preserve"> </w:t>
      </w:r>
      <w:r w:rsidRPr="00645878">
        <w:rPr>
          <w:rFonts w:ascii="Times New Roman" w:hAnsi="Times New Roman"/>
        </w:rPr>
        <w:t>use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also</w:t>
      </w:r>
      <w:r w:rsidR="00900061" w:rsidRPr="00645878">
        <w:rPr>
          <w:rFonts w:ascii="Times New Roman" w:hAnsi="Times New Roman"/>
        </w:rPr>
        <w:t xml:space="preserve"> </w:t>
      </w:r>
      <w:r w:rsidRPr="00645878">
        <w:rPr>
          <w:rFonts w:ascii="Times New Roman" w:hAnsi="Times New Roman"/>
        </w:rPr>
        <w:t>limited</w:t>
      </w:r>
      <w:r w:rsidR="00900061" w:rsidRPr="00645878">
        <w:rPr>
          <w:rFonts w:ascii="Times New Roman" w:hAnsi="Times New Roman"/>
        </w:rPr>
        <w:t xml:space="preserve"> </w:t>
      </w:r>
      <w:r w:rsidRPr="00645878">
        <w:rPr>
          <w:rFonts w:ascii="Times New Roman" w:hAnsi="Times New Roman"/>
        </w:rPr>
        <w:t>because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weakness,</w:t>
      </w:r>
      <w:r w:rsidR="00900061" w:rsidRPr="00645878">
        <w:rPr>
          <w:rFonts w:ascii="Times New Roman" w:hAnsi="Times New Roman"/>
        </w:rPr>
        <w:t xml:space="preserve"> </w:t>
      </w:r>
      <w:r w:rsidRPr="00645878">
        <w:rPr>
          <w:rFonts w:ascii="Times New Roman" w:hAnsi="Times New Roman"/>
        </w:rPr>
        <w:t>even</w:t>
      </w:r>
      <w:r w:rsidR="00900061" w:rsidRPr="00645878">
        <w:rPr>
          <w:rFonts w:ascii="Times New Roman" w:hAnsi="Times New Roman"/>
        </w:rPr>
        <w:t xml:space="preserve"> </w:t>
      </w:r>
      <w:r w:rsidRPr="00645878">
        <w:rPr>
          <w:rFonts w:ascii="Times New Roman" w:hAnsi="Times New Roman"/>
        </w:rPr>
        <w:t>if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prepared</w:t>
      </w:r>
      <w:r w:rsidR="00900061" w:rsidRPr="00645878">
        <w:rPr>
          <w:rFonts w:ascii="Times New Roman" w:hAnsi="Times New Roman"/>
        </w:rPr>
        <w:t xml:space="preserve"> </w:t>
      </w:r>
      <w:r w:rsidRPr="00645878">
        <w:rPr>
          <w:rFonts w:ascii="Times New Roman" w:hAnsi="Times New Roman"/>
        </w:rPr>
        <w:t>using</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structure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figures.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perspective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accuracy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data</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date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evidence</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contain</w:t>
      </w:r>
      <w:r w:rsidR="00936E5A" w:rsidRPr="00645878">
        <w:rPr>
          <w:rFonts w:ascii="Times New Roman" w:hAnsi="Times New Roman"/>
        </w:rPr>
        <w:t>s</w:t>
      </w:r>
      <w:r w:rsidR="00900061" w:rsidRPr="00645878">
        <w:rPr>
          <w:rFonts w:ascii="Times New Roman" w:hAnsi="Times New Roman"/>
        </w:rPr>
        <w:t xml:space="preserve"> </w:t>
      </w:r>
      <w:r w:rsidRPr="00645878">
        <w:rPr>
          <w:rFonts w:ascii="Times New Roman" w:hAnsi="Times New Roman"/>
        </w:rPr>
        <w:t>inaccuracies</w:t>
      </w:r>
      <w:r w:rsidR="00900061" w:rsidRPr="00645878">
        <w:rPr>
          <w:rFonts w:ascii="Times New Roman" w:hAnsi="Times New Roman"/>
        </w:rPr>
        <w:t xml:space="preserve"> </w:t>
      </w:r>
      <w:r w:rsidRPr="00645878">
        <w:rPr>
          <w:rFonts w:ascii="Times New Roman" w:hAnsi="Times New Roman"/>
        </w:rPr>
        <w:t>or</w:t>
      </w:r>
      <w:r w:rsidR="00900061" w:rsidRPr="00645878">
        <w:rPr>
          <w:rFonts w:ascii="Times New Roman" w:hAnsi="Times New Roman"/>
        </w:rPr>
        <w:t xml:space="preserve"> </w:t>
      </w:r>
      <w:r w:rsidRPr="00645878">
        <w:rPr>
          <w:rFonts w:ascii="Times New Roman" w:hAnsi="Times New Roman"/>
        </w:rPr>
        <w:t>omissions.</w:t>
      </w:r>
      <w:r w:rsidR="00900061" w:rsidRPr="00645878">
        <w:rPr>
          <w:rFonts w:ascii="Times New Roman" w:hAnsi="Times New Roman"/>
        </w:rPr>
        <w:t xml:space="preserve"> </w:t>
      </w:r>
      <w:r w:rsidR="00D51ED1"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made</w:t>
      </w:r>
      <w:r w:rsidR="00900061" w:rsidRPr="00645878">
        <w:rPr>
          <w:rFonts w:ascii="Times New Roman" w:hAnsi="Times New Roman"/>
        </w:rPr>
        <w:t xml:space="preserve"> </w:t>
      </w:r>
      <w:r w:rsidRPr="00645878">
        <w:rPr>
          <w:rFonts w:ascii="Times New Roman" w:hAnsi="Times New Roman"/>
        </w:rPr>
        <w:t>any</w:t>
      </w:r>
      <w:r w:rsidR="00900061" w:rsidRPr="00645878">
        <w:rPr>
          <w:rFonts w:ascii="Times New Roman" w:hAnsi="Times New Roman"/>
        </w:rPr>
        <w:t xml:space="preserve"> </w:t>
      </w:r>
      <w:r w:rsidRPr="00645878">
        <w:rPr>
          <w:rFonts w:ascii="Times New Roman" w:hAnsi="Times New Roman"/>
        </w:rPr>
        <w:t>objections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contained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in-year</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00321B56" w:rsidRPr="00645878">
        <w:rPr>
          <w:rFonts w:ascii="Times New Roman" w:hAnsi="Times New Roman"/>
        </w:rPr>
        <w:t xml:space="preserve">The </w:t>
      </w:r>
      <w:r w:rsidRPr="00645878">
        <w:rPr>
          <w:rFonts w:ascii="Times New Roman" w:hAnsi="Times New Roman"/>
        </w:rPr>
        <w:t>T</w:t>
      </w:r>
      <w:r w:rsidR="00543851" w:rsidRPr="00645878">
        <w:rPr>
          <w:rFonts w:ascii="Times New Roman" w:hAnsi="Times New Roman"/>
        </w:rPr>
        <w:t>reasury</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necessary</w:t>
      </w:r>
      <w:r w:rsidR="00900061" w:rsidRPr="00645878">
        <w:rPr>
          <w:rFonts w:ascii="Times New Roman" w:hAnsi="Times New Roman"/>
        </w:rPr>
        <w:t xml:space="preserve"> </w:t>
      </w:r>
      <w:r w:rsidRPr="00645878">
        <w:rPr>
          <w:rFonts w:ascii="Times New Roman" w:hAnsi="Times New Roman"/>
        </w:rPr>
        <w:t>capacity</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generate</w:t>
      </w:r>
      <w:r w:rsidR="00900061" w:rsidRPr="00645878">
        <w:rPr>
          <w:rFonts w:ascii="Times New Roman" w:hAnsi="Times New Roman"/>
        </w:rPr>
        <w:t xml:space="preserve"> </w:t>
      </w:r>
      <w:r w:rsidRPr="00645878">
        <w:rPr>
          <w:rFonts w:ascii="Times New Roman" w:hAnsi="Times New Roman"/>
        </w:rPr>
        <w:t>customized</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any</w:t>
      </w:r>
      <w:r w:rsidR="00900061" w:rsidRPr="00645878">
        <w:rPr>
          <w:rFonts w:ascii="Times New Roman" w:hAnsi="Times New Roman"/>
        </w:rPr>
        <w:t xml:space="preserve"> </w:t>
      </w:r>
      <w:r w:rsidRPr="00645878">
        <w:rPr>
          <w:rFonts w:ascii="Times New Roman" w:hAnsi="Times New Roman"/>
        </w:rPr>
        <w:t>specified</w:t>
      </w:r>
      <w:r w:rsidR="00900061" w:rsidRPr="00645878">
        <w:rPr>
          <w:rFonts w:ascii="Times New Roman" w:hAnsi="Times New Roman"/>
        </w:rPr>
        <w:t xml:space="preserve"> </w:t>
      </w:r>
      <w:r w:rsidRPr="00645878">
        <w:rPr>
          <w:rFonts w:ascii="Times New Roman" w:hAnsi="Times New Roman"/>
        </w:rPr>
        <w:t>parameters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any</w:t>
      </w:r>
      <w:r w:rsidR="00900061" w:rsidRPr="00645878">
        <w:rPr>
          <w:rFonts w:ascii="Times New Roman" w:hAnsi="Times New Roman"/>
        </w:rPr>
        <w:t xml:space="preserve"> </w:t>
      </w:r>
      <w:r w:rsidRPr="00645878">
        <w:rPr>
          <w:rFonts w:ascii="Times New Roman" w:hAnsi="Times New Roman"/>
        </w:rPr>
        <w:t>required</w:t>
      </w:r>
      <w:r w:rsidR="00900061" w:rsidRPr="00645878">
        <w:rPr>
          <w:rFonts w:ascii="Times New Roman" w:hAnsi="Times New Roman"/>
        </w:rPr>
        <w:t xml:space="preserve"> </w:t>
      </w:r>
      <w:r w:rsidRPr="00645878">
        <w:rPr>
          <w:rFonts w:ascii="Times New Roman" w:hAnsi="Times New Roman"/>
        </w:rPr>
        <w:t>period</w:t>
      </w:r>
      <w:r w:rsidR="00C94B2B"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sufficient</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disaggregation</w:t>
      </w:r>
      <w:r w:rsidR="00900061" w:rsidRPr="00645878">
        <w:rPr>
          <w:rFonts w:ascii="Times New Roman" w:hAnsi="Times New Roman"/>
        </w:rPr>
        <w:t xml:space="preserve"> </w:t>
      </w:r>
      <w:r w:rsidRPr="00645878">
        <w:rPr>
          <w:rFonts w:ascii="Times New Roman" w:hAnsi="Times New Roman"/>
        </w:rPr>
        <w:t>capturing</w:t>
      </w:r>
      <w:r w:rsidR="00900061" w:rsidRPr="00645878">
        <w:rPr>
          <w:rFonts w:ascii="Times New Roman" w:hAnsi="Times New Roman"/>
        </w:rPr>
        <w:t xml:space="preserve"> </w:t>
      </w:r>
      <w:r w:rsidRPr="00645878">
        <w:rPr>
          <w:rFonts w:ascii="Times New Roman" w:hAnsi="Times New Roman"/>
        </w:rPr>
        <w:t>both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registered</w:t>
      </w:r>
      <w:r w:rsidR="00900061" w:rsidRPr="00645878">
        <w:rPr>
          <w:rFonts w:ascii="Times New Roman" w:hAnsi="Times New Roman"/>
        </w:rPr>
        <w:t xml:space="preserve"> </w:t>
      </w:r>
      <w:r w:rsidRPr="00645878">
        <w:rPr>
          <w:rFonts w:ascii="Times New Roman" w:hAnsi="Times New Roman"/>
        </w:rPr>
        <w:t>commitments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pending</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(BES).</w:t>
      </w:r>
      <w:r w:rsidR="00900061" w:rsidRPr="00645878">
        <w:rPr>
          <w:rFonts w:ascii="Times New Roman" w:hAnsi="Times New Roman"/>
        </w:rPr>
        <w:t xml:space="preserve"> </w:t>
      </w:r>
    </w:p>
    <w:p w14:paraId="37AF116D" w14:textId="0EC31C27"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Annual</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statements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prepared</w:t>
      </w:r>
      <w:r w:rsidR="00900061" w:rsidRPr="00645878">
        <w:rPr>
          <w:rFonts w:ascii="Times New Roman" w:hAnsi="Times New Roman"/>
          <w:b/>
        </w:rPr>
        <w:t xml:space="preserve"> </w:t>
      </w:r>
      <w:r w:rsidRPr="00645878">
        <w:rPr>
          <w:rFonts w:ascii="Times New Roman" w:hAnsi="Times New Roman"/>
          <w:b/>
        </w:rPr>
        <w:t>by</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TA</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made</w:t>
      </w:r>
      <w:r w:rsidR="00900061" w:rsidRPr="00645878">
        <w:rPr>
          <w:rFonts w:ascii="Times New Roman" w:hAnsi="Times New Roman"/>
          <w:b/>
        </w:rPr>
        <w:t xml:space="preserve"> </w:t>
      </w:r>
      <w:r w:rsidRPr="00645878">
        <w:rPr>
          <w:rFonts w:ascii="Times New Roman" w:hAnsi="Times New Roman"/>
          <w:b/>
        </w:rPr>
        <w:t>available</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audit</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June,</w:t>
      </w:r>
      <w:r w:rsidR="00900061" w:rsidRPr="00645878">
        <w:rPr>
          <w:rFonts w:ascii="Times New Roman" w:hAnsi="Times New Roman"/>
          <w:b/>
        </w:rPr>
        <w:t xml:space="preserve"> </w:t>
      </w:r>
      <w:r w:rsidRPr="00645878">
        <w:rPr>
          <w:rFonts w:ascii="Times New Roman" w:hAnsi="Times New Roman"/>
          <w:b/>
        </w:rPr>
        <w:t>within</w:t>
      </w:r>
      <w:r w:rsidR="00900061" w:rsidRPr="00645878">
        <w:rPr>
          <w:rFonts w:ascii="Times New Roman" w:hAnsi="Times New Roman"/>
          <w:b/>
        </w:rPr>
        <w:t xml:space="preserve"> </w:t>
      </w:r>
      <w:r w:rsidRPr="00645878">
        <w:rPr>
          <w:rFonts w:ascii="Times New Roman" w:hAnsi="Times New Roman"/>
          <w:b/>
        </w:rPr>
        <w:t>six</w:t>
      </w:r>
      <w:r w:rsidR="00900061" w:rsidRPr="00645878">
        <w:rPr>
          <w:rFonts w:ascii="Times New Roman" w:hAnsi="Times New Roman"/>
          <w:b/>
        </w:rPr>
        <w:t xml:space="preserve"> </w:t>
      </w:r>
      <w:r w:rsidRPr="00645878">
        <w:rPr>
          <w:rFonts w:ascii="Times New Roman" w:hAnsi="Times New Roman"/>
          <w:b/>
        </w:rPr>
        <w:t>months</w:t>
      </w:r>
      <w:r w:rsidR="00900061" w:rsidRPr="00645878">
        <w:rPr>
          <w:rFonts w:ascii="Times New Roman" w:hAnsi="Times New Roman"/>
          <w:b/>
        </w:rPr>
        <w:t xml:space="preserve"> </w:t>
      </w:r>
      <w:r w:rsidRPr="00645878">
        <w:rPr>
          <w:rFonts w:ascii="Times New Roman" w:hAnsi="Times New Roman"/>
          <w:b/>
        </w:rPr>
        <w:t>from</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end</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relevant</w:t>
      </w:r>
      <w:r w:rsidR="00900061" w:rsidRPr="00645878">
        <w:rPr>
          <w:rFonts w:ascii="Times New Roman" w:hAnsi="Times New Roman"/>
          <w:b/>
        </w:rPr>
        <w:t xml:space="preserve"> </w:t>
      </w:r>
      <w:r w:rsidRPr="00645878">
        <w:rPr>
          <w:rFonts w:ascii="Times New Roman" w:hAnsi="Times New Roman"/>
          <w:b/>
        </w:rPr>
        <w:t>period.</w:t>
      </w:r>
      <w:r w:rsidR="00900061" w:rsidRPr="00645878">
        <w:rPr>
          <w:rFonts w:ascii="Times New Roman" w:hAnsi="Times New Roman"/>
          <w:b/>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prepare</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using</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records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auxiliary</w:t>
      </w:r>
      <w:r w:rsidR="00900061" w:rsidRPr="00645878">
        <w:rPr>
          <w:rFonts w:ascii="Times New Roman" w:hAnsi="Times New Roman"/>
        </w:rPr>
        <w:t xml:space="preserve"> </w:t>
      </w:r>
      <w:r w:rsidRPr="00645878">
        <w:rPr>
          <w:rFonts w:ascii="Times New Roman" w:hAnsi="Times New Roman"/>
        </w:rPr>
        <w:t>ledgers,</w:t>
      </w:r>
      <w:r w:rsidR="00900061" w:rsidRPr="00645878">
        <w:rPr>
          <w:rFonts w:ascii="Times New Roman" w:hAnsi="Times New Roman"/>
        </w:rPr>
        <w:t xml:space="preserve"> </w:t>
      </w:r>
      <w:r w:rsidRPr="00645878">
        <w:rPr>
          <w:rFonts w:ascii="Times New Roman" w:hAnsi="Times New Roman"/>
        </w:rPr>
        <w:t>after</w:t>
      </w:r>
      <w:r w:rsidR="00900061" w:rsidRPr="00645878">
        <w:rPr>
          <w:rFonts w:ascii="Times New Roman" w:hAnsi="Times New Roman"/>
        </w:rPr>
        <w:t xml:space="preserve"> </w:t>
      </w:r>
      <w:r w:rsidRPr="00645878">
        <w:rPr>
          <w:rFonts w:ascii="Times New Roman" w:hAnsi="Times New Roman"/>
        </w:rPr>
        <w:t>reconciling</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TML.</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consolidates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prepares</w:t>
      </w:r>
      <w:r w:rsidR="00900061" w:rsidRPr="00645878">
        <w:rPr>
          <w:rFonts w:ascii="Times New Roman" w:hAnsi="Times New Roman"/>
        </w:rPr>
        <w:t xml:space="preserve">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inputs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data</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TML</w:t>
      </w:r>
      <w:r w:rsidR="00907465" w:rsidRPr="00645878">
        <w:rPr>
          <w:rFonts w:ascii="Times New Roman" w:hAnsi="Times New Roman"/>
        </w:rPr>
        <w:t>—the g</w:t>
      </w:r>
      <w:r w:rsidRPr="00645878">
        <w:rPr>
          <w:rFonts w:ascii="Times New Roman" w:hAnsi="Times New Roman"/>
        </w:rPr>
        <w:t>overnment’s</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(final</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submitted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who</w:t>
      </w:r>
      <w:r w:rsidR="00900061" w:rsidRPr="00645878">
        <w:rPr>
          <w:rFonts w:ascii="Times New Roman" w:hAnsi="Times New Roman"/>
        </w:rPr>
        <w:t xml:space="preserve"> </w:t>
      </w:r>
      <w:r w:rsidRPr="00645878">
        <w:rPr>
          <w:rFonts w:ascii="Times New Roman" w:hAnsi="Times New Roman"/>
        </w:rPr>
        <w:t>submits</w:t>
      </w:r>
      <w:r w:rsidR="00900061" w:rsidRPr="00645878">
        <w:rPr>
          <w:rFonts w:ascii="Times New Roman" w:hAnsi="Times New Roman"/>
        </w:rPr>
        <w:t xml:space="preserve"> </w:t>
      </w:r>
      <w:r w:rsidRPr="00645878">
        <w:rPr>
          <w:rFonts w:ascii="Times New Roman" w:hAnsi="Times New Roman"/>
        </w:rPr>
        <w:t>them</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00C94B2B" w:rsidRPr="00645878">
        <w:rPr>
          <w:rFonts w:ascii="Times New Roman" w:hAnsi="Times New Roman"/>
        </w:rPr>
        <w:t xml:space="preserve">the SAI’s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June.</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00C94B2B" w:rsidRPr="00645878">
        <w:rPr>
          <w:rFonts w:ascii="Times New Roman" w:hAnsi="Times New Roman"/>
        </w:rPr>
        <w:t xml:space="preserve">is </w:t>
      </w:r>
      <w:r w:rsidRPr="00645878">
        <w:rPr>
          <w:rFonts w:ascii="Times New Roman" w:hAnsi="Times New Roman"/>
        </w:rPr>
        <w:t>provided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8D14C4" w:rsidRPr="00645878">
        <w:rPr>
          <w:rFonts w:ascii="Times New Roman" w:hAnsi="Times New Roman"/>
        </w:rPr>
        <w:t>DBBs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together</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their</w:t>
      </w:r>
      <w:r w:rsidR="00900061" w:rsidRPr="00645878">
        <w:rPr>
          <w:rFonts w:ascii="Times New Roman" w:hAnsi="Times New Roman"/>
        </w:rPr>
        <w:t xml:space="preserve"> </w:t>
      </w:r>
      <w:r w:rsidRPr="00645878">
        <w:rPr>
          <w:rFonts w:ascii="Times New Roman" w:hAnsi="Times New Roman"/>
        </w:rPr>
        <w:t>respective</w:t>
      </w:r>
      <w:r w:rsidR="00900061" w:rsidRPr="00645878">
        <w:rPr>
          <w:rFonts w:ascii="Times New Roman" w:hAnsi="Times New Roman"/>
        </w:rPr>
        <w:t xml:space="preserve"> </w:t>
      </w:r>
      <w:r w:rsidR="001543A0" w:rsidRPr="00645878">
        <w:rPr>
          <w:rFonts w:ascii="Times New Roman" w:hAnsi="Times New Roman"/>
        </w:rPr>
        <w:t>IBBs</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March</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current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previous</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deadline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submission</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fixed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BSL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consistently</w:t>
      </w:r>
      <w:r w:rsidR="00900061" w:rsidRPr="00645878">
        <w:rPr>
          <w:rFonts w:ascii="Times New Roman" w:hAnsi="Times New Roman"/>
        </w:rPr>
        <w:t xml:space="preserve"> </w:t>
      </w:r>
      <w:r w:rsidRPr="00645878">
        <w:rPr>
          <w:rFonts w:ascii="Times New Roman" w:hAnsi="Times New Roman"/>
        </w:rPr>
        <w:t>observed,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minor</w:t>
      </w:r>
      <w:r w:rsidR="00900061" w:rsidRPr="00645878">
        <w:rPr>
          <w:rFonts w:ascii="Times New Roman" w:hAnsi="Times New Roman"/>
        </w:rPr>
        <w:t xml:space="preserve"> </w:t>
      </w:r>
      <w:r w:rsidRPr="00645878">
        <w:rPr>
          <w:rFonts w:ascii="Times New Roman" w:hAnsi="Times New Roman"/>
        </w:rPr>
        <w:t>slippage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several</w:t>
      </w:r>
      <w:r w:rsidR="00900061" w:rsidRPr="00645878">
        <w:rPr>
          <w:rFonts w:ascii="Times New Roman" w:hAnsi="Times New Roman"/>
        </w:rPr>
        <w:t xml:space="preserve"> </w:t>
      </w:r>
      <w:r w:rsidRPr="00645878">
        <w:rPr>
          <w:rFonts w:ascii="Times New Roman" w:hAnsi="Times New Roman"/>
        </w:rPr>
        <w:t>days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2013</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2014.</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format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543A0" w:rsidRPr="00645878">
        <w:rPr>
          <w:rFonts w:ascii="Times New Roman" w:hAnsi="Times New Roman"/>
        </w:rPr>
        <w:t>f</w:t>
      </w:r>
      <w:r w:rsidRPr="00645878">
        <w:rPr>
          <w:rFonts w:ascii="Times New Roman" w:hAnsi="Times New Roman"/>
        </w:rPr>
        <w:t>inal</w:t>
      </w:r>
      <w:r w:rsidR="00900061" w:rsidRPr="00645878">
        <w:rPr>
          <w:rFonts w:ascii="Times New Roman" w:hAnsi="Times New Roman"/>
        </w:rPr>
        <w:t xml:space="preserve"> </w:t>
      </w:r>
      <w:r w:rsidR="001543A0" w:rsidRPr="00645878">
        <w:rPr>
          <w:rFonts w:ascii="Times New Roman" w:hAnsi="Times New Roman"/>
        </w:rPr>
        <w:t>a</w:t>
      </w:r>
      <w:r w:rsidRPr="00645878">
        <w:rPr>
          <w:rFonts w:ascii="Times New Roman" w:hAnsi="Times New Roman"/>
        </w:rPr>
        <w:t>ccount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comparable</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approved</w:t>
      </w:r>
      <w:r w:rsidR="00900061" w:rsidRPr="00645878">
        <w:rPr>
          <w:rFonts w:ascii="Times New Roman" w:hAnsi="Times New Roman"/>
        </w:rPr>
        <w:t xml:space="preserve"> </w:t>
      </w:r>
      <w:r w:rsidR="00F4519B"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shows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allocation,</w:t>
      </w:r>
      <w:r w:rsidR="00900061" w:rsidRPr="00645878">
        <w:rPr>
          <w:rFonts w:ascii="Times New Roman" w:hAnsi="Times New Roman"/>
        </w:rPr>
        <w:t xml:space="preserve"> </w:t>
      </w:r>
      <w:r w:rsidRPr="00645878">
        <w:rPr>
          <w:rFonts w:ascii="Times New Roman" w:hAnsi="Times New Roman"/>
        </w:rPr>
        <w:t>executed</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figures</w:t>
      </w:r>
      <w:r w:rsidR="00777804"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differences</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two.</w:t>
      </w:r>
      <w:r w:rsidR="00900061" w:rsidRPr="00645878">
        <w:rPr>
          <w:rFonts w:ascii="Times New Roman" w:hAnsi="Times New Roman"/>
        </w:rPr>
        <w:t xml:space="preserve"> </w:t>
      </w:r>
      <w:r w:rsidR="00C94B2B" w:rsidRPr="00645878">
        <w:rPr>
          <w:rFonts w:ascii="Times New Roman" w:hAnsi="Times New Roman"/>
        </w:rPr>
        <w:t>The f</w:t>
      </w:r>
      <w:r w:rsidRPr="00645878">
        <w:rPr>
          <w:rFonts w:ascii="Times New Roman" w:hAnsi="Times New Roman"/>
        </w:rPr>
        <w:t>inal</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subject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includes</w:t>
      </w:r>
      <w:r w:rsidR="00A16B04" w:rsidRPr="00645878">
        <w:rPr>
          <w:rFonts w:ascii="Times New Roman" w:hAnsi="Times New Roman"/>
        </w:rPr>
        <w:t xml:space="preserve"> the</w:t>
      </w:r>
      <w:r w:rsidR="00900061" w:rsidRPr="00645878">
        <w:rPr>
          <w:rFonts w:ascii="Times New Roman" w:hAnsi="Times New Roman"/>
        </w:rPr>
        <w:t xml:space="preserve"> </w:t>
      </w:r>
      <w:r w:rsidRPr="00645878">
        <w:rPr>
          <w:rFonts w:ascii="Times New Roman" w:hAnsi="Times New Roman"/>
        </w:rPr>
        <w:t>following</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00700EBD" w:rsidRPr="00645878">
        <w:rPr>
          <w:rFonts w:ascii="Times New Roman" w:hAnsi="Times New Roman"/>
        </w:rPr>
        <w:t>b</w:t>
      </w:r>
      <w:r w:rsidRPr="00645878">
        <w:rPr>
          <w:rFonts w:ascii="Times New Roman" w:hAnsi="Times New Roman"/>
        </w:rPr>
        <w:t>alance</w:t>
      </w:r>
      <w:r w:rsidR="00900061" w:rsidRPr="00645878">
        <w:rPr>
          <w:rFonts w:ascii="Times New Roman" w:hAnsi="Times New Roman"/>
        </w:rPr>
        <w:t xml:space="preserve"> </w:t>
      </w:r>
      <w:r w:rsidR="00700EBD" w:rsidRPr="00645878">
        <w:rPr>
          <w:rFonts w:ascii="Times New Roman" w:hAnsi="Times New Roman"/>
        </w:rPr>
        <w:t>s</w:t>
      </w:r>
      <w:r w:rsidRPr="00645878">
        <w:rPr>
          <w:rFonts w:ascii="Times New Roman" w:hAnsi="Times New Roman"/>
        </w:rPr>
        <w:t>heet,</w:t>
      </w:r>
      <w:r w:rsidR="00900061" w:rsidRPr="00645878">
        <w:rPr>
          <w:rFonts w:ascii="Times New Roman" w:hAnsi="Times New Roman"/>
        </w:rPr>
        <w:t xml:space="preserve"> </w:t>
      </w:r>
      <w:r w:rsidR="00700EBD" w:rsidRPr="00645878">
        <w:rPr>
          <w:rFonts w:ascii="Times New Roman" w:hAnsi="Times New Roman"/>
        </w:rPr>
        <w:t>r</w:t>
      </w:r>
      <w:r w:rsidRPr="00645878">
        <w:rPr>
          <w:rFonts w:ascii="Times New Roman" w:hAnsi="Times New Roman"/>
        </w:rPr>
        <w:t>evenue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00700EBD" w:rsidRPr="00645878">
        <w:rPr>
          <w:rFonts w:ascii="Times New Roman" w:hAnsi="Times New Roman"/>
        </w:rPr>
        <w:t>e</w:t>
      </w:r>
      <w:r w:rsidRPr="00645878">
        <w:rPr>
          <w:rFonts w:ascii="Times New Roman" w:hAnsi="Times New Roman"/>
        </w:rPr>
        <w:t>xpenditure</w:t>
      </w:r>
      <w:r w:rsidR="00900061" w:rsidRPr="00645878">
        <w:rPr>
          <w:rFonts w:ascii="Times New Roman" w:hAnsi="Times New Roman"/>
        </w:rPr>
        <w:t xml:space="preserve"> </w:t>
      </w:r>
      <w:r w:rsidR="00700EBD" w:rsidRPr="00645878">
        <w:rPr>
          <w:rFonts w:ascii="Times New Roman" w:hAnsi="Times New Roman"/>
        </w:rPr>
        <w:t>s</w:t>
      </w:r>
      <w:r w:rsidRPr="00645878">
        <w:rPr>
          <w:rFonts w:ascii="Times New Roman" w:hAnsi="Times New Roman"/>
        </w:rPr>
        <w:t>tatement,</w:t>
      </w:r>
      <w:r w:rsidR="00900061" w:rsidRPr="00645878">
        <w:rPr>
          <w:rFonts w:ascii="Times New Roman" w:hAnsi="Times New Roman"/>
        </w:rPr>
        <w:t xml:space="preserve"> </w:t>
      </w:r>
      <w:r w:rsidR="00700EBD" w:rsidRPr="00645878">
        <w:rPr>
          <w:rFonts w:ascii="Times New Roman" w:hAnsi="Times New Roman"/>
        </w:rPr>
        <w:t>s</w:t>
      </w:r>
      <w:r w:rsidRPr="00645878">
        <w:rPr>
          <w:rFonts w:ascii="Times New Roman" w:hAnsi="Times New Roman"/>
        </w:rPr>
        <w:t>tatement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700EBD" w:rsidRPr="00645878">
        <w:rPr>
          <w:rFonts w:ascii="Times New Roman" w:hAnsi="Times New Roman"/>
        </w:rPr>
        <w:t>c</w:t>
      </w:r>
      <w:r w:rsidRPr="00645878">
        <w:rPr>
          <w:rFonts w:ascii="Times New Roman" w:hAnsi="Times New Roman"/>
        </w:rPr>
        <w:t>apital</w:t>
      </w:r>
      <w:r w:rsidR="00900061" w:rsidRPr="00645878">
        <w:rPr>
          <w:rFonts w:ascii="Times New Roman" w:hAnsi="Times New Roman"/>
        </w:rPr>
        <w:t xml:space="preserve"> </w:t>
      </w:r>
      <w:r w:rsidR="00700EBD" w:rsidRPr="00645878">
        <w:rPr>
          <w:rFonts w:ascii="Times New Roman" w:hAnsi="Times New Roman"/>
        </w:rPr>
        <w:t>e</w:t>
      </w:r>
      <w:r w:rsidRPr="00645878">
        <w:rPr>
          <w:rFonts w:ascii="Times New Roman" w:hAnsi="Times New Roman"/>
        </w:rPr>
        <w:t>xpenditures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00700EBD" w:rsidRPr="00645878">
        <w:rPr>
          <w:rFonts w:ascii="Times New Roman" w:hAnsi="Times New Roman"/>
        </w:rPr>
        <w:t>r</w:t>
      </w:r>
      <w:r w:rsidRPr="00645878">
        <w:rPr>
          <w:rFonts w:ascii="Times New Roman" w:hAnsi="Times New Roman"/>
        </w:rPr>
        <w:t>eceipts,</w:t>
      </w:r>
      <w:r w:rsidR="00900061" w:rsidRPr="00645878">
        <w:rPr>
          <w:rFonts w:ascii="Times New Roman" w:hAnsi="Times New Roman"/>
        </w:rPr>
        <w:t xml:space="preserve"> </w:t>
      </w:r>
      <w:r w:rsidR="00700EBD" w:rsidRPr="00645878">
        <w:rPr>
          <w:rFonts w:ascii="Times New Roman" w:hAnsi="Times New Roman"/>
        </w:rPr>
        <w:t>c</w:t>
      </w:r>
      <w:r w:rsidRPr="00645878">
        <w:rPr>
          <w:rFonts w:ascii="Times New Roman" w:hAnsi="Times New Roman"/>
        </w:rPr>
        <w:t>ash</w:t>
      </w:r>
      <w:r w:rsidR="00900061" w:rsidRPr="00645878">
        <w:rPr>
          <w:rFonts w:ascii="Times New Roman" w:hAnsi="Times New Roman"/>
        </w:rPr>
        <w:t xml:space="preserve"> </w:t>
      </w:r>
      <w:r w:rsidR="00700EBD" w:rsidRPr="00645878">
        <w:rPr>
          <w:rFonts w:ascii="Times New Roman" w:hAnsi="Times New Roman"/>
        </w:rPr>
        <w:t>f</w:t>
      </w:r>
      <w:r w:rsidRPr="00645878">
        <w:rPr>
          <w:rFonts w:ascii="Times New Roman" w:hAnsi="Times New Roman"/>
        </w:rPr>
        <w:t>low</w:t>
      </w:r>
      <w:r w:rsidR="00900061" w:rsidRPr="00645878">
        <w:rPr>
          <w:rFonts w:ascii="Times New Roman" w:hAnsi="Times New Roman"/>
        </w:rPr>
        <w:t xml:space="preserve"> </w:t>
      </w:r>
      <w:r w:rsidR="00700EBD" w:rsidRPr="00645878">
        <w:rPr>
          <w:rFonts w:ascii="Times New Roman" w:hAnsi="Times New Roman"/>
        </w:rPr>
        <w:t>s</w:t>
      </w:r>
      <w:r w:rsidRPr="00645878">
        <w:rPr>
          <w:rFonts w:ascii="Times New Roman" w:hAnsi="Times New Roman"/>
        </w:rPr>
        <w:t>tatement,</w:t>
      </w:r>
      <w:r w:rsidR="00700EBD" w:rsidRPr="00645878">
        <w:rPr>
          <w:rFonts w:ascii="Times New Roman" w:hAnsi="Times New Roman"/>
        </w:rPr>
        <w:t xml:space="preserve"> and the</w:t>
      </w:r>
      <w:r w:rsidR="00900061" w:rsidRPr="00645878">
        <w:rPr>
          <w:rFonts w:ascii="Times New Roman" w:hAnsi="Times New Roman"/>
        </w:rPr>
        <w:t xml:space="preserve"> </w:t>
      </w:r>
      <w:r w:rsidR="00700EBD"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00700EBD" w:rsidRPr="00645878">
        <w:rPr>
          <w:rFonts w:ascii="Times New Roman" w:hAnsi="Times New Roman"/>
        </w:rPr>
        <w:t>e</w:t>
      </w:r>
      <w:r w:rsidRPr="00645878">
        <w:rPr>
          <w:rFonts w:ascii="Times New Roman" w:hAnsi="Times New Roman"/>
        </w:rPr>
        <w:t>xecution</w:t>
      </w:r>
      <w:r w:rsidR="00900061" w:rsidRPr="00645878">
        <w:rPr>
          <w:rFonts w:ascii="Times New Roman" w:hAnsi="Times New Roman"/>
        </w:rPr>
        <w:t xml:space="preserve"> </w:t>
      </w:r>
      <w:r w:rsidR="00700EBD" w:rsidRPr="00645878">
        <w:rPr>
          <w:rFonts w:ascii="Times New Roman" w:hAnsi="Times New Roman"/>
        </w:rPr>
        <w:t>r</w:t>
      </w:r>
      <w:r w:rsidRPr="00645878">
        <w:rPr>
          <w:rFonts w:ascii="Times New Roman" w:hAnsi="Times New Roman"/>
        </w:rPr>
        <w:t>eport.</w:t>
      </w:r>
    </w:p>
    <w:p w14:paraId="523C4A27" w14:textId="361C629F"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lastRenderedPageBreak/>
        <w:t>Annual</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statements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generally</w:t>
      </w:r>
      <w:r w:rsidR="00900061" w:rsidRPr="00645878">
        <w:rPr>
          <w:rFonts w:ascii="Times New Roman" w:hAnsi="Times New Roman"/>
          <w:b/>
        </w:rPr>
        <w:t xml:space="preserve"> </w:t>
      </w:r>
      <w:r w:rsidRPr="00645878">
        <w:rPr>
          <w:rFonts w:ascii="Times New Roman" w:hAnsi="Times New Roman"/>
          <w:b/>
        </w:rPr>
        <w:t>reliable.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adequate</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pertains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revenues</w:t>
      </w:r>
      <w:r w:rsidR="00636231"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expenditures</w:t>
      </w:r>
      <w:r w:rsidR="00636231"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therefore</w:t>
      </w:r>
      <w:r w:rsidR="00700EB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providing</w:t>
      </w:r>
      <w:r w:rsidR="00900061" w:rsidRPr="00645878">
        <w:rPr>
          <w:rFonts w:ascii="Times New Roman" w:hAnsi="Times New Roman"/>
        </w:rPr>
        <w:t xml:space="preserve"> </w:t>
      </w:r>
      <w:r w:rsidRPr="00645878">
        <w:rPr>
          <w:rFonts w:ascii="Times New Roman" w:hAnsi="Times New Roman"/>
        </w:rPr>
        <w:t>reliable</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about</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reliability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045542" w:rsidRPr="00645878">
        <w:rPr>
          <w:rFonts w:ascii="Times New Roman" w:hAnsi="Times New Roman"/>
        </w:rPr>
        <w:t>b</w:t>
      </w:r>
      <w:r w:rsidRPr="00645878">
        <w:rPr>
          <w:rFonts w:ascii="Times New Roman" w:hAnsi="Times New Roman"/>
        </w:rPr>
        <w:t>alance</w:t>
      </w:r>
      <w:r w:rsidR="00900061" w:rsidRPr="00645878">
        <w:rPr>
          <w:rFonts w:ascii="Times New Roman" w:hAnsi="Times New Roman"/>
        </w:rPr>
        <w:t xml:space="preserve"> </w:t>
      </w:r>
      <w:r w:rsidR="00045542" w:rsidRPr="00645878">
        <w:rPr>
          <w:rFonts w:ascii="Times New Roman" w:hAnsi="Times New Roman"/>
        </w:rPr>
        <w:t>s</w:t>
      </w:r>
      <w:r w:rsidRPr="00645878">
        <w:rPr>
          <w:rFonts w:ascii="Times New Roman" w:hAnsi="Times New Roman"/>
        </w:rPr>
        <w:t>heet</w:t>
      </w:r>
      <w:r w:rsidR="00900061" w:rsidRPr="00645878">
        <w:rPr>
          <w:rFonts w:ascii="Times New Roman" w:hAnsi="Times New Roman"/>
        </w:rPr>
        <w:t xml:space="preserve"> </w:t>
      </w:r>
      <w:r w:rsidRPr="00645878">
        <w:rPr>
          <w:rFonts w:ascii="Times New Roman" w:hAnsi="Times New Roman"/>
        </w:rPr>
        <w:t>items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somewhat</w:t>
      </w:r>
      <w:r w:rsidR="00900061" w:rsidRPr="00645878">
        <w:rPr>
          <w:rFonts w:ascii="Times New Roman" w:hAnsi="Times New Roman"/>
        </w:rPr>
        <w:t xml:space="preserve"> </w:t>
      </w:r>
      <w:r w:rsidRPr="00645878">
        <w:rPr>
          <w:rFonts w:ascii="Times New Roman" w:hAnsi="Times New Roman"/>
        </w:rPr>
        <w:t>questionable</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00B52FB5" w:rsidRPr="00645878">
        <w:rPr>
          <w:rFonts w:ascii="Times New Roman" w:hAnsi="Times New Roman"/>
        </w:rPr>
        <w:t xml:space="preserve">the </w:t>
      </w:r>
      <w:r w:rsidRPr="00645878">
        <w:rPr>
          <w:rFonts w:ascii="Times New Roman" w:hAnsi="Times New Roman"/>
        </w:rPr>
        <w:t>cash</w:t>
      </w:r>
      <w:r w:rsidR="00900061" w:rsidRPr="00645878">
        <w:rPr>
          <w:rFonts w:ascii="Times New Roman" w:hAnsi="Times New Roman"/>
        </w:rPr>
        <w:t xml:space="preserve"> </w:t>
      </w:r>
      <w:r w:rsidRPr="00645878">
        <w:rPr>
          <w:rFonts w:ascii="Times New Roman" w:hAnsi="Times New Roman"/>
        </w:rPr>
        <w:t>basis</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impede</w:t>
      </w:r>
      <w:r w:rsidR="00B52FB5" w:rsidRPr="00645878">
        <w:rPr>
          <w:rFonts w:ascii="Times New Roman" w:hAnsi="Times New Roman"/>
        </w:rPr>
        <w:t>s</w:t>
      </w:r>
      <w:r w:rsidR="00900061" w:rsidRPr="00645878">
        <w:rPr>
          <w:rFonts w:ascii="Times New Roman" w:hAnsi="Times New Roman"/>
        </w:rPr>
        <w:t xml:space="preserve"> </w:t>
      </w:r>
      <w:r w:rsidRPr="00645878">
        <w:rPr>
          <w:rFonts w:ascii="Times New Roman" w:hAnsi="Times New Roman"/>
        </w:rPr>
        <w:t>maintaining</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accrual</w:t>
      </w:r>
      <w:r w:rsidR="001F7CE2" w:rsidRPr="00645878">
        <w:rPr>
          <w:rFonts w:ascii="Times New Roman" w:hAnsi="Times New Roman"/>
        </w:rPr>
        <w:t>-</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items</w:t>
      </w:r>
      <w:r w:rsidR="00B52FB5"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however</w:t>
      </w:r>
      <w:r w:rsidR="00B028C5"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prevailing</w:t>
      </w:r>
      <w:r w:rsidR="00900061" w:rsidRPr="00645878">
        <w:rPr>
          <w:rFonts w:ascii="Times New Roman" w:hAnsi="Times New Roman"/>
        </w:rPr>
        <w:t xml:space="preserve"> </w:t>
      </w:r>
      <w:r w:rsidRPr="00645878">
        <w:rPr>
          <w:rFonts w:ascii="Times New Roman" w:hAnsi="Times New Roman"/>
        </w:rPr>
        <w:t>local</w:t>
      </w:r>
      <w:r w:rsidR="00900061" w:rsidRPr="00645878">
        <w:rPr>
          <w:rFonts w:ascii="Times New Roman" w:hAnsi="Times New Roman"/>
        </w:rPr>
        <w:t xml:space="preserve"> </w:t>
      </w:r>
      <w:r w:rsidRPr="00645878">
        <w:rPr>
          <w:rFonts w:ascii="Times New Roman" w:hAnsi="Times New Roman"/>
        </w:rPr>
        <w:t>regulation</w:t>
      </w:r>
      <w:r w:rsidR="00900061" w:rsidRPr="00645878">
        <w:rPr>
          <w:rFonts w:ascii="Times New Roman" w:hAnsi="Times New Roman"/>
        </w:rPr>
        <w:t xml:space="preserve"> </w:t>
      </w:r>
      <w:r w:rsidRPr="00645878">
        <w:rPr>
          <w:rFonts w:ascii="Times New Roman" w:hAnsi="Times New Roman"/>
        </w:rPr>
        <w:t>prescribes</w:t>
      </w:r>
      <w:r w:rsidR="00900061" w:rsidRPr="00645878">
        <w:rPr>
          <w:rFonts w:ascii="Times New Roman" w:hAnsi="Times New Roman"/>
        </w:rPr>
        <w:t xml:space="preserve"> </w:t>
      </w:r>
      <w:r w:rsidRPr="00645878">
        <w:rPr>
          <w:rFonts w:ascii="Times New Roman" w:hAnsi="Times New Roman"/>
        </w:rPr>
        <w:t>preparation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00B028C5" w:rsidRPr="00645878">
        <w:rPr>
          <w:rFonts w:ascii="Times New Roman" w:hAnsi="Times New Roman"/>
        </w:rPr>
        <w:t>b</w:t>
      </w:r>
      <w:r w:rsidRPr="00645878">
        <w:rPr>
          <w:rFonts w:ascii="Times New Roman" w:hAnsi="Times New Roman"/>
        </w:rPr>
        <w:t>alance</w:t>
      </w:r>
      <w:r w:rsidR="00900061" w:rsidRPr="00645878">
        <w:rPr>
          <w:rFonts w:ascii="Times New Roman" w:hAnsi="Times New Roman"/>
        </w:rPr>
        <w:t xml:space="preserve"> </w:t>
      </w:r>
      <w:r w:rsidR="00B028C5" w:rsidRPr="00645878">
        <w:rPr>
          <w:rFonts w:ascii="Times New Roman" w:hAnsi="Times New Roman"/>
        </w:rPr>
        <w:t>s</w:t>
      </w:r>
      <w:r w:rsidRPr="00645878">
        <w:rPr>
          <w:rFonts w:ascii="Times New Roman" w:hAnsi="Times New Roman"/>
        </w:rPr>
        <w:t>heet</w:t>
      </w:r>
      <w:r w:rsidR="00900061" w:rsidRPr="00645878">
        <w:rPr>
          <w:rFonts w:ascii="Times New Roman" w:hAnsi="Times New Roman"/>
        </w:rPr>
        <w:t xml:space="preserve"> </w:t>
      </w:r>
      <w:r w:rsidRPr="00645878">
        <w:rPr>
          <w:rFonts w:ascii="Times New Roman" w:hAnsi="Times New Roman"/>
        </w:rPr>
        <w:t>practically</w:t>
      </w:r>
      <w:r w:rsidR="00900061" w:rsidRPr="00645878">
        <w:rPr>
          <w:rFonts w:ascii="Times New Roman" w:hAnsi="Times New Roman"/>
        </w:rPr>
        <w:t xml:space="preserve">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00B52FB5" w:rsidRPr="00645878">
        <w:rPr>
          <w:rFonts w:ascii="Times New Roman" w:hAnsi="Times New Roman"/>
        </w:rPr>
        <w:t xml:space="preserve">a </w:t>
      </w:r>
      <w:r w:rsidRPr="00645878">
        <w:rPr>
          <w:rFonts w:ascii="Times New Roman" w:hAnsi="Times New Roman"/>
        </w:rPr>
        <w:t>chart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accounts</w:t>
      </w:r>
      <w:r w:rsidR="00900061" w:rsidRPr="00645878">
        <w:rPr>
          <w:rFonts w:ascii="Times New Roman" w:hAnsi="Times New Roman"/>
        </w:rPr>
        <w:t xml:space="preserve"> </w:t>
      </w:r>
      <w:r w:rsidRPr="00645878">
        <w:rPr>
          <w:rFonts w:ascii="Times New Roman" w:hAnsi="Times New Roman"/>
        </w:rPr>
        <w:t>aligned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corporate</w:t>
      </w:r>
      <w:r w:rsidR="00900061" w:rsidRPr="00645878">
        <w:rPr>
          <w:rFonts w:ascii="Times New Roman" w:hAnsi="Times New Roman"/>
        </w:rPr>
        <w:t xml:space="preserve"> </w:t>
      </w:r>
      <w:r w:rsidRPr="00645878">
        <w:rPr>
          <w:rFonts w:ascii="Times New Roman" w:hAnsi="Times New Roman"/>
        </w:rPr>
        <w:t>sector.</w:t>
      </w:r>
      <w:r w:rsidR="00900061" w:rsidRPr="00645878">
        <w:rPr>
          <w:rFonts w:ascii="Times New Roman" w:hAnsi="Times New Roman"/>
        </w:rPr>
        <w:t xml:space="preserve"> </w:t>
      </w:r>
    </w:p>
    <w:p w14:paraId="6DF5A5EA" w14:textId="2B804DEB" w:rsidR="006144FC"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expenditures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00B52FB5" w:rsidRPr="00645878">
        <w:rPr>
          <w:rFonts w:ascii="Times New Roman" w:hAnsi="Times New Roman"/>
          <w:b/>
        </w:rPr>
        <w:t xml:space="preserve">an </w:t>
      </w:r>
      <w:r w:rsidRPr="00645878">
        <w:rPr>
          <w:rFonts w:ascii="Times New Roman" w:hAnsi="Times New Roman"/>
          <w:b/>
        </w:rPr>
        <w:t>integral</w:t>
      </w:r>
      <w:r w:rsidR="00900061" w:rsidRPr="00645878">
        <w:rPr>
          <w:rFonts w:ascii="Times New Roman" w:hAnsi="Times New Roman"/>
          <w:b/>
        </w:rPr>
        <w:t xml:space="preserve"> </w:t>
      </w:r>
      <w:r w:rsidRPr="00645878">
        <w:rPr>
          <w:rFonts w:ascii="Times New Roman" w:hAnsi="Times New Roman"/>
          <w:b/>
        </w:rPr>
        <w:t>part</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00A22C01" w:rsidRPr="00645878">
        <w:rPr>
          <w:rFonts w:ascii="Times New Roman" w:hAnsi="Times New Roman"/>
          <w:b/>
        </w:rPr>
        <w:t xml:space="preserve">the </w:t>
      </w:r>
      <w:r w:rsidR="00907465" w:rsidRPr="00645878">
        <w:rPr>
          <w:rFonts w:ascii="Times New Roman" w:hAnsi="Times New Roman"/>
          <w:b/>
        </w:rPr>
        <w:t>government</w:t>
      </w:r>
      <w:r w:rsidRPr="00645878">
        <w:rPr>
          <w:rFonts w:ascii="Times New Roman" w:hAnsi="Times New Roman"/>
          <w:b/>
        </w:rPr>
        <w:t>’s</w:t>
      </w:r>
      <w:r w:rsidR="00900061" w:rsidRPr="00645878">
        <w:rPr>
          <w:rFonts w:ascii="Times New Roman" w:hAnsi="Times New Roman"/>
          <w:b/>
        </w:rPr>
        <w:t xml:space="preserve"> </w:t>
      </w:r>
      <w:r w:rsidRPr="00645878">
        <w:rPr>
          <w:rFonts w:ascii="Times New Roman" w:hAnsi="Times New Roman"/>
          <w:b/>
        </w:rPr>
        <w:t>annual</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statements</w:t>
      </w:r>
      <w:r w:rsidR="00900061" w:rsidRPr="00645878">
        <w:rPr>
          <w:rFonts w:ascii="Times New Roman" w:hAnsi="Times New Roman"/>
          <w:b/>
        </w:rPr>
        <w:t xml:space="preserve"> </w:t>
      </w:r>
      <w:r w:rsidRPr="00645878">
        <w:rPr>
          <w:rFonts w:ascii="Times New Roman" w:hAnsi="Times New Roman"/>
          <w:b/>
        </w:rPr>
        <w:t>(final</w:t>
      </w:r>
      <w:r w:rsidR="00900061" w:rsidRPr="00645878">
        <w:rPr>
          <w:rFonts w:ascii="Times New Roman" w:hAnsi="Times New Roman"/>
          <w:b/>
        </w:rPr>
        <w:t xml:space="preserve"> </w:t>
      </w:r>
      <w:r w:rsidRPr="00645878">
        <w:rPr>
          <w:rFonts w:ascii="Times New Roman" w:hAnsi="Times New Roman"/>
          <w:b/>
        </w:rPr>
        <w:t>account).</w:t>
      </w:r>
      <w:r w:rsidR="00900061" w:rsidRPr="00645878">
        <w:rPr>
          <w:rFonts w:ascii="Times New Roman" w:hAnsi="Times New Roman"/>
          <w:b/>
        </w:rPr>
        <w:t xml:space="preserve"> </w:t>
      </w:r>
      <w:r w:rsidRPr="00645878">
        <w:rPr>
          <w:rFonts w:ascii="Times New Roman" w:hAnsi="Times New Roman"/>
        </w:rPr>
        <w:t>Separate</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SAI’s</w:t>
      </w:r>
      <w:r w:rsidR="00900061" w:rsidRPr="00645878">
        <w:rPr>
          <w:rFonts w:ascii="Times New Roman" w:hAnsi="Times New Roman"/>
        </w:rPr>
        <w:t xml:space="preserve"> </w:t>
      </w:r>
      <w:r w:rsidRPr="00645878">
        <w:rPr>
          <w:rFonts w:ascii="Times New Roman" w:hAnsi="Times New Roman"/>
        </w:rPr>
        <w:t>risk-based</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00B52FB5" w:rsidRPr="00645878">
        <w:rPr>
          <w:rFonts w:ascii="Times New Roman" w:hAnsi="Times New Roman"/>
        </w:rPr>
        <w:t>The f</w:t>
      </w:r>
      <w:r w:rsidRPr="00645878">
        <w:rPr>
          <w:rFonts w:ascii="Times New Roman" w:hAnsi="Times New Roman"/>
        </w:rPr>
        <w:t>inal</w:t>
      </w:r>
      <w:r w:rsidR="00900061" w:rsidRPr="00645878">
        <w:rPr>
          <w:rFonts w:ascii="Times New Roman" w:hAnsi="Times New Roman"/>
        </w:rPr>
        <w:t xml:space="preserve"> </w:t>
      </w:r>
      <w:r w:rsidR="00636231" w:rsidRPr="00645878">
        <w:rPr>
          <w:rFonts w:ascii="Times New Roman" w:hAnsi="Times New Roman"/>
        </w:rPr>
        <w:t>a</w:t>
      </w:r>
      <w:r w:rsidRPr="00645878">
        <w:rPr>
          <w:rFonts w:ascii="Times New Roman" w:hAnsi="Times New Roman"/>
        </w:rPr>
        <w:t>ccount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636231"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Republic</w:t>
      </w:r>
      <w:r w:rsidR="00900061" w:rsidRPr="00645878">
        <w:rPr>
          <w:rFonts w:ascii="Times New Roman" w:hAnsi="Times New Roman"/>
        </w:rPr>
        <w:t xml:space="preserve"> </w:t>
      </w:r>
      <w:r w:rsidRPr="00645878">
        <w:rPr>
          <w:rFonts w:ascii="Times New Roman" w:hAnsi="Times New Roman"/>
        </w:rPr>
        <w:t>received</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opinion</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FY2013,</w:t>
      </w:r>
      <w:r w:rsidR="00900061" w:rsidRPr="00645878">
        <w:rPr>
          <w:rFonts w:ascii="Times New Roman" w:hAnsi="Times New Roman"/>
        </w:rPr>
        <w:t xml:space="preserve"> </w:t>
      </w:r>
      <w:r w:rsidRPr="00645878">
        <w:rPr>
          <w:rFonts w:ascii="Times New Roman" w:hAnsi="Times New Roman"/>
        </w:rPr>
        <w:t>both</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00B52FB5" w:rsidRPr="00645878">
        <w:rPr>
          <w:rFonts w:ascii="Times New Roman" w:hAnsi="Times New Roman"/>
        </w:rPr>
        <w:t>The m</w:t>
      </w:r>
      <w:r w:rsidRPr="00645878">
        <w:rPr>
          <w:rFonts w:ascii="Times New Roman" w:hAnsi="Times New Roman"/>
        </w:rPr>
        <w:t>ain</w:t>
      </w:r>
      <w:r w:rsidR="00900061" w:rsidRPr="00645878">
        <w:rPr>
          <w:rFonts w:ascii="Times New Roman" w:hAnsi="Times New Roman"/>
        </w:rPr>
        <w:t xml:space="preserve"> </w:t>
      </w:r>
      <w:r w:rsidRPr="00645878">
        <w:rPr>
          <w:rFonts w:ascii="Times New Roman" w:hAnsi="Times New Roman"/>
        </w:rPr>
        <w:t>reasons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opinion</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FY2013</w:t>
      </w:r>
      <w:r w:rsidR="00900061" w:rsidRPr="00645878">
        <w:rPr>
          <w:rFonts w:ascii="Times New Roman" w:hAnsi="Times New Roman"/>
        </w:rPr>
        <w:t xml:space="preserve"> </w:t>
      </w:r>
      <w:r w:rsidRPr="00645878">
        <w:rPr>
          <w:rFonts w:ascii="Times New Roman" w:hAnsi="Times New Roman"/>
        </w:rPr>
        <w:t>refer</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nonfinancial</w:t>
      </w:r>
      <w:r w:rsidR="00900061" w:rsidRPr="00645878">
        <w:rPr>
          <w:rFonts w:ascii="Times New Roman" w:hAnsi="Times New Roman"/>
        </w:rPr>
        <w:t xml:space="preserve"> </w:t>
      </w:r>
      <w:r w:rsidRPr="00645878">
        <w:rPr>
          <w:rFonts w:ascii="Times New Roman" w:hAnsi="Times New Roman"/>
        </w:rPr>
        <w:t>assets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523FAE" w:rsidRPr="00645878">
        <w:rPr>
          <w:rFonts w:ascii="Times New Roman" w:hAnsi="Times New Roman"/>
        </w:rPr>
        <w:t>b</w:t>
      </w:r>
      <w:r w:rsidRPr="00645878">
        <w:rPr>
          <w:rFonts w:ascii="Times New Roman" w:hAnsi="Times New Roman"/>
        </w:rPr>
        <w:t>alance</w:t>
      </w:r>
      <w:r w:rsidR="00900061" w:rsidRPr="00645878">
        <w:rPr>
          <w:rFonts w:ascii="Times New Roman" w:hAnsi="Times New Roman"/>
        </w:rPr>
        <w:t xml:space="preserve"> </w:t>
      </w:r>
      <w:r w:rsidR="00523FAE" w:rsidRPr="00645878">
        <w:rPr>
          <w:rFonts w:ascii="Times New Roman" w:hAnsi="Times New Roman"/>
        </w:rPr>
        <w:t>s</w:t>
      </w:r>
      <w:r w:rsidRPr="00645878">
        <w:rPr>
          <w:rFonts w:ascii="Times New Roman" w:hAnsi="Times New Roman"/>
        </w:rPr>
        <w:t>heet.</w:t>
      </w:r>
      <w:r w:rsidR="00900061" w:rsidRPr="00645878">
        <w:rPr>
          <w:rFonts w:ascii="Times New Roman" w:hAnsi="Times New Roman"/>
        </w:rPr>
        <w:t xml:space="preserve"> </w:t>
      </w:r>
      <w:r w:rsidRPr="00645878">
        <w:rPr>
          <w:rFonts w:ascii="Times New Roman" w:hAnsi="Times New Roman"/>
        </w:rPr>
        <w:t>Main</w:t>
      </w:r>
      <w:r w:rsidR="00900061" w:rsidRPr="00645878">
        <w:rPr>
          <w:rFonts w:ascii="Times New Roman" w:hAnsi="Times New Roman"/>
        </w:rPr>
        <w:t xml:space="preserve"> </w:t>
      </w:r>
      <w:r w:rsidRPr="00645878">
        <w:rPr>
          <w:rFonts w:ascii="Times New Roman" w:hAnsi="Times New Roman"/>
        </w:rPr>
        <w:t>findings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same</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refer</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007019AA" w:rsidRPr="00645878">
        <w:rPr>
          <w:rFonts w:ascii="Times New Roman" w:hAnsi="Times New Roman"/>
        </w:rPr>
        <w:t xml:space="preserve">the </w:t>
      </w:r>
      <w:r w:rsidRPr="00645878">
        <w:rPr>
          <w:rFonts w:ascii="Times New Roman" w:hAnsi="Times New Roman"/>
        </w:rPr>
        <w:t>unsatisfactory</w:t>
      </w:r>
      <w:r w:rsidR="00900061" w:rsidRPr="00645878">
        <w:rPr>
          <w:rFonts w:ascii="Times New Roman" w:hAnsi="Times New Roman"/>
        </w:rPr>
        <w:t xml:space="preserve"> </w:t>
      </w:r>
      <w:r w:rsidRPr="00645878">
        <w:rPr>
          <w:rFonts w:ascii="Times New Roman" w:hAnsi="Times New Roman"/>
        </w:rPr>
        <w:t>establishment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well</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and</w:t>
      </w:r>
      <w:r w:rsidR="00B8350F" w:rsidRPr="00645878">
        <w:rPr>
          <w:rFonts w:ascii="Times New Roman" w:hAnsi="Times New Roman"/>
        </w:rPr>
        <w:t xml:space="preserve"> information technology</w:t>
      </w:r>
      <w:r w:rsidR="00900061" w:rsidRPr="00645878">
        <w:rPr>
          <w:rFonts w:ascii="Times New Roman" w:hAnsi="Times New Roman"/>
        </w:rPr>
        <w:t xml:space="preserve"> </w:t>
      </w:r>
      <w:r w:rsidR="00B8350F" w:rsidRPr="00645878">
        <w:rPr>
          <w:rFonts w:ascii="Times New Roman" w:hAnsi="Times New Roman"/>
        </w:rPr>
        <w:t>(</w:t>
      </w:r>
      <w:r w:rsidRPr="00645878">
        <w:rPr>
          <w:rFonts w:ascii="Times New Roman" w:hAnsi="Times New Roman"/>
        </w:rPr>
        <w:t>IT</w:t>
      </w:r>
      <w:r w:rsidR="00B8350F"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systems.</w:t>
      </w:r>
    </w:p>
    <w:p w14:paraId="03EAE37E" w14:textId="77777777" w:rsidR="004A0A40" w:rsidRPr="00645878" w:rsidRDefault="004A0A40" w:rsidP="00645878">
      <w:pPr>
        <w:pStyle w:val="Heading2"/>
        <w:spacing w:before="120" w:after="120" w:line="240" w:lineRule="auto"/>
        <w:ind w:left="0" w:firstLine="0"/>
      </w:pPr>
      <w:bookmarkStart w:id="6" w:name="_Toc442428951"/>
      <w:r w:rsidRPr="00645878">
        <w:t>Treasury</w:t>
      </w:r>
      <w:r w:rsidR="00900061" w:rsidRPr="00645878">
        <w:t xml:space="preserve"> </w:t>
      </w:r>
      <w:r w:rsidRPr="00645878">
        <w:t>Management</w:t>
      </w:r>
      <w:r w:rsidR="00900061" w:rsidRPr="00645878">
        <w:t xml:space="preserve"> </w:t>
      </w:r>
      <w:r w:rsidRPr="00645878">
        <w:t>and</w:t>
      </w:r>
      <w:r w:rsidR="00900061" w:rsidRPr="00645878">
        <w:t xml:space="preserve"> </w:t>
      </w:r>
      <w:r w:rsidRPr="00645878">
        <w:t>Flow</w:t>
      </w:r>
      <w:r w:rsidR="00900061" w:rsidRPr="00645878">
        <w:t xml:space="preserve"> </w:t>
      </w:r>
      <w:r w:rsidRPr="00645878">
        <w:t>of</w:t>
      </w:r>
      <w:r w:rsidR="00900061" w:rsidRPr="00645878">
        <w:t xml:space="preserve"> </w:t>
      </w:r>
      <w:r w:rsidRPr="00645878">
        <w:t>Funds</w:t>
      </w:r>
      <w:bookmarkEnd w:id="6"/>
    </w:p>
    <w:p w14:paraId="65261863" w14:textId="0AC62035"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Consolidated</w:t>
      </w:r>
      <w:r w:rsidR="00900061" w:rsidRPr="00645878">
        <w:rPr>
          <w:rFonts w:ascii="Times New Roman" w:hAnsi="Times New Roman"/>
          <w:b/>
        </w:rPr>
        <w:t xml:space="preserve"> </w:t>
      </w:r>
      <w:r w:rsidRPr="00645878">
        <w:rPr>
          <w:rFonts w:ascii="Times New Roman" w:hAnsi="Times New Roman"/>
          <w:b/>
        </w:rPr>
        <w:t>Treasury</w:t>
      </w:r>
      <w:r w:rsidR="00900061" w:rsidRPr="00645878">
        <w:rPr>
          <w:rFonts w:ascii="Times New Roman" w:hAnsi="Times New Roman"/>
          <w:b/>
        </w:rPr>
        <w:t xml:space="preserve"> </w:t>
      </w:r>
      <w:r w:rsidRPr="00645878">
        <w:rPr>
          <w:rFonts w:ascii="Times New Roman" w:hAnsi="Times New Roman"/>
          <w:b/>
        </w:rPr>
        <w:t>Account</w:t>
      </w:r>
      <w:r w:rsidR="00900061" w:rsidRPr="00645878">
        <w:rPr>
          <w:rFonts w:ascii="Times New Roman" w:hAnsi="Times New Roman"/>
          <w:b/>
        </w:rPr>
        <w:t xml:space="preserve"> </w:t>
      </w:r>
      <w:r w:rsidRPr="00645878">
        <w:rPr>
          <w:rFonts w:ascii="Times New Roman" w:hAnsi="Times New Roman"/>
          <w:b/>
        </w:rPr>
        <w:t>System</w:t>
      </w:r>
      <w:r w:rsidR="00900061" w:rsidRPr="00645878">
        <w:rPr>
          <w:rFonts w:ascii="Times New Roman" w:hAnsi="Times New Roman"/>
          <w:b/>
        </w:rPr>
        <w:t xml:space="preserve"> </w:t>
      </w:r>
      <w:r w:rsidRPr="00645878">
        <w:rPr>
          <w:rFonts w:ascii="Times New Roman" w:hAnsi="Times New Roman"/>
          <w:b/>
        </w:rPr>
        <w:t>(CTAS)</w:t>
      </w:r>
      <w:r w:rsidR="00900061" w:rsidRPr="00645878">
        <w:rPr>
          <w:rFonts w:ascii="Times New Roman" w:hAnsi="Times New Roman"/>
          <w:b/>
        </w:rPr>
        <w:t xml:space="preserve"> </w:t>
      </w:r>
      <w:r w:rsidRPr="00645878">
        <w:rPr>
          <w:rFonts w:ascii="Times New Roman" w:hAnsi="Times New Roman"/>
          <w:b/>
        </w:rPr>
        <w:t>has</w:t>
      </w:r>
      <w:r w:rsidR="00900061" w:rsidRPr="00645878">
        <w:rPr>
          <w:rFonts w:ascii="Times New Roman" w:hAnsi="Times New Roman"/>
          <w:b/>
        </w:rPr>
        <w:t xml:space="preserve"> </w:t>
      </w:r>
      <w:r w:rsidRPr="00645878">
        <w:rPr>
          <w:rFonts w:ascii="Times New Roman" w:hAnsi="Times New Roman"/>
          <w:b/>
        </w:rPr>
        <w:t>comprehensive</w:t>
      </w:r>
      <w:r w:rsidR="00900061" w:rsidRPr="00645878">
        <w:rPr>
          <w:rFonts w:ascii="Times New Roman" w:hAnsi="Times New Roman"/>
          <w:b/>
        </w:rPr>
        <w:t xml:space="preserve"> </w:t>
      </w:r>
      <w:r w:rsidRPr="00645878">
        <w:rPr>
          <w:rFonts w:ascii="Times New Roman" w:hAnsi="Times New Roman"/>
          <w:b/>
        </w:rPr>
        <w:t>coverage</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functions</w:t>
      </w:r>
      <w:r w:rsidR="00900061" w:rsidRPr="00645878">
        <w:rPr>
          <w:rFonts w:ascii="Times New Roman" w:hAnsi="Times New Roman"/>
          <w:b/>
        </w:rPr>
        <w:t xml:space="preserve"> </w:t>
      </w:r>
      <w:r w:rsidRPr="00645878">
        <w:rPr>
          <w:rFonts w:ascii="Times New Roman" w:hAnsi="Times New Roman"/>
          <w:b/>
        </w:rPr>
        <w:t>efficiently</w:t>
      </w:r>
      <w:r w:rsidR="001F3816"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b/>
        </w:rPr>
        <w:t>hence</w:t>
      </w:r>
      <w:r w:rsidR="001F3816"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b/>
        </w:rPr>
        <w:t>it</w:t>
      </w:r>
      <w:r w:rsidR="00900061" w:rsidRPr="00645878">
        <w:rPr>
          <w:rFonts w:ascii="Times New Roman" w:hAnsi="Times New Roman"/>
          <w:b/>
        </w:rPr>
        <w:t xml:space="preserve"> </w:t>
      </w:r>
      <w:r w:rsidRPr="00645878">
        <w:rPr>
          <w:rFonts w:ascii="Times New Roman" w:hAnsi="Times New Roman"/>
          <w:b/>
        </w:rPr>
        <w:t>will</w:t>
      </w:r>
      <w:r w:rsidR="00900061" w:rsidRPr="00645878">
        <w:rPr>
          <w:rFonts w:ascii="Times New Roman" w:hAnsi="Times New Roman"/>
          <w:b/>
        </w:rPr>
        <w:t xml:space="preserve"> </w:t>
      </w:r>
      <w:r w:rsidRPr="00645878">
        <w:rPr>
          <w:rFonts w:ascii="Times New Roman" w:hAnsi="Times New Roman"/>
          <w:b/>
        </w:rPr>
        <w:t>be</w:t>
      </w:r>
      <w:r w:rsidR="00900061" w:rsidRPr="00645878">
        <w:rPr>
          <w:rFonts w:ascii="Times New Roman" w:hAnsi="Times New Roman"/>
          <w:b/>
        </w:rPr>
        <w:t xml:space="preserve"> </w:t>
      </w:r>
      <w:r w:rsidRPr="00645878">
        <w:rPr>
          <w:rFonts w:ascii="Times New Roman" w:hAnsi="Times New Roman"/>
          <w:b/>
        </w:rPr>
        <w:t>relied</w:t>
      </w:r>
      <w:r w:rsidR="00900061" w:rsidRPr="00645878">
        <w:rPr>
          <w:rFonts w:ascii="Times New Roman" w:hAnsi="Times New Roman"/>
          <w:b/>
        </w:rPr>
        <w:t xml:space="preserve"> </w:t>
      </w:r>
      <w:r w:rsidRPr="00645878">
        <w:rPr>
          <w:rFonts w:ascii="Times New Roman" w:hAnsi="Times New Roman"/>
          <w:b/>
        </w:rPr>
        <w:t>upon</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expenditure</w:t>
      </w:r>
      <w:r w:rsidR="00900061" w:rsidRPr="00645878">
        <w:rPr>
          <w:rFonts w:ascii="Times New Roman" w:hAnsi="Times New Roman"/>
          <w:b/>
        </w:rPr>
        <w:t xml:space="preserve"> </w:t>
      </w:r>
      <w:r w:rsidRPr="00645878">
        <w:rPr>
          <w:rFonts w:ascii="Times New Roman" w:hAnsi="Times New Roman"/>
          <w:b/>
        </w:rPr>
        <w:t>payments</w:t>
      </w:r>
      <w:r w:rsidR="00900061" w:rsidRPr="00645878">
        <w:rPr>
          <w:rFonts w:ascii="Times New Roman" w:hAnsi="Times New Roman"/>
          <w:b/>
        </w:rPr>
        <w:t xml:space="preserve"> </w:t>
      </w:r>
      <w:r w:rsidRPr="00645878">
        <w:rPr>
          <w:rFonts w:ascii="Times New Roman" w:hAnsi="Times New Roman"/>
          <w:b/>
        </w:rPr>
        <w:t>under</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523E74" w:rsidRPr="00645878">
        <w:rPr>
          <w:rFonts w:ascii="Times New Roman" w:hAnsi="Times New Roman"/>
          <w:b/>
        </w:rPr>
        <w:t>P</w:t>
      </w:r>
      <w:r w:rsidRPr="00645878">
        <w:rPr>
          <w:rFonts w:ascii="Times New Roman" w:hAnsi="Times New Roman"/>
          <w:b/>
        </w:rPr>
        <w:t>rogram.</w:t>
      </w:r>
      <w:r w:rsidR="00900061" w:rsidRPr="00645878">
        <w:rPr>
          <w:rFonts w:ascii="Times New Roman" w:hAnsi="Times New Roman"/>
          <w:b/>
        </w:rPr>
        <w:t xml:space="preserve"> </w:t>
      </w:r>
      <w:r w:rsidRPr="00645878">
        <w:rPr>
          <w:rFonts w:ascii="Times New Roman" w:hAnsi="Times New Roman"/>
        </w:rPr>
        <w:t>All</w:t>
      </w:r>
      <w:r w:rsidR="00900061" w:rsidRPr="00645878">
        <w:rPr>
          <w:rFonts w:ascii="Times New Roman" w:hAnsi="Times New Roman"/>
        </w:rPr>
        <w:t xml:space="preserve"> </w:t>
      </w:r>
      <w:r w:rsidR="00523E74"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integrated</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00142260" w:rsidRPr="00645878">
        <w:rPr>
          <w:rFonts w:ascii="Times New Roman" w:hAnsi="Times New Roman"/>
        </w:rPr>
        <w:t xml:space="preserve">the </w:t>
      </w:r>
      <w:r w:rsidRPr="00645878">
        <w:rPr>
          <w:rFonts w:ascii="Times New Roman" w:hAnsi="Times New Roman"/>
        </w:rPr>
        <w:t>CTAS.</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includes</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cash</w:t>
      </w:r>
      <w:r w:rsidR="00900061" w:rsidRPr="00645878">
        <w:rPr>
          <w:rFonts w:ascii="Times New Roman" w:hAnsi="Times New Roman"/>
        </w:rPr>
        <w:t xml:space="preserve"> </w:t>
      </w:r>
      <w:r w:rsidRPr="00645878">
        <w:rPr>
          <w:rFonts w:ascii="Times New Roman" w:hAnsi="Times New Roman"/>
        </w:rPr>
        <w:t>resources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captures</w:t>
      </w:r>
      <w:r w:rsidR="00900061" w:rsidRPr="00645878">
        <w:rPr>
          <w:rFonts w:ascii="Times New Roman" w:hAnsi="Times New Roman"/>
        </w:rPr>
        <w:t xml:space="preserve"> </w:t>
      </w:r>
      <w:r w:rsidRPr="00645878">
        <w:rPr>
          <w:rFonts w:ascii="Times New Roman" w:hAnsi="Times New Roman"/>
        </w:rPr>
        <w:t>cash</w:t>
      </w:r>
      <w:r w:rsidR="00900061" w:rsidRPr="00645878">
        <w:rPr>
          <w:rFonts w:ascii="Times New Roman" w:hAnsi="Times New Roman"/>
        </w:rPr>
        <w:t xml:space="preserve"> </w:t>
      </w:r>
      <w:r w:rsidRPr="00645878">
        <w:rPr>
          <w:rFonts w:ascii="Times New Roman" w:hAnsi="Times New Roman"/>
        </w:rPr>
        <w:t>flows</w:t>
      </w:r>
      <w:r w:rsidR="00900061" w:rsidRPr="00645878">
        <w:rPr>
          <w:rFonts w:ascii="Times New Roman" w:hAnsi="Times New Roman"/>
        </w:rPr>
        <w:t xml:space="preserve"> </w:t>
      </w:r>
      <w:r w:rsidRPr="00645878">
        <w:rPr>
          <w:rFonts w:ascii="Times New Roman" w:hAnsi="Times New Roman"/>
        </w:rPr>
        <w:t>related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revenue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expenditure.</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CTAS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single</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consolidated</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accounts</w:t>
      </w:r>
      <w:r w:rsidR="005D0BB9" w:rsidRPr="00645878">
        <w:rPr>
          <w:rFonts w:ascii="Times New Roman" w:hAnsi="Times New Roman"/>
        </w:rPr>
        <w:t xml:space="preserve"> (CTAs)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Republic</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Serbia</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00183FED" w:rsidRPr="00645878">
        <w:rPr>
          <w:rFonts w:ascii="Times New Roman" w:hAnsi="Times New Roman"/>
        </w:rPr>
        <w:t xml:space="preserve">the </w:t>
      </w:r>
      <w:r w:rsidRPr="00645878">
        <w:rPr>
          <w:rFonts w:ascii="Times New Roman" w:hAnsi="Times New Roman"/>
        </w:rPr>
        <w:t>local</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treasuries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Serbian</w:t>
      </w:r>
      <w:r w:rsidR="00900061" w:rsidRPr="00645878">
        <w:rPr>
          <w:rFonts w:ascii="Times New Roman" w:hAnsi="Times New Roman"/>
        </w:rPr>
        <w:t xml:space="preserve"> </w:t>
      </w:r>
      <w:r w:rsidRPr="00645878">
        <w:rPr>
          <w:rFonts w:ascii="Times New Roman" w:hAnsi="Times New Roman"/>
        </w:rPr>
        <w:t>dinars</w:t>
      </w:r>
      <w:r w:rsidR="00900061" w:rsidRPr="00645878">
        <w:rPr>
          <w:rFonts w:ascii="Times New Roman" w:hAnsi="Times New Roman"/>
        </w:rPr>
        <w:t xml:space="preserve"> </w:t>
      </w:r>
      <w:r w:rsidRPr="00645878">
        <w:rPr>
          <w:rFonts w:ascii="Times New Roman" w:hAnsi="Times New Roman"/>
        </w:rPr>
        <w:t>(RSD).</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managed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CA575C" w:rsidRPr="00645878">
        <w:rPr>
          <w:rFonts w:ascii="Times New Roman" w:hAnsi="Times New Roman"/>
        </w:rPr>
        <w:t>TA</w:t>
      </w:r>
      <w:r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used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execution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Mandatory</w:t>
      </w:r>
      <w:r w:rsidR="00900061" w:rsidRPr="00645878">
        <w:rPr>
          <w:rFonts w:ascii="Times New Roman" w:hAnsi="Times New Roman"/>
        </w:rPr>
        <w:t xml:space="preserve"> </w:t>
      </w:r>
      <w:r w:rsidRPr="00645878">
        <w:rPr>
          <w:rFonts w:ascii="Times New Roman" w:hAnsi="Times New Roman"/>
        </w:rPr>
        <w:t>Social</w:t>
      </w:r>
      <w:r w:rsidR="00900061" w:rsidRPr="00645878">
        <w:rPr>
          <w:rFonts w:ascii="Times New Roman" w:hAnsi="Times New Roman"/>
        </w:rPr>
        <w:t xml:space="preserve"> </w:t>
      </w:r>
      <w:r w:rsidRPr="00645878">
        <w:rPr>
          <w:rFonts w:ascii="Times New Roman" w:hAnsi="Times New Roman"/>
        </w:rPr>
        <w:t>Security</w:t>
      </w:r>
      <w:r w:rsidR="00900061" w:rsidRPr="00645878">
        <w:rPr>
          <w:rFonts w:ascii="Times New Roman" w:hAnsi="Times New Roman"/>
        </w:rPr>
        <w:t xml:space="preserve"> </w:t>
      </w:r>
      <w:r w:rsidRPr="00645878">
        <w:rPr>
          <w:rFonts w:ascii="Times New Roman" w:hAnsi="Times New Roman"/>
        </w:rPr>
        <w:t>Insurance</w:t>
      </w:r>
      <w:r w:rsidR="00900061" w:rsidRPr="00645878">
        <w:rPr>
          <w:rFonts w:ascii="Times New Roman" w:hAnsi="Times New Roman"/>
        </w:rPr>
        <w:t xml:space="preserve"> </w:t>
      </w:r>
      <w:r w:rsidRPr="00645878">
        <w:rPr>
          <w:rFonts w:ascii="Times New Roman" w:hAnsi="Times New Roman"/>
        </w:rPr>
        <w:t>Organizations</w:t>
      </w:r>
      <w:r w:rsidR="0006756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other</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CTAS,</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interbank</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operating</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RSD</w:t>
      </w:r>
      <w:r w:rsidR="00900061" w:rsidRPr="00645878">
        <w:rPr>
          <w:rFonts w:ascii="Times New Roman" w:hAnsi="Times New Roman"/>
        </w:rPr>
        <w:t xml:space="preserve"> </w:t>
      </w:r>
      <w:r w:rsidRPr="00645878">
        <w:rPr>
          <w:rFonts w:ascii="Times New Roman" w:hAnsi="Times New Roman"/>
        </w:rPr>
        <w:t>CTAS.</w:t>
      </w:r>
      <w:r w:rsidR="00900061" w:rsidRPr="00645878">
        <w:rPr>
          <w:rFonts w:ascii="Times New Roman" w:hAnsi="Times New Roman"/>
        </w:rPr>
        <w:t xml:space="preserve"> </w:t>
      </w:r>
      <w:r w:rsidRPr="00645878">
        <w:rPr>
          <w:rFonts w:ascii="Times New Roman" w:hAnsi="Times New Roman"/>
        </w:rPr>
        <w:t>Foreign</w:t>
      </w:r>
      <w:r w:rsidR="00900061" w:rsidRPr="00645878">
        <w:rPr>
          <w:rFonts w:ascii="Times New Roman" w:hAnsi="Times New Roman"/>
        </w:rPr>
        <w:t xml:space="preserve"> </w:t>
      </w:r>
      <w:r w:rsidRPr="00645878">
        <w:rPr>
          <w:rFonts w:ascii="Times New Roman" w:hAnsi="Times New Roman"/>
        </w:rPr>
        <w:t>currency</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yet</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integrated</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CTA,</w:t>
      </w:r>
      <w:r w:rsidR="00900061" w:rsidRPr="00645878">
        <w:rPr>
          <w:rFonts w:ascii="Times New Roman" w:hAnsi="Times New Roman"/>
        </w:rPr>
        <w:t xml:space="preserve"> </w:t>
      </w:r>
      <w:r w:rsidRPr="00645878">
        <w:rPr>
          <w:rFonts w:ascii="Times New Roman" w:hAnsi="Times New Roman"/>
        </w:rPr>
        <w:t>so</w:t>
      </w:r>
      <w:r w:rsidR="00900061" w:rsidRPr="00645878">
        <w:rPr>
          <w:rFonts w:ascii="Times New Roman" w:hAnsi="Times New Roman"/>
        </w:rPr>
        <w:t xml:space="preserve"> </w:t>
      </w:r>
      <w:r w:rsidRPr="00645878">
        <w:rPr>
          <w:rFonts w:ascii="Times New Roman" w:hAnsi="Times New Roman"/>
        </w:rPr>
        <w:t>foreign</w:t>
      </w:r>
      <w:r w:rsidR="00900061" w:rsidRPr="00645878">
        <w:rPr>
          <w:rFonts w:ascii="Times New Roman" w:hAnsi="Times New Roman"/>
        </w:rPr>
        <w:t xml:space="preserve"> </w:t>
      </w:r>
      <w:r w:rsidRPr="00645878">
        <w:rPr>
          <w:rFonts w:ascii="Times New Roman" w:hAnsi="Times New Roman"/>
        </w:rPr>
        <w:t>currency</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consolidated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Treasury</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only</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certain</w:t>
      </w:r>
      <w:r w:rsidR="00900061" w:rsidRPr="00645878">
        <w:rPr>
          <w:rFonts w:ascii="Times New Roman" w:hAnsi="Times New Roman"/>
        </w:rPr>
        <w:t xml:space="preserve"> </w:t>
      </w:r>
      <w:r w:rsidRPr="00645878">
        <w:rPr>
          <w:rFonts w:ascii="Times New Roman" w:hAnsi="Times New Roman"/>
        </w:rPr>
        <w:t>intervals.</w:t>
      </w:r>
      <w:r w:rsidR="00900061" w:rsidRPr="00645878">
        <w:rPr>
          <w:rFonts w:ascii="Times New Roman" w:hAnsi="Times New Roman"/>
        </w:rPr>
        <w:t xml:space="preserve"> </w:t>
      </w:r>
      <w:r w:rsidRPr="00645878">
        <w:rPr>
          <w:rFonts w:ascii="Times New Roman" w:hAnsi="Times New Roman"/>
        </w:rPr>
        <w:t>Integration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these</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CTA</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one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next</w:t>
      </w:r>
      <w:r w:rsidR="00900061" w:rsidRPr="00645878">
        <w:rPr>
          <w:rFonts w:ascii="Times New Roman" w:hAnsi="Times New Roman"/>
        </w:rPr>
        <w:t xml:space="preserve"> </w:t>
      </w:r>
      <w:r w:rsidRPr="00645878">
        <w:rPr>
          <w:rFonts w:ascii="Times New Roman" w:hAnsi="Times New Roman"/>
        </w:rPr>
        <w:t>steps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Pr="00645878">
        <w:rPr>
          <w:rFonts w:ascii="Times New Roman" w:hAnsi="Times New Roman"/>
        </w:rPr>
        <w:t>’s</w:t>
      </w:r>
      <w:r w:rsidR="00900061" w:rsidRPr="00645878">
        <w:rPr>
          <w:rFonts w:ascii="Times New Roman" w:hAnsi="Times New Roman"/>
        </w:rPr>
        <w:t xml:space="preserve"> </w:t>
      </w:r>
      <w:r w:rsidRPr="00645878">
        <w:rPr>
          <w:rFonts w:ascii="Times New Roman" w:hAnsi="Times New Roman"/>
        </w:rPr>
        <w:t>reform</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it</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expected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implemented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2016.</w:t>
      </w:r>
    </w:p>
    <w:p w14:paraId="01826FFA" w14:textId="2E7D2ED2" w:rsidR="00094991" w:rsidRPr="00645878" w:rsidRDefault="0090006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rPr>
        <w:t xml:space="preserve"> </w:t>
      </w:r>
      <w:r w:rsidR="00094991" w:rsidRPr="00645878">
        <w:rPr>
          <w:rFonts w:ascii="Times New Roman" w:hAnsi="Times New Roman"/>
          <w:b/>
        </w:rPr>
        <w:t>Annual</w:t>
      </w:r>
      <w:r w:rsidRPr="00645878">
        <w:rPr>
          <w:rFonts w:ascii="Times New Roman" w:hAnsi="Times New Roman"/>
          <w:b/>
        </w:rPr>
        <w:t xml:space="preserve"> </w:t>
      </w:r>
      <w:r w:rsidR="00094991" w:rsidRPr="00645878">
        <w:rPr>
          <w:rFonts w:ascii="Times New Roman" w:hAnsi="Times New Roman"/>
          <w:b/>
        </w:rPr>
        <w:t>budget</w:t>
      </w:r>
      <w:r w:rsidRPr="00645878">
        <w:rPr>
          <w:rFonts w:ascii="Times New Roman" w:hAnsi="Times New Roman"/>
          <w:b/>
        </w:rPr>
        <w:t xml:space="preserve"> </w:t>
      </w:r>
      <w:r w:rsidR="00094991" w:rsidRPr="00645878">
        <w:rPr>
          <w:rFonts w:ascii="Times New Roman" w:hAnsi="Times New Roman"/>
          <w:b/>
        </w:rPr>
        <w:t>execution</w:t>
      </w:r>
      <w:r w:rsidRPr="00645878">
        <w:rPr>
          <w:rFonts w:ascii="Times New Roman" w:hAnsi="Times New Roman"/>
          <w:b/>
        </w:rPr>
        <w:t xml:space="preserve"> </w:t>
      </w:r>
      <w:r w:rsidR="00094991" w:rsidRPr="00645878">
        <w:rPr>
          <w:rFonts w:ascii="Times New Roman" w:hAnsi="Times New Roman"/>
          <w:b/>
        </w:rPr>
        <w:t>for</w:t>
      </w:r>
      <w:r w:rsidRPr="00645878">
        <w:rPr>
          <w:rFonts w:ascii="Times New Roman" w:hAnsi="Times New Roman"/>
          <w:b/>
        </w:rPr>
        <w:t xml:space="preserve"> </w:t>
      </w:r>
      <w:r w:rsidR="008D14C4" w:rsidRPr="00645878">
        <w:rPr>
          <w:rFonts w:ascii="Times New Roman" w:hAnsi="Times New Roman"/>
          <w:b/>
        </w:rPr>
        <w:t>DBBs</w:t>
      </w:r>
      <w:r w:rsidR="00094991" w:rsidRPr="00645878">
        <w:rPr>
          <w:rFonts w:ascii="Times New Roman" w:hAnsi="Times New Roman"/>
          <w:b/>
        </w:rPr>
        <w:t>,</w:t>
      </w:r>
      <w:r w:rsidRPr="00645878">
        <w:rPr>
          <w:rFonts w:ascii="Times New Roman" w:hAnsi="Times New Roman"/>
          <w:b/>
        </w:rPr>
        <w:t xml:space="preserve"> </w:t>
      </w:r>
      <w:r w:rsidR="00094991" w:rsidRPr="00645878">
        <w:rPr>
          <w:rFonts w:ascii="Times New Roman" w:hAnsi="Times New Roman"/>
          <w:b/>
        </w:rPr>
        <w:t>including</w:t>
      </w:r>
      <w:r w:rsidRPr="00645878">
        <w:rPr>
          <w:rFonts w:ascii="Times New Roman" w:hAnsi="Times New Roman"/>
          <w:b/>
        </w:rPr>
        <w:t xml:space="preserve"> </w:t>
      </w:r>
      <w:r w:rsidR="00410243" w:rsidRPr="00645878">
        <w:rPr>
          <w:rFonts w:ascii="Times New Roman" w:hAnsi="Times New Roman"/>
          <w:b/>
        </w:rPr>
        <w:t xml:space="preserve">the </w:t>
      </w:r>
      <w:r w:rsidR="00DB506F" w:rsidRPr="00645878">
        <w:rPr>
          <w:rFonts w:ascii="Times New Roman" w:hAnsi="Times New Roman"/>
          <w:b/>
        </w:rPr>
        <w:t>P</w:t>
      </w:r>
      <w:r w:rsidR="00094991" w:rsidRPr="00645878">
        <w:rPr>
          <w:rFonts w:ascii="Times New Roman" w:hAnsi="Times New Roman"/>
          <w:b/>
        </w:rPr>
        <w:t>rogram</w:t>
      </w:r>
      <w:r w:rsidRPr="00645878">
        <w:rPr>
          <w:rFonts w:ascii="Times New Roman" w:hAnsi="Times New Roman"/>
          <w:b/>
        </w:rPr>
        <w:t xml:space="preserve"> </w:t>
      </w:r>
      <w:r w:rsidR="00094991" w:rsidRPr="00645878">
        <w:rPr>
          <w:rFonts w:ascii="Times New Roman" w:hAnsi="Times New Roman"/>
          <w:b/>
        </w:rPr>
        <w:t>implementing</w:t>
      </w:r>
      <w:r w:rsidRPr="00645878">
        <w:rPr>
          <w:rFonts w:ascii="Times New Roman" w:hAnsi="Times New Roman"/>
          <w:b/>
        </w:rPr>
        <w:t xml:space="preserve"> </w:t>
      </w:r>
      <w:r w:rsidR="00094991" w:rsidRPr="00645878">
        <w:rPr>
          <w:rFonts w:ascii="Times New Roman" w:hAnsi="Times New Roman"/>
          <w:b/>
        </w:rPr>
        <w:t>entities,</w:t>
      </w:r>
      <w:r w:rsidRPr="00645878">
        <w:rPr>
          <w:rFonts w:ascii="Times New Roman" w:hAnsi="Times New Roman"/>
          <w:b/>
        </w:rPr>
        <w:t xml:space="preserve"> </w:t>
      </w:r>
      <w:r w:rsidR="00094991" w:rsidRPr="00645878">
        <w:rPr>
          <w:rFonts w:ascii="Times New Roman" w:hAnsi="Times New Roman"/>
          <w:b/>
        </w:rPr>
        <w:t>is</w:t>
      </w:r>
      <w:r w:rsidRPr="00645878">
        <w:rPr>
          <w:rFonts w:ascii="Times New Roman" w:hAnsi="Times New Roman"/>
          <w:b/>
        </w:rPr>
        <w:t xml:space="preserve"> </w:t>
      </w:r>
      <w:r w:rsidR="00094991" w:rsidRPr="00645878">
        <w:rPr>
          <w:rFonts w:ascii="Times New Roman" w:hAnsi="Times New Roman"/>
          <w:b/>
        </w:rPr>
        <w:t>orderly.</w:t>
      </w:r>
      <w:r w:rsidRPr="00645878">
        <w:rPr>
          <w:rFonts w:ascii="Times New Roman" w:hAnsi="Times New Roman"/>
        </w:rPr>
        <w:t xml:space="preserve"> </w:t>
      </w:r>
      <w:r w:rsidR="00094991" w:rsidRPr="00645878">
        <w:rPr>
          <w:rFonts w:ascii="Times New Roman" w:hAnsi="Times New Roman"/>
        </w:rPr>
        <w:t>Annual</w:t>
      </w:r>
      <w:r w:rsidRPr="00645878">
        <w:rPr>
          <w:rFonts w:ascii="Times New Roman" w:hAnsi="Times New Roman"/>
        </w:rPr>
        <w:t xml:space="preserve"> </w:t>
      </w:r>
      <w:r w:rsidR="00094991" w:rsidRPr="00645878">
        <w:rPr>
          <w:rFonts w:ascii="Times New Roman" w:hAnsi="Times New Roman"/>
        </w:rPr>
        <w:t>budget</w:t>
      </w:r>
      <w:r w:rsidRPr="00645878">
        <w:rPr>
          <w:rFonts w:ascii="Times New Roman" w:hAnsi="Times New Roman"/>
        </w:rPr>
        <w:t xml:space="preserve"> </w:t>
      </w:r>
      <w:r w:rsidR="00094991" w:rsidRPr="00645878">
        <w:rPr>
          <w:rFonts w:ascii="Times New Roman" w:hAnsi="Times New Roman"/>
        </w:rPr>
        <w:t>is</w:t>
      </w:r>
      <w:r w:rsidRPr="00645878">
        <w:rPr>
          <w:rFonts w:ascii="Times New Roman" w:hAnsi="Times New Roman"/>
        </w:rPr>
        <w:t xml:space="preserve"> </w:t>
      </w:r>
      <w:r w:rsidR="00094991" w:rsidRPr="00645878">
        <w:rPr>
          <w:rFonts w:ascii="Times New Roman" w:hAnsi="Times New Roman"/>
        </w:rPr>
        <w:t>executed</w:t>
      </w:r>
      <w:r w:rsidRPr="00645878">
        <w:rPr>
          <w:rFonts w:ascii="Times New Roman" w:hAnsi="Times New Roman"/>
        </w:rPr>
        <w:t xml:space="preserve"> </w:t>
      </w:r>
      <w:r w:rsidR="00094991" w:rsidRPr="00645878">
        <w:rPr>
          <w:rFonts w:ascii="Times New Roman" w:hAnsi="Times New Roman"/>
        </w:rPr>
        <w:t>through</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eastAsiaTheme="minorHAnsi" w:hAnsi="Times New Roman"/>
        </w:rPr>
        <w:t>BES</w:t>
      </w:r>
      <w:r w:rsidR="00094991" w:rsidRPr="00645878">
        <w:rPr>
          <w:rFonts w:ascii="Times New Roman" w:hAnsi="Times New Roman"/>
        </w:rPr>
        <w:t>,</w:t>
      </w:r>
      <w:r w:rsidRPr="00645878">
        <w:rPr>
          <w:rFonts w:ascii="Times New Roman" w:hAnsi="Times New Roman"/>
        </w:rPr>
        <w:t xml:space="preserve"> </w:t>
      </w:r>
      <w:r w:rsidR="00B71C7F" w:rsidRPr="00645878">
        <w:rPr>
          <w:rFonts w:ascii="Times New Roman" w:hAnsi="Times New Roman"/>
        </w:rPr>
        <w:t>that is,</w:t>
      </w:r>
      <w:r w:rsidRPr="00645878">
        <w:rPr>
          <w:rFonts w:ascii="Times New Roman" w:eastAsiaTheme="minorHAnsi" w:hAnsi="Times New Roman"/>
        </w:rPr>
        <w:t xml:space="preserve"> </w:t>
      </w:r>
      <w:r w:rsidR="00A25214" w:rsidRPr="00645878">
        <w:rPr>
          <w:rFonts w:ascii="Times New Roman" w:eastAsiaTheme="minorHAnsi" w:hAnsi="Times New Roman"/>
        </w:rPr>
        <w:t xml:space="preserve">the </w:t>
      </w:r>
      <w:r w:rsidR="00094991" w:rsidRPr="00645878">
        <w:rPr>
          <w:rFonts w:ascii="Times New Roman" w:eastAsiaTheme="minorHAnsi" w:hAnsi="Times New Roman"/>
        </w:rPr>
        <w:t>software</w:t>
      </w:r>
      <w:r w:rsidRPr="00645878">
        <w:rPr>
          <w:rFonts w:ascii="Times New Roman" w:eastAsiaTheme="minorHAnsi" w:hAnsi="Times New Roman"/>
        </w:rPr>
        <w:t xml:space="preserve"> </w:t>
      </w:r>
      <w:r w:rsidR="00094991" w:rsidRPr="00645878">
        <w:rPr>
          <w:rFonts w:ascii="Times New Roman" w:eastAsiaTheme="minorHAnsi" w:hAnsi="Times New Roman"/>
        </w:rPr>
        <w:t>application</w:t>
      </w:r>
      <w:r w:rsidRPr="00645878">
        <w:rPr>
          <w:rFonts w:ascii="Times New Roman" w:eastAsiaTheme="minorHAnsi" w:hAnsi="Times New Roman"/>
        </w:rPr>
        <w:t xml:space="preserve"> </w:t>
      </w:r>
      <w:r w:rsidR="00094991" w:rsidRPr="00645878">
        <w:rPr>
          <w:rFonts w:ascii="Times New Roman" w:eastAsiaTheme="minorHAnsi" w:hAnsi="Times New Roman"/>
        </w:rPr>
        <w:t>FMIS</w:t>
      </w:r>
      <w:r w:rsidRPr="00645878">
        <w:rPr>
          <w:rFonts w:ascii="Times New Roman" w:hAnsi="Times New Roman"/>
        </w:rPr>
        <w:t xml:space="preserve"> </w:t>
      </w:r>
      <w:r w:rsidR="00094991" w:rsidRPr="00645878">
        <w:rPr>
          <w:rFonts w:ascii="Times New Roman" w:hAnsi="Times New Roman"/>
        </w:rPr>
        <w:t>which</w:t>
      </w:r>
      <w:r w:rsidRPr="00645878">
        <w:rPr>
          <w:rFonts w:ascii="Times New Roman" w:hAnsi="Times New Roman"/>
        </w:rPr>
        <w:t xml:space="preserve"> </w:t>
      </w:r>
      <w:r w:rsidR="00094991" w:rsidRPr="00645878">
        <w:rPr>
          <w:rFonts w:ascii="Times New Roman" w:hAnsi="Times New Roman"/>
        </w:rPr>
        <w:t>is</w:t>
      </w:r>
      <w:r w:rsidRPr="00645878">
        <w:rPr>
          <w:rFonts w:ascii="Times New Roman" w:hAnsi="Times New Roman"/>
        </w:rPr>
        <w:t xml:space="preserve"> </w:t>
      </w:r>
      <w:r w:rsidR="00094991" w:rsidRPr="00645878">
        <w:rPr>
          <w:rFonts w:ascii="Times New Roman" w:hAnsi="Times New Roman"/>
        </w:rPr>
        <w:t>managed</w:t>
      </w:r>
      <w:r w:rsidRPr="00645878">
        <w:rPr>
          <w:rFonts w:ascii="Times New Roman" w:hAnsi="Times New Roman"/>
        </w:rPr>
        <w:t xml:space="preserve"> </w:t>
      </w:r>
      <w:r w:rsidR="00094991" w:rsidRPr="00645878">
        <w:rPr>
          <w:rFonts w:ascii="Times New Roman" w:hAnsi="Times New Roman"/>
        </w:rPr>
        <w:t>by</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TA.</w:t>
      </w:r>
      <w:r w:rsidRPr="00645878">
        <w:rPr>
          <w:rFonts w:ascii="Times New Roman" w:hAnsi="Times New Roman"/>
        </w:rPr>
        <w:t xml:space="preserve"> </w:t>
      </w:r>
      <w:r w:rsidR="00094991" w:rsidRPr="00645878">
        <w:rPr>
          <w:rFonts w:ascii="Times New Roman" w:hAnsi="Times New Roman"/>
        </w:rPr>
        <w:t>As</w:t>
      </w:r>
      <w:r w:rsidRPr="00645878">
        <w:rPr>
          <w:rFonts w:ascii="Times New Roman" w:hAnsi="Times New Roman"/>
        </w:rPr>
        <w:t xml:space="preserve"> </w:t>
      </w:r>
      <w:r w:rsidR="00094991" w:rsidRPr="00645878">
        <w:rPr>
          <w:rFonts w:ascii="Times New Roman" w:hAnsi="Times New Roman"/>
        </w:rPr>
        <w:t>of</w:t>
      </w:r>
      <w:r w:rsidRPr="00645878">
        <w:rPr>
          <w:rFonts w:ascii="Times New Roman" w:hAnsi="Times New Roman"/>
        </w:rPr>
        <w:t xml:space="preserve"> </w:t>
      </w:r>
      <w:r w:rsidR="00094991" w:rsidRPr="00645878">
        <w:rPr>
          <w:rFonts w:ascii="Times New Roman" w:hAnsi="Times New Roman"/>
        </w:rPr>
        <w:t>2015,</w:t>
      </w:r>
      <w:r w:rsidRPr="00645878">
        <w:rPr>
          <w:rFonts w:ascii="Times New Roman" w:hAnsi="Times New Roman"/>
        </w:rPr>
        <w:t xml:space="preserve"> </w:t>
      </w:r>
      <w:r w:rsidR="00094991" w:rsidRPr="00645878">
        <w:rPr>
          <w:rFonts w:ascii="Times New Roman" w:hAnsi="Times New Roman"/>
        </w:rPr>
        <w:t>it</w:t>
      </w:r>
      <w:r w:rsidRPr="00645878">
        <w:rPr>
          <w:rFonts w:ascii="Times New Roman" w:hAnsi="Times New Roman"/>
        </w:rPr>
        <w:t xml:space="preserve"> </w:t>
      </w:r>
      <w:r w:rsidR="00094991" w:rsidRPr="00645878">
        <w:rPr>
          <w:rFonts w:ascii="Times New Roman" w:hAnsi="Times New Roman"/>
        </w:rPr>
        <w:t>covers</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8D14C4" w:rsidRPr="00645878">
        <w:rPr>
          <w:rFonts w:ascii="Times New Roman" w:hAnsi="Times New Roman"/>
        </w:rPr>
        <w:t>DBBs</w:t>
      </w:r>
      <w:r w:rsidRPr="00645878">
        <w:rPr>
          <w:rFonts w:ascii="Times New Roman" w:hAnsi="Times New Roman"/>
        </w:rPr>
        <w:t xml:space="preserve"> </w:t>
      </w:r>
      <w:r w:rsidR="00094991" w:rsidRPr="00645878">
        <w:rPr>
          <w:rFonts w:ascii="Times New Roman" w:hAnsi="Times New Roman"/>
        </w:rPr>
        <w:t>but</w:t>
      </w:r>
      <w:r w:rsidRPr="00645878">
        <w:rPr>
          <w:rFonts w:ascii="Times New Roman" w:hAnsi="Times New Roman"/>
        </w:rPr>
        <w:t xml:space="preserve"> </w:t>
      </w:r>
      <w:r w:rsidR="00094991" w:rsidRPr="00645878">
        <w:rPr>
          <w:rFonts w:ascii="Times New Roman" w:hAnsi="Times New Roman"/>
        </w:rPr>
        <w:t>not</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E625DE" w:rsidRPr="00645878">
        <w:rPr>
          <w:rFonts w:ascii="Times New Roman" w:hAnsi="Times New Roman"/>
        </w:rPr>
        <w:t>IBBs</w:t>
      </w:r>
      <w:r w:rsidR="00094991" w:rsidRPr="00645878">
        <w:rPr>
          <w:rFonts w:ascii="Times New Roman" w:hAnsi="Times New Roman"/>
        </w:rPr>
        <w:t>.</w:t>
      </w:r>
      <w:r w:rsidRPr="00645878">
        <w:rPr>
          <w:rFonts w:ascii="Times New Roman" w:hAnsi="Times New Roman"/>
        </w:rPr>
        <w:t xml:space="preserve"> </w:t>
      </w:r>
      <w:r w:rsidR="00FE046A" w:rsidRPr="00645878">
        <w:rPr>
          <w:rFonts w:ascii="Times New Roman" w:hAnsi="Times New Roman"/>
        </w:rPr>
        <w:t xml:space="preserve">Although the treasury does process their payment requests since IBBs do make part of consolidated treasury account, they are not part of budget execution system in FMIS, and their budget execution is not monitored timely. </w:t>
      </w:r>
      <w:r w:rsidR="00094991" w:rsidRPr="00645878">
        <w:rPr>
          <w:rFonts w:ascii="Times New Roman" w:hAnsi="Times New Roman"/>
        </w:rPr>
        <w:t>Implementation</w:t>
      </w:r>
      <w:r w:rsidRPr="00645878">
        <w:rPr>
          <w:rFonts w:ascii="Times New Roman" w:hAnsi="Times New Roman"/>
        </w:rPr>
        <w:t xml:space="preserve"> </w:t>
      </w:r>
      <w:r w:rsidR="00094991" w:rsidRPr="00645878">
        <w:rPr>
          <w:rFonts w:ascii="Times New Roman" w:hAnsi="Times New Roman"/>
        </w:rPr>
        <w:t>of</w:t>
      </w:r>
      <w:r w:rsidRPr="00645878">
        <w:rPr>
          <w:rFonts w:ascii="Times New Roman" w:hAnsi="Times New Roman"/>
        </w:rPr>
        <w:t xml:space="preserve"> </w:t>
      </w:r>
      <w:r w:rsidR="00094991" w:rsidRPr="00645878">
        <w:rPr>
          <w:rFonts w:ascii="Times New Roman" w:hAnsi="Times New Roman"/>
        </w:rPr>
        <w:t>earlier</w:t>
      </w:r>
      <w:r w:rsidRPr="00645878">
        <w:rPr>
          <w:rFonts w:ascii="Times New Roman" w:hAnsi="Times New Roman"/>
        </w:rPr>
        <w:t xml:space="preserve"> </w:t>
      </w:r>
      <w:r w:rsidR="00094991" w:rsidRPr="00645878">
        <w:rPr>
          <w:rFonts w:ascii="Times New Roman" w:hAnsi="Times New Roman"/>
        </w:rPr>
        <w:t>plans</w:t>
      </w:r>
      <w:r w:rsidRPr="00645878">
        <w:rPr>
          <w:rFonts w:ascii="Times New Roman" w:hAnsi="Times New Roman"/>
        </w:rPr>
        <w:t xml:space="preserve"> </w:t>
      </w:r>
      <w:r w:rsidR="00094991" w:rsidRPr="00645878">
        <w:rPr>
          <w:rFonts w:ascii="Times New Roman" w:hAnsi="Times New Roman"/>
        </w:rPr>
        <w:t>to</w:t>
      </w:r>
      <w:r w:rsidRPr="00645878">
        <w:rPr>
          <w:rFonts w:ascii="Times New Roman" w:hAnsi="Times New Roman"/>
        </w:rPr>
        <w:t xml:space="preserve"> </w:t>
      </w:r>
      <w:r w:rsidR="00094991" w:rsidRPr="00645878">
        <w:rPr>
          <w:rFonts w:ascii="Times New Roman" w:hAnsi="Times New Roman"/>
        </w:rPr>
        <w:t>extend</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coverage</w:t>
      </w:r>
      <w:r w:rsidRPr="00645878">
        <w:rPr>
          <w:rFonts w:ascii="Times New Roman" w:hAnsi="Times New Roman"/>
        </w:rPr>
        <w:t xml:space="preserve"> </w:t>
      </w:r>
      <w:r w:rsidR="00094991" w:rsidRPr="00645878">
        <w:rPr>
          <w:rFonts w:ascii="Times New Roman" w:hAnsi="Times New Roman"/>
        </w:rPr>
        <w:t>to</w:t>
      </w:r>
      <w:r w:rsidRPr="00645878">
        <w:rPr>
          <w:rFonts w:ascii="Times New Roman" w:hAnsi="Times New Roman"/>
        </w:rPr>
        <w:t xml:space="preserve"> </w:t>
      </w:r>
      <w:r w:rsidR="00E625DE" w:rsidRPr="00645878">
        <w:rPr>
          <w:rFonts w:ascii="Times New Roman" w:hAnsi="Times New Roman"/>
        </w:rPr>
        <w:t>IBBs</w:t>
      </w:r>
      <w:r w:rsidRPr="00645878">
        <w:rPr>
          <w:rFonts w:ascii="Times New Roman" w:hAnsi="Times New Roman"/>
        </w:rPr>
        <w:t xml:space="preserve"> </w:t>
      </w:r>
      <w:r w:rsidR="00094991" w:rsidRPr="00645878">
        <w:rPr>
          <w:rFonts w:ascii="Times New Roman" w:hAnsi="Times New Roman"/>
        </w:rPr>
        <w:t>has</w:t>
      </w:r>
      <w:r w:rsidRPr="00645878">
        <w:rPr>
          <w:rFonts w:ascii="Times New Roman" w:hAnsi="Times New Roman"/>
        </w:rPr>
        <w:t xml:space="preserve"> </w:t>
      </w:r>
      <w:r w:rsidR="00094991" w:rsidRPr="00645878">
        <w:rPr>
          <w:rFonts w:ascii="Times New Roman" w:hAnsi="Times New Roman"/>
        </w:rPr>
        <w:t>been</w:t>
      </w:r>
      <w:r w:rsidRPr="00645878">
        <w:rPr>
          <w:rFonts w:ascii="Times New Roman" w:hAnsi="Times New Roman"/>
        </w:rPr>
        <w:t xml:space="preserve"> </w:t>
      </w:r>
      <w:r w:rsidR="00094991" w:rsidRPr="00645878">
        <w:rPr>
          <w:rFonts w:ascii="Times New Roman" w:hAnsi="Times New Roman"/>
        </w:rPr>
        <w:t>progressively</w:t>
      </w:r>
      <w:r w:rsidRPr="00645878">
        <w:rPr>
          <w:rFonts w:ascii="Times New Roman" w:hAnsi="Times New Roman"/>
        </w:rPr>
        <w:t xml:space="preserve"> </w:t>
      </w:r>
      <w:r w:rsidR="00094991" w:rsidRPr="00645878">
        <w:rPr>
          <w:rFonts w:ascii="Times New Roman" w:hAnsi="Times New Roman"/>
        </w:rPr>
        <w:t>postponed.</w:t>
      </w:r>
      <w:r w:rsidRPr="00645878">
        <w:rPr>
          <w:rFonts w:ascii="Times New Roman" w:hAnsi="Times New Roman"/>
        </w:rPr>
        <w:t xml:space="preserve"> </w:t>
      </w:r>
      <w:r w:rsidR="00FE046A" w:rsidRPr="00645878">
        <w:rPr>
          <w:rFonts w:ascii="Times New Roman" w:hAnsi="Times New Roman"/>
        </w:rPr>
        <w:t xml:space="preserve">PFMRP also includes expanding the coverage of the FMIS to IBBs among its reform measures. </w:t>
      </w:r>
      <w:r w:rsidR="00094991" w:rsidRPr="00645878">
        <w:rPr>
          <w:rFonts w:ascii="Times New Roman" w:hAnsi="Times New Roman"/>
        </w:rPr>
        <w:t>All</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entities</w:t>
      </w:r>
      <w:r w:rsidRPr="00645878">
        <w:rPr>
          <w:rFonts w:ascii="Times New Roman" w:hAnsi="Times New Roman"/>
        </w:rPr>
        <w:t xml:space="preserve"> </w:t>
      </w:r>
      <w:r w:rsidR="00094991" w:rsidRPr="00645878">
        <w:rPr>
          <w:rFonts w:ascii="Times New Roman" w:hAnsi="Times New Roman"/>
        </w:rPr>
        <w:t>involved</w:t>
      </w:r>
      <w:r w:rsidRPr="00645878">
        <w:rPr>
          <w:rFonts w:ascii="Times New Roman" w:hAnsi="Times New Roman"/>
        </w:rPr>
        <w:t xml:space="preserve"> </w:t>
      </w:r>
      <w:r w:rsidR="00094991" w:rsidRPr="00645878">
        <w:rPr>
          <w:rFonts w:ascii="Times New Roman" w:hAnsi="Times New Roman"/>
        </w:rPr>
        <w:t>in</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1B78A4" w:rsidRPr="00645878">
        <w:rPr>
          <w:rFonts w:ascii="Times New Roman" w:hAnsi="Times New Roman"/>
        </w:rPr>
        <w:t>Program</w:t>
      </w:r>
      <w:r w:rsidRPr="00645878">
        <w:rPr>
          <w:rFonts w:ascii="Times New Roman" w:hAnsi="Times New Roman"/>
        </w:rPr>
        <w:t xml:space="preserve"> </w:t>
      </w:r>
      <w:r w:rsidR="00094991" w:rsidRPr="00645878">
        <w:rPr>
          <w:rFonts w:ascii="Times New Roman" w:hAnsi="Times New Roman"/>
        </w:rPr>
        <w:t>are</w:t>
      </w:r>
      <w:r w:rsidRPr="00645878">
        <w:rPr>
          <w:rFonts w:ascii="Times New Roman" w:hAnsi="Times New Roman"/>
        </w:rPr>
        <w:t xml:space="preserve"> </w:t>
      </w:r>
      <w:r w:rsidR="00094991" w:rsidRPr="00645878">
        <w:rPr>
          <w:rFonts w:ascii="Times New Roman" w:hAnsi="Times New Roman"/>
        </w:rPr>
        <w:t>categorized</w:t>
      </w:r>
      <w:r w:rsidRPr="00645878">
        <w:rPr>
          <w:rFonts w:ascii="Times New Roman" w:hAnsi="Times New Roman"/>
        </w:rPr>
        <w:t xml:space="preserve"> </w:t>
      </w:r>
      <w:r w:rsidR="00094991" w:rsidRPr="00645878">
        <w:rPr>
          <w:rFonts w:ascii="Times New Roman" w:hAnsi="Times New Roman"/>
        </w:rPr>
        <w:t>as</w:t>
      </w:r>
      <w:r w:rsidRPr="00645878">
        <w:rPr>
          <w:rFonts w:ascii="Times New Roman" w:hAnsi="Times New Roman"/>
        </w:rPr>
        <w:t xml:space="preserve"> </w:t>
      </w:r>
      <w:r w:rsidR="008D14C4" w:rsidRPr="00645878">
        <w:rPr>
          <w:rFonts w:ascii="Times New Roman" w:hAnsi="Times New Roman"/>
        </w:rPr>
        <w:t>DBBs</w:t>
      </w:r>
      <w:r w:rsidRPr="00645878">
        <w:rPr>
          <w:rFonts w:ascii="Times New Roman" w:hAnsi="Times New Roman"/>
        </w:rPr>
        <w:t xml:space="preserve"> </w:t>
      </w:r>
      <w:r w:rsidR="00094991" w:rsidRPr="00645878">
        <w:rPr>
          <w:rFonts w:ascii="Times New Roman" w:hAnsi="Times New Roman"/>
        </w:rPr>
        <w:t>and</w:t>
      </w:r>
      <w:r w:rsidRPr="00645878">
        <w:rPr>
          <w:rFonts w:ascii="Times New Roman" w:hAnsi="Times New Roman"/>
        </w:rPr>
        <w:t xml:space="preserve"> </w:t>
      </w:r>
      <w:r w:rsidR="00094991" w:rsidRPr="00645878">
        <w:rPr>
          <w:rFonts w:ascii="Times New Roman" w:hAnsi="Times New Roman"/>
        </w:rPr>
        <w:t>are</w:t>
      </w:r>
      <w:r w:rsidRPr="00645878">
        <w:rPr>
          <w:rFonts w:ascii="Times New Roman" w:hAnsi="Times New Roman"/>
        </w:rPr>
        <w:t xml:space="preserve"> </w:t>
      </w:r>
      <w:r w:rsidR="00094991" w:rsidRPr="00645878">
        <w:rPr>
          <w:rFonts w:ascii="Times New Roman" w:hAnsi="Times New Roman"/>
        </w:rPr>
        <w:t>subject</w:t>
      </w:r>
      <w:r w:rsidRPr="00645878">
        <w:rPr>
          <w:rFonts w:ascii="Times New Roman" w:hAnsi="Times New Roman"/>
        </w:rPr>
        <w:t xml:space="preserve"> </w:t>
      </w:r>
      <w:r w:rsidR="00094991" w:rsidRPr="00645878">
        <w:rPr>
          <w:rFonts w:ascii="Times New Roman" w:hAnsi="Times New Roman"/>
        </w:rPr>
        <w:t>to</w:t>
      </w:r>
      <w:r w:rsidRPr="00645878">
        <w:rPr>
          <w:rFonts w:ascii="Times New Roman" w:hAnsi="Times New Roman"/>
        </w:rPr>
        <w:t xml:space="preserve"> </w:t>
      </w:r>
      <w:r w:rsidR="00094991" w:rsidRPr="00645878">
        <w:rPr>
          <w:rFonts w:ascii="Times New Roman" w:hAnsi="Times New Roman"/>
        </w:rPr>
        <w:t>Treasury-administered</w:t>
      </w:r>
      <w:r w:rsidRPr="00645878">
        <w:rPr>
          <w:rFonts w:ascii="Times New Roman" w:hAnsi="Times New Roman"/>
        </w:rPr>
        <w:t xml:space="preserve"> </w:t>
      </w:r>
      <w:r w:rsidR="00094991" w:rsidRPr="00645878">
        <w:rPr>
          <w:rFonts w:ascii="Times New Roman" w:hAnsi="Times New Roman"/>
        </w:rPr>
        <w:t>controls</w:t>
      </w:r>
      <w:r w:rsidRPr="00645878">
        <w:rPr>
          <w:rFonts w:ascii="Times New Roman" w:hAnsi="Times New Roman"/>
        </w:rPr>
        <w:t xml:space="preserve"> </w:t>
      </w:r>
      <w:r w:rsidR="00094991" w:rsidRPr="00645878">
        <w:rPr>
          <w:rFonts w:ascii="Times New Roman" w:hAnsi="Times New Roman"/>
        </w:rPr>
        <w:t>integrated</w:t>
      </w:r>
      <w:r w:rsidRPr="00645878">
        <w:rPr>
          <w:rFonts w:ascii="Times New Roman" w:hAnsi="Times New Roman"/>
        </w:rPr>
        <w:t xml:space="preserve"> </w:t>
      </w:r>
      <w:r w:rsidR="00094991" w:rsidRPr="00645878">
        <w:rPr>
          <w:rFonts w:ascii="Times New Roman" w:hAnsi="Times New Roman"/>
        </w:rPr>
        <w:t>in</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BES.</w:t>
      </w:r>
      <w:r w:rsidR="00197394" w:rsidRPr="00645878">
        <w:rPr>
          <w:rFonts w:ascii="Times New Roman" w:hAnsi="Times New Roman"/>
        </w:rPr>
        <w:t xml:space="preserve"> </w:t>
      </w:r>
    </w:p>
    <w:p w14:paraId="040E6D6A" w14:textId="00976CC4" w:rsidR="00094991"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Ex</w:t>
      </w:r>
      <w:r w:rsidR="00215F55" w:rsidRPr="00645878">
        <w:rPr>
          <w:rFonts w:ascii="Times New Roman" w:hAnsi="Times New Roman"/>
          <w:b/>
        </w:rPr>
        <w:t xml:space="preserve"> </w:t>
      </w:r>
      <w:r w:rsidRPr="00645878">
        <w:rPr>
          <w:rFonts w:ascii="Times New Roman" w:hAnsi="Times New Roman"/>
          <w:b/>
        </w:rPr>
        <w:t>ante</w:t>
      </w:r>
      <w:r w:rsidR="00900061" w:rsidRPr="00645878">
        <w:rPr>
          <w:rFonts w:ascii="Times New Roman" w:hAnsi="Times New Roman"/>
          <w:b/>
        </w:rPr>
        <w:t xml:space="preserve"> </w:t>
      </w:r>
      <w:r w:rsidRPr="00645878">
        <w:rPr>
          <w:rFonts w:ascii="Times New Roman" w:hAnsi="Times New Roman"/>
          <w:b/>
        </w:rPr>
        <w:t>commitment</w:t>
      </w:r>
      <w:r w:rsidR="00900061" w:rsidRPr="00645878">
        <w:rPr>
          <w:rFonts w:ascii="Times New Roman" w:hAnsi="Times New Roman"/>
          <w:b/>
        </w:rPr>
        <w:t xml:space="preserve"> </w:t>
      </w:r>
      <w:r w:rsidRPr="00645878">
        <w:rPr>
          <w:rFonts w:ascii="Times New Roman" w:hAnsi="Times New Roman"/>
          <w:b/>
        </w:rPr>
        <w:t>controls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exercised</w:t>
      </w:r>
      <w:r w:rsidR="00900061" w:rsidRPr="00645878">
        <w:rPr>
          <w:rFonts w:ascii="Times New Roman" w:hAnsi="Times New Roman"/>
          <w:b/>
        </w:rPr>
        <w:t xml:space="preserve"> </w:t>
      </w:r>
      <w:r w:rsidRPr="00645878">
        <w:rPr>
          <w:rFonts w:ascii="Times New Roman" w:hAnsi="Times New Roman"/>
          <w:b/>
        </w:rPr>
        <w:t>by</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subsequently</w:t>
      </w:r>
      <w:r w:rsidR="00900061" w:rsidRPr="00645878">
        <w:rPr>
          <w:rFonts w:ascii="Times New Roman" w:hAnsi="Times New Roman"/>
          <w:b/>
        </w:rPr>
        <w:t xml:space="preserve"> </w:t>
      </w:r>
      <w:r w:rsidRPr="00645878">
        <w:rPr>
          <w:rFonts w:ascii="Times New Roman" w:hAnsi="Times New Roman"/>
          <w:b/>
        </w:rPr>
        <w:t>channeled</w:t>
      </w:r>
      <w:r w:rsidR="00900061" w:rsidRPr="00645878">
        <w:rPr>
          <w:rFonts w:ascii="Times New Roman" w:hAnsi="Times New Roman"/>
          <w:b/>
        </w:rPr>
        <w:t xml:space="preserve"> </w:t>
      </w:r>
      <w:r w:rsidRPr="00645878">
        <w:rPr>
          <w:rFonts w:ascii="Times New Roman" w:hAnsi="Times New Roman"/>
          <w:b/>
        </w:rPr>
        <w:t>through</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TA</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commitment</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payment</w:t>
      </w:r>
      <w:r w:rsidR="00900061" w:rsidRPr="00645878">
        <w:rPr>
          <w:rFonts w:ascii="Times New Roman" w:hAnsi="Times New Roman"/>
          <w:b/>
        </w:rPr>
        <w:t xml:space="preserve"> </w:t>
      </w:r>
      <w:r w:rsidRPr="00645878">
        <w:rPr>
          <w:rFonts w:ascii="Times New Roman" w:hAnsi="Times New Roman"/>
          <w:b/>
        </w:rPr>
        <w:t>approval</w:t>
      </w:r>
      <w:r w:rsidR="00900061" w:rsidRPr="00645878">
        <w:rPr>
          <w:rFonts w:ascii="Times New Roman" w:hAnsi="Times New Roman"/>
          <w:b/>
        </w:rPr>
        <w:t xml:space="preserve"> </w:t>
      </w:r>
      <w:r w:rsidRPr="00645878">
        <w:rPr>
          <w:rFonts w:ascii="Times New Roman" w:hAnsi="Times New Roman"/>
          <w:b/>
        </w:rPr>
        <w:t>stages.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decision</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responsibility</w:t>
      </w:r>
      <w:r w:rsidR="00900061" w:rsidRPr="00645878">
        <w:rPr>
          <w:rFonts w:ascii="Times New Roman" w:hAnsi="Times New Roman"/>
        </w:rPr>
        <w:t xml:space="preserve"> </w:t>
      </w:r>
      <w:r w:rsidRPr="00645878">
        <w:rPr>
          <w:rFonts w:ascii="Times New Roman" w:hAnsi="Times New Roman"/>
        </w:rPr>
        <w:t>(ex</w:t>
      </w:r>
      <w:r w:rsidR="004D0A69" w:rsidRPr="00645878">
        <w:rPr>
          <w:rFonts w:ascii="Times New Roman" w:hAnsi="Times New Roman"/>
        </w:rPr>
        <w:t xml:space="preserve"> </w:t>
      </w:r>
      <w:r w:rsidRPr="00645878">
        <w:rPr>
          <w:rFonts w:ascii="Times New Roman" w:hAnsi="Times New Roman"/>
        </w:rPr>
        <w:t>ante</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assuming</w:t>
      </w:r>
      <w:r w:rsidR="00900061" w:rsidRPr="00645878">
        <w:rPr>
          <w:rFonts w:ascii="Times New Roman" w:hAnsi="Times New Roman"/>
        </w:rPr>
        <w:t xml:space="preserve"> </w:t>
      </w:r>
      <w:r w:rsidRPr="00645878">
        <w:rPr>
          <w:rFonts w:ascii="Times New Roman" w:hAnsi="Times New Roman"/>
        </w:rPr>
        <w:t>any</w:t>
      </w:r>
      <w:r w:rsidR="00900061" w:rsidRPr="00645878">
        <w:rPr>
          <w:rFonts w:ascii="Times New Roman" w:hAnsi="Times New Roman"/>
        </w:rPr>
        <w:t xml:space="preserve"> </w:t>
      </w:r>
      <w:r w:rsidRPr="00645878">
        <w:rPr>
          <w:rFonts w:ascii="Times New Roman" w:hAnsi="Times New Roman"/>
        </w:rPr>
        <w:t>commitments</w:t>
      </w:r>
      <w:r w:rsidR="00900061" w:rsidRPr="00645878">
        <w:rPr>
          <w:rFonts w:ascii="Times New Roman" w:hAnsi="Times New Roman"/>
        </w:rPr>
        <w:t xml:space="preserve"> </w:t>
      </w:r>
      <w:r w:rsidRPr="00645878">
        <w:rPr>
          <w:rFonts w:ascii="Times New Roman" w:hAnsi="Times New Roman"/>
        </w:rPr>
        <w:t>rests</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lastRenderedPageBreak/>
        <w:t>management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individual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beneficiaries,</w:t>
      </w:r>
      <w:r w:rsidR="00900061" w:rsidRPr="00645878">
        <w:rPr>
          <w:rFonts w:ascii="Times New Roman" w:hAnsi="Times New Roman"/>
        </w:rPr>
        <w:t xml:space="preserve"> </w:t>
      </w:r>
      <w:r w:rsidRPr="00645878">
        <w:rPr>
          <w:rFonts w:ascii="Times New Roman" w:hAnsi="Times New Roman"/>
        </w:rPr>
        <w:t>including</w:t>
      </w:r>
      <w:r w:rsidR="00900061" w:rsidRPr="00645878">
        <w:rPr>
          <w:rFonts w:ascii="Times New Roman" w:hAnsi="Times New Roman"/>
        </w:rPr>
        <w:t xml:space="preserve"> </w:t>
      </w:r>
      <w:r w:rsidR="00B10C38" w:rsidRPr="00645878">
        <w:rPr>
          <w:rFonts w:ascii="Times New Roman" w:hAnsi="Times New Roman"/>
        </w:rPr>
        <w:t>the 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Commitments</w:t>
      </w:r>
      <w:r w:rsidR="00900061" w:rsidRPr="00645878">
        <w:rPr>
          <w:rFonts w:ascii="Times New Roman" w:hAnsi="Times New Roman"/>
        </w:rPr>
        <w:t xml:space="preserve"> </w:t>
      </w:r>
      <w:r w:rsidRPr="00645878">
        <w:rPr>
          <w:rFonts w:ascii="Times New Roman" w:hAnsi="Times New Roman"/>
        </w:rPr>
        <w:t>created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0026393F" w:rsidRPr="00645878">
        <w:rPr>
          <w:rFonts w:ascii="Times New Roman" w:hAnsi="Times New Roman"/>
        </w:rPr>
        <w:t xml:space="preserve">the </w:t>
      </w:r>
      <w:r w:rsidR="00996393"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must</w:t>
      </w:r>
      <w:r w:rsidR="00900061" w:rsidRPr="00645878">
        <w:rPr>
          <w:rFonts w:ascii="Times New Roman" w:hAnsi="Times New Roman"/>
        </w:rPr>
        <w:t xml:space="preserve"> </w:t>
      </w:r>
      <w:r w:rsidRPr="00645878">
        <w:rPr>
          <w:rFonts w:ascii="Times New Roman" w:hAnsi="Times New Roman"/>
        </w:rPr>
        <w:t>conform</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appropriation</w:t>
      </w:r>
      <w:r w:rsidR="00900061" w:rsidRPr="00645878">
        <w:rPr>
          <w:rFonts w:ascii="Times New Roman" w:hAnsi="Times New Roman"/>
        </w:rPr>
        <w:t xml:space="preserve"> </w:t>
      </w:r>
      <w:r w:rsidRPr="00645878">
        <w:rPr>
          <w:rFonts w:ascii="Times New Roman" w:hAnsi="Times New Roman"/>
        </w:rPr>
        <w:t>approved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purpose</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00D71B04" w:rsidRPr="00645878">
        <w:rPr>
          <w:rFonts w:ascii="Times New Roman" w:hAnsi="Times New Roman"/>
        </w:rPr>
        <w:t xml:space="preserve">The </w:t>
      </w:r>
      <w:r w:rsidRPr="00645878">
        <w:rPr>
          <w:rFonts w:ascii="Times New Roman" w:hAnsi="Times New Roman"/>
        </w:rPr>
        <w:t>BES</w:t>
      </w:r>
      <w:r w:rsidR="00900061" w:rsidRPr="00645878">
        <w:rPr>
          <w:rFonts w:ascii="Times New Roman" w:hAnsi="Times New Roman"/>
        </w:rPr>
        <w:t xml:space="preserve"> </w:t>
      </w:r>
      <w:r w:rsidRPr="00645878">
        <w:rPr>
          <w:rFonts w:ascii="Times New Roman" w:eastAsiaTheme="minorHAnsi" w:hAnsi="Times New Roman"/>
        </w:rPr>
        <w:t>has</w:t>
      </w:r>
      <w:r w:rsidR="00900061" w:rsidRPr="00645878">
        <w:rPr>
          <w:rFonts w:ascii="Times New Roman" w:eastAsiaTheme="minorHAnsi" w:hAnsi="Times New Roman"/>
        </w:rPr>
        <w:t xml:space="preserve"> </w:t>
      </w:r>
      <w:r w:rsidRPr="00645878">
        <w:rPr>
          <w:rFonts w:ascii="Times New Roman" w:eastAsiaTheme="minorHAnsi" w:hAnsi="Times New Roman"/>
        </w:rPr>
        <w:t>rigorous</w:t>
      </w:r>
      <w:r w:rsidR="00900061" w:rsidRPr="00645878">
        <w:rPr>
          <w:rFonts w:ascii="Times New Roman" w:eastAsiaTheme="minorHAnsi" w:hAnsi="Times New Roman"/>
        </w:rPr>
        <w:t xml:space="preserve"> </w:t>
      </w:r>
      <w:r w:rsidRPr="00645878">
        <w:rPr>
          <w:rFonts w:ascii="Times New Roman" w:eastAsiaTheme="minorHAnsi" w:hAnsi="Times New Roman"/>
        </w:rPr>
        <w:t>application</w:t>
      </w:r>
      <w:r w:rsidR="00900061" w:rsidRPr="00645878">
        <w:rPr>
          <w:rFonts w:ascii="Times New Roman" w:eastAsiaTheme="minorHAnsi" w:hAnsi="Times New Roman"/>
        </w:rPr>
        <w:t xml:space="preserve"> </w:t>
      </w:r>
      <w:r w:rsidRPr="00645878">
        <w:rPr>
          <w:rFonts w:ascii="Times New Roman" w:eastAsiaTheme="minorHAnsi" w:hAnsi="Times New Roman"/>
        </w:rPr>
        <w:t>controls</w:t>
      </w:r>
      <w:r w:rsidR="00900061" w:rsidRPr="00645878">
        <w:rPr>
          <w:rFonts w:ascii="Times New Roman" w:eastAsiaTheme="minorHAnsi" w:hAnsi="Times New Roman"/>
        </w:rPr>
        <w:t xml:space="preserve"> </w:t>
      </w:r>
      <w:r w:rsidRPr="00645878">
        <w:rPr>
          <w:rFonts w:ascii="Times New Roman" w:eastAsiaTheme="minorHAnsi" w:hAnsi="Times New Roman"/>
        </w:rPr>
        <w:t>that</w:t>
      </w:r>
      <w:r w:rsidR="00900061" w:rsidRPr="00645878">
        <w:rPr>
          <w:rFonts w:ascii="Times New Roman" w:eastAsiaTheme="minorHAnsi" w:hAnsi="Times New Roman"/>
        </w:rPr>
        <w:t xml:space="preserve"> </w:t>
      </w:r>
      <w:r w:rsidRPr="00645878">
        <w:rPr>
          <w:rFonts w:ascii="Times New Roman" w:eastAsiaTheme="minorHAnsi" w:hAnsi="Times New Roman"/>
        </w:rPr>
        <w:t>prevent</w:t>
      </w:r>
      <w:r w:rsidR="00900061" w:rsidRPr="00645878">
        <w:rPr>
          <w:rFonts w:ascii="Times New Roman" w:eastAsiaTheme="minorHAnsi" w:hAnsi="Times New Roman"/>
        </w:rPr>
        <w:t xml:space="preserve"> </w:t>
      </w:r>
      <w:r w:rsidRPr="00645878">
        <w:rPr>
          <w:rFonts w:ascii="Times New Roman" w:eastAsiaTheme="minorHAnsi" w:hAnsi="Times New Roman"/>
        </w:rPr>
        <w:t>any</w:t>
      </w:r>
      <w:r w:rsidR="00900061" w:rsidRPr="00645878">
        <w:rPr>
          <w:rFonts w:ascii="Times New Roman" w:eastAsiaTheme="minorHAnsi" w:hAnsi="Times New Roman"/>
        </w:rPr>
        <w:t xml:space="preserve"> </w:t>
      </w:r>
      <w:r w:rsidRPr="00645878">
        <w:rPr>
          <w:rFonts w:ascii="Times New Roman" w:eastAsiaTheme="minorHAnsi" w:hAnsi="Times New Roman"/>
        </w:rPr>
        <w:t>payments</w:t>
      </w:r>
      <w:r w:rsidR="00900061" w:rsidRPr="00645878">
        <w:rPr>
          <w:rFonts w:ascii="Times New Roman" w:eastAsiaTheme="minorHAnsi" w:hAnsi="Times New Roman"/>
        </w:rPr>
        <w:t xml:space="preserve"> </w:t>
      </w:r>
      <w:r w:rsidRPr="00645878">
        <w:rPr>
          <w:rFonts w:ascii="Times New Roman" w:eastAsiaTheme="minorHAnsi" w:hAnsi="Times New Roman"/>
        </w:rPr>
        <w:t>that</w:t>
      </w:r>
      <w:r w:rsidR="00900061" w:rsidRPr="00645878">
        <w:rPr>
          <w:rFonts w:ascii="Times New Roman" w:eastAsiaTheme="minorHAnsi" w:hAnsi="Times New Roman"/>
        </w:rPr>
        <w:t xml:space="preserve"> </w:t>
      </w:r>
      <w:r w:rsidRPr="00645878">
        <w:rPr>
          <w:rFonts w:ascii="Times New Roman" w:eastAsiaTheme="minorHAnsi" w:hAnsi="Times New Roman"/>
        </w:rPr>
        <w:t>would</w:t>
      </w:r>
      <w:r w:rsidR="00900061" w:rsidRPr="00645878">
        <w:rPr>
          <w:rFonts w:ascii="Times New Roman" w:eastAsiaTheme="minorHAnsi" w:hAnsi="Times New Roman"/>
        </w:rPr>
        <w:t xml:space="preserve"> </w:t>
      </w:r>
      <w:r w:rsidRPr="00645878">
        <w:rPr>
          <w:rFonts w:ascii="Times New Roman" w:eastAsiaTheme="minorHAnsi" w:hAnsi="Times New Roman"/>
        </w:rPr>
        <w:t>exceed</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determined</w:t>
      </w:r>
      <w:r w:rsidR="00900061" w:rsidRPr="00645878">
        <w:rPr>
          <w:rFonts w:ascii="Times New Roman" w:eastAsiaTheme="minorHAnsi" w:hAnsi="Times New Roman"/>
        </w:rPr>
        <w:t xml:space="preserve"> </w:t>
      </w:r>
      <w:r w:rsidRPr="00645878">
        <w:rPr>
          <w:rFonts w:ascii="Times New Roman" w:eastAsiaTheme="minorHAnsi" w:hAnsi="Times New Roman"/>
        </w:rPr>
        <w:t>quotas</w:t>
      </w:r>
      <w:r w:rsidR="00900061" w:rsidRPr="00645878">
        <w:rPr>
          <w:rFonts w:ascii="Times New Roman" w:eastAsiaTheme="minorHAnsi" w:hAnsi="Times New Roman"/>
        </w:rPr>
        <w:t xml:space="preserve"> </w:t>
      </w:r>
      <w:r w:rsidRPr="00645878">
        <w:rPr>
          <w:rFonts w:ascii="Times New Roman" w:eastAsiaTheme="minorHAnsi" w:hAnsi="Times New Roman"/>
        </w:rPr>
        <w:t>or</w:t>
      </w:r>
      <w:r w:rsidR="00900061" w:rsidRPr="00645878">
        <w:rPr>
          <w:rFonts w:ascii="Times New Roman" w:eastAsiaTheme="minorHAnsi" w:hAnsi="Times New Roman"/>
        </w:rPr>
        <w:t xml:space="preserve"> </w:t>
      </w:r>
      <w:r w:rsidRPr="00645878">
        <w:rPr>
          <w:rFonts w:ascii="Times New Roman" w:eastAsiaTheme="minorHAnsi" w:hAnsi="Times New Roman"/>
        </w:rPr>
        <w:t>overall</w:t>
      </w:r>
      <w:r w:rsidR="00900061" w:rsidRPr="00645878">
        <w:rPr>
          <w:rFonts w:ascii="Times New Roman" w:eastAsiaTheme="minorHAnsi" w:hAnsi="Times New Roman"/>
        </w:rPr>
        <w:t xml:space="preserve"> </w:t>
      </w:r>
      <w:r w:rsidRPr="00645878">
        <w:rPr>
          <w:rFonts w:ascii="Times New Roman" w:eastAsiaTheme="minorHAnsi" w:hAnsi="Times New Roman"/>
        </w:rPr>
        <w:t>annual</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appropriations.</w:t>
      </w:r>
      <w:r w:rsidR="00900061" w:rsidRPr="00645878">
        <w:rPr>
          <w:rFonts w:ascii="Times New Roman" w:eastAsiaTheme="minorHAnsi" w:hAnsi="Times New Roman"/>
        </w:rPr>
        <w:t xml:space="preserve"> </w:t>
      </w:r>
      <w:r w:rsidR="00FE046A" w:rsidRPr="00645878">
        <w:rPr>
          <w:rFonts w:ascii="Times New Roman" w:eastAsiaTheme="minorHAnsi" w:hAnsi="Times New Roman"/>
        </w:rPr>
        <w:t xml:space="preserve">Within the year, budget entities respect the limits set by budget appropriations in terms of payments, and the FMIS has integrated hard controls not allowing payments to exceed appropriations.  However, entities may assume liabilities without entering it in the FMIS, thus creating liabilities exceeding budget appropriations and accumulating arrears. There is not sufficient monitoring and control over recording commitments in the FMIS by budget beneficiaries after liabilities have been assumed. </w:t>
      </w:r>
      <w:r w:rsidRPr="00645878">
        <w:rPr>
          <w:rFonts w:ascii="Times New Roman" w:eastAsiaTheme="minorHAnsi" w:hAnsi="Times New Roman"/>
        </w:rPr>
        <w:t>In</w:t>
      </w:r>
      <w:r w:rsidR="00900061" w:rsidRPr="00645878">
        <w:rPr>
          <w:rFonts w:ascii="Times New Roman" w:eastAsiaTheme="minorHAnsi" w:hAnsi="Times New Roman"/>
        </w:rPr>
        <w:t xml:space="preserve"> </w:t>
      </w:r>
      <w:r w:rsidR="00FE046A" w:rsidRPr="00645878">
        <w:rPr>
          <w:rFonts w:ascii="Times New Roman" w:eastAsiaTheme="minorHAnsi" w:hAnsi="Times New Roman"/>
        </w:rPr>
        <w:t>addition</w:t>
      </w:r>
      <w:r w:rsidRPr="00645878">
        <w:rPr>
          <w:rFonts w:ascii="Times New Roman" w:eastAsiaTheme="minorHAnsi" w:hAnsi="Times New Roman"/>
        </w:rPr>
        <w:t>,</w:t>
      </w:r>
      <w:r w:rsidR="00900061" w:rsidRPr="00645878">
        <w:rPr>
          <w:rFonts w:ascii="Times New Roman" w:eastAsiaTheme="minorHAnsi" w:hAnsi="Times New Roman"/>
        </w:rPr>
        <w:t xml:space="preserve"> </w:t>
      </w:r>
      <w:r w:rsidRPr="00645878">
        <w:rPr>
          <w:rFonts w:ascii="Times New Roman" w:eastAsiaTheme="minorHAnsi" w:hAnsi="Times New Roman"/>
        </w:rPr>
        <w:t>it</w:t>
      </w:r>
      <w:r w:rsidR="00900061" w:rsidRPr="00645878">
        <w:rPr>
          <w:rFonts w:ascii="Times New Roman" w:eastAsiaTheme="minorHAnsi" w:hAnsi="Times New Roman"/>
        </w:rPr>
        <w:t xml:space="preserve"> </w:t>
      </w:r>
      <w:r w:rsidRPr="00645878">
        <w:rPr>
          <w:rFonts w:ascii="Times New Roman" w:eastAsiaTheme="minorHAnsi" w:hAnsi="Times New Roman"/>
        </w:rPr>
        <w:t>is</w:t>
      </w:r>
      <w:r w:rsidR="00900061" w:rsidRPr="00645878">
        <w:rPr>
          <w:rFonts w:ascii="Times New Roman" w:eastAsiaTheme="minorHAnsi" w:hAnsi="Times New Roman"/>
        </w:rPr>
        <w:t xml:space="preserve"> </w:t>
      </w:r>
      <w:r w:rsidRPr="00645878">
        <w:rPr>
          <w:rFonts w:ascii="Times New Roman" w:eastAsiaTheme="minorHAnsi" w:hAnsi="Times New Roman"/>
        </w:rPr>
        <w:t>possible</w:t>
      </w:r>
      <w:r w:rsidR="00900061" w:rsidRPr="00645878">
        <w:rPr>
          <w:rFonts w:ascii="Times New Roman" w:eastAsiaTheme="minorHAnsi" w:hAnsi="Times New Roman"/>
        </w:rPr>
        <w:t xml:space="preserve"> </w:t>
      </w:r>
      <w:r w:rsidRPr="00645878">
        <w:rPr>
          <w:rFonts w:ascii="Times New Roman" w:eastAsiaTheme="minorHAnsi" w:hAnsi="Times New Roman"/>
        </w:rPr>
        <w:t>for</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beneficiaries</w:t>
      </w:r>
      <w:r w:rsidR="00900061" w:rsidRPr="00645878">
        <w:rPr>
          <w:rFonts w:ascii="Times New Roman" w:eastAsiaTheme="minorHAnsi" w:hAnsi="Times New Roman"/>
        </w:rPr>
        <w:t xml:space="preserve"> </w:t>
      </w:r>
      <w:r w:rsidRPr="00645878">
        <w:rPr>
          <w:rFonts w:ascii="Times New Roman" w:eastAsiaTheme="minorHAnsi" w:hAnsi="Times New Roman"/>
        </w:rPr>
        <w:t>to</w:t>
      </w:r>
      <w:r w:rsidR="00900061" w:rsidRPr="00645878">
        <w:rPr>
          <w:rFonts w:ascii="Times New Roman" w:eastAsiaTheme="minorHAnsi" w:hAnsi="Times New Roman"/>
        </w:rPr>
        <w:t xml:space="preserve"> </w:t>
      </w:r>
      <w:r w:rsidRPr="00645878">
        <w:rPr>
          <w:rFonts w:ascii="Times New Roman" w:eastAsiaTheme="minorHAnsi" w:hAnsi="Times New Roman"/>
        </w:rPr>
        <w:t>assume</w:t>
      </w:r>
      <w:r w:rsidR="00900061" w:rsidRPr="00645878">
        <w:rPr>
          <w:rFonts w:ascii="Times New Roman" w:eastAsiaTheme="minorHAnsi" w:hAnsi="Times New Roman"/>
        </w:rPr>
        <w:t xml:space="preserve"> </w:t>
      </w:r>
      <w:r w:rsidRPr="00645878">
        <w:rPr>
          <w:rFonts w:ascii="Times New Roman" w:eastAsiaTheme="minorHAnsi" w:hAnsi="Times New Roman"/>
        </w:rPr>
        <w:t>commitments</w:t>
      </w:r>
      <w:r w:rsidR="00900061" w:rsidRPr="00645878">
        <w:rPr>
          <w:rFonts w:ascii="Times New Roman" w:eastAsiaTheme="minorHAnsi" w:hAnsi="Times New Roman"/>
        </w:rPr>
        <w:t xml:space="preserve"> </w:t>
      </w:r>
      <w:r w:rsidRPr="00645878">
        <w:rPr>
          <w:rFonts w:ascii="Times New Roman" w:eastAsiaTheme="minorHAnsi" w:hAnsi="Times New Roman"/>
        </w:rPr>
        <w:t>within</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appropriation</w:t>
      </w:r>
      <w:r w:rsidR="00900061" w:rsidRPr="00645878">
        <w:rPr>
          <w:rFonts w:ascii="Times New Roman" w:eastAsiaTheme="minorHAnsi" w:hAnsi="Times New Roman"/>
        </w:rPr>
        <w:t xml:space="preserve"> </w:t>
      </w:r>
      <w:r w:rsidRPr="00645878">
        <w:rPr>
          <w:rFonts w:ascii="Times New Roman" w:eastAsiaTheme="minorHAnsi" w:hAnsi="Times New Roman"/>
        </w:rPr>
        <w:t>but</w:t>
      </w:r>
      <w:r w:rsidR="00900061" w:rsidRPr="00645878">
        <w:rPr>
          <w:rFonts w:ascii="Times New Roman" w:eastAsiaTheme="minorHAnsi" w:hAnsi="Times New Roman"/>
        </w:rPr>
        <w:t xml:space="preserve"> </w:t>
      </w:r>
      <w:r w:rsidRPr="00645878">
        <w:rPr>
          <w:rFonts w:ascii="Times New Roman" w:eastAsiaTheme="minorHAnsi" w:hAnsi="Times New Roman"/>
        </w:rPr>
        <w:t>not</w:t>
      </w:r>
      <w:r w:rsidR="00900061" w:rsidRPr="00645878">
        <w:rPr>
          <w:rFonts w:ascii="Times New Roman" w:eastAsiaTheme="minorHAnsi" w:hAnsi="Times New Roman"/>
        </w:rPr>
        <w:t xml:space="preserve"> </w:t>
      </w:r>
      <w:r w:rsidRPr="00645878">
        <w:rPr>
          <w:rFonts w:ascii="Times New Roman" w:eastAsiaTheme="minorHAnsi" w:hAnsi="Times New Roman"/>
        </w:rPr>
        <w:t>be</w:t>
      </w:r>
      <w:r w:rsidR="00900061" w:rsidRPr="00645878">
        <w:rPr>
          <w:rFonts w:ascii="Times New Roman" w:eastAsiaTheme="minorHAnsi" w:hAnsi="Times New Roman"/>
        </w:rPr>
        <w:t xml:space="preserve"> </w:t>
      </w:r>
      <w:r w:rsidRPr="00645878">
        <w:rPr>
          <w:rFonts w:ascii="Times New Roman" w:eastAsiaTheme="minorHAnsi" w:hAnsi="Times New Roman"/>
        </w:rPr>
        <w:t>able</w:t>
      </w:r>
      <w:r w:rsidR="00900061" w:rsidRPr="00645878">
        <w:rPr>
          <w:rFonts w:ascii="Times New Roman" w:eastAsiaTheme="minorHAnsi" w:hAnsi="Times New Roman"/>
        </w:rPr>
        <w:t xml:space="preserve"> </w:t>
      </w:r>
      <w:r w:rsidRPr="00645878">
        <w:rPr>
          <w:rFonts w:ascii="Times New Roman" w:eastAsiaTheme="minorHAnsi" w:hAnsi="Times New Roman"/>
        </w:rPr>
        <w:t>to</w:t>
      </w:r>
      <w:r w:rsidR="00900061" w:rsidRPr="00645878">
        <w:rPr>
          <w:rFonts w:ascii="Times New Roman" w:eastAsiaTheme="minorHAnsi" w:hAnsi="Times New Roman"/>
        </w:rPr>
        <w:t xml:space="preserve"> </w:t>
      </w:r>
      <w:r w:rsidRPr="00645878">
        <w:rPr>
          <w:rFonts w:ascii="Times New Roman" w:eastAsiaTheme="minorHAnsi" w:hAnsi="Times New Roman"/>
        </w:rPr>
        <w:t>execute</w:t>
      </w:r>
      <w:r w:rsidR="00900061" w:rsidRPr="00645878">
        <w:rPr>
          <w:rFonts w:ascii="Times New Roman" w:eastAsiaTheme="minorHAnsi" w:hAnsi="Times New Roman"/>
        </w:rPr>
        <w:t xml:space="preserve"> </w:t>
      </w:r>
      <w:r w:rsidRPr="00645878">
        <w:rPr>
          <w:rFonts w:ascii="Times New Roman" w:eastAsiaTheme="minorHAnsi" w:hAnsi="Times New Roman"/>
        </w:rPr>
        <w:t>them</w:t>
      </w:r>
      <w:r w:rsidR="00900061" w:rsidRPr="00645878">
        <w:rPr>
          <w:rFonts w:ascii="Times New Roman" w:eastAsiaTheme="minorHAnsi" w:hAnsi="Times New Roman"/>
        </w:rPr>
        <w:t xml:space="preserve"> </w:t>
      </w:r>
      <w:r w:rsidRPr="00645878">
        <w:rPr>
          <w:rFonts w:ascii="Times New Roman" w:eastAsiaTheme="minorHAnsi" w:hAnsi="Times New Roman"/>
        </w:rPr>
        <w:t>against</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subsequently</w:t>
      </w:r>
      <w:r w:rsidR="00900061" w:rsidRPr="00645878">
        <w:rPr>
          <w:rFonts w:ascii="Times New Roman" w:eastAsiaTheme="minorHAnsi" w:hAnsi="Times New Roman"/>
        </w:rPr>
        <w:t xml:space="preserve"> </w:t>
      </w:r>
      <w:r w:rsidRPr="00645878">
        <w:rPr>
          <w:rFonts w:ascii="Times New Roman" w:eastAsiaTheme="minorHAnsi" w:hAnsi="Times New Roman"/>
        </w:rPr>
        <w:t>set</w:t>
      </w:r>
      <w:r w:rsidR="00900061" w:rsidRPr="00645878">
        <w:rPr>
          <w:rFonts w:ascii="Times New Roman" w:eastAsiaTheme="minorHAnsi" w:hAnsi="Times New Roman"/>
        </w:rPr>
        <w:t xml:space="preserve"> </w:t>
      </w:r>
      <w:r w:rsidRPr="00645878">
        <w:rPr>
          <w:rFonts w:ascii="Times New Roman" w:eastAsiaTheme="minorHAnsi" w:hAnsi="Times New Roman"/>
        </w:rPr>
        <w:t>lower</w:t>
      </w:r>
      <w:r w:rsidR="00900061" w:rsidRPr="00645878">
        <w:rPr>
          <w:rFonts w:ascii="Times New Roman" w:eastAsiaTheme="minorHAnsi" w:hAnsi="Times New Roman"/>
        </w:rPr>
        <w:t xml:space="preserve"> </w:t>
      </w:r>
      <w:r w:rsidRPr="00645878">
        <w:rPr>
          <w:rFonts w:ascii="Times New Roman" w:eastAsiaTheme="minorHAnsi" w:hAnsi="Times New Roman"/>
        </w:rPr>
        <w:t>monthly</w:t>
      </w:r>
      <w:r w:rsidR="00900061" w:rsidRPr="00645878">
        <w:rPr>
          <w:rFonts w:ascii="Times New Roman" w:eastAsiaTheme="minorHAnsi" w:hAnsi="Times New Roman"/>
        </w:rPr>
        <w:t xml:space="preserve"> </w:t>
      </w:r>
      <w:r w:rsidRPr="00645878">
        <w:rPr>
          <w:rFonts w:ascii="Times New Roman" w:eastAsiaTheme="minorHAnsi" w:hAnsi="Times New Roman"/>
        </w:rPr>
        <w:t>quotas.</w:t>
      </w:r>
      <w:r w:rsidR="00900061" w:rsidRPr="00645878">
        <w:rPr>
          <w:rFonts w:ascii="Times New Roman" w:eastAsiaTheme="minorHAnsi" w:hAnsi="Times New Roman"/>
        </w:rPr>
        <w:t xml:space="preserve"> </w:t>
      </w:r>
      <w:r w:rsidRPr="00645878">
        <w:rPr>
          <w:rFonts w:ascii="Times New Roman" w:eastAsiaTheme="minorHAnsi" w:hAnsi="Times New Roman"/>
        </w:rPr>
        <w:t>In</w:t>
      </w:r>
      <w:r w:rsidR="00900061" w:rsidRPr="00645878">
        <w:rPr>
          <w:rFonts w:ascii="Times New Roman" w:eastAsiaTheme="minorHAnsi" w:hAnsi="Times New Roman"/>
        </w:rPr>
        <w:t xml:space="preserve"> </w:t>
      </w:r>
      <w:r w:rsidRPr="00645878">
        <w:rPr>
          <w:rFonts w:ascii="Times New Roman" w:eastAsiaTheme="minorHAnsi" w:hAnsi="Times New Roman"/>
        </w:rPr>
        <w:t>such</w:t>
      </w:r>
      <w:r w:rsidR="00900061" w:rsidRPr="00645878">
        <w:rPr>
          <w:rFonts w:ascii="Times New Roman" w:eastAsiaTheme="minorHAnsi" w:hAnsi="Times New Roman"/>
        </w:rPr>
        <w:t xml:space="preserve"> </w:t>
      </w:r>
      <w:r w:rsidRPr="00645878">
        <w:rPr>
          <w:rFonts w:ascii="Times New Roman" w:eastAsiaTheme="minorHAnsi" w:hAnsi="Times New Roman"/>
        </w:rPr>
        <w:t>cases,</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beneficiary</w:t>
      </w:r>
      <w:r w:rsidR="00900061" w:rsidRPr="00645878">
        <w:rPr>
          <w:rFonts w:ascii="Times New Roman" w:eastAsiaTheme="minorHAnsi" w:hAnsi="Times New Roman"/>
        </w:rPr>
        <w:t xml:space="preserve"> </w:t>
      </w:r>
      <w:r w:rsidRPr="00645878">
        <w:rPr>
          <w:rFonts w:ascii="Times New Roman" w:eastAsiaTheme="minorHAnsi" w:hAnsi="Times New Roman"/>
        </w:rPr>
        <w:t>may</w:t>
      </w:r>
      <w:r w:rsidR="00900061" w:rsidRPr="00645878">
        <w:rPr>
          <w:rFonts w:ascii="Times New Roman" w:eastAsiaTheme="minorHAnsi" w:hAnsi="Times New Roman"/>
        </w:rPr>
        <w:t xml:space="preserve"> </w:t>
      </w:r>
      <w:r w:rsidRPr="00645878">
        <w:rPr>
          <w:rFonts w:ascii="Times New Roman" w:eastAsiaTheme="minorHAnsi" w:hAnsi="Times New Roman"/>
        </w:rPr>
        <w:t>apply</w:t>
      </w:r>
      <w:r w:rsidR="00900061" w:rsidRPr="00645878">
        <w:rPr>
          <w:rFonts w:ascii="Times New Roman" w:eastAsiaTheme="minorHAnsi" w:hAnsi="Times New Roman"/>
        </w:rPr>
        <w:t xml:space="preserve"> </w:t>
      </w:r>
      <w:r w:rsidRPr="00645878">
        <w:rPr>
          <w:rFonts w:ascii="Times New Roman" w:eastAsiaTheme="minorHAnsi" w:hAnsi="Times New Roman"/>
        </w:rPr>
        <w:t>to</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TA</w:t>
      </w:r>
      <w:r w:rsidR="00900061" w:rsidRPr="00645878">
        <w:rPr>
          <w:rFonts w:ascii="Times New Roman" w:eastAsiaTheme="minorHAnsi" w:hAnsi="Times New Roman"/>
        </w:rPr>
        <w:t xml:space="preserve"> </w:t>
      </w:r>
      <w:r w:rsidRPr="00645878">
        <w:rPr>
          <w:rFonts w:ascii="Times New Roman" w:eastAsiaTheme="minorHAnsi" w:hAnsi="Times New Roman"/>
        </w:rPr>
        <w:t>for</w:t>
      </w:r>
      <w:r w:rsidR="00900061" w:rsidRPr="00645878">
        <w:rPr>
          <w:rFonts w:ascii="Times New Roman" w:eastAsiaTheme="minorHAnsi" w:hAnsi="Times New Roman"/>
        </w:rPr>
        <w:t xml:space="preserve"> </w:t>
      </w:r>
      <w:r w:rsidRPr="00645878">
        <w:rPr>
          <w:rFonts w:ascii="Times New Roman" w:eastAsiaTheme="minorHAnsi" w:hAnsi="Times New Roman"/>
        </w:rPr>
        <w:t>a</w:t>
      </w:r>
      <w:r w:rsidR="00900061" w:rsidRPr="00645878">
        <w:rPr>
          <w:rFonts w:ascii="Times New Roman" w:eastAsiaTheme="minorHAnsi" w:hAnsi="Times New Roman"/>
        </w:rPr>
        <w:t xml:space="preserve"> </w:t>
      </w:r>
      <w:r w:rsidRPr="00645878">
        <w:rPr>
          <w:rFonts w:ascii="Times New Roman" w:eastAsiaTheme="minorHAnsi" w:hAnsi="Times New Roman"/>
        </w:rPr>
        <w:t>change</w:t>
      </w:r>
      <w:r w:rsidR="00900061" w:rsidRPr="00645878">
        <w:rPr>
          <w:rFonts w:ascii="Times New Roman" w:eastAsiaTheme="minorHAnsi" w:hAnsi="Times New Roman"/>
        </w:rPr>
        <w:t xml:space="preserve"> </w:t>
      </w:r>
      <w:r w:rsidRPr="00645878">
        <w:rPr>
          <w:rFonts w:ascii="Times New Roman" w:eastAsiaTheme="minorHAnsi" w:hAnsi="Times New Roman"/>
        </w:rPr>
        <w:t>of</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quota.</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legislation</w:t>
      </w:r>
      <w:r w:rsidR="00900061" w:rsidRPr="00645878">
        <w:rPr>
          <w:rFonts w:ascii="Times New Roman" w:eastAsiaTheme="minorHAnsi" w:hAnsi="Times New Roman"/>
        </w:rPr>
        <w:t xml:space="preserve"> </w:t>
      </w:r>
      <w:r w:rsidRPr="00645878">
        <w:rPr>
          <w:rFonts w:ascii="Times New Roman" w:eastAsiaTheme="minorHAnsi" w:hAnsi="Times New Roman"/>
        </w:rPr>
        <w:t>requires</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TA</w:t>
      </w:r>
      <w:r w:rsidR="00900061" w:rsidRPr="00645878">
        <w:rPr>
          <w:rFonts w:ascii="Times New Roman" w:eastAsiaTheme="minorHAnsi" w:hAnsi="Times New Roman"/>
        </w:rPr>
        <w:t xml:space="preserve"> </w:t>
      </w:r>
      <w:r w:rsidRPr="00645878">
        <w:rPr>
          <w:rFonts w:ascii="Times New Roman" w:eastAsiaTheme="minorHAnsi" w:hAnsi="Times New Roman"/>
        </w:rPr>
        <w:t>to</w:t>
      </w:r>
      <w:r w:rsidR="00900061" w:rsidRPr="00645878">
        <w:rPr>
          <w:rFonts w:ascii="Times New Roman" w:eastAsiaTheme="minorHAnsi" w:hAnsi="Times New Roman"/>
        </w:rPr>
        <w:t xml:space="preserve"> </w:t>
      </w:r>
      <w:r w:rsidRPr="00645878">
        <w:rPr>
          <w:rFonts w:ascii="Times New Roman" w:eastAsiaTheme="minorHAnsi" w:hAnsi="Times New Roman"/>
        </w:rPr>
        <w:t>decide</w:t>
      </w:r>
      <w:r w:rsidR="00900061" w:rsidRPr="00645878">
        <w:rPr>
          <w:rFonts w:ascii="Times New Roman" w:eastAsiaTheme="minorHAnsi" w:hAnsi="Times New Roman"/>
        </w:rPr>
        <w:t xml:space="preserve"> </w:t>
      </w:r>
      <w:r w:rsidRPr="00645878">
        <w:rPr>
          <w:rFonts w:ascii="Times New Roman" w:eastAsiaTheme="minorHAnsi" w:hAnsi="Times New Roman"/>
        </w:rPr>
        <w:t>upon</w:t>
      </w:r>
      <w:r w:rsidR="00900061" w:rsidRPr="00645878">
        <w:rPr>
          <w:rFonts w:ascii="Times New Roman" w:eastAsiaTheme="minorHAnsi" w:hAnsi="Times New Roman"/>
        </w:rPr>
        <w:t xml:space="preserve"> </w:t>
      </w:r>
      <w:r w:rsidRPr="00645878">
        <w:rPr>
          <w:rFonts w:ascii="Times New Roman" w:eastAsiaTheme="minorHAnsi" w:hAnsi="Times New Roman"/>
        </w:rPr>
        <w:t>such</w:t>
      </w:r>
      <w:r w:rsidR="00900061" w:rsidRPr="00645878">
        <w:rPr>
          <w:rFonts w:ascii="Times New Roman" w:eastAsiaTheme="minorHAnsi" w:hAnsi="Times New Roman"/>
        </w:rPr>
        <w:t xml:space="preserve"> </w:t>
      </w:r>
      <w:r w:rsidRPr="00645878">
        <w:rPr>
          <w:rFonts w:ascii="Times New Roman" w:eastAsiaTheme="minorHAnsi" w:hAnsi="Times New Roman"/>
        </w:rPr>
        <w:t>request</w:t>
      </w:r>
      <w:r w:rsidR="00B52FB5" w:rsidRPr="00645878">
        <w:rPr>
          <w:rFonts w:ascii="Times New Roman" w:eastAsiaTheme="minorHAnsi" w:hAnsi="Times New Roman"/>
        </w:rPr>
        <w:t>s</w:t>
      </w:r>
      <w:r w:rsidR="00900061" w:rsidRPr="00645878">
        <w:rPr>
          <w:rFonts w:ascii="Times New Roman" w:eastAsiaTheme="minorHAnsi" w:hAnsi="Times New Roman"/>
        </w:rPr>
        <w:t xml:space="preserve"> </w:t>
      </w:r>
      <w:r w:rsidRPr="00645878">
        <w:rPr>
          <w:rFonts w:ascii="Times New Roman" w:eastAsiaTheme="minorHAnsi" w:hAnsi="Times New Roman"/>
        </w:rPr>
        <w:t>guided</w:t>
      </w:r>
      <w:r w:rsidR="00900061" w:rsidRPr="00645878">
        <w:rPr>
          <w:rFonts w:ascii="Times New Roman" w:eastAsiaTheme="minorHAnsi" w:hAnsi="Times New Roman"/>
        </w:rPr>
        <w:t xml:space="preserve"> </w:t>
      </w:r>
      <w:r w:rsidRPr="00645878">
        <w:rPr>
          <w:rFonts w:ascii="Times New Roman" w:eastAsiaTheme="minorHAnsi" w:hAnsi="Times New Roman"/>
        </w:rPr>
        <w:t>by</w:t>
      </w:r>
      <w:r w:rsidR="00900061" w:rsidRPr="00645878">
        <w:rPr>
          <w:rFonts w:ascii="Times New Roman" w:eastAsiaTheme="minorHAnsi" w:hAnsi="Times New Roman"/>
        </w:rPr>
        <w:t xml:space="preserve"> </w:t>
      </w:r>
      <w:r w:rsidRPr="00645878">
        <w:rPr>
          <w:rFonts w:ascii="Times New Roman" w:eastAsiaTheme="minorHAnsi" w:hAnsi="Times New Roman"/>
        </w:rPr>
        <w:t>a</w:t>
      </w:r>
      <w:r w:rsidR="00900061" w:rsidRPr="00645878">
        <w:rPr>
          <w:rFonts w:ascii="Times New Roman" w:eastAsiaTheme="minorHAnsi" w:hAnsi="Times New Roman"/>
        </w:rPr>
        <w:t xml:space="preserve"> </w:t>
      </w:r>
      <w:r w:rsidRPr="00645878">
        <w:rPr>
          <w:rFonts w:ascii="Times New Roman" w:eastAsiaTheme="minorHAnsi" w:hAnsi="Times New Roman"/>
        </w:rPr>
        <w:t>projection</w:t>
      </w:r>
      <w:r w:rsidR="00900061" w:rsidRPr="00645878">
        <w:rPr>
          <w:rFonts w:ascii="Times New Roman" w:eastAsiaTheme="minorHAnsi" w:hAnsi="Times New Roman"/>
        </w:rPr>
        <w:t xml:space="preserve"> </w:t>
      </w:r>
      <w:r w:rsidRPr="00645878">
        <w:rPr>
          <w:rFonts w:ascii="Times New Roman" w:eastAsiaTheme="minorHAnsi" w:hAnsi="Times New Roman"/>
        </w:rPr>
        <w:t>of</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revenue</w:t>
      </w:r>
      <w:r w:rsidR="00900061" w:rsidRPr="00645878">
        <w:rPr>
          <w:rFonts w:ascii="Times New Roman" w:eastAsiaTheme="minorHAnsi" w:hAnsi="Times New Roman"/>
        </w:rPr>
        <w:t xml:space="preserve"> </w:t>
      </w:r>
      <w:r w:rsidRPr="00645878">
        <w:rPr>
          <w:rFonts w:ascii="Times New Roman" w:eastAsiaTheme="minorHAnsi" w:hAnsi="Times New Roman"/>
        </w:rPr>
        <w:t>and</w:t>
      </w:r>
      <w:r w:rsidR="00900061" w:rsidRPr="00645878">
        <w:rPr>
          <w:rFonts w:ascii="Times New Roman" w:eastAsiaTheme="minorHAnsi" w:hAnsi="Times New Roman"/>
        </w:rPr>
        <w:t xml:space="preserve"> </w:t>
      </w:r>
      <w:r w:rsidRPr="00645878">
        <w:rPr>
          <w:rFonts w:ascii="Times New Roman" w:eastAsiaTheme="minorHAnsi" w:hAnsi="Times New Roman"/>
        </w:rPr>
        <w:t>income,</w:t>
      </w:r>
      <w:r w:rsidR="00900061" w:rsidRPr="00645878">
        <w:rPr>
          <w:rFonts w:ascii="Times New Roman" w:eastAsiaTheme="minorHAnsi" w:hAnsi="Times New Roman"/>
        </w:rPr>
        <w:t xml:space="preserve"> </w:t>
      </w:r>
      <w:r w:rsidR="00B52FB5" w:rsidRPr="00645878">
        <w:rPr>
          <w:rFonts w:ascii="Times New Roman" w:eastAsiaTheme="minorHAnsi" w:hAnsi="Times New Roman"/>
        </w:rPr>
        <w:t xml:space="preserve">by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execution</w:t>
      </w:r>
      <w:r w:rsidR="00900061" w:rsidRPr="00645878">
        <w:rPr>
          <w:rFonts w:ascii="Times New Roman" w:eastAsiaTheme="minorHAnsi" w:hAnsi="Times New Roman"/>
        </w:rPr>
        <w:t xml:space="preserve"> </w:t>
      </w:r>
      <w:r w:rsidRPr="00645878">
        <w:rPr>
          <w:rFonts w:ascii="Times New Roman" w:eastAsiaTheme="minorHAnsi" w:hAnsi="Times New Roman"/>
        </w:rPr>
        <w:t>of</w:t>
      </w:r>
      <w:r w:rsidR="00900061" w:rsidRPr="00645878">
        <w:rPr>
          <w:rFonts w:ascii="Times New Roman" w:eastAsiaTheme="minorHAnsi" w:hAnsi="Times New Roman"/>
        </w:rPr>
        <w:t xml:space="preserve"> </w:t>
      </w:r>
      <w:r w:rsidRPr="00645878">
        <w:rPr>
          <w:rFonts w:ascii="Times New Roman" w:eastAsiaTheme="minorHAnsi" w:hAnsi="Times New Roman"/>
        </w:rPr>
        <w:t>a</w:t>
      </w:r>
      <w:r w:rsidR="00900061" w:rsidRPr="00645878">
        <w:rPr>
          <w:rFonts w:ascii="Times New Roman" w:eastAsiaTheme="minorHAnsi" w:hAnsi="Times New Roman"/>
        </w:rPr>
        <w:t xml:space="preserve"> </w:t>
      </w:r>
      <w:r w:rsidRPr="00645878">
        <w:rPr>
          <w:rFonts w:ascii="Times New Roman" w:eastAsiaTheme="minorHAnsi" w:hAnsi="Times New Roman"/>
        </w:rPr>
        <w:t>budget</w:t>
      </w:r>
      <w:r w:rsidR="00900061" w:rsidRPr="00645878">
        <w:rPr>
          <w:rFonts w:ascii="Times New Roman" w:eastAsiaTheme="minorHAnsi" w:hAnsi="Times New Roman"/>
        </w:rPr>
        <w:t xml:space="preserve"> </w:t>
      </w:r>
      <w:r w:rsidRPr="00645878">
        <w:rPr>
          <w:rFonts w:ascii="Times New Roman" w:eastAsiaTheme="minorHAnsi" w:hAnsi="Times New Roman"/>
        </w:rPr>
        <w:t>beneficiary</w:t>
      </w:r>
      <w:r w:rsidR="00900061" w:rsidRPr="00645878">
        <w:rPr>
          <w:rFonts w:ascii="Times New Roman" w:eastAsiaTheme="minorHAnsi" w:hAnsi="Times New Roman"/>
        </w:rPr>
        <w:t xml:space="preserve"> </w:t>
      </w:r>
      <w:r w:rsidRPr="00645878">
        <w:rPr>
          <w:rFonts w:ascii="Times New Roman" w:eastAsiaTheme="minorHAnsi" w:hAnsi="Times New Roman"/>
        </w:rPr>
        <w:t>in</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previous</w:t>
      </w:r>
      <w:r w:rsidR="00900061" w:rsidRPr="00645878">
        <w:rPr>
          <w:rFonts w:ascii="Times New Roman" w:eastAsiaTheme="minorHAnsi" w:hAnsi="Times New Roman"/>
        </w:rPr>
        <w:t xml:space="preserve"> </w:t>
      </w:r>
      <w:r w:rsidRPr="00645878">
        <w:rPr>
          <w:rFonts w:ascii="Times New Roman" w:eastAsiaTheme="minorHAnsi" w:hAnsi="Times New Roman"/>
        </w:rPr>
        <w:t>period</w:t>
      </w:r>
      <w:r w:rsidR="00B52FB5" w:rsidRPr="00645878">
        <w:rPr>
          <w:rFonts w:ascii="Times New Roman" w:eastAsiaTheme="minorHAnsi" w:hAnsi="Times New Roman"/>
        </w:rPr>
        <w:t>,</w:t>
      </w:r>
      <w:r w:rsidR="00900061" w:rsidRPr="00645878">
        <w:rPr>
          <w:rFonts w:ascii="Times New Roman" w:eastAsiaTheme="minorHAnsi" w:hAnsi="Times New Roman"/>
        </w:rPr>
        <w:t xml:space="preserve"> </w:t>
      </w:r>
      <w:r w:rsidRPr="00645878">
        <w:rPr>
          <w:rFonts w:ascii="Times New Roman" w:eastAsiaTheme="minorHAnsi" w:hAnsi="Times New Roman"/>
        </w:rPr>
        <w:t>and</w:t>
      </w:r>
      <w:r w:rsidR="00900061" w:rsidRPr="00645878">
        <w:rPr>
          <w:rFonts w:ascii="Times New Roman" w:eastAsiaTheme="minorHAnsi" w:hAnsi="Times New Roman"/>
        </w:rPr>
        <w:t xml:space="preserve"> </w:t>
      </w:r>
      <w:r w:rsidRPr="00645878">
        <w:rPr>
          <w:rFonts w:ascii="Times New Roman" w:eastAsiaTheme="minorHAnsi" w:hAnsi="Times New Roman"/>
        </w:rPr>
        <w:t>by</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appraisal</w:t>
      </w:r>
      <w:r w:rsidR="00900061" w:rsidRPr="00645878">
        <w:rPr>
          <w:rFonts w:ascii="Times New Roman" w:eastAsiaTheme="minorHAnsi" w:hAnsi="Times New Roman"/>
        </w:rPr>
        <w:t xml:space="preserve"> </w:t>
      </w:r>
      <w:r w:rsidRPr="00645878">
        <w:rPr>
          <w:rFonts w:ascii="Times New Roman" w:eastAsiaTheme="minorHAnsi" w:hAnsi="Times New Roman"/>
        </w:rPr>
        <w:t>of</w:t>
      </w:r>
      <w:r w:rsidR="00900061" w:rsidRPr="00645878">
        <w:rPr>
          <w:rFonts w:ascii="Times New Roman" w:eastAsiaTheme="minorHAnsi" w:hAnsi="Times New Roman"/>
        </w:rPr>
        <w:t xml:space="preserve"> </w:t>
      </w:r>
      <w:r w:rsidRPr="00645878">
        <w:rPr>
          <w:rFonts w:ascii="Times New Roman" w:eastAsiaTheme="minorHAnsi" w:hAnsi="Times New Roman"/>
        </w:rPr>
        <w:t>financial</w:t>
      </w:r>
      <w:r w:rsidR="00900061" w:rsidRPr="00645878">
        <w:rPr>
          <w:rFonts w:ascii="Times New Roman" w:eastAsiaTheme="minorHAnsi" w:hAnsi="Times New Roman"/>
        </w:rPr>
        <w:t xml:space="preserve"> </w:t>
      </w:r>
      <w:r w:rsidRPr="00645878">
        <w:rPr>
          <w:rFonts w:ascii="Times New Roman" w:eastAsiaTheme="minorHAnsi" w:hAnsi="Times New Roman"/>
        </w:rPr>
        <w:t>planning</w:t>
      </w:r>
      <w:r w:rsidR="00900061" w:rsidRPr="00645878">
        <w:rPr>
          <w:rFonts w:ascii="Times New Roman" w:eastAsiaTheme="minorHAnsi" w:hAnsi="Times New Roman"/>
        </w:rPr>
        <w:t xml:space="preserve"> </w:t>
      </w:r>
      <w:r w:rsidRPr="00645878">
        <w:rPr>
          <w:rFonts w:ascii="Times New Roman" w:eastAsiaTheme="minorHAnsi" w:hAnsi="Times New Roman"/>
        </w:rPr>
        <w:t>performance.</w:t>
      </w:r>
      <w:r w:rsidR="00900061" w:rsidRPr="00645878">
        <w:rPr>
          <w:rFonts w:ascii="Times New Roman" w:eastAsiaTheme="minorHAnsi" w:hAnsi="Times New Roman"/>
        </w:rPr>
        <w:t xml:space="preserve"> </w:t>
      </w:r>
      <w:r w:rsidRPr="00645878">
        <w:rPr>
          <w:rFonts w:ascii="Times New Roman" w:eastAsiaTheme="minorHAnsi" w:hAnsi="Times New Roman"/>
        </w:rPr>
        <w:t>If</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increase</w:t>
      </w:r>
      <w:r w:rsidR="00900061" w:rsidRPr="00645878">
        <w:rPr>
          <w:rFonts w:ascii="Times New Roman" w:eastAsiaTheme="minorHAnsi" w:hAnsi="Times New Roman"/>
        </w:rPr>
        <w:t xml:space="preserve"> </w:t>
      </w:r>
      <w:r w:rsidRPr="00645878">
        <w:rPr>
          <w:rFonts w:ascii="Times New Roman" w:eastAsiaTheme="minorHAnsi" w:hAnsi="Times New Roman"/>
        </w:rPr>
        <w:t>of</w:t>
      </w:r>
      <w:r w:rsidR="00900061" w:rsidRPr="00645878">
        <w:rPr>
          <w:rFonts w:ascii="Times New Roman" w:eastAsiaTheme="minorHAnsi" w:hAnsi="Times New Roman"/>
        </w:rPr>
        <w:t xml:space="preserve"> </w:t>
      </w:r>
      <w:r w:rsidRPr="00645878">
        <w:rPr>
          <w:rFonts w:ascii="Times New Roman" w:eastAsiaTheme="minorHAnsi" w:hAnsi="Times New Roman"/>
        </w:rPr>
        <w:t>the</w:t>
      </w:r>
      <w:r w:rsidR="00900061" w:rsidRPr="00645878">
        <w:rPr>
          <w:rFonts w:ascii="Times New Roman" w:eastAsiaTheme="minorHAnsi" w:hAnsi="Times New Roman"/>
        </w:rPr>
        <w:t xml:space="preserve"> </w:t>
      </w:r>
      <w:r w:rsidRPr="00645878">
        <w:rPr>
          <w:rFonts w:ascii="Times New Roman" w:eastAsiaTheme="minorHAnsi" w:hAnsi="Times New Roman"/>
        </w:rPr>
        <w:t>quota</w:t>
      </w:r>
      <w:r w:rsidR="00900061" w:rsidRPr="00645878">
        <w:rPr>
          <w:rFonts w:ascii="Times New Roman" w:eastAsiaTheme="minorHAnsi" w:hAnsi="Times New Roman"/>
        </w:rPr>
        <w:t xml:space="preserve"> </w:t>
      </w:r>
      <w:r w:rsidRPr="00645878">
        <w:rPr>
          <w:rFonts w:ascii="Times New Roman" w:eastAsiaTheme="minorHAnsi" w:hAnsi="Times New Roman"/>
        </w:rPr>
        <w:t>is</w:t>
      </w:r>
      <w:r w:rsidR="00900061" w:rsidRPr="00645878">
        <w:rPr>
          <w:rFonts w:ascii="Times New Roman" w:eastAsiaTheme="minorHAnsi" w:hAnsi="Times New Roman"/>
        </w:rPr>
        <w:t xml:space="preserve"> </w:t>
      </w:r>
      <w:r w:rsidRPr="00645878">
        <w:rPr>
          <w:rFonts w:ascii="Times New Roman" w:eastAsiaTheme="minorHAnsi" w:hAnsi="Times New Roman"/>
        </w:rPr>
        <w:t>not</w:t>
      </w:r>
      <w:r w:rsidR="00900061" w:rsidRPr="00645878">
        <w:rPr>
          <w:rFonts w:ascii="Times New Roman" w:eastAsiaTheme="minorHAnsi" w:hAnsi="Times New Roman"/>
        </w:rPr>
        <w:t xml:space="preserve"> </w:t>
      </w:r>
      <w:r w:rsidRPr="00645878">
        <w:rPr>
          <w:rFonts w:ascii="Times New Roman" w:eastAsiaTheme="minorHAnsi" w:hAnsi="Times New Roman"/>
        </w:rPr>
        <w:t>approved,</w:t>
      </w:r>
      <w:r w:rsidR="00900061" w:rsidRPr="00645878">
        <w:rPr>
          <w:rFonts w:ascii="Times New Roman" w:eastAsiaTheme="minorHAnsi" w:hAnsi="Times New Roman"/>
        </w:rPr>
        <w:t xml:space="preserve"> </w:t>
      </w:r>
      <w:r w:rsidRPr="00645878">
        <w:rPr>
          <w:rFonts w:ascii="Times New Roman" w:eastAsiaTheme="minorHAnsi" w:hAnsi="Times New Roman"/>
        </w:rPr>
        <w:t>this</w:t>
      </w:r>
      <w:r w:rsidR="00900061" w:rsidRPr="00645878">
        <w:rPr>
          <w:rFonts w:ascii="Times New Roman" w:eastAsiaTheme="minorHAnsi" w:hAnsi="Times New Roman"/>
        </w:rPr>
        <w:t xml:space="preserve"> </w:t>
      </w:r>
      <w:r w:rsidRPr="00645878">
        <w:rPr>
          <w:rFonts w:ascii="Times New Roman" w:eastAsiaTheme="minorHAnsi" w:hAnsi="Times New Roman"/>
        </w:rPr>
        <w:t>could</w:t>
      </w:r>
      <w:r w:rsidR="00900061" w:rsidRPr="00645878">
        <w:rPr>
          <w:rFonts w:ascii="Times New Roman" w:eastAsiaTheme="minorHAnsi" w:hAnsi="Times New Roman"/>
        </w:rPr>
        <w:t xml:space="preserve"> </w:t>
      </w:r>
      <w:r w:rsidRPr="00645878">
        <w:rPr>
          <w:rFonts w:ascii="Times New Roman" w:eastAsiaTheme="minorHAnsi" w:hAnsi="Times New Roman"/>
        </w:rPr>
        <w:t>potentially</w:t>
      </w:r>
      <w:r w:rsidR="00900061" w:rsidRPr="00645878">
        <w:rPr>
          <w:rFonts w:ascii="Times New Roman" w:eastAsiaTheme="minorHAnsi" w:hAnsi="Times New Roman"/>
        </w:rPr>
        <w:t xml:space="preserve"> </w:t>
      </w:r>
      <w:r w:rsidRPr="00645878">
        <w:rPr>
          <w:rFonts w:ascii="Times New Roman" w:eastAsiaTheme="minorHAnsi" w:hAnsi="Times New Roman"/>
        </w:rPr>
        <w:t>lead</w:t>
      </w:r>
      <w:r w:rsidR="00900061" w:rsidRPr="00645878">
        <w:rPr>
          <w:rFonts w:ascii="Times New Roman" w:eastAsiaTheme="minorHAnsi" w:hAnsi="Times New Roman"/>
        </w:rPr>
        <w:t xml:space="preserve"> </w:t>
      </w:r>
      <w:r w:rsidRPr="00645878">
        <w:rPr>
          <w:rFonts w:ascii="Times New Roman" w:eastAsiaTheme="minorHAnsi" w:hAnsi="Times New Roman"/>
        </w:rPr>
        <w:t>to</w:t>
      </w:r>
      <w:r w:rsidR="00900061" w:rsidRPr="00645878">
        <w:rPr>
          <w:rFonts w:ascii="Times New Roman" w:eastAsiaTheme="minorHAnsi" w:hAnsi="Times New Roman"/>
        </w:rPr>
        <w:t xml:space="preserve"> </w:t>
      </w:r>
      <w:r w:rsidRPr="00645878">
        <w:rPr>
          <w:rFonts w:ascii="Times New Roman" w:eastAsiaTheme="minorHAnsi" w:hAnsi="Times New Roman"/>
        </w:rPr>
        <w:t>outstanding</w:t>
      </w:r>
      <w:r w:rsidR="00900061" w:rsidRPr="00645878">
        <w:rPr>
          <w:rFonts w:ascii="Times New Roman" w:eastAsiaTheme="minorHAnsi" w:hAnsi="Times New Roman"/>
        </w:rPr>
        <w:t xml:space="preserve"> </w:t>
      </w:r>
      <w:r w:rsidRPr="00645878">
        <w:rPr>
          <w:rFonts w:ascii="Times New Roman" w:eastAsiaTheme="minorHAnsi" w:hAnsi="Times New Roman"/>
        </w:rPr>
        <w:t>payments.</w:t>
      </w:r>
      <w:r w:rsidR="00900061" w:rsidRPr="00645878">
        <w:rPr>
          <w:rFonts w:ascii="Times New Roman" w:eastAsiaTheme="minorHAnsi" w:hAnsi="Times New Roman"/>
        </w:rPr>
        <w:t xml:space="preserve"> </w:t>
      </w:r>
    </w:p>
    <w:p w14:paraId="388839B3" w14:textId="2C8C1816" w:rsidR="00094991" w:rsidRPr="00645878" w:rsidRDefault="0090006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rPr>
        <w:t xml:space="preserve"> </w:t>
      </w:r>
      <w:r w:rsidR="00094991" w:rsidRPr="00645878">
        <w:rPr>
          <w:rFonts w:ascii="Times New Roman" w:hAnsi="Times New Roman"/>
          <w:b/>
        </w:rPr>
        <w:t>Cash</w:t>
      </w:r>
      <w:r w:rsidRPr="00645878">
        <w:rPr>
          <w:rFonts w:ascii="Times New Roman" w:hAnsi="Times New Roman"/>
          <w:b/>
        </w:rPr>
        <w:t xml:space="preserve"> </w:t>
      </w:r>
      <w:r w:rsidR="00094991" w:rsidRPr="00645878">
        <w:rPr>
          <w:rFonts w:ascii="Times New Roman" w:hAnsi="Times New Roman"/>
          <w:b/>
        </w:rPr>
        <w:t>management</w:t>
      </w:r>
      <w:r w:rsidRPr="00645878">
        <w:rPr>
          <w:rFonts w:ascii="Times New Roman" w:hAnsi="Times New Roman"/>
          <w:b/>
        </w:rPr>
        <w:t xml:space="preserve"> </w:t>
      </w:r>
      <w:r w:rsidR="00094991" w:rsidRPr="00645878">
        <w:rPr>
          <w:rFonts w:ascii="Times New Roman" w:hAnsi="Times New Roman"/>
          <w:b/>
        </w:rPr>
        <w:t>practices</w:t>
      </w:r>
      <w:r w:rsidRPr="00645878">
        <w:rPr>
          <w:rFonts w:ascii="Times New Roman" w:hAnsi="Times New Roman"/>
          <w:b/>
        </w:rPr>
        <w:t xml:space="preserve"> </w:t>
      </w:r>
      <w:r w:rsidR="00094991" w:rsidRPr="00645878">
        <w:rPr>
          <w:rFonts w:ascii="Times New Roman" w:hAnsi="Times New Roman"/>
          <w:b/>
        </w:rPr>
        <w:t>exercised</w:t>
      </w:r>
      <w:r w:rsidRPr="00645878">
        <w:rPr>
          <w:rFonts w:ascii="Times New Roman" w:hAnsi="Times New Roman"/>
          <w:b/>
        </w:rPr>
        <w:t xml:space="preserve"> </w:t>
      </w:r>
      <w:r w:rsidR="00094991" w:rsidRPr="00645878">
        <w:rPr>
          <w:rFonts w:ascii="Times New Roman" w:hAnsi="Times New Roman"/>
          <w:b/>
        </w:rPr>
        <w:t>by</w:t>
      </w:r>
      <w:r w:rsidRPr="00645878">
        <w:rPr>
          <w:rFonts w:ascii="Times New Roman" w:hAnsi="Times New Roman"/>
          <w:b/>
        </w:rPr>
        <w:t xml:space="preserve"> </w:t>
      </w:r>
      <w:r w:rsidR="00094991" w:rsidRPr="00645878">
        <w:rPr>
          <w:rFonts w:ascii="Times New Roman" w:hAnsi="Times New Roman"/>
          <w:b/>
        </w:rPr>
        <w:t>the</w:t>
      </w:r>
      <w:r w:rsidRPr="00645878">
        <w:rPr>
          <w:rFonts w:ascii="Times New Roman" w:hAnsi="Times New Roman"/>
          <w:b/>
        </w:rPr>
        <w:t xml:space="preserve"> </w:t>
      </w:r>
      <w:r w:rsidR="00094991" w:rsidRPr="00645878">
        <w:rPr>
          <w:rFonts w:ascii="Times New Roman" w:hAnsi="Times New Roman"/>
          <w:b/>
        </w:rPr>
        <w:t>TA</w:t>
      </w:r>
      <w:r w:rsidRPr="00645878">
        <w:rPr>
          <w:rFonts w:ascii="Times New Roman" w:hAnsi="Times New Roman"/>
          <w:b/>
        </w:rPr>
        <w:t xml:space="preserve"> </w:t>
      </w:r>
      <w:r w:rsidR="00094991" w:rsidRPr="00645878">
        <w:rPr>
          <w:rFonts w:ascii="Times New Roman" w:hAnsi="Times New Roman"/>
          <w:b/>
        </w:rPr>
        <w:t>are</w:t>
      </w:r>
      <w:r w:rsidRPr="00645878">
        <w:rPr>
          <w:rFonts w:ascii="Times New Roman" w:hAnsi="Times New Roman"/>
          <w:b/>
        </w:rPr>
        <w:t xml:space="preserve"> </w:t>
      </w:r>
      <w:r w:rsidR="00094991" w:rsidRPr="00645878">
        <w:rPr>
          <w:rFonts w:ascii="Times New Roman" w:hAnsi="Times New Roman"/>
          <w:b/>
        </w:rPr>
        <w:t>sound.</w:t>
      </w:r>
      <w:r w:rsidRPr="00645878">
        <w:rPr>
          <w:rFonts w:ascii="Times New Roman" w:hAnsi="Times New Roman"/>
        </w:rPr>
        <w:t xml:space="preserve"> </w:t>
      </w:r>
      <w:r w:rsidR="00B52FB5" w:rsidRPr="00645878">
        <w:rPr>
          <w:rFonts w:ascii="Times New Roman" w:hAnsi="Times New Roman"/>
        </w:rPr>
        <w:t>The TA manages c</w:t>
      </w:r>
      <w:r w:rsidR="00094991" w:rsidRPr="00645878">
        <w:rPr>
          <w:rFonts w:ascii="Times New Roman" w:hAnsi="Times New Roman"/>
        </w:rPr>
        <w:t>ash</w:t>
      </w:r>
      <w:r w:rsidRPr="00645878">
        <w:rPr>
          <w:rFonts w:ascii="Times New Roman" w:hAnsi="Times New Roman"/>
        </w:rPr>
        <w:t xml:space="preserve"> </w:t>
      </w:r>
      <w:r w:rsidR="00094991" w:rsidRPr="00645878">
        <w:rPr>
          <w:rFonts w:ascii="Times New Roman" w:hAnsi="Times New Roman"/>
        </w:rPr>
        <w:t>liquidity</w:t>
      </w:r>
      <w:r w:rsidR="00B52FB5" w:rsidRPr="00645878">
        <w:rPr>
          <w:rFonts w:ascii="Times New Roman" w:hAnsi="Times New Roman"/>
        </w:rPr>
        <w:t>,</w:t>
      </w:r>
      <w:r w:rsidRPr="00645878">
        <w:rPr>
          <w:rFonts w:ascii="Times New Roman" w:hAnsi="Times New Roman"/>
        </w:rPr>
        <w:t xml:space="preserve"> </w:t>
      </w:r>
      <w:r w:rsidR="00094991" w:rsidRPr="00645878">
        <w:rPr>
          <w:rFonts w:ascii="Times New Roman" w:hAnsi="Times New Roman"/>
        </w:rPr>
        <w:t>prepares</w:t>
      </w:r>
      <w:r w:rsidRPr="00645878">
        <w:rPr>
          <w:rFonts w:ascii="Times New Roman" w:hAnsi="Times New Roman"/>
        </w:rPr>
        <w:t xml:space="preserve"> </w:t>
      </w:r>
      <w:r w:rsidR="00094991" w:rsidRPr="00645878">
        <w:rPr>
          <w:rFonts w:ascii="Times New Roman" w:hAnsi="Times New Roman"/>
        </w:rPr>
        <w:t>a</w:t>
      </w:r>
      <w:r w:rsidRPr="00645878">
        <w:rPr>
          <w:rFonts w:ascii="Times New Roman" w:hAnsi="Times New Roman"/>
        </w:rPr>
        <w:t xml:space="preserve"> </w:t>
      </w:r>
      <w:r w:rsidR="00094991" w:rsidRPr="00645878">
        <w:rPr>
          <w:rFonts w:ascii="Times New Roman" w:hAnsi="Times New Roman"/>
        </w:rPr>
        <w:t>cash</w:t>
      </w:r>
      <w:r w:rsidRPr="00645878">
        <w:rPr>
          <w:rFonts w:ascii="Times New Roman" w:hAnsi="Times New Roman"/>
        </w:rPr>
        <w:t xml:space="preserve"> </w:t>
      </w:r>
      <w:r w:rsidR="00094991" w:rsidRPr="00645878">
        <w:rPr>
          <w:rFonts w:ascii="Times New Roman" w:hAnsi="Times New Roman"/>
        </w:rPr>
        <w:t>flow</w:t>
      </w:r>
      <w:r w:rsidRPr="00645878">
        <w:rPr>
          <w:rFonts w:ascii="Times New Roman" w:hAnsi="Times New Roman"/>
        </w:rPr>
        <w:t xml:space="preserve"> </w:t>
      </w:r>
      <w:r w:rsidR="00094991" w:rsidRPr="00645878">
        <w:rPr>
          <w:rFonts w:ascii="Times New Roman" w:hAnsi="Times New Roman"/>
        </w:rPr>
        <w:t>forecast</w:t>
      </w:r>
      <w:r w:rsidRPr="00645878">
        <w:rPr>
          <w:rFonts w:ascii="Times New Roman" w:hAnsi="Times New Roman"/>
        </w:rPr>
        <w:t xml:space="preserve"> </w:t>
      </w:r>
      <w:r w:rsidR="00094991" w:rsidRPr="00645878">
        <w:rPr>
          <w:rFonts w:ascii="Times New Roman" w:hAnsi="Times New Roman"/>
        </w:rPr>
        <w:t>for</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fiscal</w:t>
      </w:r>
      <w:r w:rsidRPr="00645878">
        <w:rPr>
          <w:rFonts w:ascii="Times New Roman" w:hAnsi="Times New Roman"/>
        </w:rPr>
        <w:t xml:space="preserve"> </w:t>
      </w:r>
      <w:r w:rsidR="00094991" w:rsidRPr="00645878">
        <w:rPr>
          <w:rFonts w:ascii="Times New Roman" w:hAnsi="Times New Roman"/>
        </w:rPr>
        <w:t>year</w:t>
      </w:r>
      <w:r w:rsidR="00B52FB5" w:rsidRPr="00645878">
        <w:rPr>
          <w:rFonts w:ascii="Times New Roman" w:hAnsi="Times New Roman"/>
        </w:rPr>
        <w:t>,</w:t>
      </w:r>
      <w:r w:rsidRPr="00645878">
        <w:rPr>
          <w:rFonts w:ascii="Times New Roman" w:hAnsi="Times New Roman"/>
        </w:rPr>
        <w:t xml:space="preserve"> </w:t>
      </w:r>
      <w:r w:rsidR="00094991" w:rsidRPr="00645878">
        <w:rPr>
          <w:rFonts w:ascii="Times New Roman" w:hAnsi="Times New Roman"/>
        </w:rPr>
        <w:t>and</w:t>
      </w:r>
      <w:r w:rsidRPr="00645878">
        <w:rPr>
          <w:rFonts w:ascii="Times New Roman" w:hAnsi="Times New Roman"/>
        </w:rPr>
        <w:t xml:space="preserve"> </w:t>
      </w:r>
      <w:r w:rsidR="00094991" w:rsidRPr="00645878">
        <w:rPr>
          <w:rFonts w:ascii="Times New Roman" w:hAnsi="Times New Roman"/>
        </w:rPr>
        <w:t>updates</w:t>
      </w:r>
      <w:r w:rsidRPr="00645878">
        <w:rPr>
          <w:rFonts w:ascii="Times New Roman" w:hAnsi="Times New Roman"/>
        </w:rPr>
        <w:t xml:space="preserve"> </w:t>
      </w:r>
      <w:r w:rsidR="00094991" w:rsidRPr="00645878">
        <w:rPr>
          <w:rFonts w:ascii="Times New Roman" w:hAnsi="Times New Roman"/>
        </w:rPr>
        <w:t>it</w:t>
      </w:r>
      <w:r w:rsidRPr="00645878">
        <w:rPr>
          <w:rFonts w:ascii="Times New Roman" w:hAnsi="Times New Roman"/>
        </w:rPr>
        <w:t xml:space="preserve"> </w:t>
      </w:r>
      <w:r w:rsidR="00094991" w:rsidRPr="00645878">
        <w:rPr>
          <w:rFonts w:ascii="Times New Roman" w:hAnsi="Times New Roman"/>
        </w:rPr>
        <w:t>monthly</w:t>
      </w:r>
      <w:r w:rsidRPr="00645878">
        <w:rPr>
          <w:rFonts w:ascii="Times New Roman" w:hAnsi="Times New Roman"/>
        </w:rPr>
        <w:t xml:space="preserve"> </w:t>
      </w:r>
      <w:r w:rsidR="00094991" w:rsidRPr="00645878">
        <w:rPr>
          <w:rFonts w:ascii="Times New Roman" w:hAnsi="Times New Roman"/>
        </w:rPr>
        <w:t>on</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basis</w:t>
      </w:r>
      <w:r w:rsidRPr="00645878">
        <w:rPr>
          <w:rFonts w:ascii="Times New Roman" w:hAnsi="Times New Roman"/>
        </w:rPr>
        <w:t xml:space="preserve"> </w:t>
      </w:r>
      <w:r w:rsidR="00094991" w:rsidRPr="00645878">
        <w:rPr>
          <w:rFonts w:ascii="Times New Roman" w:hAnsi="Times New Roman"/>
        </w:rPr>
        <w:t>of</w:t>
      </w:r>
      <w:r w:rsidRPr="00645878">
        <w:rPr>
          <w:rFonts w:ascii="Times New Roman" w:hAnsi="Times New Roman"/>
        </w:rPr>
        <w:t xml:space="preserve"> </w:t>
      </w:r>
      <w:r w:rsidR="00094991" w:rsidRPr="00645878">
        <w:rPr>
          <w:rFonts w:ascii="Times New Roman" w:hAnsi="Times New Roman"/>
        </w:rPr>
        <w:t>actual</w:t>
      </w:r>
      <w:r w:rsidRPr="00645878">
        <w:rPr>
          <w:rFonts w:ascii="Times New Roman" w:hAnsi="Times New Roman"/>
        </w:rPr>
        <w:t xml:space="preserve"> </w:t>
      </w:r>
      <w:r w:rsidR="00094991" w:rsidRPr="00645878">
        <w:rPr>
          <w:rFonts w:ascii="Times New Roman" w:hAnsi="Times New Roman"/>
        </w:rPr>
        <w:t>cash</w:t>
      </w:r>
      <w:r w:rsidRPr="00645878">
        <w:rPr>
          <w:rFonts w:ascii="Times New Roman" w:hAnsi="Times New Roman"/>
        </w:rPr>
        <w:t xml:space="preserve"> </w:t>
      </w:r>
      <w:r w:rsidR="00094991" w:rsidRPr="00645878">
        <w:rPr>
          <w:rFonts w:ascii="Times New Roman" w:hAnsi="Times New Roman"/>
        </w:rPr>
        <w:t>inflows</w:t>
      </w:r>
      <w:r w:rsidRPr="00645878">
        <w:rPr>
          <w:rFonts w:ascii="Times New Roman" w:hAnsi="Times New Roman"/>
        </w:rPr>
        <w:t xml:space="preserve"> </w:t>
      </w:r>
      <w:r w:rsidR="00094991" w:rsidRPr="00645878">
        <w:rPr>
          <w:rFonts w:ascii="Times New Roman" w:hAnsi="Times New Roman"/>
        </w:rPr>
        <w:t>and</w:t>
      </w:r>
      <w:r w:rsidRPr="00645878">
        <w:rPr>
          <w:rFonts w:ascii="Times New Roman" w:hAnsi="Times New Roman"/>
        </w:rPr>
        <w:t xml:space="preserve"> </w:t>
      </w:r>
      <w:r w:rsidR="00094991" w:rsidRPr="00645878">
        <w:rPr>
          <w:rFonts w:ascii="Times New Roman" w:hAnsi="Times New Roman"/>
        </w:rPr>
        <w:t>outflows.</w:t>
      </w:r>
      <w:r w:rsidRPr="00645878">
        <w:rPr>
          <w:rFonts w:ascii="Times New Roman" w:hAnsi="Times New Roman"/>
        </w:rPr>
        <w:t xml:space="preserve"> </w:t>
      </w:r>
      <w:r w:rsidR="00094991" w:rsidRPr="00645878">
        <w:rPr>
          <w:rFonts w:ascii="Times New Roman" w:hAnsi="Times New Roman"/>
        </w:rPr>
        <w:t>In</w:t>
      </w:r>
      <w:r w:rsidRPr="00645878">
        <w:rPr>
          <w:rFonts w:ascii="Times New Roman" w:hAnsi="Times New Roman"/>
        </w:rPr>
        <w:t xml:space="preserve"> </w:t>
      </w:r>
      <w:r w:rsidR="00094991" w:rsidRPr="00645878">
        <w:rPr>
          <w:rFonts w:ascii="Times New Roman" w:hAnsi="Times New Roman"/>
        </w:rPr>
        <w:t>practice,</w:t>
      </w:r>
      <w:r w:rsidRPr="00645878">
        <w:rPr>
          <w:rFonts w:ascii="Times New Roman" w:hAnsi="Times New Roman"/>
        </w:rPr>
        <w:t xml:space="preserve"> </w:t>
      </w:r>
      <w:r w:rsidR="00094991" w:rsidRPr="00645878">
        <w:rPr>
          <w:rFonts w:ascii="Times New Roman" w:hAnsi="Times New Roman"/>
        </w:rPr>
        <w:t>cash</w:t>
      </w:r>
      <w:r w:rsidRPr="00645878">
        <w:rPr>
          <w:rFonts w:ascii="Times New Roman" w:hAnsi="Times New Roman"/>
        </w:rPr>
        <w:t xml:space="preserve"> </w:t>
      </w:r>
      <w:r w:rsidR="00094991" w:rsidRPr="00645878">
        <w:rPr>
          <w:rFonts w:ascii="Times New Roman" w:hAnsi="Times New Roman"/>
        </w:rPr>
        <w:t>planning</w:t>
      </w:r>
      <w:r w:rsidRPr="00645878">
        <w:rPr>
          <w:rFonts w:ascii="Times New Roman" w:hAnsi="Times New Roman"/>
        </w:rPr>
        <w:t xml:space="preserve"> </w:t>
      </w:r>
      <w:r w:rsidR="00094991" w:rsidRPr="00645878">
        <w:rPr>
          <w:rFonts w:ascii="Times New Roman" w:hAnsi="Times New Roman"/>
        </w:rPr>
        <w:t>is</w:t>
      </w:r>
      <w:r w:rsidRPr="00645878">
        <w:rPr>
          <w:rFonts w:ascii="Times New Roman" w:hAnsi="Times New Roman"/>
        </w:rPr>
        <w:t xml:space="preserve"> </w:t>
      </w:r>
      <w:r w:rsidR="00094991" w:rsidRPr="00645878">
        <w:rPr>
          <w:rFonts w:ascii="Times New Roman" w:hAnsi="Times New Roman"/>
        </w:rPr>
        <w:t>on</w:t>
      </w:r>
      <w:r w:rsidRPr="00645878">
        <w:rPr>
          <w:rFonts w:ascii="Times New Roman" w:hAnsi="Times New Roman"/>
        </w:rPr>
        <w:t xml:space="preserve"> </w:t>
      </w:r>
      <w:r w:rsidR="00094991" w:rsidRPr="00645878">
        <w:rPr>
          <w:rFonts w:ascii="Times New Roman" w:hAnsi="Times New Roman"/>
        </w:rPr>
        <w:t>a</w:t>
      </w:r>
      <w:r w:rsidRPr="00645878">
        <w:rPr>
          <w:rFonts w:ascii="Times New Roman" w:hAnsi="Times New Roman"/>
        </w:rPr>
        <w:t xml:space="preserve"> </w:t>
      </w:r>
      <w:r w:rsidR="00094991" w:rsidRPr="00645878">
        <w:rPr>
          <w:rFonts w:ascii="Times New Roman" w:hAnsi="Times New Roman"/>
        </w:rPr>
        <w:t>month-to-month</w:t>
      </w:r>
      <w:r w:rsidRPr="00645878">
        <w:rPr>
          <w:rFonts w:ascii="Times New Roman" w:hAnsi="Times New Roman"/>
        </w:rPr>
        <w:t xml:space="preserve"> </w:t>
      </w:r>
      <w:r w:rsidR="00094991" w:rsidRPr="00645878">
        <w:rPr>
          <w:rFonts w:ascii="Times New Roman" w:hAnsi="Times New Roman"/>
        </w:rPr>
        <w:t>basis,</w:t>
      </w:r>
      <w:r w:rsidRPr="00645878">
        <w:rPr>
          <w:rFonts w:ascii="Times New Roman" w:hAnsi="Times New Roman"/>
        </w:rPr>
        <w:t xml:space="preserve"> </w:t>
      </w:r>
      <w:r w:rsidR="00094991" w:rsidRPr="00645878">
        <w:rPr>
          <w:rFonts w:ascii="Times New Roman" w:hAnsi="Times New Roman"/>
        </w:rPr>
        <w:t>where</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8D14C4" w:rsidRPr="00645878">
        <w:rPr>
          <w:rFonts w:ascii="Times New Roman" w:hAnsi="Times New Roman"/>
        </w:rPr>
        <w:t>DBBs</w:t>
      </w:r>
      <w:r w:rsidRPr="00645878">
        <w:rPr>
          <w:rFonts w:ascii="Times New Roman" w:hAnsi="Times New Roman"/>
        </w:rPr>
        <w:t xml:space="preserve"> </w:t>
      </w:r>
      <w:r w:rsidR="00094991" w:rsidRPr="00645878">
        <w:rPr>
          <w:rFonts w:ascii="Times New Roman" w:hAnsi="Times New Roman"/>
        </w:rPr>
        <w:t>estimate</w:t>
      </w:r>
      <w:r w:rsidRPr="00645878">
        <w:rPr>
          <w:rFonts w:ascii="Times New Roman" w:hAnsi="Times New Roman"/>
        </w:rPr>
        <w:t xml:space="preserve"> </w:t>
      </w:r>
      <w:r w:rsidR="00094991" w:rsidRPr="00645878">
        <w:rPr>
          <w:rFonts w:ascii="Times New Roman" w:hAnsi="Times New Roman"/>
        </w:rPr>
        <w:t>monthly</w:t>
      </w:r>
      <w:r w:rsidRPr="00645878">
        <w:rPr>
          <w:rFonts w:ascii="Times New Roman" w:hAnsi="Times New Roman"/>
        </w:rPr>
        <w:t xml:space="preserve"> </w:t>
      </w:r>
      <w:r w:rsidR="00094991" w:rsidRPr="00645878">
        <w:rPr>
          <w:rFonts w:ascii="Times New Roman" w:hAnsi="Times New Roman"/>
        </w:rPr>
        <w:t>cash</w:t>
      </w:r>
      <w:r w:rsidRPr="00645878">
        <w:rPr>
          <w:rFonts w:ascii="Times New Roman" w:hAnsi="Times New Roman"/>
        </w:rPr>
        <w:t xml:space="preserve"> </w:t>
      </w:r>
      <w:r w:rsidR="00094991" w:rsidRPr="00645878">
        <w:rPr>
          <w:rFonts w:ascii="Times New Roman" w:hAnsi="Times New Roman"/>
        </w:rPr>
        <w:t>requirements</w:t>
      </w:r>
      <w:r w:rsidRPr="00645878">
        <w:rPr>
          <w:rFonts w:ascii="Times New Roman" w:hAnsi="Times New Roman"/>
        </w:rPr>
        <w:t xml:space="preserve"> </w:t>
      </w:r>
      <w:r w:rsidR="00094991" w:rsidRPr="00645878">
        <w:rPr>
          <w:rFonts w:ascii="Times New Roman" w:hAnsi="Times New Roman"/>
        </w:rPr>
        <w:t>through</w:t>
      </w:r>
      <w:r w:rsidRPr="00645878">
        <w:rPr>
          <w:rFonts w:ascii="Times New Roman" w:hAnsi="Times New Roman"/>
        </w:rPr>
        <w:t xml:space="preserve"> </w:t>
      </w:r>
      <w:r w:rsidR="00094991" w:rsidRPr="00645878">
        <w:rPr>
          <w:rFonts w:ascii="Times New Roman" w:hAnsi="Times New Roman"/>
        </w:rPr>
        <w:t>plans</w:t>
      </w:r>
      <w:r w:rsidRPr="00645878">
        <w:rPr>
          <w:rFonts w:ascii="Times New Roman" w:hAnsi="Times New Roman"/>
        </w:rPr>
        <w:t xml:space="preserve"> </w:t>
      </w:r>
      <w:r w:rsidR="00094991" w:rsidRPr="00645878">
        <w:rPr>
          <w:rFonts w:ascii="Times New Roman" w:hAnsi="Times New Roman"/>
        </w:rPr>
        <w:t>for</w:t>
      </w:r>
      <w:r w:rsidRPr="00645878">
        <w:rPr>
          <w:rFonts w:ascii="Times New Roman" w:hAnsi="Times New Roman"/>
        </w:rPr>
        <w:t xml:space="preserve"> </w:t>
      </w:r>
      <w:r w:rsidR="00094991" w:rsidRPr="00645878">
        <w:rPr>
          <w:rFonts w:ascii="Times New Roman" w:hAnsi="Times New Roman"/>
        </w:rPr>
        <w:t>budget</w:t>
      </w:r>
      <w:r w:rsidRPr="00645878">
        <w:rPr>
          <w:rFonts w:ascii="Times New Roman" w:hAnsi="Times New Roman"/>
        </w:rPr>
        <w:t xml:space="preserve"> </w:t>
      </w:r>
      <w:r w:rsidR="00094991" w:rsidRPr="00645878">
        <w:rPr>
          <w:rFonts w:ascii="Times New Roman" w:hAnsi="Times New Roman"/>
        </w:rPr>
        <w:t>execution</w:t>
      </w:r>
      <w:r w:rsidRPr="00645878">
        <w:rPr>
          <w:rFonts w:ascii="Times New Roman" w:hAnsi="Times New Roman"/>
        </w:rPr>
        <w:t xml:space="preserve"> </w:t>
      </w:r>
      <w:r w:rsidR="00094991" w:rsidRPr="00645878">
        <w:rPr>
          <w:rFonts w:ascii="Times New Roman" w:hAnsi="Times New Roman"/>
        </w:rPr>
        <w:t>and</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TA</w:t>
      </w:r>
      <w:r w:rsidRPr="00645878">
        <w:rPr>
          <w:rFonts w:ascii="Times New Roman" w:hAnsi="Times New Roman"/>
        </w:rPr>
        <w:t xml:space="preserve"> </w:t>
      </w:r>
      <w:r w:rsidR="00094991" w:rsidRPr="00645878">
        <w:rPr>
          <w:rFonts w:ascii="Times New Roman" w:hAnsi="Times New Roman"/>
        </w:rPr>
        <w:t>approves</w:t>
      </w:r>
      <w:r w:rsidRPr="00645878">
        <w:rPr>
          <w:rFonts w:ascii="Times New Roman" w:hAnsi="Times New Roman"/>
        </w:rPr>
        <w:t xml:space="preserve"> </w:t>
      </w:r>
      <w:r w:rsidR="00094991" w:rsidRPr="00645878">
        <w:rPr>
          <w:rFonts w:ascii="Times New Roman" w:hAnsi="Times New Roman"/>
        </w:rPr>
        <w:t>their</w:t>
      </w:r>
      <w:r w:rsidRPr="00645878">
        <w:rPr>
          <w:rFonts w:ascii="Times New Roman" w:hAnsi="Times New Roman"/>
        </w:rPr>
        <w:t xml:space="preserve"> </w:t>
      </w:r>
      <w:r w:rsidR="00F33DBF" w:rsidRPr="00645878">
        <w:rPr>
          <w:rFonts w:ascii="Times New Roman" w:hAnsi="Times New Roman"/>
        </w:rPr>
        <w:t>’</w:t>
      </w:r>
      <w:r w:rsidR="00094991" w:rsidRPr="00645878">
        <w:rPr>
          <w:rFonts w:ascii="Times New Roman" w:hAnsi="Times New Roman"/>
        </w:rPr>
        <w:t>quota</w:t>
      </w:r>
      <w:r w:rsidR="00F33DBF" w:rsidRPr="00645878">
        <w:rPr>
          <w:rFonts w:ascii="Times New Roman" w:hAnsi="Times New Roman"/>
        </w:rPr>
        <w:t>’</w:t>
      </w:r>
      <w:r w:rsidR="00094991" w:rsidRPr="00645878">
        <w:rPr>
          <w:rFonts w:ascii="Times New Roman" w:hAnsi="Times New Roman"/>
        </w:rPr>
        <w:t>,</w:t>
      </w:r>
      <w:r w:rsidRPr="00645878">
        <w:rPr>
          <w:rFonts w:ascii="Times New Roman" w:hAnsi="Times New Roman"/>
        </w:rPr>
        <w:t xml:space="preserve"> </w:t>
      </w:r>
      <w:r w:rsidR="00B71C7F" w:rsidRPr="00645878">
        <w:rPr>
          <w:rFonts w:ascii="Times New Roman" w:hAnsi="Times New Roman"/>
        </w:rPr>
        <w:t>that is,</w:t>
      </w:r>
      <w:r w:rsidRPr="00645878">
        <w:rPr>
          <w:rFonts w:ascii="Times New Roman" w:hAnsi="Times New Roman"/>
        </w:rPr>
        <w:t xml:space="preserve"> </w:t>
      </w:r>
      <w:r w:rsidR="00094991" w:rsidRPr="00645878">
        <w:rPr>
          <w:rFonts w:ascii="Times New Roman" w:hAnsi="Times New Roman"/>
        </w:rPr>
        <w:t>ceiling,</w:t>
      </w:r>
      <w:r w:rsidRPr="00645878">
        <w:rPr>
          <w:rFonts w:ascii="Times New Roman" w:hAnsi="Times New Roman"/>
        </w:rPr>
        <w:t xml:space="preserve"> </w:t>
      </w:r>
      <w:r w:rsidR="00094991" w:rsidRPr="00645878">
        <w:rPr>
          <w:rFonts w:ascii="Times New Roman" w:hAnsi="Times New Roman"/>
        </w:rPr>
        <w:t>by</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15th</w:t>
      </w:r>
      <w:r w:rsidRPr="00645878">
        <w:rPr>
          <w:rFonts w:ascii="Times New Roman" w:hAnsi="Times New Roman"/>
        </w:rPr>
        <w:t xml:space="preserve"> </w:t>
      </w:r>
      <w:r w:rsidR="00094991" w:rsidRPr="00645878">
        <w:rPr>
          <w:rFonts w:ascii="Times New Roman" w:hAnsi="Times New Roman"/>
        </w:rPr>
        <w:t>of</w:t>
      </w:r>
      <w:r w:rsidRPr="00645878">
        <w:rPr>
          <w:rFonts w:ascii="Times New Roman" w:hAnsi="Times New Roman"/>
        </w:rPr>
        <w:t xml:space="preserve"> </w:t>
      </w:r>
      <w:r w:rsidR="00094991" w:rsidRPr="00645878">
        <w:rPr>
          <w:rFonts w:ascii="Times New Roman" w:hAnsi="Times New Roman"/>
        </w:rPr>
        <w:t>the</w:t>
      </w:r>
      <w:r w:rsidRPr="00645878">
        <w:rPr>
          <w:rFonts w:ascii="Times New Roman" w:hAnsi="Times New Roman"/>
        </w:rPr>
        <w:t xml:space="preserve"> </w:t>
      </w:r>
      <w:r w:rsidR="00094991" w:rsidRPr="00645878">
        <w:rPr>
          <w:rFonts w:ascii="Times New Roman" w:hAnsi="Times New Roman"/>
        </w:rPr>
        <w:t>preceding</w:t>
      </w:r>
      <w:r w:rsidRPr="00645878">
        <w:rPr>
          <w:rFonts w:ascii="Times New Roman" w:hAnsi="Times New Roman"/>
        </w:rPr>
        <w:t xml:space="preserve"> </w:t>
      </w:r>
      <w:r w:rsidR="00094991" w:rsidRPr="00645878">
        <w:rPr>
          <w:rFonts w:ascii="Times New Roman" w:hAnsi="Times New Roman"/>
        </w:rPr>
        <w:t>month.</w:t>
      </w:r>
      <w:r w:rsidRPr="00645878">
        <w:rPr>
          <w:rFonts w:ascii="Times New Roman" w:hAnsi="Times New Roman"/>
        </w:rPr>
        <w:t xml:space="preserve"> </w:t>
      </w:r>
      <w:r w:rsidR="00F33DBF" w:rsidRPr="00645878">
        <w:rPr>
          <w:rFonts w:ascii="Times New Roman" w:hAnsi="Times New Roman"/>
        </w:rPr>
        <w:t xml:space="preserve">The </w:t>
      </w:r>
      <w:r w:rsidR="00094991" w:rsidRPr="00645878">
        <w:rPr>
          <w:rFonts w:ascii="Times New Roman" w:hAnsi="Times New Roman"/>
        </w:rPr>
        <w:t>Program</w:t>
      </w:r>
      <w:r w:rsidRPr="00645878">
        <w:rPr>
          <w:rFonts w:ascii="Times New Roman" w:hAnsi="Times New Roman"/>
        </w:rPr>
        <w:t xml:space="preserve"> </w:t>
      </w:r>
      <w:r w:rsidR="00094991" w:rsidRPr="00645878">
        <w:rPr>
          <w:rFonts w:ascii="Times New Roman" w:hAnsi="Times New Roman"/>
        </w:rPr>
        <w:t>implementing</w:t>
      </w:r>
      <w:r w:rsidRPr="00645878">
        <w:rPr>
          <w:rFonts w:ascii="Times New Roman" w:hAnsi="Times New Roman"/>
        </w:rPr>
        <w:t xml:space="preserve"> </w:t>
      </w:r>
      <w:r w:rsidR="00094991" w:rsidRPr="00645878">
        <w:rPr>
          <w:rFonts w:ascii="Times New Roman" w:hAnsi="Times New Roman"/>
        </w:rPr>
        <w:t>entities</w:t>
      </w:r>
      <w:r w:rsidRPr="00645878">
        <w:rPr>
          <w:rFonts w:ascii="Times New Roman" w:hAnsi="Times New Roman"/>
        </w:rPr>
        <w:t xml:space="preserve"> </w:t>
      </w:r>
      <w:r w:rsidR="00094991" w:rsidRPr="00645878">
        <w:rPr>
          <w:rFonts w:ascii="Times New Roman" w:hAnsi="Times New Roman"/>
        </w:rPr>
        <w:t>submit</w:t>
      </w:r>
      <w:r w:rsidRPr="00645878">
        <w:rPr>
          <w:rFonts w:ascii="Times New Roman" w:hAnsi="Times New Roman"/>
        </w:rPr>
        <w:t xml:space="preserve"> </w:t>
      </w:r>
      <w:r w:rsidR="00094991" w:rsidRPr="00645878">
        <w:rPr>
          <w:rFonts w:ascii="Times New Roman" w:hAnsi="Times New Roman"/>
        </w:rPr>
        <w:t>such</w:t>
      </w:r>
      <w:r w:rsidRPr="00645878">
        <w:rPr>
          <w:rFonts w:ascii="Times New Roman" w:hAnsi="Times New Roman"/>
        </w:rPr>
        <w:t xml:space="preserve"> </w:t>
      </w:r>
      <w:r w:rsidR="00094991" w:rsidRPr="00645878">
        <w:rPr>
          <w:rFonts w:ascii="Times New Roman" w:hAnsi="Times New Roman"/>
        </w:rPr>
        <w:t>quarterly</w:t>
      </w:r>
      <w:r w:rsidRPr="00645878">
        <w:rPr>
          <w:rFonts w:ascii="Times New Roman" w:hAnsi="Times New Roman"/>
        </w:rPr>
        <w:t xml:space="preserve"> </w:t>
      </w:r>
      <w:r w:rsidR="00094991" w:rsidRPr="00645878">
        <w:rPr>
          <w:rFonts w:ascii="Times New Roman" w:hAnsi="Times New Roman"/>
        </w:rPr>
        <w:t>plans</w:t>
      </w:r>
      <w:r w:rsidRPr="00645878">
        <w:rPr>
          <w:rFonts w:ascii="Times New Roman" w:hAnsi="Times New Roman"/>
        </w:rPr>
        <w:t xml:space="preserve"> </w:t>
      </w:r>
      <w:r w:rsidR="00094991" w:rsidRPr="00645878">
        <w:rPr>
          <w:rFonts w:ascii="Times New Roman" w:hAnsi="Times New Roman"/>
        </w:rPr>
        <w:t>for</w:t>
      </w:r>
      <w:r w:rsidRPr="00645878">
        <w:rPr>
          <w:rFonts w:ascii="Times New Roman" w:hAnsi="Times New Roman"/>
        </w:rPr>
        <w:t xml:space="preserve"> </w:t>
      </w:r>
      <w:r w:rsidR="00094991" w:rsidRPr="00645878">
        <w:rPr>
          <w:rFonts w:ascii="Times New Roman" w:hAnsi="Times New Roman"/>
        </w:rPr>
        <w:t>budget</w:t>
      </w:r>
      <w:r w:rsidRPr="00645878">
        <w:rPr>
          <w:rFonts w:ascii="Times New Roman" w:hAnsi="Times New Roman"/>
        </w:rPr>
        <w:t xml:space="preserve"> </w:t>
      </w:r>
      <w:r w:rsidR="00094991" w:rsidRPr="00645878">
        <w:rPr>
          <w:rFonts w:ascii="Times New Roman" w:hAnsi="Times New Roman"/>
        </w:rPr>
        <w:t>execution</w:t>
      </w:r>
      <w:r w:rsidRPr="00645878">
        <w:rPr>
          <w:rFonts w:ascii="Times New Roman" w:hAnsi="Times New Roman"/>
        </w:rPr>
        <w:t xml:space="preserve"> </w:t>
      </w:r>
      <w:r w:rsidR="00094991" w:rsidRPr="00645878">
        <w:rPr>
          <w:rFonts w:ascii="Times New Roman" w:hAnsi="Times New Roman"/>
        </w:rPr>
        <w:t>each</w:t>
      </w:r>
      <w:r w:rsidRPr="00645878">
        <w:rPr>
          <w:rFonts w:ascii="Times New Roman" w:hAnsi="Times New Roman"/>
        </w:rPr>
        <w:t xml:space="preserve"> </w:t>
      </w:r>
      <w:r w:rsidR="00094991" w:rsidRPr="00645878">
        <w:rPr>
          <w:rFonts w:ascii="Times New Roman" w:hAnsi="Times New Roman"/>
        </w:rPr>
        <w:t>month</w:t>
      </w:r>
      <w:r w:rsidRPr="00645878">
        <w:rPr>
          <w:rFonts w:ascii="Times New Roman" w:hAnsi="Times New Roman"/>
        </w:rPr>
        <w:t xml:space="preserve"> </w:t>
      </w:r>
      <w:r w:rsidR="00094991" w:rsidRPr="00645878">
        <w:rPr>
          <w:rFonts w:ascii="Times New Roman" w:hAnsi="Times New Roman"/>
        </w:rPr>
        <w:t>on</w:t>
      </w:r>
      <w:r w:rsidRPr="00645878">
        <w:rPr>
          <w:rFonts w:ascii="Times New Roman" w:hAnsi="Times New Roman"/>
        </w:rPr>
        <w:t xml:space="preserve"> </w:t>
      </w:r>
      <w:r w:rsidR="004E4EED" w:rsidRPr="00645878">
        <w:rPr>
          <w:rFonts w:ascii="Times New Roman" w:hAnsi="Times New Roman"/>
        </w:rPr>
        <w:t xml:space="preserve">a </w:t>
      </w:r>
      <w:r w:rsidR="00094991" w:rsidRPr="00645878">
        <w:rPr>
          <w:rFonts w:ascii="Times New Roman" w:hAnsi="Times New Roman"/>
        </w:rPr>
        <w:t>rolling</w:t>
      </w:r>
      <w:r w:rsidRPr="00645878">
        <w:rPr>
          <w:rFonts w:ascii="Times New Roman" w:hAnsi="Times New Roman"/>
        </w:rPr>
        <w:t xml:space="preserve"> </w:t>
      </w:r>
      <w:r w:rsidR="00094991" w:rsidRPr="00645878">
        <w:rPr>
          <w:rFonts w:ascii="Times New Roman" w:hAnsi="Times New Roman"/>
        </w:rPr>
        <w:t>basis.</w:t>
      </w:r>
      <w:r w:rsidRPr="00645878">
        <w:rPr>
          <w:rFonts w:ascii="Times New Roman" w:hAnsi="Times New Roman"/>
        </w:rPr>
        <w:t xml:space="preserve"> </w:t>
      </w:r>
    </w:p>
    <w:p w14:paraId="5D1A6438" w14:textId="760927CB" w:rsidR="0008487A" w:rsidRPr="00645878" w:rsidRDefault="00094991"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funds</w:t>
      </w:r>
      <w:r w:rsidR="00900061" w:rsidRPr="00645878">
        <w:rPr>
          <w:rFonts w:ascii="Times New Roman" w:hAnsi="Times New Roman"/>
          <w:b/>
        </w:rPr>
        <w:t xml:space="preserve"> </w:t>
      </w:r>
      <w:r w:rsidRPr="00645878">
        <w:rPr>
          <w:rFonts w:ascii="Times New Roman" w:hAnsi="Times New Roman"/>
          <w:b/>
        </w:rPr>
        <w:t>will</w:t>
      </w:r>
      <w:r w:rsidR="00900061" w:rsidRPr="00645878">
        <w:rPr>
          <w:rFonts w:ascii="Times New Roman" w:hAnsi="Times New Roman"/>
          <w:b/>
        </w:rPr>
        <w:t xml:space="preserve"> </w:t>
      </w:r>
      <w:r w:rsidRPr="00645878">
        <w:rPr>
          <w:rFonts w:ascii="Times New Roman" w:hAnsi="Times New Roman"/>
          <w:b/>
        </w:rPr>
        <w:t>be</w:t>
      </w:r>
      <w:r w:rsidR="00900061" w:rsidRPr="00645878">
        <w:rPr>
          <w:rFonts w:ascii="Times New Roman" w:hAnsi="Times New Roman"/>
          <w:b/>
        </w:rPr>
        <w:t xml:space="preserve"> </w:t>
      </w:r>
      <w:r w:rsidRPr="00645878">
        <w:rPr>
          <w:rFonts w:ascii="Times New Roman" w:hAnsi="Times New Roman"/>
          <w:b/>
        </w:rPr>
        <w:t>disbursed</w:t>
      </w:r>
      <w:r w:rsidR="00900061" w:rsidRPr="00645878">
        <w:rPr>
          <w:rFonts w:ascii="Times New Roman" w:hAnsi="Times New Roman"/>
          <w:b/>
        </w:rPr>
        <w:t xml:space="preserve"> </w:t>
      </w:r>
      <w:r w:rsidRPr="00645878">
        <w:rPr>
          <w:rFonts w:ascii="Times New Roman" w:hAnsi="Times New Roman"/>
          <w:b/>
        </w:rPr>
        <w:t>based</w:t>
      </w:r>
      <w:r w:rsidR="00900061" w:rsidRPr="00645878">
        <w:rPr>
          <w:rFonts w:ascii="Times New Roman" w:hAnsi="Times New Roman"/>
          <w:b/>
        </w:rPr>
        <w:t xml:space="preserve"> </w:t>
      </w:r>
      <w:r w:rsidRPr="00645878">
        <w:rPr>
          <w:rFonts w:ascii="Times New Roman" w:hAnsi="Times New Roman"/>
          <w:b/>
        </w:rPr>
        <w:t>on</w:t>
      </w:r>
      <w:r w:rsidR="00900061" w:rsidRPr="00645878">
        <w:rPr>
          <w:rFonts w:ascii="Times New Roman" w:hAnsi="Times New Roman"/>
          <w:b/>
        </w:rPr>
        <w:t xml:space="preserve"> </w:t>
      </w:r>
      <w:r w:rsidRPr="00645878">
        <w:rPr>
          <w:rFonts w:ascii="Times New Roman" w:hAnsi="Times New Roman"/>
          <w:b/>
        </w:rPr>
        <w:t>achieved</w:t>
      </w:r>
      <w:r w:rsidR="00900061" w:rsidRPr="00645878">
        <w:rPr>
          <w:rFonts w:ascii="Times New Roman" w:hAnsi="Times New Roman"/>
          <w:b/>
        </w:rPr>
        <w:t xml:space="preserve"> </w:t>
      </w:r>
      <w:r w:rsidR="00FF4790" w:rsidRPr="00645878">
        <w:rPr>
          <w:rFonts w:ascii="Times New Roman" w:hAnsi="Times New Roman"/>
          <w:b/>
        </w:rPr>
        <w:t>disbursement-linked indicators (</w:t>
      </w:r>
      <w:r w:rsidRPr="00645878">
        <w:rPr>
          <w:rFonts w:ascii="Times New Roman" w:hAnsi="Times New Roman"/>
          <w:b/>
        </w:rPr>
        <w:t>DLIs</w:t>
      </w:r>
      <w:r w:rsidR="00FF4790" w:rsidRPr="00645878">
        <w:rPr>
          <w:rFonts w:ascii="Times New Roman" w:hAnsi="Times New Roman"/>
          <w:b/>
        </w:rPr>
        <w:t>)</w:t>
      </w:r>
      <w:r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advances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loan</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up</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25</w:t>
      </w:r>
      <w:r w:rsidR="00950355" w:rsidRPr="00645878">
        <w:rPr>
          <w:rFonts w:ascii="Times New Roman" w:hAnsi="Times New Roman"/>
        </w:rPr>
        <w:t xml:space="preserve"> percent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loan</w:t>
      </w:r>
      <w:r w:rsidR="00900061" w:rsidRPr="00645878">
        <w:rPr>
          <w:rFonts w:ascii="Times New Roman" w:hAnsi="Times New Roman"/>
        </w:rPr>
        <w:t xml:space="preserve"> </w:t>
      </w:r>
      <w:r w:rsidRPr="00645878">
        <w:rPr>
          <w:rFonts w:ascii="Times New Roman" w:hAnsi="Times New Roman"/>
        </w:rPr>
        <w:t>amount.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evidence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document</w:t>
      </w:r>
      <w:r w:rsidR="00900061" w:rsidRPr="00645878">
        <w:rPr>
          <w:rFonts w:ascii="Times New Roman" w:hAnsi="Times New Roman"/>
        </w:rPr>
        <w:t xml:space="preserve"> </w:t>
      </w:r>
      <w:r w:rsidRPr="00645878">
        <w:rPr>
          <w:rFonts w:ascii="Times New Roman" w:hAnsi="Times New Roman"/>
        </w:rPr>
        <w:t>achievement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DLIs</w:t>
      </w:r>
      <w:r w:rsidR="00900061" w:rsidRPr="00645878">
        <w:rPr>
          <w:rFonts w:ascii="Times New Roman" w:hAnsi="Times New Roman"/>
        </w:rPr>
        <w:t xml:space="preserve"> </w:t>
      </w:r>
      <w:r w:rsidRPr="00645878">
        <w:rPr>
          <w:rFonts w:ascii="Times New Roman" w:hAnsi="Times New Roman"/>
        </w:rPr>
        <w:t>at</w:t>
      </w:r>
      <w:r w:rsidR="00900061" w:rsidRPr="00645878">
        <w:rPr>
          <w:rFonts w:ascii="Times New Roman" w:hAnsi="Times New Roman"/>
        </w:rPr>
        <w:t xml:space="preserve"> </w:t>
      </w:r>
      <w:r w:rsidR="00616969" w:rsidRPr="00645878">
        <w:rPr>
          <w:rFonts w:ascii="Times New Roman" w:hAnsi="Times New Roman"/>
        </w:rPr>
        <w:t xml:space="preserve">the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each</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(2016</w:t>
      </w:r>
      <w:r w:rsidR="00950355" w:rsidRPr="00645878">
        <w:rPr>
          <w:rFonts w:ascii="Times New Roman" w:hAnsi="Times New Roman"/>
        </w:rPr>
        <w:t>–</w:t>
      </w:r>
      <w:r w:rsidRPr="00645878">
        <w:rPr>
          <w:rFonts w:ascii="Times New Roman" w:hAnsi="Times New Roman"/>
        </w:rPr>
        <w:t>2018),</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00616969" w:rsidRPr="00645878">
        <w:rPr>
          <w:rFonts w:ascii="Times New Roman" w:hAnsi="Times New Roman"/>
        </w:rPr>
        <w:t xml:space="preserve">the </w:t>
      </w:r>
      <w:r w:rsidRPr="00645878">
        <w:rPr>
          <w:rFonts w:ascii="Times New Roman" w:hAnsi="Times New Roman"/>
        </w:rPr>
        <w:t>verification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achieved</w:t>
      </w:r>
      <w:r w:rsidR="00900061" w:rsidRPr="00645878">
        <w:rPr>
          <w:rFonts w:ascii="Times New Roman" w:hAnsi="Times New Roman"/>
        </w:rPr>
        <w:t xml:space="preserve"> </w:t>
      </w:r>
      <w:r w:rsidRPr="00645878">
        <w:rPr>
          <w:rFonts w:ascii="Times New Roman" w:hAnsi="Times New Roman"/>
        </w:rPr>
        <w:t>DLIs</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Bank</w:t>
      </w:r>
      <w:r w:rsidR="00900061" w:rsidRPr="00645878">
        <w:rPr>
          <w:rFonts w:ascii="Times New Roman" w:hAnsi="Times New Roman"/>
        </w:rPr>
        <w:t xml:space="preserve"> </w:t>
      </w:r>
      <w:r w:rsidR="00485EA2" w:rsidRPr="00645878">
        <w:rPr>
          <w:rFonts w:ascii="Times New Roman" w:hAnsi="Times New Roman"/>
        </w:rPr>
        <w:t>according to</w:t>
      </w:r>
      <w:r w:rsidR="00900061" w:rsidRPr="00645878">
        <w:rPr>
          <w:rFonts w:ascii="Times New Roman" w:hAnsi="Times New Roman"/>
        </w:rPr>
        <w:t xml:space="preserve"> </w:t>
      </w:r>
      <w:r w:rsidRPr="00645878">
        <w:rPr>
          <w:rFonts w:ascii="Times New Roman" w:hAnsi="Times New Roman"/>
        </w:rPr>
        <w:t>details</w:t>
      </w:r>
      <w:r w:rsidR="00900061" w:rsidRPr="00645878">
        <w:rPr>
          <w:rFonts w:ascii="Times New Roman" w:hAnsi="Times New Roman"/>
        </w:rPr>
        <w:t xml:space="preserve"> </w:t>
      </w:r>
      <w:r w:rsidRPr="00645878">
        <w:rPr>
          <w:rFonts w:ascii="Times New Roman" w:hAnsi="Times New Roman"/>
        </w:rPr>
        <w:t>described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verification</w:t>
      </w:r>
      <w:r w:rsidR="00900061" w:rsidRPr="00645878">
        <w:rPr>
          <w:rFonts w:ascii="Times New Roman" w:hAnsi="Times New Roman"/>
        </w:rPr>
        <w:t xml:space="preserve"> </w:t>
      </w:r>
      <w:r w:rsidRPr="00645878">
        <w:rPr>
          <w:rFonts w:ascii="Times New Roman" w:hAnsi="Times New Roman"/>
        </w:rPr>
        <w:t>protocol,</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advances</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converted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disbursements</w:t>
      </w:r>
      <w:r w:rsidR="00900061" w:rsidRPr="00645878">
        <w:rPr>
          <w:rFonts w:ascii="Times New Roman" w:hAnsi="Times New Roman"/>
        </w:rPr>
        <w:t xml:space="preserve"> </w:t>
      </w:r>
      <w:r w:rsidRPr="00645878">
        <w:rPr>
          <w:rFonts w:ascii="Times New Roman" w:hAnsi="Times New Roman"/>
        </w:rPr>
        <w:t>freeing</w:t>
      </w:r>
      <w:r w:rsidR="00900061" w:rsidRPr="00645878">
        <w:rPr>
          <w:rFonts w:ascii="Times New Roman" w:hAnsi="Times New Roman"/>
        </w:rPr>
        <w:t xml:space="preserve"> </w:t>
      </w:r>
      <w:r w:rsidRPr="00645878">
        <w:rPr>
          <w:rFonts w:ascii="Times New Roman" w:hAnsi="Times New Roman"/>
        </w:rPr>
        <w:t>up</w:t>
      </w:r>
      <w:r w:rsidR="00900061" w:rsidRPr="00645878">
        <w:rPr>
          <w:rFonts w:ascii="Times New Roman" w:hAnsi="Times New Roman"/>
        </w:rPr>
        <w:t xml:space="preserve"> </w:t>
      </w:r>
      <w:r w:rsidRPr="00645878">
        <w:rPr>
          <w:rFonts w:ascii="Times New Roman" w:hAnsi="Times New Roman"/>
        </w:rPr>
        <w:t>space</w:t>
      </w:r>
      <w:r w:rsidR="00900061" w:rsidRPr="00645878">
        <w:rPr>
          <w:rFonts w:ascii="Times New Roman" w:hAnsi="Times New Roman"/>
        </w:rPr>
        <w:t xml:space="preserve"> </w:t>
      </w:r>
      <w:r w:rsidR="0052122D" w:rsidRPr="00645878">
        <w:rPr>
          <w:rFonts w:ascii="Times New Roman" w:hAnsi="Times New Roman"/>
        </w:rPr>
        <w:t xml:space="preserve">for </w:t>
      </w:r>
      <w:r w:rsidR="003922D2" w:rsidRPr="00645878">
        <w:rPr>
          <w:rFonts w:ascii="Times New Roman" w:hAnsi="Times New Roman"/>
        </w:rPr>
        <w:t xml:space="preserve">the </w:t>
      </w:r>
      <w:r w:rsidRPr="00645878">
        <w:rPr>
          <w:rFonts w:ascii="Times New Roman" w:hAnsi="Times New Roman"/>
        </w:rPr>
        <w:t>next</w:t>
      </w:r>
      <w:r w:rsidR="00900061" w:rsidRPr="00645878">
        <w:rPr>
          <w:rFonts w:ascii="Times New Roman" w:hAnsi="Times New Roman"/>
        </w:rPr>
        <w:t xml:space="preserve"> </w:t>
      </w:r>
      <w:r w:rsidRPr="00645878">
        <w:rPr>
          <w:rFonts w:ascii="Times New Roman" w:hAnsi="Times New Roman"/>
        </w:rPr>
        <w:t>advance</w:t>
      </w:r>
      <w:r w:rsidR="00900061" w:rsidRPr="00645878">
        <w:rPr>
          <w:rFonts w:ascii="Times New Roman" w:hAnsi="Times New Roman"/>
        </w:rPr>
        <w:t xml:space="preserve"> </w:t>
      </w:r>
      <w:r w:rsidRPr="00645878">
        <w:rPr>
          <w:rFonts w:ascii="Times New Roman" w:hAnsi="Times New Roman"/>
        </w:rPr>
        <w:t>up</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25</w:t>
      </w:r>
      <w:r w:rsidR="00950355" w:rsidRPr="00645878">
        <w:rPr>
          <w:rFonts w:ascii="Times New Roman" w:hAnsi="Times New Roman"/>
        </w:rPr>
        <w:t xml:space="preserve"> percent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loan</w:t>
      </w:r>
      <w:r w:rsidR="00900061" w:rsidRPr="00645878">
        <w:rPr>
          <w:rFonts w:ascii="Times New Roman" w:hAnsi="Times New Roman"/>
        </w:rPr>
        <w:t xml:space="preserve"> </w:t>
      </w:r>
      <w:r w:rsidRPr="00645878">
        <w:rPr>
          <w:rFonts w:ascii="Times New Roman" w:hAnsi="Times New Roman"/>
        </w:rPr>
        <w:t>amount.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DLIs</w:t>
      </w:r>
      <w:r w:rsidR="00900061" w:rsidRPr="00645878">
        <w:rPr>
          <w:rFonts w:ascii="Times New Roman" w:hAnsi="Times New Roman"/>
        </w:rPr>
        <w:t xml:space="preserve"> </w:t>
      </w:r>
      <w:r w:rsidRPr="00645878">
        <w:rPr>
          <w:rFonts w:ascii="Times New Roman" w:hAnsi="Times New Roman"/>
        </w:rPr>
        <w:t>achievement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disbursement</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scalable</w:t>
      </w:r>
      <w:r w:rsidR="00900061" w:rsidRPr="00645878">
        <w:rPr>
          <w:rFonts w:ascii="Times New Roman" w:hAnsi="Times New Roman"/>
        </w:rPr>
        <w:t xml:space="preserve"> </w:t>
      </w:r>
      <w:r w:rsidR="0052122D" w:rsidRPr="00645878">
        <w:rPr>
          <w:rFonts w:ascii="Times New Roman" w:hAnsi="Times New Roman"/>
        </w:rPr>
        <w:t>according 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achievement</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7D50A9" w:rsidRPr="00645878">
        <w:rPr>
          <w:rFonts w:ascii="Times New Roman" w:hAnsi="Times New Roman"/>
        </w:rPr>
        <w:t>t</w:t>
      </w:r>
      <w:r w:rsidRPr="00645878">
        <w:rPr>
          <w:rFonts w:ascii="Times New Roman" w:hAnsi="Times New Roman"/>
        </w:rPr>
        <w:t>ask</w:t>
      </w:r>
      <w:r w:rsidR="00900061" w:rsidRPr="00645878">
        <w:rPr>
          <w:rFonts w:ascii="Times New Roman" w:hAnsi="Times New Roman"/>
        </w:rPr>
        <w:t xml:space="preserve"> </w:t>
      </w:r>
      <w:r w:rsidR="007D50A9" w:rsidRPr="00645878">
        <w:rPr>
          <w:rFonts w:ascii="Times New Roman" w:hAnsi="Times New Roman"/>
        </w:rPr>
        <w:t>t</w:t>
      </w:r>
      <w:r w:rsidRPr="00645878">
        <w:rPr>
          <w:rFonts w:ascii="Times New Roman" w:hAnsi="Times New Roman"/>
        </w:rPr>
        <w:t>eam</w:t>
      </w:r>
      <w:r w:rsidR="00900061" w:rsidRPr="00645878">
        <w:rPr>
          <w:rFonts w:ascii="Times New Roman" w:hAnsi="Times New Roman"/>
        </w:rPr>
        <w:t xml:space="preserve">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verification</w:t>
      </w:r>
      <w:r w:rsidR="00900061" w:rsidRPr="00645878">
        <w:rPr>
          <w:rFonts w:ascii="Times New Roman" w:hAnsi="Times New Roman"/>
        </w:rPr>
        <w:t xml:space="preserve"> </w:t>
      </w:r>
      <w:r w:rsidRPr="00645878">
        <w:rPr>
          <w:rFonts w:ascii="Times New Roman" w:hAnsi="Times New Roman"/>
        </w:rPr>
        <w:t>protocol.</w:t>
      </w:r>
      <w:r w:rsidR="00900061" w:rsidRPr="00645878">
        <w:rPr>
          <w:rFonts w:ascii="Times New Roman" w:hAnsi="Times New Roman"/>
          <w:b/>
        </w:rPr>
        <w:t xml:space="preserve"> </w:t>
      </w:r>
      <w:r w:rsidR="003922D2" w:rsidRPr="00645878">
        <w:rPr>
          <w:rFonts w:ascii="Times New Roman" w:hAnsi="Times New Roman"/>
        </w:rPr>
        <w:t>T</w:t>
      </w:r>
      <w:r w:rsidRPr="00645878">
        <w:rPr>
          <w:rFonts w:ascii="Times New Roman" w:hAnsi="Times New Roman"/>
        </w:rPr>
        <w: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disbursed</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003922D2" w:rsidRPr="00645878">
        <w:rPr>
          <w:rFonts w:ascii="Times New Roman" w:hAnsi="Times New Roman"/>
        </w:rPr>
        <w:t xml:space="preserve">will be monitored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00C40E33" w:rsidRPr="00645878">
        <w:rPr>
          <w:rFonts w:ascii="Times New Roman" w:hAnsi="Times New Roman"/>
        </w:rPr>
        <w:t xml:space="preserve">the </w:t>
      </w:r>
      <w:r w:rsidRPr="00645878">
        <w:rPr>
          <w:rFonts w:ascii="Times New Roman" w:hAnsi="Times New Roman"/>
        </w:rPr>
        <w:t>achieved</w:t>
      </w:r>
      <w:r w:rsidR="00900061" w:rsidRPr="00645878">
        <w:rPr>
          <w:rFonts w:ascii="Times New Roman" w:hAnsi="Times New Roman"/>
        </w:rPr>
        <w:t xml:space="preserve"> </w:t>
      </w:r>
      <w:r w:rsidRPr="00645878">
        <w:rPr>
          <w:rFonts w:ascii="Times New Roman" w:hAnsi="Times New Roman"/>
        </w:rPr>
        <w:t>DLIs</w:t>
      </w:r>
      <w:r w:rsidR="00900061" w:rsidRPr="00645878">
        <w:rPr>
          <w:rFonts w:ascii="Times New Roman" w:hAnsi="Times New Roman"/>
        </w:rPr>
        <w:t xml:space="preserve"> </w:t>
      </w:r>
      <w:r w:rsidRPr="00645878">
        <w:rPr>
          <w:rFonts w:ascii="Times New Roman" w:hAnsi="Times New Roman"/>
        </w:rPr>
        <w:t>does</w:t>
      </w:r>
      <w:r w:rsidR="00900061" w:rsidRPr="00645878">
        <w:rPr>
          <w:rFonts w:ascii="Times New Roman" w:hAnsi="Times New Roman"/>
        </w:rPr>
        <w:t xml:space="preserve"> </w:t>
      </w:r>
      <w:r w:rsidR="003922D2" w:rsidRPr="00645878">
        <w:rPr>
          <w:rFonts w:ascii="Times New Roman" w:hAnsi="Times New Roman"/>
        </w:rPr>
        <w:t xml:space="preserve">so that it does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exceed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total</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incurred</w:t>
      </w:r>
      <w:r w:rsidR="00900061" w:rsidRPr="00645878">
        <w:rPr>
          <w:rFonts w:ascii="Times New Roman" w:hAnsi="Times New Roman"/>
        </w:rPr>
        <w:t xml:space="preserve"> </w:t>
      </w:r>
      <w:r w:rsidRPr="00645878">
        <w:rPr>
          <w:rFonts w:ascii="Times New Roman" w:hAnsi="Times New Roman"/>
        </w:rPr>
        <w:t>over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period.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case</w:t>
      </w:r>
      <w:r w:rsidR="00900061" w:rsidRPr="00645878">
        <w:rPr>
          <w:rFonts w:ascii="Times New Roman" w:hAnsi="Times New Roman"/>
        </w:rPr>
        <w:t xml:space="preserve"> </w:t>
      </w:r>
      <w:r w:rsidRPr="00645878">
        <w:rPr>
          <w:rFonts w:ascii="Times New Roman" w:hAnsi="Times New Roman"/>
        </w:rPr>
        <w:t>th</w:t>
      </w:r>
      <w:r w:rsidR="00D90278" w:rsidRPr="00645878">
        <w:rPr>
          <w:rFonts w:ascii="Times New Roman" w:hAnsi="Times New Roman"/>
        </w:rPr>
        <w:t>e</w:t>
      </w:r>
      <w:r w:rsidR="00900061" w:rsidRPr="00645878">
        <w:rPr>
          <w:rFonts w:ascii="Times New Roman" w:hAnsi="Times New Roman"/>
        </w:rPr>
        <w:t xml:space="preserve"> </w:t>
      </w:r>
      <w:r w:rsidRPr="00645878">
        <w:rPr>
          <w:rFonts w:ascii="Times New Roman" w:hAnsi="Times New Roman"/>
        </w:rPr>
        <w:t>disbursed</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exceed</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incurred</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w:t>
      </w:r>
      <w:r w:rsidR="00900061" w:rsidRPr="00645878">
        <w:rPr>
          <w:rFonts w:ascii="Times New Roman" w:hAnsi="Times New Roman"/>
        </w:rPr>
        <w:t xml:space="preserve"> </w:t>
      </w:r>
      <w:r w:rsidRPr="00645878">
        <w:rPr>
          <w:rFonts w:ascii="Times New Roman" w:hAnsi="Times New Roman"/>
        </w:rPr>
        <w:t>expenditures,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excess</w:t>
      </w:r>
      <w:r w:rsidR="00900061" w:rsidRPr="00645878">
        <w:rPr>
          <w:rFonts w:ascii="Times New Roman" w:hAnsi="Times New Roman"/>
        </w:rPr>
        <w:t xml:space="preserve"> </w:t>
      </w:r>
      <w:r w:rsidRPr="00645878">
        <w:rPr>
          <w:rFonts w:ascii="Times New Roman" w:hAnsi="Times New Roman"/>
        </w:rPr>
        <w:t>amount</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need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reimbursed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Bank.</w:t>
      </w:r>
      <w:r w:rsidR="00900061" w:rsidRPr="00645878">
        <w:rPr>
          <w:rFonts w:ascii="Times New Roman" w:hAnsi="Times New Roman"/>
        </w:rPr>
        <w:t xml:space="preserve"> </w:t>
      </w:r>
      <w:r w:rsidRPr="00645878">
        <w:rPr>
          <w:rFonts w:ascii="Times New Roman" w:hAnsi="Times New Roman"/>
        </w:rPr>
        <w:t>Loan</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disbursed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account</w:t>
      </w:r>
      <w:r w:rsidR="00900061" w:rsidRPr="00645878">
        <w:rPr>
          <w:rFonts w:ascii="Times New Roman" w:hAnsi="Times New Roman"/>
        </w:rPr>
        <w:t xml:space="preserve"> </w:t>
      </w:r>
      <w:r w:rsidRPr="00645878">
        <w:rPr>
          <w:rFonts w:ascii="Times New Roman" w:hAnsi="Times New Roman"/>
        </w:rPr>
        <w:t>held</w:t>
      </w:r>
      <w:r w:rsidR="00900061" w:rsidRPr="00645878">
        <w:rPr>
          <w:rFonts w:ascii="Times New Roman" w:hAnsi="Times New Roman"/>
        </w:rPr>
        <w:t xml:space="preserve"> </w:t>
      </w:r>
      <w:r w:rsidRPr="00645878">
        <w:rPr>
          <w:rFonts w:ascii="Times New Roman" w:hAnsi="Times New Roman"/>
        </w:rPr>
        <w:t>at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National</w:t>
      </w:r>
      <w:r w:rsidR="00900061" w:rsidRPr="00645878">
        <w:rPr>
          <w:rFonts w:ascii="Times New Roman" w:hAnsi="Times New Roman"/>
        </w:rPr>
        <w:t xml:space="preserve"> </w:t>
      </w:r>
      <w:r w:rsidRPr="00645878">
        <w:rPr>
          <w:rFonts w:ascii="Times New Roman" w:hAnsi="Times New Roman"/>
        </w:rPr>
        <w:t>Bank</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Serbia/</w:t>
      </w:r>
      <w:r w:rsidR="00606F4D" w:rsidRPr="00645878">
        <w:rPr>
          <w:rFonts w:ascii="Times New Roman" w:hAnsi="Times New Roman"/>
        </w:rPr>
        <w:t>CTA</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accounted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income.</w:t>
      </w:r>
    </w:p>
    <w:p w14:paraId="5883B147" w14:textId="584888B6" w:rsidR="004A0A40" w:rsidRPr="00645878" w:rsidRDefault="00B03657" w:rsidP="00645878">
      <w:pPr>
        <w:pStyle w:val="Heading2"/>
        <w:spacing w:before="120" w:after="120" w:line="240" w:lineRule="auto"/>
        <w:ind w:left="0" w:firstLine="0"/>
      </w:pPr>
      <w:bookmarkStart w:id="7" w:name="_Toc442428952"/>
      <w:r w:rsidRPr="00645878">
        <w:t>Internal</w:t>
      </w:r>
      <w:r w:rsidR="00900061" w:rsidRPr="00645878">
        <w:t xml:space="preserve"> </w:t>
      </w:r>
      <w:r w:rsidR="001C207D" w:rsidRPr="00645878">
        <w:t>C</w:t>
      </w:r>
      <w:r w:rsidRPr="00645878">
        <w:t>ontrols</w:t>
      </w:r>
      <w:r w:rsidR="00900061" w:rsidRPr="00645878">
        <w:t xml:space="preserve"> </w:t>
      </w:r>
      <w:r w:rsidRPr="00645878">
        <w:t>and</w:t>
      </w:r>
      <w:r w:rsidR="00900061" w:rsidRPr="00645878">
        <w:t xml:space="preserve"> </w:t>
      </w:r>
      <w:r w:rsidRPr="00645878">
        <w:t>Internal</w:t>
      </w:r>
      <w:r w:rsidR="00900061" w:rsidRPr="00645878">
        <w:t xml:space="preserve"> </w:t>
      </w:r>
      <w:r w:rsidRPr="00645878">
        <w:t>Audit</w:t>
      </w:r>
      <w:bookmarkEnd w:id="7"/>
    </w:p>
    <w:p w14:paraId="4F34D113" w14:textId="62E47906" w:rsidR="00FD6BDE" w:rsidRPr="00645878" w:rsidRDefault="00FD6BDE"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Although</w:t>
      </w:r>
      <w:r w:rsidR="00900061" w:rsidRPr="00645878">
        <w:rPr>
          <w:rFonts w:ascii="Times New Roman" w:hAnsi="Times New Roman"/>
          <w:b/>
        </w:rPr>
        <w:t xml:space="preserve"> </w:t>
      </w:r>
      <w:r w:rsidRPr="00645878">
        <w:rPr>
          <w:rFonts w:ascii="Times New Roman" w:hAnsi="Times New Roman"/>
          <w:b/>
        </w:rPr>
        <w:t>there</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still</w:t>
      </w:r>
      <w:r w:rsidR="00900061" w:rsidRPr="00645878">
        <w:rPr>
          <w:rFonts w:ascii="Times New Roman" w:hAnsi="Times New Roman"/>
          <w:b/>
        </w:rPr>
        <w:t xml:space="preserve"> </w:t>
      </w: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long</w:t>
      </w:r>
      <w:r w:rsidR="00900061" w:rsidRPr="00645878">
        <w:rPr>
          <w:rFonts w:ascii="Times New Roman" w:hAnsi="Times New Roman"/>
          <w:b/>
        </w:rPr>
        <w:t xml:space="preserve"> </w:t>
      </w:r>
      <w:r w:rsidRPr="00645878">
        <w:rPr>
          <w:rFonts w:ascii="Times New Roman" w:hAnsi="Times New Roman"/>
          <w:b/>
        </w:rPr>
        <w:t>reform</w:t>
      </w:r>
      <w:r w:rsidR="00900061" w:rsidRPr="00645878">
        <w:rPr>
          <w:rFonts w:ascii="Times New Roman" w:hAnsi="Times New Roman"/>
          <w:b/>
        </w:rPr>
        <w:t xml:space="preserve"> </w:t>
      </w:r>
      <w:r w:rsidRPr="00645878">
        <w:rPr>
          <w:rFonts w:ascii="Times New Roman" w:hAnsi="Times New Roman"/>
          <w:b/>
        </w:rPr>
        <w:t>path</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implementation</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Public</w:t>
      </w:r>
      <w:r w:rsidR="00900061" w:rsidRPr="00645878">
        <w:rPr>
          <w:rFonts w:ascii="Times New Roman" w:hAnsi="Times New Roman"/>
          <w:b/>
        </w:rPr>
        <w:t xml:space="preserve"> </w:t>
      </w:r>
      <w:r w:rsidRPr="00645878">
        <w:rPr>
          <w:rFonts w:ascii="Times New Roman" w:hAnsi="Times New Roman"/>
          <w:b/>
        </w:rPr>
        <w:t>Internal</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Control</w:t>
      </w:r>
      <w:r w:rsidR="00900061" w:rsidRPr="00645878">
        <w:rPr>
          <w:rFonts w:ascii="Times New Roman" w:hAnsi="Times New Roman"/>
          <w:b/>
        </w:rPr>
        <w:t xml:space="preserve"> </w:t>
      </w:r>
      <w:r w:rsidRPr="00645878">
        <w:rPr>
          <w:rFonts w:ascii="Times New Roman" w:hAnsi="Times New Roman"/>
          <w:b/>
        </w:rPr>
        <w:t>(PIFC),</w:t>
      </w:r>
      <w:r w:rsidR="00900061" w:rsidRPr="00645878">
        <w:rPr>
          <w:rFonts w:ascii="Times New Roman" w:hAnsi="Times New Roman"/>
          <w:b/>
        </w:rPr>
        <w:t xml:space="preserve"> </w:t>
      </w:r>
      <w:r w:rsidRPr="00645878">
        <w:rPr>
          <w:rFonts w:ascii="Times New Roman" w:hAnsi="Times New Roman"/>
          <w:b/>
        </w:rPr>
        <w:t>existing</w:t>
      </w:r>
      <w:r w:rsidR="00900061" w:rsidRPr="00645878">
        <w:rPr>
          <w:rFonts w:ascii="Times New Roman" w:hAnsi="Times New Roman"/>
          <w:b/>
        </w:rPr>
        <w:t xml:space="preserve"> </w:t>
      </w:r>
      <w:r w:rsidRPr="00645878">
        <w:rPr>
          <w:rFonts w:ascii="Times New Roman" w:hAnsi="Times New Roman"/>
          <w:b/>
        </w:rPr>
        <w:t>systems</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internal</w:t>
      </w:r>
      <w:r w:rsidR="00900061" w:rsidRPr="00645878">
        <w:rPr>
          <w:rFonts w:ascii="Times New Roman" w:hAnsi="Times New Roman"/>
          <w:b/>
        </w:rPr>
        <w:t xml:space="preserve"> </w:t>
      </w:r>
      <w:r w:rsidRPr="00645878">
        <w:rPr>
          <w:rFonts w:ascii="Times New Roman" w:hAnsi="Times New Roman"/>
          <w:b/>
        </w:rPr>
        <w:t>controls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sufficiently</w:t>
      </w:r>
      <w:r w:rsidR="00900061" w:rsidRPr="00645878">
        <w:rPr>
          <w:rFonts w:ascii="Times New Roman" w:hAnsi="Times New Roman"/>
          <w:b/>
        </w:rPr>
        <w:t xml:space="preserve"> </w:t>
      </w:r>
      <w:r w:rsidRPr="00645878">
        <w:rPr>
          <w:rFonts w:ascii="Times New Roman" w:hAnsi="Times New Roman"/>
          <w:b/>
        </w:rPr>
        <w:t>strong</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provide</w:t>
      </w:r>
      <w:r w:rsidR="00900061" w:rsidRPr="00645878">
        <w:rPr>
          <w:rFonts w:ascii="Times New Roman" w:hAnsi="Times New Roman"/>
          <w:b/>
        </w:rPr>
        <w:t xml:space="preserve"> </w:t>
      </w: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satisfactory</w:t>
      </w:r>
      <w:r w:rsidR="00900061" w:rsidRPr="00645878">
        <w:rPr>
          <w:rFonts w:ascii="Times New Roman" w:hAnsi="Times New Roman"/>
          <w:b/>
        </w:rPr>
        <w:t xml:space="preserve"> </w:t>
      </w:r>
      <w:r w:rsidRPr="00645878">
        <w:rPr>
          <w:rFonts w:ascii="Times New Roman" w:hAnsi="Times New Roman"/>
          <w:b/>
        </w:rPr>
        <w:t>control</w:t>
      </w:r>
      <w:r w:rsidR="00900061" w:rsidRPr="00645878">
        <w:rPr>
          <w:rFonts w:ascii="Times New Roman" w:hAnsi="Times New Roman"/>
          <w:b/>
        </w:rPr>
        <w:t xml:space="preserve"> </w:t>
      </w:r>
      <w:r w:rsidRPr="00645878">
        <w:rPr>
          <w:rFonts w:ascii="Times New Roman" w:hAnsi="Times New Roman"/>
          <w:b/>
        </w:rPr>
        <w:t>framework</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1B78A4" w:rsidRPr="00645878">
        <w:rPr>
          <w:rFonts w:ascii="Times New Roman" w:hAnsi="Times New Roman"/>
          <w:b/>
        </w:rPr>
        <w:t>Program</w:t>
      </w:r>
      <w:r w:rsidRPr="00645878">
        <w:rPr>
          <w:rFonts w:ascii="Times New Roman" w:hAnsi="Times New Roman"/>
          <w:b/>
        </w:rPr>
        <w:t>.</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defined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PIFC</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still</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00A71E9F" w:rsidRPr="00645878">
        <w:rPr>
          <w:rFonts w:ascii="Times New Roman" w:hAnsi="Times New Roman"/>
        </w:rPr>
        <w:t xml:space="preserve">the </w:t>
      </w:r>
      <w:r w:rsidRPr="00645878">
        <w:rPr>
          <w:rFonts w:ascii="Times New Roman" w:hAnsi="Times New Roman"/>
        </w:rPr>
        <w:t>early</w:t>
      </w:r>
      <w:r w:rsidR="00900061" w:rsidRPr="00645878">
        <w:rPr>
          <w:rFonts w:ascii="Times New Roman" w:hAnsi="Times New Roman"/>
        </w:rPr>
        <w:t xml:space="preserve"> </w:t>
      </w:r>
      <w:r w:rsidRPr="00645878">
        <w:rPr>
          <w:rFonts w:ascii="Times New Roman" w:hAnsi="Times New Roman"/>
        </w:rPr>
        <w:t>stages</w:t>
      </w:r>
      <w:r w:rsidR="00C73DE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however</w:t>
      </w:r>
      <w:r w:rsidR="00C73DE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00A71E9F" w:rsidRPr="00645878">
        <w:rPr>
          <w:rFonts w:ascii="Times New Roman" w:hAnsi="Times New Roman"/>
        </w:rPr>
        <w:t xml:space="preserve">a </w:t>
      </w:r>
      <w:r w:rsidRPr="00645878">
        <w:rPr>
          <w:rFonts w:ascii="Times New Roman" w:hAnsi="Times New Roman"/>
        </w:rPr>
        <w:t>longstanding</w:t>
      </w:r>
      <w:r w:rsidR="00900061" w:rsidRPr="00645878">
        <w:rPr>
          <w:rFonts w:ascii="Times New Roman" w:hAnsi="Times New Roman"/>
        </w:rPr>
        <w:t xml:space="preserve"> </w:t>
      </w:r>
      <w:r w:rsidRPr="00645878">
        <w:rPr>
          <w:rFonts w:ascii="Times New Roman" w:hAnsi="Times New Roman"/>
        </w:rPr>
        <w:t>traditional</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written</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procedures</w:t>
      </w:r>
      <w:r w:rsidR="00900061" w:rsidRPr="00645878">
        <w:rPr>
          <w:rFonts w:ascii="Times New Roman" w:hAnsi="Times New Roman"/>
        </w:rPr>
        <w:t xml:space="preserve"> </w:t>
      </w:r>
      <w:r w:rsidRPr="00645878">
        <w:rPr>
          <w:rFonts w:ascii="Times New Roman" w:hAnsi="Times New Roman"/>
        </w:rPr>
        <w:t>within</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implementing</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properly</w:t>
      </w:r>
      <w:r w:rsidR="00900061" w:rsidRPr="00645878">
        <w:rPr>
          <w:rFonts w:ascii="Times New Roman" w:hAnsi="Times New Roman"/>
        </w:rPr>
        <w:t xml:space="preserve"> </w:t>
      </w:r>
      <w:r w:rsidRPr="00645878">
        <w:rPr>
          <w:rFonts w:ascii="Times New Roman" w:hAnsi="Times New Roman"/>
        </w:rPr>
        <w:lastRenderedPageBreak/>
        <w:t>applied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practice.</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provides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sound</w:t>
      </w:r>
      <w:r w:rsidR="00900061" w:rsidRPr="00645878">
        <w:rPr>
          <w:rFonts w:ascii="Times New Roman" w:hAnsi="Times New Roman"/>
        </w:rPr>
        <w:t xml:space="preserve"> </w:t>
      </w:r>
      <w:r w:rsidRPr="00645878">
        <w:rPr>
          <w:rFonts w:ascii="Times New Roman" w:hAnsi="Times New Roman"/>
        </w:rPr>
        <w:t>framework</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covers</w:t>
      </w:r>
      <w:r w:rsidR="00900061" w:rsidRPr="00645878">
        <w:rPr>
          <w:rFonts w:ascii="Times New Roman" w:hAnsi="Times New Roman"/>
        </w:rPr>
        <w:t xml:space="preserve"> </w:t>
      </w:r>
      <w:r w:rsidRPr="00645878">
        <w:rPr>
          <w:rFonts w:ascii="Times New Roman" w:hAnsi="Times New Roman"/>
        </w:rPr>
        <w:t>key</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such</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authorized</w:t>
      </w:r>
      <w:r w:rsidR="00900061" w:rsidRPr="00645878">
        <w:rPr>
          <w:rFonts w:ascii="Times New Roman" w:hAnsi="Times New Roman"/>
        </w:rPr>
        <w:t xml:space="preserve"> </w:t>
      </w:r>
      <w:r w:rsidRPr="00645878">
        <w:rPr>
          <w:rFonts w:ascii="Times New Roman" w:hAnsi="Times New Roman"/>
        </w:rPr>
        <w:t>signatories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approvals</w:t>
      </w:r>
      <w:r w:rsidR="00A71E9F" w:rsidRPr="00645878">
        <w:rPr>
          <w:rFonts w:ascii="Times New Roman" w:hAnsi="Times New Roman"/>
        </w:rPr>
        <w:t xml:space="preserve">, </w:t>
      </w:r>
      <w:r w:rsidRPr="00645878">
        <w:rPr>
          <w:rFonts w:ascii="Times New Roman" w:hAnsi="Times New Roman"/>
        </w:rPr>
        <w:t>segregation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duties</w:t>
      </w:r>
      <w:r w:rsidR="00A71E9F"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checks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controls</w:t>
      </w:r>
      <w:r w:rsidR="00A71E9F"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operations</w:t>
      </w:r>
      <w:r w:rsidR="00900061" w:rsidRPr="00645878">
        <w:rPr>
          <w:rFonts w:ascii="Times New Roman" w:hAnsi="Times New Roman"/>
        </w:rPr>
        <w:t xml:space="preserve"> </w:t>
      </w:r>
      <w:r w:rsidRPr="00645878">
        <w:rPr>
          <w:rFonts w:ascii="Times New Roman" w:hAnsi="Times New Roman"/>
        </w:rPr>
        <w:t>cycles</w:t>
      </w:r>
      <w:r w:rsidR="00900061" w:rsidRPr="00645878">
        <w:rPr>
          <w:rFonts w:ascii="Times New Roman" w:hAnsi="Times New Roman"/>
        </w:rPr>
        <w:t xml:space="preserve"> </w:t>
      </w:r>
      <w:r w:rsidRPr="00645878">
        <w:rPr>
          <w:rFonts w:ascii="Times New Roman" w:hAnsi="Times New Roman"/>
        </w:rPr>
        <w:t>covered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appropriate</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acts</w:t>
      </w:r>
      <w:r w:rsidR="00C73DED"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so</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written</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acts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rulebooks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describe</w:t>
      </w:r>
      <w:r w:rsidR="00900061" w:rsidRPr="00645878">
        <w:rPr>
          <w:rFonts w:ascii="Times New Roman" w:hAnsi="Times New Roman"/>
        </w:rPr>
        <w:t xml:space="preserve"> </w:t>
      </w:r>
      <w:r w:rsidRPr="00645878">
        <w:rPr>
          <w:rFonts w:ascii="Times New Roman" w:hAnsi="Times New Roman"/>
        </w:rPr>
        <w:t>procedures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applied</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cycles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formulated</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assessed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adequate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complied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practice.</w:t>
      </w:r>
      <w:r w:rsidR="00900061" w:rsidRPr="00645878">
        <w:rPr>
          <w:rFonts w:ascii="Times New Roman" w:hAnsi="Times New Roman"/>
        </w:rPr>
        <w:t xml:space="preserve"> </w:t>
      </w:r>
      <w:r w:rsidRPr="00645878">
        <w:rPr>
          <w:rFonts w:ascii="Times New Roman" w:hAnsi="Times New Roman"/>
        </w:rPr>
        <w:t>There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001B3FD0" w:rsidRPr="00645878">
        <w:rPr>
          <w:rFonts w:ascii="Times New Roman" w:hAnsi="Times New Roman"/>
        </w:rPr>
        <w:t>L</w:t>
      </w:r>
      <w:r w:rsidRPr="00645878">
        <w:rPr>
          <w:rFonts w:ascii="Times New Roman" w:hAnsi="Times New Roman"/>
        </w:rPr>
        <w:t>egal</w:t>
      </w:r>
      <w:r w:rsidR="00900061" w:rsidRPr="00645878">
        <w:rPr>
          <w:rFonts w:ascii="Times New Roman" w:hAnsi="Times New Roman"/>
        </w:rPr>
        <w:t xml:space="preserve"> </w:t>
      </w:r>
      <w:r w:rsidR="001B3FD0" w:rsidRPr="00645878">
        <w:rPr>
          <w:rFonts w:ascii="Times New Roman" w:hAnsi="Times New Roman"/>
        </w:rPr>
        <w:t>F</w:t>
      </w:r>
      <w:r w:rsidRPr="00645878">
        <w:rPr>
          <w:rFonts w:ascii="Times New Roman" w:hAnsi="Times New Roman"/>
        </w:rPr>
        <w:t>ramework</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functional</w:t>
      </w:r>
      <w:r w:rsidR="00900061" w:rsidRPr="00645878">
        <w:rPr>
          <w:rFonts w:ascii="Times New Roman" w:hAnsi="Times New Roman"/>
        </w:rPr>
        <w:t xml:space="preserve"> </w:t>
      </w:r>
      <w:r w:rsidRPr="00645878">
        <w:rPr>
          <w:rFonts w:ascii="Times New Roman" w:hAnsi="Times New Roman"/>
        </w:rPr>
        <w:t>PIFC</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including</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but</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requires</w:t>
      </w:r>
      <w:r w:rsidR="00900061" w:rsidRPr="00645878">
        <w:rPr>
          <w:rFonts w:ascii="Times New Roman" w:hAnsi="Times New Roman"/>
        </w:rPr>
        <w:t xml:space="preserve"> </w:t>
      </w:r>
      <w:r w:rsidRPr="00645878">
        <w:rPr>
          <w:rFonts w:ascii="Times New Roman" w:hAnsi="Times New Roman"/>
        </w:rPr>
        <w:t>improvement.</w:t>
      </w:r>
      <w:r w:rsidR="00900061" w:rsidRPr="00645878">
        <w:rPr>
          <w:rFonts w:ascii="Times New Roman" w:hAnsi="Times New Roman"/>
          <w:b/>
        </w:rPr>
        <w:t xml:space="preserve"> </w:t>
      </w:r>
      <w:r w:rsidRPr="00645878">
        <w:rPr>
          <w:rFonts w:ascii="Times New Roman" w:hAnsi="Times New Roman"/>
        </w:rPr>
        <w:t>Recent</w:t>
      </w:r>
      <w:r w:rsidR="00900061" w:rsidRPr="00645878">
        <w:rPr>
          <w:rFonts w:ascii="Times New Roman" w:hAnsi="Times New Roman"/>
        </w:rPr>
        <w:t xml:space="preserve"> </w:t>
      </w:r>
      <w:r w:rsidRPr="00645878">
        <w:rPr>
          <w:rFonts w:ascii="Times New Roman" w:hAnsi="Times New Roman"/>
        </w:rPr>
        <w:t>assessments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administration</w:t>
      </w:r>
      <w:r w:rsidR="00900061" w:rsidRPr="00645878">
        <w:rPr>
          <w:rFonts w:ascii="Times New Roman" w:hAnsi="Times New Roman"/>
        </w:rPr>
        <w:t xml:space="preserve"> </w:t>
      </w:r>
      <w:r w:rsidRPr="00645878">
        <w:rPr>
          <w:rFonts w:ascii="Times New Roman" w:hAnsi="Times New Roman"/>
        </w:rPr>
        <w:t>point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conclusion</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despite</w:t>
      </w:r>
      <w:r w:rsidR="00900061" w:rsidRPr="00645878">
        <w:rPr>
          <w:rFonts w:ascii="Times New Roman" w:hAnsi="Times New Roman"/>
        </w:rPr>
        <w:t xml:space="preserve"> </w:t>
      </w:r>
      <w:r w:rsidRPr="00645878">
        <w:rPr>
          <w:rFonts w:ascii="Times New Roman" w:hAnsi="Times New Roman"/>
        </w:rPr>
        <w:t>extensive</w:t>
      </w:r>
      <w:r w:rsidR="00900061" w:rsidRPr="00645878">
        <w:rPr>
          <w:rFonts w:ascii="Times New Roman" w:hAnsi="Times New Roman"/>
        </w:rPr>
        <w:t xml:space="preserve"> </w:t>
      </w:r>
      <w:r w:rsidRPr="00645878">
        <w:rPr>
          <w:rFonts w:ascii="Times New Roman" w:hAnsi="Times New Roman"/>
        </w:rPr>
        <w:t>training</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concepts,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objectives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benefits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fully</w:t>
      </w:r>
      <w:r w:rsidR="00900061" w:rsidRPr="00645878">
        <w:rPr>
          <w:rFonts w:ascii="Times New Roman" w:hAnsi="Times New Roman"/>
        </w:rPr>
        <w:t xml:space="preserve"> </w:t>
      </w:r>
      <w:r w:rsidRPr="00645878">
        <w:rPr>
          <w:rFonts w:ascii="Times New Roman" w:hAnsi="Times New Roman"/>
        </w:rPr>
        <w:t>operational</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system</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still</w:t>
      </w:r>
      <w:r w:rsidR="00900061" w:rsidRPr="00645878">
        <w:rPr>
          <w:rFonts w:ascii="Times New Roman" w:hAnsi="Times New Roman"/>
        </w:rPr>
        <w:t xml:space="preserve"> </w:t>
      </w:r>
      <w:r w:rsidRPr="00645878">
        <w:rPr>
          <w:rFonts w:ascii="Times New Roman" w:hAnsi="Times New Roman"/>
        </w:rPr>
        <w:t>poorly</w:t>
      </w:r>
      <w:r w:rsidR="00900061" w:rsidRPr="00645878">
        <w:rPr>
          <w:rFonts w:ascii="Times New Roman" w:hAnsi="Times New Roman"/>
        </w:rPr>
        <w:t xml:space="preserve"> </w:t>
      </w:r>
      <w:r w:rsidRPr="00645878">
        <w:rPr>
          <w:rFonts w:ascii="Times New Roman" w:hAnsi="Times New Roman"/>
        </w:rPr>
        <w:t>understood</w:t>
      </w:r>
      <w:r w:rsidR="00900061" w:rsidRPr="00645878">
        <w:rPr>
          <w:rFonts w:ascii="Times New Roman" w:hAnsi="Times New Roman"/>
        </w:rPr>
        <w:t xml:space="preserve"> </w:t>
      </w:r>
      <w:r w:rsidRPr="00645878">
        <w:rPr>
          <w:rFonts w:ascii="Times New Roman" w:hAnsi="Times New Roman"/>
        </w:rPr>
        <w:t>across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sector.</w:t>
      </w:r>
      <w:r w:rsidR="00900061" w:rsidRPr="00645878">
        <w:rPr>
          <w:rFonts w:ascii="Times New Roman" w:hAnsi="Times New Roman"/>
        </w:rPr>
        <w:t xml:space="preserve"> </w:t>
      </w:r>
      <w:r w:rsidRPr="00645878">
        <w:rPr>
          <w:rFonts w:ascii="Times New Roman" w:hAnsi="Times New Roman"/>
        </w:rPr>
        <w:t>Operational</w:t>
      </w:r>
      <w:r w:rsidR="00900061" w:rsidRPr="00645878">
        <w:rPr>
          <w:rFonts w:ascii="Times New Roman" w:hAnsi="Times New Roman"/>
        </w:rPr>
        <w:t xml:space="preserve"> </w:t>
      </w:r>
      <w:r w:rsidRPr="00645878">
        <w:rPr>
          <w:rFonts w:ascii="Times New Roman" w:hAnsi="Times New Roman"/>
        </w:rPr>
        <w:t>guidance</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00C73DED" w:rsidRPr="00645878">
        <w:rPr>
          <w:rFonts w:ascii="Times New Roman" w:hAnsi="Times New Roman"/>
        </w:rPr>
        <w:t xml:space="preserve">the </w:t>
      </w:r>
      <w:r w:rsidRPr="00645878">
        <w:rPr>
          <w:rFonts w:ascii="Times New Roman" w:hAnsi="Times New Roman"/>
        </w:rPr>
        <w:t>MoF</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managerial</w:t>
      </w:r>
      <w:r w:rsidR="00900061" w:rsidRPr="00645878">
        <w:rPr>
          <w:rFonts w:ascii="Times New Roman" w:hAnsi="Times New Roman"/>
        </w:rPr>
        <w:t xml:space="preserve"> </w:t>
      </w:r>
      <w:r w:rsidRPr="00645878">
        <w:rPr>
          <w:rFonts w:ascii="Times New Roman" w:hAnsi="Times New Roman"/>
        </w:rPr>
        <w:t>accountability</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practice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still</w:t>
      </w:r>
      <w:r w:rsidR="00900061" w:rsidRPr="00645878">
        <w:rPr>
          <w:rFonts w:ascii="Times New Roman" w:hAnsi="Times New Roman"/>
        </w:rPr>
        <w:t xml:space="preserve"> </w:t>
      </w:r>
      <w:r w:rsidRPr="00645878">
        <w:rPr>
          <w:rFonts w:ascii="Times New Roman" w:hAnsi="Times New Roman"/>
        </w:rPr>
        <w:t>lacking.</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necessary</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ongoing</w:t>
      </w:r>
      <w:r w:rsidR="00900061" w:rsidRPr="00645878">
        <w:rPr>
          <w:rFonts w:ascii="Times New Roman" w:hAnsi="Times New Roman"/>
        </w:rPr>
        <w:t xml:space="preserve"> </w:t>
      </w:r>
      <w:r w:rsidRPr="00645878">
        <w:rPr>
          <w:rFonts w:ascii="Times New Roman" w:hAnsi="Times New Roman"/>
        </w:rPr>
        <w:t>transition</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input-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result-based</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resources.</w:t>
      </w:r>
      <w:r w:rsidR="00900061" w:rsidRPr="00645878">
        <w:rPr>
          <w:rFonts w:ascii="Times New Roman" w:hAnsi="Times New Roman"/>
        </w:rPr>
        <w:t xml:space="preserve"> </w:t>
      </w:r>
    </w:p>
    <w:p w14:paraId="3845AF67" w14:textId="5DA8BA99" w:rsidR="00FD6BDE" w:rsidRPr="00645878" w:rsidRDefault="00A71E9F"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 s</w:t>
      </w:r>
      <w:r w:rsidR="00FD6BDE" w:rsidRPr="00645878">
        <w:rPr>
          <w:rFonts w:ascii="Times New Roman" w:hAnsi="Times New Roman"/>
          <w:b/>
        </w:rPr>
        <w:t>ystem</w:t>
      </w:r>
      <w:r w:rsidR="00900061" w:rsidRPr="00645878">
        <w:rPr>
          <w:rFonts w:ascii="Times New Roman" w:hAnsi="Times New Roman"/>
          <w:b/>
        </w:rPr>
        <w:t xml:space="preserve"> </w:t>
      </w:r>
      <w:r w:rsidR="00FD6BDE" w:rsidRPr="00645878">
        <w:rPr>
          <w:rFonts w:ascii="Times New Roman" w:hAnsi="Times New Roman"/>
          <w:b/>
        </w:rPr>
        <w:t>of</w:t>
      </w:r>
      <w:r w:rsidR="00900061" w:rsidRPr="00645878">
        <w:rPr>
          <w:rFonts w:ascii="Times New Roman" w:hAnsi="Times New Roman"/>
          <w:b/>
        </w:rPr>
        <w:t xml:space="preserve"> </w:t>
      </w:r>
      <w:r w:rsidR="00FD6BDE" w:rsidRPr="00645878">
        <w:rPr>
          <w:rFonts w:ascii="Times New Roman" w:hAnsi="Times New Roman"/>
          <w:b/>
        </w:rPr>
        <w:t>internal</w:t>
      </w:r>
      <w:r w:rsidR="00900061" w:rsidRPr="00645878">
        <w:rPr>
          <w:rFonts w:ascii="Times New Roman" w:hAnsi="Times New Roman"/>
          <w:b/>
        </w:rPr>
        <w:t xml:space="preserve"> </w:t>
      </w:r>
      <w:r w:rsidR="00FD6BDE" w:rsidRPr="00645878">
        <w:rPr>
          <w:rFonts w:ascii="Times New Roman" w:hAnsi="Times New Roman"/>
          <w:b/>
        </w:rPr>
        <w:t>controls</w:t>
      </w:r>
      <w:r w:rsidR="00900061" w:rsidRPr="00645878">
        <w:rPr>
          <w:rFonts w:ascii="Times New Roman" w:hAnsi="Times New Roman"/>
          <w:b/>
        </w:rPr>
        <w:t xml:space="preserve"> </w:t>
      </w:r>
      <w:r w:rsidR="00FD6BDE" w:rsidRPr="00645878">
        <w:rPr>
          <w:rFonts w:ascii="Times New Roman" w:hAnsi="Times New Roman"/>
          <w:b/>
        </w:rPr>
        <w:t>provides</w:t>
      </w:r>
      <w:r w:rsidR="00900061" w:rsidRPr="00645878">
        <w:rPr>
          <w:rFonts w:ascii="Times New Roman" w:hAnsi="Times New Roman"/>
          <w:b/>
        </w:rPr>
        <w:t xml:space="preserve"> </w:t>
      </w:r>
      <w:r w:rsidR="00FD6BDE" w:rsidRPr="00645878">
        <w:rPr>
          <w:rFonts w:ascii="Times New Roman" w:hAnsi="Times New Roman"/>
          <w:b/>
        </w:rPr>
        <w:t>adequate</w:t>
      </w:r>
      <w:r w:rsidR="00900061" w:rsidRPr="00645878">
        <w:rPr>
          <w:rFonts w:ascii="Times New Roman" w:hAnsi="Times New Roman"/>
          <w:b/>
        </w:rPr>
        <w:t xml:space="preserve"> </w:t>
      </w:r>
      <w:r w:rsidR="00FD6BDE" w:rsidRPr="00645878">
        <w:rPr>
          <w:rFonts w:ascii="Times New Roman" w:hAnsi="Times New Roman"/>
          <w:b/>
        </w:rPr>
        <w:t>safeguard</w:t>
      </w:r>
      <w:r w:rsidR="00900061" w:rsidRPr="00645878">
        <w:rPr>
          <w:rFonts w:ascii="Times New Roman" w:hAnsi="Times New Roman"/>
          <w:b/>
        </w:rPr>
        <w:t xml:space="preserve"> </w:t>
      </w:r>
      <w:r w:rsidR="00FD6BDE" w:rsidRPr="00645878">
        <w:rPr>
          <w:rFonts w:ascii="Times New Roman" w:hAnsi="Times New Roman"/>
          <w:b/>
        </w:rPr>
        <w:t>of</w:t>
      </w:r>
      <w:r w:rsidR="00900061" w:rsidRPr="00645878">
        <w:rPr>
          <w:rFonts w:ascii="Times New Roman" w:hAnsi="Times New Roman"/>
          <w:b/>
        </w:rPr>
        <w:t xml:space="preserve"> </w:t>
      </w:r>
      <w:r w:rsidR="00FD6BDE" w:rsidRPr="00645878">
        <w:rPr>
          <w:rFonts w:ascii="Times New Roman" w:hAnsi="Times New Roman"/>
          <w:b/>
        </w:rPr>
        <w:t>funds</w:t>
      </w:r>
      <w:r w:rsidR="00900061" w:rsidRPr="00645878">
        <w:rPr>
          <w:rFonts w:ascii="Times New Roman" w:hAnsi="Times New Roman"/>
          <w:b/>
        </w:rPr>
        <w:t xml:space="preserve"> </w:t>
      </w:r>
      <w:r w:rsidR="00FD6BDE" w:rsidRPr="00645878">
        <w:rPr>
          <w:rFonts w:ascii="Times New Roman" w:hAnsi="Times New Roman"/>
          <w:b/>
        </w:rPr>
        <w:t>although</w:t>
      </w:r>
      <w:r w:rsidR="00900061" w:rsidRPr="00645878">
        <w:rPr>
          <w:rFonts w:ascii="Times New Roman" w:hAnsi="Times New Roman"/>
          <w:b/>
        </w:rPr>
        <w:t xml:space="preserve"> </w:t>
      </w:r>
      <w:r w:rsidR="00FD6BDE" w:rsidRPr="00645878">
        <w:rPr>
          <w:rFonts w:ascii="Times New Roman" w:hAnsi="Times New Roman"/>
          <w:b/>
        </w:rPr>
        <w:t>it</w:t>
      </w:r>
      <w:r w:rsidR="00900061" w:rsidRPr="00645878">
        <w:rPr>
          <w:rFonts w:ascii="Times New Roman" w:hAnsi="Times New Roman"/>
          <w:b/>
        </w:rPr>
        <w:t xml:space="preserve"> </w:t>
      </w:r>
      <w:r w:rsidR="00FD6BDE" w:rsidRPr="00645878">
        <w:rPr>
          <w:rFonts w:ascii="Times New Roman" w:hAnsi="Times New Roman"/>
          <w:b/>
        </w:rPr>
        <w:t>often</w:t>
      </w:r>
      <w:r w:rsidR="00900061" w:rsidRPr="00645878">
        <w:rPr>
          <w:rFonts w:ascii="Times New Roman" w:hAnsi="Times New Roman"/>
          <w:b/>
        </w:rPr>
        <w:t xml:space="preserve"> </w:t>
      </w:r>
      <w:r w:rsidR="00FD6BDE" w:rsidRPr="00645878">
        <w:rPr>
          <w:rFonts w:ascii="Times New Roman" w:hAnsi="Times New Roman"/>
          <w:b/>
        </w:rPr>
        <w:t>lacks</w:t>
      </w:r>
      <w:r w:rsidR="00900061" w:rsidRPr="00645878">
        <w:rPr>
          <w:rFonts w:ascii="Times New Roman" w:hAnsi="Times New Roman"/>
          <w:b/>
        </w:rPr>
        <w:t xml:space="preserve"> </w:t>
      </w:r>
      <w:r w:rsidR="00FD6BDE" w:rsidRPr="00645878">
        <w:rPr>
          <w:rFonts w:ascii="Times New Roman" w:hAnsi="Times New Roman"/>
          <w:b/>
        </w:rPr>
        <w:t>the</w:t>
      </w:r>
      <w:r w:rsidR="00900061" w:rsidRPr="00645878">
        <w:rPr>
          <w:rFonts w:ascii="Times New Roman" w:hAnsi="Times New Roman"/>
          <w:b/>
        </w:rPr>
        <w:t xml:space="preserve"> </w:t>
      </w:r>
      <w:r w:rsidR="00FD6BDE" w:rsidRPr="00645878">
        <w:rPr>
          <w:rFonts w:ascii="Times New Roman" w:hAnsi="Times New Roman"/>
          <w:b/>
        </w:rPr>
        <w:t>linkages</w:t>
      </w:r>
      <w:r w:rsidR="00900061" w:rsidRPr="00645878">
        <w:rPr>
          <w:rFonts w:ascii="Times New Roman" w:hAnsi="Times New Roman"/>
          <w:b/>
        </w:rPr>
        <w:t xml:space="preserve"> </w:t>
      </w:r>
      <w:r w:rsidR="00FD6BDE" w:rsidRPr="00645878">
        <w:rPr>
          <w:rFonts w:ascii="Times New Roman" w:hAnsi="Times New Roman"/>
          <w:b/>
        </w:rPr>
        <w:t>with</w:t>
      </w:r>
      <w:r w:rsidR="00900061" w:rsidRPr="00645878">
        <w:rPr>
          <w:rFonts w:ascii="Times New Roman" w:hAnsi="Times New Roman"/>
          <w:b/>
        </w:rPr>
        <w:t xml:space="preserve"> </w:t>
      </w:r>
      <w:r w:rsidR="00FD6BDE" w:rsidRPr="00645878">
        <w:rPr>
          <w:rFonts w:ascii="Times New Roman" w:hAnsi="Times New Roman"/>
          <w:b/>
        </w:rPr>
        <w:t>major</w:t>
      </w:r>
      <w:r w:rsidR="00900061" w:rsidRPr="00645878">
        <w:rPr>
          <w:rFonts w:ascii="Times New Roman" w:hAnsi="Times New Roman"/>
          <w:b/>
        </w:rPr>
        <w:t xml:space="preserve"> </w:t>
      </w:r>
      <w:r w:rsidR="00FD6BDE" w:rsidRPr="00645878">
        <w:rPr>
          <w:rFonts w:ascii="Times New Roman" w:hAnsi="Times New Roman"/>
          <w:b/>
        </w:rPr>
        <w:t>requirements</w:t>
      </w:r>
      <w:r w:rsidR="00900061" w:rsidRPr="00645878">
        <w:rPr>
          <w:rFonts w:ascii="Times New Roman" w:hAnsi="Times New Roman"/>
          <w:b/>
        </w:rPr>
        <w:t xml:space="preserve"> </w:t>
      </w:r>
      <w:r w:rsidR="00FD6BDE" w:rsidRPr="00645878">
        <w:rPr>
          <w:rFonts w:ascii="Times New Roman" w:hAnsi="Times New Roman"/>
          <w:b/>
        </w:rPr>
        <w:t>for</w:t>
      </w:r>
      <w:r w:rsidR="00900061" w:rsidRPr="00645878">
        <w:rPr>
          <w:rFonts w:ascii="Times New Roman" w:hAnsi="Times New Roman"/>
          <w:b/>
        </w:rPr>
        <w:t xml:space="preserve"> </w:t>
      </w:r>
      <w:r w:rsidR="00FD6BDE" w:rsidRPr="00645878">
        <w:rPr>
          <w:rFonts w:ascii="Times New Roman" w:hAnsi="Times New Roman"/>
          <w:b/>
        </w:rPr>
        <w:t>a</w:t>
      </w:r>
      <w:r w:rsidR="00900061" w:rsidRPr="00645878">
        <w:rPr>
          <w:rFonts w:ascii="Times New Roman" w:hAnsi="Times New Roman"/>
          <w:b/>
        </w:rPr>
        <w:t xml:space="preserve"> </w:t>
      </w:r>
      <w:r w:rsidR="00FD6BDE" w:rsidRPr="00645878">
        <w:rPr>
          <w:rFonts w:ascii="Times New Roman" w:hAnsi="Times New Roman"/>
          <w:b/>
        </w:rPr>
        <w:t>modernized</w:t>
      </w:r>
      <w:r w:rsidR="00900061" w:rsidRPr="00645878">
        <w:rPr>
          <w:rFonts w:ascii="Times New Roman" w:hAnsi="Times New Roman"/>
          <w:b/>
        </w:rPr>
        <w:t xml:space="preserve"> </w:t>
      </w:r>
      <w:r w:rsidR="00FD6BDE" w:rsidRPr="00645878">
        <w:rPr>
          <w:rFonts w:ascii="Times New Roman" w:hAnsi="Times New Roman"/>
          <w:b/>
        </w:rPr>
        <w:t>sound</w:t>
      </w:r>
      <w:r w:rsidR="00900061" w:rsidRPr="00645878">
        <w:rPr>
          <w:rFonts w:ascii="Times New Roman" w:hAnsi="Times New Roman"/>
          <w:b/>
        </w:rPr>
        <w:t xml:space="preserve"> </w:t>
      </w:r>
      <w:r w:rsidR="00FD6BDE" w:rsidRPr="00645878">
        <w:rPr>
          <w:rFonts w:ascii="Times New Roman" w:hAnsi="Times New Roman"/>
          <w:b/>
        </w:rPr>
        <w:t>system</w:t>
      </w:r>
      <w:r w:rsidR="00900061" w:rsidRPr="00645878">
        <w:rPr>
          <w:rFonts w:ascii="Times New Roman" w:hAnsi="Times New Roman"/>
          <w:b/>
        </w:rPr>
        <w:t xml:space="preserve"> </w:t>
      </w:r>
      <w:r w:rsidR="00FD6BDE" w:rsidRPr="00645878">
        <w:rPr>
          <w:rFonts w:ascii="Times New Roman" w:hAnsi="Times New Roman"/>
          <w:b/>
        </w:rPr>
        <w:t>of</w:t>
      </w:r>
      <w:r w:rsidR="00900061" w:rsidRPr="00645878">
        <w:rPr>
          <w:rFonts w:ascii="Times New Roman" w:hAnsi="Times New Roman"/>
          <w:b/>
        </w:rPr>
        <w:t xml:space="preserve"> </w:t>
      </w:r>
      <w:r w:rsidR="00FD6BDE" w:rsidRPr="00645878">
        <w:rPr>
          <w:rFonts w:ascii="Times New Roman" w:hAnsi="Times New Roman"/>
          <w:b/>
        </w:rPr>
        <w:t>public</w:t>
      </w:r>
      <w:r w:rsidR="00900061" w:rsidRPr="00645878">
        <w:rPr>
          <w:rFonts w:ascii="Times New Roman" w:hAnsi="Times New Roman"/>
          <w:b/>
        </w:rPr>
        <w:t xml:space="preserve"> </w:t>
      </w:r>
      <w:r w:rsidR="00FD6BDE" w:rsidRPr="00645878">
        <w:rPr>
          <w:rFonts w:ascii="Times New Roman" w:hAnsi="Times New Roman"/>
          <w:b/>
        </w:rPr>
        <w:t>internal</w:t>
      </w:r>
      <w:r w:rsidR="00900061" w:rsidRPr="00645878">
        <w:rPr>
          <w:rFonts w:ascii="Times New Roman" w:hAnsi="Times New Roman"/>
          <w:b/>
        </w:rPr>
        <w:t xml:space="preserve"> </w:t>
      </w:r>
      <w:r w:rsidR="00FD6BDE" w:rsidRPr="00645878">
        <w:rPr>
          <w:rFonts w:ascii="Times New Roman" w:hAnsi="Times New Roman"/>
          <w:b/>
        </w:rPr>
        <w:t>controls</w:t>
      </w:r>
      <w:r w:rsidR="00FD6BDE" w:rsidRPr="00645878">
        <w:rPr>
          <w:rFonts w:ascii="Times New Roman" w:hAnsi="Times New Roman"/>
        </w:rPr>
        <w:t>.</w:t>
      </w:r>
      <w:r w:rsidR="00900061" w:rsidRPr="00645878">
        <w:rPr>
          <w:rFonts w:ascii="Times New Roman" w:hAnsi="Times New Roman"/>
        </w:rPr>
        <w:t xml:space="preserve"> </w:t>
      </w:r>
      <w:r w:rsidR="00851249" w:rsidRPr="00645878">
        <w:rPr>
          <w:rFonts w:ascii="Times New Roman" w:hAnsi="Times New Roman"/>
        </w:rPr>
        <w:t>F</w:t>
      </w:r>
      <w:r w:rsidR="00FD6BDE" w:rsidRPr="00645878">
        <w:rPr>
          <w:rFonts w:ascii="Times New Roman" w:hAnsi="Times New Roman"/>
        </w:rPr>
        <w:t>eatures</w:t>
      </w:r>
      <w:r w:rsidR="00900061" w:rsidRPr="00645878">
        <w:rPr>
          <w:rFonts w:ascii="Times New Roman" w:hAnsi="Times New Roman"/>
        </w:rPr>
        <w:t xml:space="preserve"> </w:t>
      </w:r>
      <w:r w:rsidR="00851249" w:rsidRPr="00645878">
        <w:rPr>
          <w:rFonts w:ascii="Times New Roman" w:hAnsi="Times New Roman"/>
        </w:rPr>
        <w:t xml:space="preserve">that need </w:t>
      </w:r>
      <w:r w:rsidR="00FD6BDE" w:rsidRPr="00645878">
        <w:rPr>
          <w:rFonts w:ascii="Times New Roman" w:hAnsi="Times New Roman"/>
        </w:rPr>
        <w:t>to</w:t>
      </w:r>
      <w:r w:rsidR="00900061" w:rsidRPr="00645878">
        <w:rPr>
          <w:rFonts w:ascii="Times New Roman" w:hAnsi="Times New Roman"/>
        </w:rPr>
        <w:t xml:space="preserve"> </w:t>
      </w:r>
      <w:r w:rsidR="00FD6BDE" w:rsidRPr="00645878">
        <w:rPr>
          <w:rFonts w:ascii="Times New Roman" w:hAnsi="Times New Roman"/>
        </w:rPr>
        <w:t>be</w:t>
      </w:r>
      <w:r w:rsidR="00900061" w:rsidRPr="00645878">
        <w:rPr>
          <w:rFonts w:ascii="Times New Roman" w:hAnsi="Times New Roman"/>
        </w:rPr>
        <w:t xml:space="preserve"> </w:t>
      </w:r>
      <w:r w:rsidR="00FD6BDE" w:rsidRPr="00645878">
        <w:rPr>
          <w:rFonts w:ascii="Times New Roman" w:hAnsi="Times New Roman"/>
        </w:rPr>
        <w:t>developed</w:t>
      </w:r>
      <w:r w:rsidR="00900061" w:rsidRPr="00645878">
        <w:rPr>
          <w:rFonts w:ascii="Times New Roman" w:hAnsi="Times New Roman"/>
        </w:rPr>
        <w:t xml:space="preserve"> </w:t>
      </w:r>
      <w:r w:rsidR="00FD6BDE" w:rsidRPr="00645878">
        <w:rPr>
          <w:rFonts w:ascii="Times New Roman" w:hAnsi="Times New Roman"/>
        </w:rPr>
        <w:t>would</w:t>
      </w:r>
      <w:r w:rsidR="00900061" w:rsidRPr="00645878">
        <w:rPr>
          <w:rFonts w:ascii="Times New Roman" w:hAnsi="Times New Roman"/>
        </w:rPr>
        <w:t xml:space="preserve"> </w:t>
      </w:r>
      <w:r w:rsidR="00FD6BDE" w:rsidRPr="00645878">
        <w:rPr>
          <w:rFonts w:ascii="Times New Roman" w:hAnsi="Times New Roman"/>
        </w:rPr>
        <w:t>include</w:t>
      </w:r>
      <w:r w:rsidR="00900061" w:rsidRPr="00645878">
        <w:rPr>
          <w:rFonts w:ascii="Times New Roman" w:hAnsi="Times New Roman"/>
        </w:rPr>
        <w:t xml:space="preserve"> </w:t>
      </w:r>
      <w:r w:rsidR="00FD6BDE" w:rsidRPr="00645878">
        <w:rPr>
          <w:rFonts w:ascii="Times New Roman" w:hAnsi="Times New Roman"/>
        </w:rPr>
        <w:t>setting</w:t>
      </w:r>
      <w:r w:rsidR="00900061" w:rsidRPr="00645878">
        <w:rPr>
          <w:rFonts w:ascii="Times New Roman" w:hAnsi="Times New Roman"/>
        </w:rPr>
        <w:t xml:space="preserve"> </w:t>
      </w:r>
      <w:r w:rsidR="00FD6BDE" w:rsidRPr="00645878">
        <w:rPr>
          <w:rFonts w:ascii="Times New Roman" w:hAnsi="Times New Roman"/>
        </w:rPr>
        <w:t>of</w:t>
      </w:r>
      <w:r w:rsidR="00900061" w:rsidRPr="00645878">
        <w:rPr>
          <w:rFonts w:ascii="Times New Roman" w:hAnsi="Times New Roman"/>
        </w:rPr>
        <w:t xml:space="preserve"> </w:t>
      </w:r>
      <w:r w:rsidR="00FD6BDE" w:rsidRPr="00645878">
        <w:rPr>
          <w:rFonts w:ascii="Times New Roman" w:hAnsi="Times New Roman"/>
        </w:rPr>
        <w:t>objectives,</w:t>
      </w:r>
      <w:r w:rsidR="00900061" w:rsidRPr="00645878">
        <w:rPr>
          <w:rFonts w:ascii="Times New Roman" w:hAnsi="Times New Roman"/>
        </w:rPr>
        <w:t xml:space="preserve"> </w:t>
      </w:r>
      <w:r w:rsidR="00FD6BDE" w:rsidRPr="00645878">
        <w:rPr>
          <w:rFonts w:ascii="Times New Roman" w:hAnsi="Times New Roman"/>
        </w:rPr>
        <w:t>formalized</w:t>
      </w:r>
      <w:r w:rsidR="00900061" w:rsidRPr="00645878">
        <w:rPr>
          <w:rFonts w:ascii="Times New Roman" w:hAnsi="Times New Roman"/>
        </w:rPr>
        <w:t xml:space="preserve"> </w:t>
      </w:r>
      <w:r w:rsidR="00FD6BDE" w:rsidRPr="00645878">
        <w:rPr>
          <w:rFonts w:ascii="Times New Roman" w:hAnsi="Times New Roman"/>
        </w:rPr>
        <w:t>risk</w:t>
      </w:r>
      <w:r w:rsidR="00900061" w:rsidRPr="00645878">
        <w:rPr>
          <w:rFonts w:ascii="Times New Roman" w:hAnsi="Times New Roman"/>
        </w:rPr>
        <w:t xml:space="preserve"> </w:t>
      </w:r>
      <w:r w:rsidR="00FD6BDE" w:rsidRPr="00645878">
        <w:rPr>
          <w:rFonts w:ascii="Times New Roman" w:hAnsi="Times New Roman"/>
        </w:rPr>
        <w:t>assessment</w:t>
      </w:r>
      <w:r w:rsidR="00900061" w:rsidRPr="00645878">
        <w:rPr>
          <w:rFonts w:ascii="Times New Roman" w:hAnsi="Times New Roman"/>
        </w:rPr>
        <w:t xml:space="preserve"> </w:t>
      </w:r>
      <w:r w:rsidR="00FD6BDE" w:rsidRPr="00645878">
        <w:rPr>
          <w:rFonts w:ascii="Times New Roman" w:hAnsi="Times New Roman"/>
        </w:rPr>
        <w:t>procedures,</w:t>
      </w:r>
      <w:r w:rsidR="00900061" w:rsidRPr="00645878">
        <w:rPr>
          <w:rFonts w:ascii="Times New Roman" w:hAnsi="Times New Roman"/>
        </w:rPr>
        <w:t xml:space="preserve"> </w:t>
      </w:r>
      <w:r w:rsidR="00FD6BDE" w:rsidRPr="00645878">
        <w:rPr>
          <w:rFonts w:ascii="Times New Roman" w:hAnsi="Times New Roman"/>
        </w:rPr>
        <w:t>establishment</w:t>
      </w:r>
      <w:r w:rsidR="00900061" w:rsidRPr="00645878">
        <w:rPr>
          <w:rFonts w:ascii="Times New Roman" w:hAnsi="Times New Roman"/>
        </w:rPr>
        <w:t xml:space="preserve"> </w:t>
      </w:r>
      <w:r w:rsidR="00FD6BDE" w:rsidRPr="00645878">
        <w:rPr>
          <w:rFonts w:ascii="Times New Roman" w:hAnsi="Times New Roman"/>
        </w:rPr>
        <w:t>of</w:t>
      </w:r>
      <w:r w:rsidR="00900061" w:rsidRPr="00645878">
        <w:rPr>
          <w:rFonts w:ascii="Times New Roman" w:hAnsi="Times New Roman"/>
        </w:rPr>
        <w:t xml:space="preserve"> </w:t>
      </w:r>
      <w:r w:rsidR="00FD6BDE" w:rsidRPr="00645878">
        <w:rPr>
          <w:rFonts w:ascii="Times New Roman" w:hAnsi="Times New Roman"/>
        </w:rPr>
        <w:t>relevant</w:t>
      </w:r>
      <w:r w:rsidR="00900061" w:rsidRPr="00645878">
        <w:rPr>
          <w:rFonts w:ascii="Times New Roman" w:hAnsi="Times New Roman"/>
        </w:rPr>
        <w:t xml:space="preserve"> </w:t>
      </w:r>
      <w:r w:rsidR="00FD6BDE" w:rsidRPr="00645878">
        <w:rPr>
          <w:rFonts w:ascii="Times New Roman" w:hAnsi="Times New Roman"/>
        </w:rPr>
        <w:t>and</w:t>
      </w:r>
      <w:r w:rsidR="00900061" w:rsidRPr="00645878">
        <w:rPr>
          <w:rFonts w:ascii="Times New Roman" w:hAnsi="Times New Roman"/>
        </w:rPr>
        <w:t xml:space="preserve"> </w:t>
      </w:r>
      <w:r w:rsidR="00FD6BDE" w:rsidRPr="00645878">
        <w:rPr>
          <w:rFonts w:ascii="Times New Roman" w:hAnsi="Times New Roman"/>
        </w:rPr>
        <w:t>cost-effective</w:t>
      </w:r>
      <w:r w:rsidR="00900061" w:rsidRPr="00645878">
        <w:rPr>
          <w:rFonts w:ascii="Times New Roman" w:hAnsi="Times New Roman"/>
        </w:rPr>
        <w:t xml:space="preserve"> </w:t>
      </w:r>
      <w:r w:rsidR="00FD6BDE" w:rsidRPr="00645878">
        <w:rPr>
          <w:rFonts w:ascii="Times New Roman" w:hAnsi="Times New Roman"/>
        </w:rPr>
        <w:t>internal</w:t>
      </w:r>
      <w:r w:rsidR="00900061" w:rsidRPr="00645878">
        <w:rPr>
          <w:rFonts w:ascii="Times New Roman" w:hAnsi="Times New Roman"/>
        </w:rPr>
        <w:t xml:space="preserve"> </w:t>
      </w:r>
      <w:r w:rsidR="00FD6BDE" w:rsidRPr="00645878">
        <w:rPr>
          <w:rFonts w:ascii="Times New Roman" w:hAnsi="Times New Roman"/>
        </w:rPr>
        <w:t>controls</w:t>
      </w:r>
      <w:r w:rsidR="00900061" w:rsidRPr="00645878">
        <w:rPr>
          <w:rFonts w:ascii="Times New Roman" w:hAnsi="Times New Roman"/>
        </w:rPr>
        <w:t xml:space="preserve"> </w:t>
      </w:r>
      <w:r w:rsidR="00FD6BDE" w:rsidRPr="00645878">
        <w:rPr>
          <w:rFonts w:ascii="Times New Roman" w:hAnsi="Times New Roman"/>
        </w:rPr>
        <w:t>to</w:t>
      </w:r>
      <w:r w:rsidR="00900061" w:rsidRPr="00645878">
        <w:rPr>
          <w:rFonts w:ascii="Times New Roman" w:hAnsi="Times New Roman"/>
        </w:rPr>
        <w:t xml:space="preserve"> </w:t>
      </w:r>
      <w:r w:rsidR="00FD6BDE" w:rsidRPr="00645878">
        <w:rPr>
          <w:rFonts w:ascii="Times New Roman" w:hAnsi="Times New Roman"/>
        </w:rPr>
        <w:t>provide</w:t>
      </w:r>
      <w:r w:rsidR="00900061" w:rsidRPr="00645878">
        <w:rPr>
          <w:rFonts w:ascii="Times New Roman" w:hAnsi="Times New Roman"/>
        </w:rPr>
        <w:t xml:space="preserve"> </w:t>
      </w:r>
      <w:r w:rsidR="00FD6BDE" w:rsidRPr="00645878">
        <w:rPr>
          <w:rFonts w:ascii="Times New Roman" w:hAnsi="Times New Roman"/>
        </w:rPr>
        <w:t>reasonable</w:t>
      </w:r>
      <w:r w:rsidR="00900061" w:rsidRPr="00645878">
        <w:rPr>
          <w:rFonts w:ascii="Times New Roman" w:hAnsi="Times New Roman"/>
        </w:rPr>
        <w:t xml:space="preserve"> </w:t>
      </w:r>
      <w:r w:rsidR="00FD6BDE" w:rsidRPr="00645878">
        <w:rPr>
          <w:rFonts w:ascii="Times New Roman" w:hAnsi="Times New Roman"/>
        </w:rPr>
        <w:t>assurance,</w:t>
      </w:r>
      <w:r w:rsidR="00900061" w:rsidRPr="00645878">
        <w:rPr>
          <w:rFonts w:ascii="Times New Roman" w:hAnsi="Times New Roman"/>
        </w:rPr>
        <w:t xml:space="preserve"> </w:t>
      </w:r>
      <w:r w:rsidR="00FD6BDE" w:rsidRPr="00645878">
        <w:rPr>
          <w:rFonts w:ascii="Times New Roman" w:hAnsi="Times New Roman"/>
        </w:rPr>
        <w:t>delegation</w:t>
      </w:r>
      <w:r w:rsidR="00900061" w:rsidRPr="00645878">
        <w:rPr>
          <w:rFonts w:ascii="Times New Roman" w:hAnsi="Times New Roman"/>
        </w:rPr>
        <w:t xml:space="preserve"> </w:t>
      </w:r>
      <w:r w:rsidR="00FD6BDE" w:rsidRPr="00645878">
        <w:rPr>
          <w:rFonts w:ascii="Times New Roman" w:hAnsi="Times New Roman"/>
        </w:rPr>
        <w:t>of</w:t>
      </w:r>
      <w:r w:rsidR="00900061" w:rsidRPr="00645878">
        <w:rPr>
          <w:rFonts w:ascii="Times New Roman" w:hAnsi="Times New Roman"/>
        </w:rPr>
        <w:t xml:space="preserve"> </w:t>
      </w:r>
      <w:r w:rsidR="00FD6BDE" w:rsidRPr="00645878">
        <w:rPr>
          <w:rFonts w:ascii="Times New Roman" w:hAnsi="Times New Roman"/>
        </w:rPr>
        <w:t>responsibilities</w:t>
      </w:r>
      <w:r w:rsidR="00900061" w:rsidRPr="00645878">
        <w:rPr>
          <w:rFonts w:ascii="Times New Roman" w:hAnsi="Times New Roman"/>
        </w:rPr>
        <w:t xml:space="preserve"> </w:t>
      </w:r>
      <w:r w:rsidR="00FD6BDE" w:rsidRPr="00645878">
        <w:rPr>
          <w:rFonts w:ascii="Times New Roman" w:hAnsi="Times New Roman"/>
        </w:rPr>
        <w:t>and</w:t>
      </w:r>
      <w:r w:rsidR="00900061" w:rsidRPr="00645878">
        <w:rPr>
          <w:rFonts w:ascii="Times New Roman" w:hAnsi="Times New Roman"/>
        </w:rPr>
        <w:t xml:space="preserve"> </w:t>
      </w:r>
      <w:r w:rsidR="00FD6BDE" w:rsidRPr="00645878">
        <w:rPr>
          <w:rFonts w:ascii="Times New Roman" w:hAnsi="Times New Roman"/>
        </w:rPr>
        <w:t>authority,</w:t>
      </w:r>
      <w:r w:rsidR="00900061" w:rsidRPr="00645878">
        <w:rPr>
          <w:rFonts w:ascii="Times New Roman" w:hAnsi="Times New Roman"/>
        </w:rPr>
        <w:t xml:space="preserve"> </w:t>
      </w:r>
      <w:r w:rsidR="00FD6BDE" w:rsidRPr="00645878">
        <w:rPr>
          <w:rFonts w:ascii="Times New Roman" w:hAnsi="Times New Roman"/>
        </w:rPr>
        <w:t>documentation</w:t>
      </w:r>
      <w:r w:rsidR="00900061" w:rsidRPr="00645878">
        <w:rPr>
          <w:rFonts w:ascii="Times New Roman" w:hAnsi="Times New Roman"/>
        </w:rPr>
        <w:t xml:space="preserve"> </w:t>
      </w:r>
      <w:r w:rsidR="00FD6BDE" w:rsidRPr="00645878">
        <w:rPr>
          <w:rFonts w:ascii="Times New Roman" w:hAnsi="Times New Roman"/>
        </w:rPr>
        <w:t>and</w:t>
      </w:r>
      <w:r w:rsidR="00900061" w:rsidRPr="00645878">
        <w:rPr>
          <w:rFonts w:ascii="Times New Roman" w:hAnsi="Times New Roman"/>
        </w:rPr>
        <w:t xml:space="preserve"> </w:t>
      </w:r>
      <w:r w:rsidR="00FD6BDE" w:rsidRPr="00645878">
        <w:rPr>
          <w:rFonts w:ascii="Times New Roman" w:hAnsi="Times New Roman"/>
        </w:rPr>
        <w:t>audit</w:t>
      </w:r>
      <w:r w:rsidR="00900061" w:rsidRPr="00645878">
        <w:rPr>
          <w:rFonts w:ascii="Times New Roman" w:hAnsi="Times New Roman"/>
        </w:rPr>
        <w:t xml:space="preserve"> </w:t>
      </w:r>
      <w:r w:rsidR="00FD6BDE" w:rsidRPr="00645878">
        <w:rPr>
          <w:rFonts w:ascii="Times New Roman" w:hAnsi="Times New Roman"/>
        </w:rPr>
        <w:t>trails,</w:t>
      </w:r>
      <w:r w:rsidR="00900061" w:rsidRPr="00645878">
        <w:rPr>
          <w:rFonts w:ascii="Times New Roman" w:hAnsi="Times New Roman"/>
        </w:rPr>
        <w:t xml:space="preserve"> </w:t>
      </w:r>
      <w:r w:rsidR="00073464" w:rsidRPr="00645878">
        <w:rPr>
          <w:rFonts w:ascii="Times New Roman" w:hAnsi="Times New Roman"/>
        </w:rPr>
        <w:t>and so on</w:t>
      </w:r>
      <w:r w:rsidR="00FD6BDE" w:rsidRPr="00645878">
        <w:rPr>
          <w:rFonts w:ascii="Times New Roman" w:hAnsi="Times New Roman"/>
        </w:rPr>
        <w:t>.</w:t>
      </w:r>
      <w:r w:rsidR="00900061" w:rsidRPr="00645878">
        <w:rPr>
          <w:rFonts w:ascii="Times New Roman" w:hAnsi="Times New Roman"/>
        </w:rPr>
        <w:t xml:space="preserve"> </w:t>
      </w:r>
      <w:r w:rsidR="00FD6BDE" w:rsidRPr="00645878">
        <w:rPr>
          <w:rFonts w:ascii="Times New Roman" w:hAnsi="Times New Roman"/>
        </w:rPr>
        <w:t>However,</w:t>
      </w:r>
      <w:r w:rsidR="00900061" w:rsidRPr="00645878">
        <w:rPr>
          <w:rFonts w:ascii="Times New Roman" w:hAnsi="Times New Roman"/>
        </w:rPr>
        <w:t xml:space="preserve"> </w:t>
      </w:r>
      <w:r w:rsidR="00FD6BDE" w:rsidRPr="00645878">
        <w:rPr>
          <w:rFonts w:ascii="Times New Roman" w:hAnsi="Times New Roman"/>
        </w:rPr>
        <w:t>this</w:t>
      </w:r>
      <w:r w:rsidR="00900061" w:rsidRPr="00645878">
        <w:rPr>
          <w:rFonts w:ascii="Times New Roman" w:hAnsi="Times New Roman"/>
        </w:rPr>
        <w:t xml:space="preserve"> </w:t>
      </w:r>
      <w:r w:rsidR="00FD6BDE" w:rsidRPr="00645878">
        <w:rPr>
          <w:rFonts w:ascii="Times New Roman" w:hAnsi="Times New Roman"/>
        </w:rPr>
        <w:t>centralized</w:t>
      </w:r>
      <w:r w:rsidR="00900061" w:rsidRPr="00645878">
        <w:rPr>
          <w:rFonts w:ascii="Times New Roman" w:hAnsi="Times New Roman"/>
        </w:rPr>
        <w:t xml:space="preserve"> </w:t>
      </w:r>
      <w:r w:rsidR="00FD6BDE" w:rsidRPr="00645878">
        <w:rPr>
          <w:rFonts w:ascii="Times New Roman" w:hAnsi="Times New Roman"/>
        </w:rPr>
        <w:t>control</w:t>
      </w:r>
      <w:r w:rsidR="00900061" w:rsidRPr="00645878">
        <w:rPr>
          <w:rFonts w:ascii="Times New Roman" w:hAnsi="Times New Roman"/>
        </w:rPr>
        <w:t xml:space="preserve"> </w:t>
      </w:r>
      <w:r w:rsidR="00FD6BDE" w:rsidRPr="00645878">
        <w:rPr>
          <w:rFonts w:ascii="Times New Roman" w:hAnsi="Times New Roman"/>
        </w:rPr>
        <w:t>over</w:t>
      </w:r>
      <w:r w:rsidR="00900061" w:rsidRPr="00645878">
        <w:rPr>
          <w:rFonts w:ascii="Times New Roman" w:hAnsi="Times New Roman"/>
        </w:rPr>
        <w:t xml:space="preserve"> </w:t>
      </w:r>
      <w:r w:rsidR="00FD6BDE" w:rsidRPr="00645878">
        <w:rPr>
          <w:rFonts w:ascii="Times New Roman" w:hAnsi="Times New Roman"/>
        </w:rPr>
        <w:t>inputs</w:t>
      </w:r>
      <w:r w:rsidR="00900061" w:rsidRPr="00645878">
        <w:rPr>
          <w:rFonts w:ascii="Times New Roman" w:hAnsi="Times New Roman"/>
        </w:rPr>
        <w:t xml:space="preserve"> </w:t>
      </w:r>
      <w:r w:rsidR="00FD6BDE" w:rsidRPr="00645878">
        <w:rPr>
          <w:rFonts w:ascii="Times New Roman" w:hAnsi="Times New Roman"/>
        </w:rPr>
        <w:t>still</w:t>
      </w:r>
      <w:r w:rsidR="00900061" w:rsidRPr="00645878">
        <w:rPr>
          <w:rFonts w:ascii="Times New Roman" w:hAnsi="Times New Roman"/>
        </w:rPr>
        <w:t xml:space="preserve"> </w:t>
      </w:r>
      <w:r w:rsidR="00FD6BDE" w:rsidRPr="00645878">
        <w:rPr>
          <w:rFonts w:ascii="Times New Roman" w:hAnsi="Times New Roman"/>
        </w:rPr>
        <w:t>provides</w:t>
      </w:r>
      <w:r w:rsidR="00900061" w:rsidRPr="00645878">
        <w:rPr>
          <w:rFonts w:ascii="Times New Roman" w:hAnsi="Times New Roman"/>
        </w:rPr>
        <w:t xml:space="preserve"> </w:t>
      </w:r>
      <w:r w:rsidRPr="00645878">
        <w:rPr>
          <w:rFonts w:ascii="Times New Roman" w:hAnsi="Times New Roman"/>
        </w:rPr>
        <w:t xml:space="preserve">a </w:t>
      </w:r>
      <w:r w:rsidR="00FD6BDE" w:rsidRPr="00645878">
        <w:rPr>
          <w:rFonts w:ascii="Times New Roman" w:hAnsi="Times New Roman"/>
        </w:rPr>
        <w:t>substantially</w:t>
      </w:r>
      <w:r w:rsidR="00900061" w:rsidRPr="00645878">
        <w:rPr>
          <w:rFonts w:ascii="Times New Roman" w:hAnsi="Times New Roman"/>
        </w:rPr>
        <w:t xml:space="preserve"> </w:t>
      </w:r>
      <w:r w:rsidR="00FD6BDE" w:rsidRPr="00645878">
        <w:rPr>
          <w:rFonts w:ascii="Times New Roman" w:hAnsi="Times New Roman"/>
        </w:rPr>
        <w:t>sound</w:t>
      </w:r>
      <w:r w:rsidR="00900061" w:rsidRPr="00645878">
        <w:rPr>
          <w:rFonts w:ascii="Times New Roman" w:hAnsi="Times New Roman"/>
        </w:rPr>
        <w:t xml:space="preserve"> </w:t>
      </w:r>
      <w:r w:rsidR="00FD6BDE" w:rsidRPr="00645878">
        <w:rPr>
          <w:rFonts w:ascii="Times New Roman" w:hAnsi="Times New Roman"/>
        </w:rPr>
        <w:t>control</w:t>
      </w:r>
      <w:r w:rsidR="00900061" w:rsidRPr="00645878">
        <w:rPr>
          <w:rFonts w:ascii="Times New Roman" w:hAnsi="Times New Roman"/>
        </w:rPr>
        <w:t xml:space="preserve"> </w:t>
      </w:r>
      <w:r w:rsidR="00FD6BDE" w:rsidRPr="00645878">
        <w:rPr>
          <w:rFonts w:ascii="Times New Roman" w:hAnsi="Times New Roman"/>
        </w:rPr>
        <w:t>environment</w:t>
      </w:r>
      <w:r w:rsidR="00900061" w:rsidRPr="00645878">
        <w:rPr>
          <w:rFonts w:ascii="Times New Roman" w:hAnsi="Times New Roman"/>
        </w:rPr>
        <w:t xml:space="preserve"> </w:t>
      </w:r>
      <w:r w:rsidR="00FD6BDE" w:rsidRPr="00645878">
        <w:rPr>
          <w:rFonts w:ascii="Times New Roman" w:hAnsi="Times New Roman"/>
        </w:rPr>
        <w:t>and</w:t>
      </w:r>
      <w:r w:rsidR="00900061" w:rsidRPr="00645878">
        <w:rPr>
          <w:rFonts w:ascii="Times New Roman" w:hAnsi="Times New Roman"/>
        </w:rPr>
        <w:t xml:space="preserve"> </w:t>
      </w:r>
      <w:r w:rsidR="00FD6BDE" w:rsidRPr="00645878">
        <w:rPr>
          <w:rFonts w:ascii="Times New Roman" w:hAnsi="Times New Roman"/>
        </w:rPr>
        <w:t>safeguard</w:t>
      </w:r>
      <w:r w:rsidRPr="00645878">
        <w:rPr>
          <w:rFonts w:ascii="Times New Roman" w:hAnsi="Times New Roman"/>
        </w:rPr>
        <w:t>s</w:t>
      </w:r>
      <w:r w:rsidR="00900061" w:rsidRPr="00645878">
        <w:rPr>
          <w:rFonts w:ascii="Times New Roman" w:hAnsi="Times New Roman"/>
        </w:rPr>
        <w:t xml:space="preserve"> </w:t>
      </w:r>
      <w:r w:rsidR="00FD6BDE" w:rsidRPr="00645878">
        <w:rPr>
          <w:rFonts w:ascii="Times New Roman" w:hAnsi="Times New Roman"/>
        </w:rPr>
        <w:t>the</w:t>
      </w:r>
      <w:r w:rsidR="00900061" w:rsidRPr="00645878">
        <w:rPr>
          <w:rFonts w:ascii="Times New Roman" w:hAnsi="Times New Roman"/>
        </w:rPr>
        <w:t xml:space="preserve"> </w:t>
      </w:r>
      <w:r w:rsidR="00FD6BDE" w:rsidRPr="00645878">
        <w:rPr>
          <w:rFonts w:ascii="Times New Roman" w:hAnsi="Times New Roman"/>
        </w:rPr>
        <w:t>use</w:t>
      </w:r>
      <w:r w:rsidR="00900061" w:rsidRPr="00645878">
        <w:rPr>
          <w:rFonts w:ascii="Times New Roman" w:hAnsi="Times New Roman"/>
        </w:rPr>
        <w:t xml:space="preserve"> </w:t>
      </w:r>
      <w:r w:rsidR="00FD6BDE" w:rsidRPr="00645878">
        <w:rPr>
          <w:rFonts w:ascii="Times New Roman" w:hAnsi="Times New Roman"/>
        </w:rPr>
        <w:t>of</w:t>
      </w:r>
      <w:r w:rsidR="00900061" w:rsidRPr="00645878">
        <w:rPr>
          <w:rFonts w:ascii="Times New Roman" w:hAnsi="Times New Roman"/>
        </w:rPr>
        <w:t xml:space="preserve"> </w:t>
      </w:r>
      <w:r w:rsidR="00FD6BDE" w:rsidRPr="00645878">
        <w:rPr>
          <w:rFonts w:ascii="Times New Roman" w:hAnsi="Times New Roman"/>
        </w:rPr>
        <w:t>public</w:t>
      </w:r>
      <w:r w:rsidR="00900061" w:rsidRPr="00645878">
        <w:rPr>
          <w:rFonts w:ascii="Times New Roman" w:hAnsi="Times New Roman"/>
        </w:rPr>
        <w:t xml:space="preserve"> </w:t>
      </w:r>
      <w:r w:rsidR="00FD6BDE" w:rsidRPr="00645878">
        <w:rPr>
          <w:rFonts w:ascii="Times New Roman" w:hAnsi="Times New Roman"/>
        </w:rPr>
        <w:t>funds.</w:t>
      </w:r>
    </w:p>
    <w:p w14:paraId="6466D2AA" w14:textId="2C717C5C" w:rsidR="00FD6BDE" w:rsidRPr="00645878" w:rsidRDefault="00FD6BDE"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assessment</w:t>
      </w:r>
      <w:r w:rsidR="00900061" w:rsidRPr="00645878">
        <w:rPr>
          <w:rFonts w:ascii="Times New Roman" w:hAnsi="Times New Roman"/>
          <w:b/>
        </w:rPr>
        <w:t xml:space="preserve"> </w:t>
      </w:r>
      <w:r w:rsidRPr="00645878">
        <w:rPr>
          <w:rFonts w:ascii="Times New Roman" w:hAnsi="Times New Roman"/>
          <w:b/>
        </w:rPr>
        <w:t>showed</w:t>
      </w:r>
      <w:r w:rsidR="00900061" w:rsidRPr="00645878">
        <w:rPr>
          <w:rFonts w:ascii="Times New Roman" w:hAnsi="Times New Roman"/>
          <w:b/>
        </w:rPr>
        <w:t xml:space="preserve"> </w:t>
      </w:r>
      <w:r w:rsidRPr="00645878">
        <w:rPr>
          <w:rFonts w:ascii="Times New Roman" w:hAnsi="Times New Roman"/>
          <w:b/>
        </w:rPr>
        <w:t>that</w:t>
      </w:r>
      <w:r w:rsidR="00900061" w:rsidRPr="00645878">
        <w:rPr>
          <w:rFonts w:ascii="Times New Roman" w:hAnsi="Times New Roman"/>
          <w:b/>
        </w:rPr>
        <w:t xml:space="preserve"> </w:t>
      </w:r>
      <w:r w:rsidRPr="00645878">
        <w:rPr>
          <w:rFonts w:ascii="Times New Roman" w:hAnsi="Times New Roman"/>
          <w:b/>
        </w:rPr>
        <w:t>key</w:t>
      </w:r>
      <w:r w:rsidR="00900061" w:rsidRPr="00645878">
        <w:rPr>
          <w:rFonts w:ascii="Times New Roman" w:hAnsi="Times New Roman"/>
          <w:b/>
        </w:rPr>
        <w:t xml:space="preserve"> </w:t>
      </w:r>
      <w:r w:rsidRPr="00645878">
        <w:rPr>
          <w:rFonts w:ascii="Times New Roman" w:hAnsi="Times New Roman"/>
          <w:b/>
        </w:rPr>
        <w:t>internal</w:t>
      </w:r>
      <w:r w:rsidR="00900061" w:rsidRPr="00645878">
        <w:rPr>
          <w:rFonts w:ascii="Times New Roman" w:hAnsi="Times New Roman"/>
          <w:b/>
        </w:rPr>
        <w:t xml:space="preserve"> </w:t>
      </w:r>
      <w:r w:rsidRPr="00645878">
        <w:rPr>
          <w:rFonts w:ascii="Times New Roman" w:hAnsi="Times New Roman"/>
          <w:b/>
        </w:rPr>
        <w:t>controls</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instituted</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applied</w:t>
      </w:r>
      <w:r w:rsidR="00900061" w:rsidRPr="00645878">
        <w:rPr>
          <w:rFonts w:ascii="Times New Roman" w:hAnsi="Times New Roman"/>
          <w:b/>
        </w:rPr>
        <w:t xml:space="preserve"> </w:t>
      </w:r>
      <w:r w:rsidRPr="00645878">
        <w:rPr>
          <w:rFonts w:ascii="Times New Roman" w:hAnsi="Times New Roman"/>
          <w:b/>
        </w:rPr>
        <w:t>within</w:t>
      </w:r>
      <w:r w:rsidR="00900061" w:rsidRPr="00645878">
        <w:rPr>
          <w:rFonts w:ascii="Times New Roman" w:hAnsi="Times New Roman"/>
          <w:b/>
        </w:rPr>
        <w:t xml:space="preserve"> </w:t>
      </w:r>
      <w:r w:rsidR="00851249" w:rsidRPr="00645878">
        <w:rPr>
          <w:rFonts w:ascii="Times New Roman" w:hAnsi="Times New Roman"/>
          <w:b/>
        </w:rPr>
        <w:t>P</w:t>
      </w:r>
      <w:r w:rsidRPr="00645878">
        <w:rPr>
          <w:rFonts w:ascii="Times New Roman" w:hAnsi="Times New Roman"/>
          <w:b/>
        </w:rPr>
        <w:t>rogram</w:t>
      </w:r>
      <w:r w:rsidR="00900061" w:rsidRPr="00645878">
        <w:rPr>
          <w:rFonts w:ascii="Times New Roman" w:hAnsi="Times New Roman"/>
          <w:b/>
        </w:rPr>
        <w:t xml:space="preserve"> </w:t>
      </w: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Those</w:t>
      </w:r>
      <w:r w:rsidR="00900061" w:rsidRPr="00645878">
        <w:rPr>
          <w:rFonts w:ascii="Times New Roman" w:hAnsi="Times New Roman"/>
          <w:b/>
        </w:rPr>
        <w:t xml:space="preserve"> </w:t>
      </w:r>
      <w:r w:rsidRPr="00645878">
        <w:rPr>
          <w:rFonts w:ascii="Times New Roman" w:hAnsi="Times New Roman"/>
          <w:b/>
        </w:rPr>
        <w:t>include</w:t>
      </w:r>
    </w:p>
    <w:p w14:paraId="57ACB233" w14:textId="14EDC4F2" w:rsidR="00FD6BDE" w:rsidRPr="00645878" w:rsidRDefault="00FD6BDE" w:rsidP="000C3335">
      <w:pPr>
        <w:pStyle w:val="ListParagraph"/>
        <w:numPr>
          <w:ilvl w:val="0"/>
          <w:numId w:val="25"/>
        </w:numPr>
        <w:spacing w:after="0"/>
        <w:ind w:left="1195" w:hanging="475"/>
        <w:contextualSpacing w:val="0"/>
        <w:rPr>
          <w:rFonts w:ascii="Times New Roman" w:hAnsi="Times New Roman"/>
        </w:rPr>
      </w:pPr>
      <w:r w:rsidRPr="00645878">
        <w:rPr>
          <w:rFonts w:ascii="Times New Roman" w:hAnsi="Times New Roman"/>
        </w:rPr>
        <w:t>appropriate</w:t>
      </w:r>
      <w:r w:rsidR="00900061" w:rsidRPr="00645878">
        <w:rPr>
          <w:rFonts w:ascii="Times New Roman" w:hAnsi="Times New Roman"/>
        </w:rPr>
        <w:t xml:space="preserve"> </w:t>
      </w:r>
      <w:r w:rsidRPr="00645878">
        <w:rPr>
          <w:rFonts w:ascii="Times New Roman" w:hAnsi="Times New Roman"/>
        </w:rPr>
        <w:t>authorizations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approvals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purchases,</w:t>
      </w:r>
      <w:r w:rsidR="00900061" w:rsidRPr="00645878">
        <w:rPr>
          <w:rFonts w:ascii="Times New Roman" w:hAnsi="Times New Roman"/>
        </w:rPr>
        <w:t xml:space="preserve"> </w:t>
      </w:r>
      <w:r w:rsidRPr="00645878">
        <w:rPr>
          <w:rFonts w:ascii="Times New Roman" w:hAnsi="Times New Roman"/>
        </w:rPr>
        <w:t>relevant</w:t>
      </w:r>
      <w:r w:rsidR="00900061" w:rsidRPr="00645878">
        <w:rPr>
          <w:rFonts w:ascii="Times New Roman" w:hAnsi="Times New Roman"/>
        </w:rPr>
        <w:t xml:space="preserve"> </w:t>
      </w:r>
      <w:r w:rsidRPr="00645878">
        <w:rPr>
          <w:rFonts w:ascii="Times New Roman" w:hAnsi="Times New Roman"/>
        </w:rPr>
        <w:t>documentation,</w:t>
      </w:r>
      <w:r w:rsidR="00900061" w:rsidRPr="00645878">
        <w:rPr>
          <w:rFonts w:ascii="Times New Roman" w:hAnsi="Times New Roman"/>
        </w:rPr>
        <w:t xml:space="preserve"> </w:t>
      </w:r>
      <w:r w:rsidRPr="00645878">
        <w:rPr>
          <w:rFonts w:ascii="Times New Roman" w:hAnsi="Times New Roman"/>
        </w:rPr>
        <w:t>transactions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payments</w:t>
      </w:r>
      <w:r w:rsidR="00073464" w:rsidRPr="00645878">
        <w:rPr>
          <w:rFonts w:ascii="Times New Roman" w:hAnsi="Times New Roman"/>
        </w:rPr>
        <w:t>, and so on</w:t>
      </w:r>
      <w:r w:rsidRPr="00645878">
        <w:rPr>
          <w:rFonts w:ascii="Times New Roman" w:hAnsi="Times New Roman"/>
        </w:rPr>
        <w:t>;</w:t>
      </w:r>
    </w:p>
    <w:p w14:paraId="173D44B1" w14:textId="77777777" w:rsidR="00FD6BDE" w:rsidRPr="00645878" w:rsidRDefault="00FD6BDE" w:rsidP="000C3335">
      <w:pPr>
        <w:pStyle w:val="ListParagraph"/>
        <w:numPr>
          <w:ilvl w:val="0"/>
          <w:numId w:val="25"/>
        </w:numPr>
        <w:spacing w:after="0"/>
        <w:ind w:left="1195" w:hanging="475"/>
        <w:contextualSpacing w:val="0"/>
        <w:rPr>
          <w:rFonts w:ascii="Times New Roman" w:hAnsi="Times New Roman"/>
        </w:rPr>
      </w:pPr>
      <w:r w:rsidRPr="00645878">
        <w:rPr>
          <w:rFonts w:ascii="Times New Roman" w:hAnsi="Times New Roman"/>
        </w:rPr>
        <w:t>segregation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duties</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different</w:t>
      </w:r>
      <w:r w:rsidR="00900061" w:rsidRPr="00645878">
        <w:rPr>
          <w:rFonts w:ascii="Times New Roman" w:hAnsi="Times New Roman"/>
        </w:rPr>
        <w:t xml:space="preserve"> </w:t>
      </w:r>
      <w:r w:rsidRPr="00645878">
        <w:rPr>
          <w:rFonts w:ascii="Times New Roman" w:hAnsi="Times New Roman"/>
        </w:rPr>
        <w:t>persons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responsible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different</w:t>
      </w:r>
      <w:r w:rsidR="00900061" w:rsidRPr="00645878">
        <w:rPr>
          <w:rFonts w:ascii="Times New Roman" w:hAnsi="Times New Roman"/>
        </w:rPr>
        <w:t xml:space="preserve"> </w:t>
      </w:r>
      <w:r w:rsidRPr="00645878">
        <w:rPr>
          <w:rFonts w:ascii="Times New Roman" w:hAnsi="Times New Roman"/>
        </w:rPr>
        <w:t>phases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transaction;</w:t>
      </w:r>
    </w:p>
    <w:p w14:paraId="2480FEF0" w14:textId="77777777" w:rsidR="00FD6BDE" w:rsidRPr="00645878" w:rsidRDefault="00FD6BDE" w:rsidP="000C3335">
      <w:pPr>
        <w:pStyle w:val="ListParagraph"/>
        <w:numPr>
          <w:ilvl w:val="0"/>
          <w:numId w:val="25"/>
        </w:numPr>
        <w:spacing w:after="0"/>
        <w:ind w:left="1195" w:hanging="475"/>
        <w:contextualSpacing w:val="0"/>
        <w:rPr>
          <w:rFonts w:ascii="Times New Roman" w:hAnsi="Times New Roman"/>
        </w:rPr>
      </w:pPr>
      <w:r w:rsidRPr="00645878">
        <w:rPr>
          <w:rFonts w:ascii="Times New Roman" w:hAnsi="Times New Roman"/>
        </w:rPr>
        <w:t>reconciliations</w:t>
      </w:r>
      <w:r w:rsidR="00900061" w:rsidRPr="00645878">
        <w:rPr>
          <w:rFonts w:ascii="Times New Roman" w:hAnsi="Times New Roman"/>
        </w:rPr>
        <w:t xml:space="preserve"> </w:t>
      </w:r>
      <w:r w:rsidRPr="00645878">
        <w:rPr>
          <w:rFonts w:ascii="Times New Roman" w:hAnsi="Times New Roman"/>
        </w:rPr>
        <w:t>between</w:t>
      </w:r>
      <w:r w:rsidR="00900061" w:rsidRPr="00645878">
        <w:rPr>
          <w:rFonts w:ascii="Times New Roman" w:hAnsi="Times New Roman"/>
        </w:rPr>
        <w:t xml:space="preserve"> </w:t>
      </w:r>
      <w:r w:rsidRPr="00645878">
        <w:rPr>
          <w:rFonts w:ascii="Times New Roman" w:hAnsi="Times New Roman"/>
        </w:rPr>
        <w:t>accounting</w:t>
      </w:r>
      <w:r w:rsidR="00900061" w:rsidRPr="00645878">
        <w:rPr>
          <w:rFonts w:ascii="Times New Roman" w:hAnsi="Times New Roman"/>
        </w:rPr>
        <w:t xml:space="preserve"> </w:t>
      </w:r>
      <w:r w:rsidRPr="00645878">
        <w:rPr>
          <w:rFonts w:ascii="Times New Roman" w:hAnsi="Times New Roman"/>
        </w:rPr>
        <w:t>records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00A71E9F" w:rsidRPr="00645878">
        <w:rPr>
          <w:rFonts w:ascii="Times New Roman" w:hAnsi="Times New Roman"/>
        </w:rPr>
        <w:t xml:space="preserve">the </w:t>
      </w:r>
      <w:r w:rsidRPr="00645878">
        <w:rPr>
          <w:rFonts w:ascii="Times New Roman" w:hAnsi="Times New Roman"/>
        </w:rPr>
        <w:t>TML</w:t>
      </w:r>
      <w:r w:rsidR="00A71E9F" w:rsidRPr="00645878">
        <w:rPr>
          <w:rFonts w:ascii="Times New Roman" w:hAnsi="Times New Roman"/>
        </w:rPr>
        <w:t>; and</w:t>
      </w:r>
    </w:p>
    <w:p w14:paraId="03C0FF5A" w14:textId="73B35B5A" w:rsidR="00FD6BDE" w:rsidRDefault="00FD6BDE" w:rsidP="000C3335">
      <w:pPr>
        <w:pStyle w:val="ListParagraph"/>
        <w:numPr>
          <w:ilvl w:val="0"/>
          <w:numId w:val="25"/>
        </w:numPr>
        <w:spacing w:after="0"/>
        <w:ind w:left="1195" w:hanging="475"/>
        <w:contextualSpacing w:val="0"/>
        <w:rPr>
          <w:rFonts w:ascii="Times New Roman" w:hAnsi="Times New Roman"/>
        </w:rPr>
      </w:pPr>
      <w:r w:rsidRPr="00645878">
        <w:rPr>
          <w:rFonts w:ascii="Times New Roman" w:hAnsi="Times New Roman"/>
        </w:rPr>
        <w:t>original</w:t>
      </w:r>
      <w:r w:rsidR="00900061" w:rsidRPr="00645878">
        <w:rPr>
          <w:rFonts w:ascii="Times New Roman" w:hAnsi="Times New Roman"/>
        </w:rPr>
        <w:t xml:space="preserve"> </w:t>
      </w:r>
      <w:r w:rsidRPr="00645878">
        <w:rPr>
          <w:rFonts w:ascii="Times New Roman" w:hAnsi="Times New Roman"/>
        </w:rPr>
        <w:t>documentation</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support</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project</w:t>
      </w:r>
      <w:r w:rsidR="00900061" w:rsidRPr="00645878">
        <w:rPr>
          <w:rFonts w:ascii="Times New Roman" w:hAnsi="Times New Roman"/>
        </w:rPr>
        <w:t xml:space="preserve"> </w:t>
      </w:r>
      <w:r w:rsidRPr="00645878">
        <w:rPr>
          <w:rFonts w:ascii="Times New Roman" w:hAnsi="Times New Roman"/>
        </w:rPr>
        <w:t>transactions.</w:t>
      </w:r>
    </w:p>
    <w:p w14:paraId="5DDDF0AD" w14:textId="77777777" w:rsidR="000C3335" w:rsidRPr="00645878" w:rsidRDefault="000C3335" w:rsidP="000C3335">
      <w:pPr>
        <w:pStyle w:val="ListParagraph"/>
        <w:spacing w:after="0"/>
        <w:ind w:left="1195"/>
        <w:contextualSpacing w:val="0"/>
        <w:rPr>
          <w:rFonts w:ascii="Times New Roman" w:hAnsi="Times New Roman"/>
        </w:rPr>
      </w:pPr>
    </w:p>
    <w:p w14:paraId="1E10E216" w14:textId="5B634176" w:rsidR="00FD6BDE" w:rsidRPr="000C3335" w:rsidRDefault="00FD6BDE" w:rsidP="00645878">
      <w:pPr>
        <w:pStyle w:val="ListParagraph"/>
        <w:numPr>
          <w:ilvl w:val="0"/>
          <w:numId w:val="9"/>
        </w:numPr>
        <w:ind w:left="0" w:firstLine="0"/>
        <w:contextualSpacing w:val="0"/>
        <w:rPr>
          <w:rFonts w:ascii="Times New Roman" w:hAnsi="Times New Roman"/>
          <w:b/>
        </w:rPr>
      </w:pPr>
      <w:r w:rsidRPr="000C3335">
        <w:rPr>
          <w:rFonts w:ascii="Times New Roman" w:hAnsi="Times New Roman"/>
          <w:b/>
        </w:rPr>
        <w:t>In</w:t>
      </w:r>
      <w:r w:rsidR="00900061" w:rsidRPr="000C3335">
        <w:rPr>
          <w:rFonts w:ascii="Times New Roman" w:hAnsi="Times New Roman"/>
          <w:b/>
        </w:rPr>
        <w:t xml:space="preserve"> </w:t>
      </w:r>
      <w:r w:rsidRPr="000C3335">
        <w:rPr>
          <w:rFonts w:ascii="Times New Roman" w:hAnsi="Times New Roman"/>
          <w:b/>
        </w:rPr>
        <w:t>addition</w:t>
      </w:r>
      <w:r w:rsidR="00900061" w:rsidRPr="000C3335">
        <w:rPr>
          <w:rFonts w:ascii="Times New Roman" w:hAnsi="Times New Roman"/>
          <w:b/>
        </w:rPr>
        <w:t xml:space="preserve"> </w:t>
      </w:r>
      <w:r w:rsidRPr="000C3335">
        <w:rPr>
          <w:rFonts w:ascii="Times New Roman" w:hAnsi="Times New Roman"/>
          <w:b/>
        </w:rPr>
        <w:t>to</w:t>
      </w:r>
      <w:r w:rsidR="00900061" w:rsidRPr="000C3335">
        <w:rPr>
          <w:rFonts w:ascii="Times New Roman" w:hAnsi="Times New Roman"/>
          <w:b/>
        </w:rPr>
        <w:t xml:space="preserve"> </w:t>
      </w:r>
      <w:r w:rsidRPr="000C3335">
        <w:rPr>
          <w:rFonts w:ascii="Times New Roman" w:hAnsi="Times New Roman"/>
          <w:b/>
        </w:rPr>
        <w:t>the</w:t>
      </w:r>
      <w:r w:rsidR="00900061" w:rsidRPr="000C3335">
        <w:rPr>
          <w:rFonts w:ascii="Times New Roman" w:hAnsi="Times New Roman"/>
          <w:b/>
        </w:rPr>
        <w:t xml:space="preserve"> </w:t>
      </w:r>
      <w:r w:rsidRPr="000C3335">
        <w:rPr>
          <w:rFonts w:ascii="Times New Roman" w:hAnsi="Times New Roman"/>
          <w:b/>
        </w:rPr>
        <w:t>above,</w:t>
      </w:r>
      <w:r w:rsidR="00900061" w:rsidRPr="000C3335">
        <w:rPr>
          <w:rFonts w:ascii="Times New Roman" w:hAnsi="Times New Roman"/>
          <w:b/>
        </w:rPr>
        <w:t xml:space="preserve"> </w:t>
      </w:r>
      <w:r w:rsidRPr="000C3335">
        <w:rPr>
          <w:rFonts w:ascii="Times New Roman" w:hAnsi="Times New Roman"/>
          <w:b/>
        </w:rPr>
        <w:t>the</w:t>
      </w:r>
      <w:r w:rsidR="00900061" w:rsidRPr="000C3335">
        <w:rPr>
          <w:rFonts w:ascii="Times New Roman" w:hAnsi="Times New Roman"/>
          <w:b/>
        </w:rPr>
        <w:t xml:space="preserve"> </w:t>
      </w:r>
      <w:r w:rsidR="00CA575C" w:rsidRPr="000C3335">
        <w:rPr>
          <w:rFonts w:ascii="Times New Roman" w:hAnsi="Times New Roman"/>
          <w:b/>
        </w:rPr>
        <w:t>TA</w:t>
      </w:r>
      <w:r w:rsidR="00900061" w:rsidRPr="000C3335">
        <w:rPr>
          <w:rFonts w:ascii="Times New Roman" w:hAnsi="Times New Roman"/>
          <w:b/>
        </w:rPr>
        <w:t xml:space="preserve"> </w:t>
      </w:r>
      <w:r w:rsidRPr="000C3335">
        <w:rPr>
          <w:rFonts w:ascii="Times New Roman" w:hAnsi="Times New Roman"/>
          <w:b/>
        </w:rPr>
        <w:t>exercises</w:t>
      </w:r>
      <w:r w:rsidR="00900061" w:rsidRPr="000C3335">
        <w:rPr>
          <w:rFonts w:ascii="Times New Roman" w:hAnsi="Times New Roman"/>
          <w:b/>
        </w:rPr>
        <w:t xml:space="preserve"> </w:t>
      </w:r>
      <w:r w:rsidRPr="000C3335">
        <w:rPr>
          <w:rFonts w:ascii="Times New Roman" w:hAnsi="Times New Roman"/>
          <w:b/>
        </w:rPr>
        <w:t>the</w:t>
      </w:r>
      <w:r w:rsidR="00900061" w:rsidRPr="000C3335">
        <w:rPr>
          <w:rFonts w:ascii="Times New Roman" w:hAnsi="Times New Roman"/>
          <w:b/>
        </w:rPr>
        <w:t xml:space="preserve"> </w:t>
      </w:r>
      <w:r w:rsidRPr="000C3335">
        <w:rPr>
          <w:rFonts w:ascii="Times New Roman" w:hAnsi="Times New Roman"/>
          <w:b/>
        </w:rPr>
        <w:t>following</w:t>
      </w:r>
      <w:r w:rsidR="00900061" w:rsidRPr="000C3335">
        <w:rPr>
          <w:rFonts w:ascii="Times New Roman" w:hAnsi="Times New Roman"/>
          <w:b/>
        </w:rPr>
        <w:t xml:space="preserve"> </w:t>
      </w:r>
      <w:r w:rsidRPr="000C3335">
        <w:rPr>
          <w:rFonts w:ascii="Times New Roman" w:hAnsi="Times New Roman"/>
          <w:b/>
        </w:rPr>
        <w:t>controls</w:t>
      </w:r>
      <w:r w:rsidR="00900061" w:rsidRPr="000C3335">
        <w:rPr>
          <w:rFonts w:ascii="Times New Roman" w:hAnsi="Times New Roman"/>
          <w:b/>
        </w:rPr>
        <w:t xml:space="preserve"> </w:t>
      </w:r>
      <w:r w:rsidRPr="000C3335">
        <w:rPr>
          <w:rFonts w:ascii="Times New Roman" w:hAnsi="Times New Roman"/>
          <w:b/>
        </w:rPr>
        <w:t>for</w:t>
      </w:r>
      <w:r w:rsidR="00900061" w:rsidRPr="000C3335">
        <w:rPr>
          <w:rFonts w:ascii="Times New Roman" w:hAnsi="Times New Roman"/>
          <w:b/>
        </w:rPr>
        <w:t xml:space="preserve"> </w:t>
      </w:r>
      <w:r w:rsidRPr="000C3335">
        <w:rPr>
          <w:rFonts w:ascii="Times New Roman" w:hAnsi="Times New Roman"/>
          <w:b/>
        </w:rPr>
        <w:t>execution</w:t>
      </w:r>
      <w:r w:rsidR="00900061" w:rsidRPr="000C3335">
        <w:rPr>
          <w:rFonts w:ascii="Times New Roman" w:hAnsi="Times New Roman"/>
          <w:b/>
        </w:rPr>
        <w:t xml:space="preserve"> </w:t>
      </w:r>
      <w:r w:rsidRPr="000C3335">
        <w:rPr>
          <w:rFonts w:ascii="Times New Roman" w:hAnsi="Times New Roman"/>
          <w:b/>
        </w:rPr>
        <w:t>of</w:t>
      </w:r>
      <w:r w:rsidR="00900061" w:rsidRPr="000C3335">
        <w:rPr>
          <w:rFonts w:ascii="Times New Roman" w:hAnsi="Times New Roman"/>
          <w:b/>
        </w:rPr>
        <w:t xml:space="preserve"> </w:t>
      </w:r>
      <w:r w:rsidRPr="000C3335">
        <w:rPr>
          <w:rFonts w:ascii="Times New Roman" w:hAnsi="Times New Roman"/>
          <w:b/>
        </w:rPr>
        <w:t>the</w:t>
      </w:r>
      <w:r w:rsidR="00900061" w:rsidRPr="000C3335">
        <w:rPr>
          <w:rFonts w:ascii="Times New Roman" w:hAnsi="Times New Roman"/>
          <w:b/>
        </w:rPr>
        <w:t xml:space="preserve"> </w:t>
      </w:r>
      <w:r w:rsidRPr="000C3335">
        <w:rPr>
          <w:rFonts w:ascii="Times New Roman" w:hAnsi="Times New Roman"/>
          <w:b/>
        </w:rPr>
        <w:t>budget:</w:t>
      </w:r>
    </w:p>
    <w:p w14:paraId="08BE16ED" w14:textId="08767319" w:rsidR="00FD6BDE" w:rsidRPr="00645878" w:rsidRDefault="00FD6BDE" w:rsidP="000C3335">
      <w:pPr>
        <w:pStyle w:val="ListParagraph"/>
        <w:numPr>
          <w:ilvl w:val="0"/>
          <w:numId w:val="26"/>
        </w:numPr>
        <w:spacing w:after="0"/>
        <w:ind w:left="1195" w:hanging="475"/>
        <w:contextualSpacing w:val="0"/>
        <w:rPr>
          <w:rFonts w:ascii="Times New Roman" w:hAnsi="Times New Roman"/>
        </w:rPr>
      </w:pP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processed</w:t>
      </w:r>
      <w:r w:rsidR="00900061" w:rsidRPr="00645878">
        <w:rPr>
          <w:rFonts w:ascii="Times New Roman" w:hAnsi="Times New Roman"/>
        </w:rPr>
        <w:t xml:space="preserve"> </w:t>
      </w:r>
      <w:r w:rsidRPr="00645878">
        <w:rPr>
          <w:rFonts w:ascii="Times New Roman" w:hAnsi="Times New Roman"/>
        </w:rPr>
        <w:t>if</w:t>
      </w:r>
      <w:r w:rsidR="00900061" w:rsidRPr="00645878">
        <w:rPr>
          <w:rFonts w:ascii="Times New Roman" w:hAnsi="Times New Roman"/>
        </w:rPr>
        <w:t xml:space="preserve"> </w:t>
      </w:r>
      <w:r w:rsidR="00512F62" w:rsidRPr="00645878">
        <w:rPr>
          <w:rFonts w:ascii="Times New Roman" w:hAnsi="Times New Roman"/>
        </w:rPr>
        <w:t xml:space="preserve">they exceed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appropriations</w:t>
      </w:r>
      <w:r w:rsidR="00900061" w:rsidRPr="00645878">
        <w:rPr>
          <w:rFonts w:ascii="Times New Roman" w:hAnsi="Times New Roman"/>
        </w:rPr>
        <w:t xml:space="preserve"> </w:t>
      </w:r>
      <w:r w:rsidRPr="00645878">
        <w:rPr>
          <w:rFonts w:ascii="Times New Roman" w:hAnsi="Times New Roman"/>
        </w:rPr>
        <w:t>(hard</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FMIS)</w:t>
      </w:r>
      <w:r w:rsidR="00A71E9F" w:rsidRPr="00645878">
        <w:rPr>
          <w:rFonts w:ascii="Times New Roman" w:hAnsi="Times New Roman"/>
        </w:rPr>
        <w:t>.</w:t>
      </w:r>
    </w:p>
    <w:p w14:paraId="7F8226A9" w14:textId="77777777" w:rsidR="00FD6BDE" w:rsidRPr="00645878" w:rsidRDefault="00FD6BDE" w:rsidP="000C3335">
      <w:pPr>
        <w:pStyle w:val="ListParagraph"/>
        <w:numPr>
          <w:ilvl w:val="0"/>
          <w:numId w:val="26"/>
        </w:numPr>
        <w:spacing w:after="0"/>
        <w:ind w:left="1195" w:hanging="475"/>
        <w:contextualSpacing w:val="0"/>
        <w:rPr>
          <w:rFonts w:ascii="Times New Roman" w:hAnsi="Times New Roman"/>
        </w:rPr>
      </w:pPr>
      <w:r w:rsidRPr="00645878">
        <w:rPr>
          <w:rFonts w:ascii="Times New Roman" w:hAnsi="Times New Roman"/>
        </w:rPr>
        <w:t>No</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processed</w:t>
      </w:r>
      <w:r w:rsidR="00900061" w:rsidRPr="00645878">
        <w:rPr>
          <w:rFonts w:ascii="Times New Roman" w:hAnsi="Times New Roman"/>
        </w:rPr>
        <w:t xml:space="preserve"> </w:t>
      </w:r>
      <w:r w:rsidRPr="00645878">
        <w:rPr>
          <w:rFonts w:ascii="Times New Roman" w:hAnsi="Times New Roman"/>
        </w:rPr>
        <w:t>if</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exceed</w:t>
      </w:r>
      <w:r w:rsidR="00900061" w:rsidRPr="00645878">
        <w:rPr>
          <w:rFonts w:ascii="Times New Roman" w:hAnsi="Times New Roman"/>
        </w:rPr>
        <w:t xml:space="preserve"> </w:t>
      </w:r>
      <w:r w:rsidRPr="00645878">
        <w:rPr>
          <w:rFonts w:ascii="Times New Roman" w:hAnsi="Times New Roman"/>
        </w:rPr>
        <w:t>monthly</w:t>
      </w:r>
      <w:r w:rsidR="00900061" w:rsidRPr="00645878">
        <w:rPr>
          <w:rFonts w:ascii="Times New Roman" w:hAnsi="Times New Roman"/>
        </w:rPr>
        <w:t xml:space="preserve"> </w:t>
      </w:r>
      <w:r w:rsidRPr="00645878">
        <w:rPr>
          <w:rFonts w:ascii="Times New Roman" w:hAnsi="Times New Roman"/>
        </w:rPr>
        <w:t>payment</w:t>
      </w:r>
      <w:r w:rsidR="00900061" w:rsidRPr="00645878">
        <w:rPr>
          <w:rFonts w:ascii="Times New Roman" w:hAnsi="Times New Roman"/>
        </w:rPr>
        <w:t xml:space="preserve"> </w:t>
      </w:r>
      <w:r w:rsidRPr="00645878">
        <w:rPr>
          <w:rFonts w:ascii="Times New Roman" w:hAnsi="Times New Roman"/>
        </w:rPr>
        <w:t>quotas</w:t>
      </w:r>
      <w:r w:rsidR="00900061" w:rsidRPr="00645878">
        <w:rPr>
          <w:rFonts w:ascii="Times New Roman" w:hAnsi="Times New Roman"/>
        </w:rPr>
        <w:t xml:space="preserve"> </w:t>
      </w:r>
      <w:r w:rsidRPr="00645878">
        <w:rPr>
          <w:rFonts w:ascii="Times New Roman" w:hAnsi="Times New Roman"/>
        </w:rPr>
        <w:t>(hard</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FMIS)</w:t>
      </w:r>
      <w:r w:rsidR="00A71E9F" w:rsidRPr="00645878">
        <w:rPr>
          <w:rFonts w:ascii="Times New Roman" w:hAnsi="Times New Roman"/>
        </w:rPr>
        <w:t>.</w:t>
      </w:r>
    </w:p>
    <w:p w14:paraId="3F1213CF" w14:textId="77777777" w:rsidR="00FD6BDE" w:rsidRPr="00645878" w:rsidRDefault="00FD6BDE" w:rsidP="000C3335">
      <w:pPr>
        <w:pStyle w:val="ListParagraph"/>
        <w:numPr>
          <w:ilvl w:val="0"/>
          <w:numId w:val="26"/>
        </w:numPr>
        <w:spacing w:after="0"/>
        <w:ind w:left="1195" w:hanging="475"/>
        <w:contextualSpacing w:val="0"/>
        <w:rPr>
          <w:rFonts w:ascii="Times New Roman" w:hAnsi="Times New Roman"/>
        </w:rPr>
      </w:pPr>
      <w:r w:rsidRPr="00645878">
        <w:rPr>
          <w:rFonts w:ascii="Times New Roman" w:hAnsi="Times New Roman"/>
        </w:rPr>
        <w:t>Only</w:t>
      </w:r>
      <w:r w:rsidR="00900061" w:rsidRPr="00645878">
        <w:rPr>
          <w:rFonts w:ascii="Times New Roman" w:hAnsi="Times New Roman"/>
        </w:rPr>
        <w:t xml:space="preserve"> </w:t>
      </w:r>
      <w:r w:rsidRPr="00645878">
        <w:rPr>
          <w:rFonts w:ascii="Times New Roman" w:hAnsi="Times New Roman"/>
        </w:rPr>
        <w:t>authorized</w:t>
      </w:r>
      <w:r w:rsidR="00900061" w:rsidRPr="00645878">
        <w:rPr>
          <w:rFonts w:ascii="Times New Roman" w:hAnsi="Times New Roman"/>
        </w:rPr>
        <w:t xml:space="preserve"> </w:t>
      </w:r>
      <w:r w:rsidRPr="00645878">
        <w:rPr>
          <w:rFonts w:ascii="Times New Roman" w:hAnsi="Times New Roman"/>
        </w:rPr>
        <w:t>personnel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users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can</w:t>
      </w:r>
      <w:r w:rsidR="00900061" w:rsidRPr="00645878">
        <w:rPr>
          <w:rFonts w:ascii="Times New Roman" w:hAnsi="Times New Roman"/>
        </w:rPr>
        <w:t xml:space="preserve"> </w:t>
      </w:r>
      <w:r w:rsidRPr="00645878">
        <w:rPr>
          <w:rFonts w:ascii="Times New Roman" w:hAnsi="Times New Roman"/>
        </w:rPr>
        <w:t>access</w:t>
      </w:r>
      <w:r w:rsidR="00900061" w:rsidRPr="00645878">
        <w:rPr>
          <w:rFonts w:ascii="Times New Roman" w:hAnsi="Times New Roman"/>
        </w:rPr>
        <w:t xml:space="preserve"> </w:t>
      </w:r>
      <w:r w:rsidR="00A2644D" w:rsidRPr="00645878">
        <w:rPr>
          <w:rFonts w:ascii="Times New Roman" w:hAnsi="Times New Roman"/>
        </w:rPr>
        <w:t xml:space="preserve">the </w:t>
      </w:r>
      <w:r w:rsidRPr="00645878">
        <w:rPr>
          <w:rFonts w:ascii="Times New Roman" w:hAnsi="Times New Roman"/>
        </w:rPr>
        <w:t>FMIS</w:t>
      </w:r>
      <w:r w:rsidR="00A71E9F" w:rsidRPr="00645878">
        <w:rPr>
          <w:rFonts w:ascii="Times New Roman" w:hAnsi="Times New Roman"/>
        </w:rPr>
        <w:t>.</w:t>
      </w:r>
    </w:p>
    <w:p w14:paraId="338ED420" w14:textId="77777777" w:rsidR="00FD6BDE" w:rsidRPr="00645878" w:rsidRDefault="00FD6BDE" w:rsidP="000C3335">
      <w:pPr>
        <w:pStyle w:val="ListParagraph"/>
        <w:numPr>
          <w:ilvl w:val="0"/>
          <w:numId w:val="26"/>
        </w:numPr>
        <w:spacing w:after="0"/>
        <w:ind w:left="1195" w:hanging="475"/>
        <w:contextualSpacing w:val="0"/>
        <w:rPr>
          <w:rFonts w:ascii="Times New Roman" w:hAnsi="Times New Roman"/>
        </w:rPr>
      </w:pPr>
      <w:r w:rsidRPr="00645878">
        <w:rPr>
          <w:rFonts w:ascii="Times New Roman" w:hAnsi="Times New Roman"/>
        </w:rPr>
        <w:t>Only</w:t>
      </w:r>
      <w:r w:rsidR="00900061" w:rsidRPr="00645878">
        <w:rPr>
          <w:rFonts w:ascii="Times New Roman" w:hAnsi="Times New Roman"/>
        </w:rPr>
        <w:t xml:space="preserve"> </w:t>
      </w:r>
      <w:r w:rsidRPr="00645878">
        <w:rPr>
          <w:rFonts w:ascii="Times New Roman" w:hAnsi="Times New Roman"/>
        </w:rPr>
        <w:t>authorized</w:t>
      </w:r>
      <w:r w:rsidR="00900061" w:rsidRPr="00645878">
        <w:rPr>
          <w:rFonts w:ascii="Times New Roman" w:hAnsi="Times New Roman"/>
        </w:rPr>
        <w:t xml:space="preserve"> </w:t>
      </w:r>
      <w:r w:rsidRPr="00645878">
        <w:rPr>
          <w:rFonts w:ascii="Times New Roman" w:hAnsi="Times New Roman"/>
        </w:rPr>
        <w:t>signatories</w:t>
      </w:r>
      <w:r w:rsidR="00900061" w:rsidRPr="00645878">
        <w:rPr>
          <w:rFonts w:ascii="Times New Roman" w:hAnsi="Times New Roman"/>
        </w:rPr>
        <w:t xml:space="preserve"> </w:t>
      </w:r>
      <w:r w:rsidRPr="00645878">
        <w:rPr>
          <w:rFonts w:ascii="Times New Roman" w:hAnsi="Times New Roman"/>
        </w:rPr>
        <w:t>approve</w:t>
      </w:r>
      <w:r w:rsidR="00900061" w:rsidRPr="00645878">
        <w:rPr>
          <w:rFonts w:ascii="Times New Roman" w:hAnsi="Times New Roman"/>
        </w:rPr>
        <w:t xml:space="preserve"> </w:t>
      </w:r>
      <w:r w:rsidRPr="00645878">
        <w:rPr>
          <w:rFonts w:ascii="Times New Roman" w:hAnsi="Times New Roman"/>
        </w:rPr>
        <w:t>requests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payment</w:t>
      </w:r>
      <w:r w:rsidR="00A71E9F" w:rsidRPr="00645878">
        <w:rPr>
          <w:rFonts w:ascii="Times New Roman" w:hAnsi="Times New Roman"/>
        </w:rPr>
        <w:t>.</w:t>
      </w:r>
      <w:r w:rsidR="00900061" w:rsidRPr="00645878">
        <w:rPr>
          <w:rFonts w:ascii="Times New Roman" w:hAnsi="Times New Roman"/>
        </w:rPr>
        <w:t xml:space="preserve"> </w:t>
      </w:r>
    </w:p>
    <w:p w14:paraId="096CA6FF" w14:textId="77777777" w:rsidR="00FD6BDE" w:rsidRDefault="00FD6BDE" w:rsidP="000C3335">
      <w:pPr>
        <w:pStyle w:val="ListParagraph"/>
        <w:numPr>
          <w:ilvl w:val="0"/>
          <w:numId w:val="26"/>
        </w:numPr>
        <w:spacing w:after="0"/>
        <w:ind w:left="1195" w:hanging="475"/>
        <w:contextualSpacing w:val="0"/>
        <w:rPr>
          <w:rFonts w:ascii="Times New Roman" w:hAnsi="Times New Roman"/>
        </w:rPr>
      </w:pPr>
      <w:r w:rsidRPr="00645878">
        <w:rPr>
          <w:rFonts w:ascii="Times New Roman" w:hAnsi="Times New Roman"/>
        </w:rPr>
        <w:t>Appropriate</w:t>
      </w:r>
      <w:r w:rsidR="00900061" w:rsidRPr="00645878">
        <w:rPr>
          <w:rFonts w:ascii="Times New Roman" w:hAnsi="Times New Roman"/>
        </w:rPr>
        <w:t xml:space="preserve"> </w:t>
      </w:r>
      <w:r w:rsidRPr="00645878">
        <w:rPr>
          <w:rFonts w:ascii="Times New Roman" w:hAnsi="Times New Roman"/>
        </w:rPr>
        <w:t>supporting</w:t>
      </w:r>
      <w:r w:rsidR="00900061" w:rsidRPr="00645878">
        <w:rPr>
          <w:rFonts w:ascii="Times New Roman" w:hAnsi="Times New Roman"/>
        </w:rPr>
        <w:t xml:space="preserve"> </w:t>
      </w:r>
      <w:r w:rsidRPr="00645878">
        <w:rPr>
          <w:rFonts w:ascii="Times New Roman" w:hAnsi="Times New Roman"/>
        </w:rPr>
        <w:t>documentation</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payments</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needed</w:t>
      </w:r>
      <w:r w:rsidR="00A71E9F" w:rsidRPr="00645878">
        <w:rPr>
          <w:rFonts w:ascii="Times New Roman" w:hAnsi="Times New Roman"/>
        </w:rPr>
        <w:t>.</w:t>
      </w:r>
    </w:p>
    <w:p w14:paraId="7E960F82" w14:textId="77777777" w:rsidR="000C3335" w:rsidRPr="00645878" w:rsidRDefault="000C3335" w:rsidP="000C3335">
      <w:pPr>
        <w:pStyle w:val="ListParagraph"/>
        <w:spacing w:after="0"/>
        <w:ind w:left="1195"/>
        <w:contextualSpacing w:val="0"/>
        <w:rPr>
          <w:rFonts w:ascii="Times New Roman" w:hAnsi="Times New Roman"/>
        </w:rPr>
      </w:pPr>
    </w:p>
    <w:p w14:paraId="284F302C" w14:textId="6F67F363" w:rsidR="00F065BD" w:rsidRPr="00645878" w:rsidRDefault="00055E9E"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Some</w:t>
      </w:r>
      <w:r w:rsidR="00900061" w:rsidRPr="00645878">
        <w:rPr>
          <w:rFonts w:ascii="Times New Roman" w:hAnsi="Times New Roman"/>
          <w:b/>
        </w:rPr>
        <w:t xml:space="preserve"> </w:t>
      </w:r>
      <w:r w:rsidR="00B03657" w:rsidRPr="00645878">
        <w:rPr>
          <w:rFonts w:ascii="Times New Roman" w:hAnsi="Times New Roman"/>
          <w:b/>
        </w:rPr>
        <w:t>controls</w:t>
      </w:r>
      <w:r w:rsidR="00900061" w:rsidRPr="00645878">
        <w:rPr>
          <w:rFonts w:ascii="Times New Roman" w:hAnsi="Times New Roman"/>
          <w:b/>
        </w:rPr>
        <w:t xml:space="preserve"> </w:t>
      </w:r>
      <w:r w:rsidR="00B03657" w:rsidRPr="00645878">
        <w:rPr>
          <w:rFonts w:ascii="Times New Roman" w:hAnsi="Times New Roman"/>
          <w:b/>
        </w:rPr>
        <w:t>over</w:t>
      </w:r>
      <w:r w:rsidR="00900061" w:rsidRPr="00645878">
        <w:rPr>
          <w:rFonts w:ascii="Times New Roman" w:hAnsi="Times New Roman"/>
          <w:b/>
        </w:rPr>
        <w:t xml:space="preserve"> </w:t>
      </w:r>
      <w:r w:rsidR="00B03657" w:rsidRPr="00645878">
        <w:rPr>
          <w:rFonts w:ascii="Times New Roman" w:hAnsi="Times New Roman"/>
          <w:b/>
        </w:rPr>
        <w:t>nonsalary</w:t>
      </w:r>
      <w:r w:rsidR="00900061" w:rsidRPr="00645878">
        <w:rPr>
          <w:rFonts w:ascii="Times New Roman" w:hAnsi="Times New Roman"/>
          <w:b/>
        </w:rPr>
        <w:t xml:space="preserve"> </w:t>
      </w:r>
      <w:r w:rsidR="00B03657" w:rsidRPr="00645878">
        <w:rPr>
          <w:rFonts w:ascii="Times New Roman" w:hAnsi="Times New Roman"/>
          <w:b/>
        </w:rPr>
        <w:t>expenditure</w:t>
      </w:r>
      <w:r w:rsidR="00900061" w:rsidRPr="00645878">
        <w:rPr>
          <w:rFonts w:ascii="Times New Roman" w:hAnsi="Times New Roman"/>
          <w:b/>
        </w:rPr>
        <w:t xml:space="preserve"> </w:t>
      </w:r>
      <w:r w:rsidR="00B03657" w:rsidRPr="00645878">
        <w:rPr>
          <w:rFonts w:ascii="Times New Roman" w:hAnsi="Times New Roman"/>
          <w:b/>
        </w:rPr>
        <w:t>are</w:t>
      </w:r>
      <w:r w:rsidR="00900061" w:rsidRPr="00645878">
        <w:rPr>
          <w:rFonts w:ascii="Times New Roman" w:hAnsi="Times New Roman"/>
          <w:b/>
        </w:rPr>
        <w:t xml:space="preserve"> </w:t>
      </w:r>
      <w:r w:rsidR="00B03657" w:rsidRPr="00645878">
        <w:rPr>
          <w:rFonts w:ascii="Times New Roman" w:hAnsi="Times New Roman"/>
          <w:b/>
        </w:rPr>
        <w:t>exercised</w:t>
      </w:r>
      <w:r w:rsidR="00900061" w:rsidRPr="00645878">
        <w:rPr>
          <w:rFonts w:ascii="Times New Roman" w:hAnsi="Times New Roman"/>
          <w:b/>
        </w:rPr>
        <w:t xml:space="preserve"> </w:t>
      </w:r>
      <w:r w:rsidR="00B03657" w:rsidRPr="00645878">
        <w:rPr>
          <w:rFonts w:ascii="Times New Roman" w:hAnsi="Times New Roman"/>
          <w:b/>
        </w:rPr>
        <w:t>both</w:t>
      </w:r>
      <w:r w:rsidR="00900061" w:rsidRPr="00645878">
        <w:rPr>
          <w:rFonts w:ascii="Times New Roman" w:hAnsi="Times New Roman"/>
          <w:b/>
        </w:rPr>
        <w:t xml:space="preserve"> </w:t>
      </w:r>
      <w:r w:rsidR="00B03657" w:rsidRPr="00645878">
        <w:rPr>
          <w:rFonts w:ascii="Times New Roman" w:hAnsi="Times New Roman"/>
          <w:b/>
        </w:rPr>
        <w:t>by</w:t>
      </w:r>
      <w:r w:rsidR="00900061" w:rsidRPr="00645878">
        <w:rPr>
          <w:rFonts w:ascii="Times New Roman" w:hAnsi="Times New Roman"/>
          <w:b/>
        </w:rPr>
        <w:t xml:space="preserve"> </w:t>
      </w:r>
      <w:r w:rsidR="00B03657" w:rsidRPr="00645878">
        <w:rPr>
          <w:rFonts w:ascii="Times New Roman" w:hAnsi="Times New Roman"/>
          <w:b/>
        </w:rPr>
        <w:t>the</w:t>
      </w:r>
      <w:r w:rsidR="00900061" w:rsidRPr="00645878">
        <w:rPr>
          <w:rFonts w:ascii="Times New Roman" w:hAnsi="Times New Roman"/>
          <w:b/>
        </w:rPr>
        <w:t xml:space="preserve"> </w:t>
      </w:r>
      <w:r w:rsidR="00B03657" w:rsidRPr="00645878">
        <w:rPr>
          <w:rFonts w:ascii="Times New Roman" w:hAnsi="Times New Roman"/>
          <w:b/>
        </w:rPr>
        <w:t>TA</w:t>
      </w:r>
      <w:r w:rsidR="00900061" w:rsidRPr="00645878">
        <w:rPr>
          <w:rFonts w:ascii="Times New Roman" w:hAnsi="Times New Roman"/>
          <w:b/>
        </w:rPr>
        <w:t xml:space="preserve"> </w:t>
      </w:r>
      <w:r w:rsidR="00B03657" w:rsidRPr="00645878">
        <w:rPr>
          <w:rFonts w:ascii="Times New Roman" w:hAnsi="Times New Roman"/>
          <w:b/>
        </w:rPr>
        <w:t>and</w:t>
      </w:r>
      <w:r w:rsidR="00900061" w:rsidRPr="00645878">
        <w:rPr>
          <w:rFonts w:ascii="Times New Roman" w:hAnsi="Times New Roman"/>
          <w:b/>
        </w:rPr>
        <w:t xml:space="preserve"> </w:t>
      </w:r>
      <w:r w:rsidR="005A6387" w:rsidRPr="00645878">
        <w:rPr>
          <w:rFonts w:ascii="Times New Roman" w:hAnsi="Times New Roman"/>
          <w:b/>
        </w:rPr>
        <w:t xml:space="preserve">the </w:t>
      </w: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B03657" w:rsidRPr="00645878">
        <w:rPr>
          <w:rFonts w:ascii="Times New Roman" w:hAnsi="Times New Roman"/>
          <w:b/>
        </w:rPr>
        <w:t>.</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level</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BES</w:t>
      </w:r>
      <w:r w:rsidR="00900061" w:rsidRPr="00645878">
        <w:rPr>
          <w:rFonts w:ascii="Times New Roman" w:hAnsi="Times New Roman"/>
        </w:rPr>
        <w:t xml:space="preserve"> </w:t>
      </w:r>
      <w:r w:rsidR="00B03657" w:rsidRPr="00645878">
        <w:rPr>
          <w:rFonts w:ascii="Times New Roman" w:hAnsi="Times New Roman"/>
        </w:rPr>
        <w:t>managed</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TA,</w:t>
      </w:r>
      <w:r w:rsidR="00900061" w:rsidRPr="00645878">
        <w:rPr>
          <w:rFonts w:ascii="Times New Roman" w:hAnsi="Times New Roman"/>
        </w:rPr>
        <w:t xml:space="preserve"> </w:t>
      </w:r>
      <w:r w:rsidR="00B03657" w:rsidRPr="00645878">
        <w:rPr>
          <w:rFonts w:ascii="Times New Roman" w:hAnsi="Times New Roman"/>
        </w:rPr>
        <w:t>there</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robust</w:t>
      </w:r>
      <w:r w:rsidR="00900061" w:rsidRPr="00645878">
        <w:rPr>
          <w:rFonts w:ascii="Times New Roman" w:hAnsi="Times New Roman"/>
        </w:rPr>
        <w:t xml:space="preserve"> </w:t>
      </w:r>
      <w:r w:rsidR="00B03657" w:rsidRPr="00645878">
        <w:rPr>
          <w:rFonts w:ascii="Times New Roman" w:hAnsi="Times New Roman"/>
        </w:rPr>
        <w:t>framework</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automated</w:t>
      </w:r>
      <w:r w:rsidR="00900061" w:rsidRPr="00645878">
        <w:rPr>
          <w:rFonts w:ascii="Times New Roman" w:hAnsi="Times New Roman"/>
        </w:rPr>
        <w:t xml:space="preserve"> </w:t>
      </w:r>
      <w:r w:rsidR="00B03657" w:rsidRPr="00645878">
        <w:rPr>
          <w:rFonts w:ascii="Times New Roman" w:hAnsi="Times New Roman"/>
        </w:rPr>
        <w:t>controls</w:t>
      </w:r>
      <w:r w:rsidR="00900061" w:rsidRPr="00645878">
        <w:rPr>
          <w:rFonts w:ascii="Times New Roman" w:hAnsi="Times New Roman"/>
        </w:rPr>
        <w:t xml:space="preserve"> </w:t>
      </w:r>
      <w:r w:rsidR="00B03657" w:rsidRPr="00645878">
        <w:rPr>
          <w:rFonts w:ascii="Times New Roman" w:hAnsi="Times New Roman"/>
        </w:rPr>
        <w:t>over</w:t>
      </w:r>
      <w:r w:rsidR="00900061" w:rsidRPr="00645878">
        <w:rPr>
          <w:rFonts w:ascii="Times New Roman" w:hAnsi="Times New Roman"/>
        </w:rPr>
        <w:t xml:space="preserve"> </w:t>
      </w:r>
      <w:r w:rsidR="00B03657" w:rsidRPr="00645878">
        <w:rPr>
          <w:rFonts w:ascii="Times New Roman" w:hAnsi="Times New Roman"/>
        </w:rPr>
        <w:t>transactions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both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registration</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expenditure</w:t>
      </w:r>
      <w:r w:rsidR="00900061" w:rsidRPr="00645878">
        <w:rPr>
          <w:rFonts w:ascii="Times New Roman" w:hAnsi="Times New Roman"/>
        </w:rPr>
        <w:t xml:space="preserve"> </w:t>
      </w:r>
      <w:r w:rsidR="00B03657" w:rsidRPr="00645878">
        <w:rPr>
          <w:rFonts w:ascii="Times New Roman" w:hAnsi="Times New Roman"/>
        </w:rPr>
        <w:t>commitment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payment</w:t>
      </w:r>
      <w:r w:rsidR="00900061" w:rsidRPr="00645878">
        <w:rPr>
          <w:rFonts w:ascii="Times New Roman" w:hAnsi="Times New Roman"/>
        </w:rPr>
        <w:t xml:space="preserve"> </w:t>
      </w:r>
      <w:r w:rsidR="00B03657" w:rsidRPr="00645878">
        <w:rPr>
          <w:rFonts w:ascii="Times New Roman" w:hAnsi="Times New Roman"/>
        </w:rPr>
        <w:t>stages.</w:t>
      </w:r>
      <w:r w:rsidR="00900061" w:rsidRPr="00645878">
        <w:rPr>
          <w:rFonts w:ascii="Times New Roman" w:hAnsi="Times New Roman"/>
        </w:rPr>
        <w:t xml:space="preserve"> </w:t>
      </w:r>
      <w:r w:rsidR="00B03657" w:rsidRPr="00645878">
        <w:rPr>
          <w:rFonts w:ascii="Times New Roman" w:hAnsi="Times New Roman"/>
        </w:rPr>
        <w:t>Segregation</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duties</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transactions</w:t>
      </w:r>
      <w:r w:rsidR="00900061" w:rsidRPr="00645878">
        <w:rPr>
          <w:rFonts w:ascii="Times New Roman" w:hAnsi="Times New Roman"/>
        </w:rPr>
        <w:t xml:space="preserve"> </w:t>
      </w:r>
      <w:r w:rsidR="00B03657" w:rsidRPr="00645878">
        <w:rPr>
          <w:rFonts w:ascii="Times New Roman" w:hAnsi="Times New Roman"/>
        </w:rPr>
        <w:t>carried</w:t>
      </w:r>
      <w:r w:rsidR="00900061" w:rsidRPr="00645878">
        <w:rPr>
          <w:rFonts w:ascii="Times New Roman" w:hAnsi="Times New Roman"/>
        </w:rPr>
        <w:t xml:space="preserve"> </w:t>
      </w:r>
      <w:r w:rsidR="00B03657" w:rsidRPr="00645878">
        <w:rPr>
          <w:rFonts w:ascii="Times New Roman" w:hAnsi="Times New Roman"/>
        </w:rPr>
        <w:t>out</w:t>
      </w:r>
      <w:r w:rsidR="00900061" w:rsidRPr="00645878">
        <w:rPr>
          <w:rFonts w:ascii="Times New Roman" w:hAnsi="Times New Roman"/>
        </w:rPr>
        <w:t xml:space="preserve"> </w:t>
      </w:r>
      <w:r w:rsidR="00B03657" w:rsidRPr="00645878">
        <w:rPr>
          <w:rFonts w:ascii="Times New Roman" w:hAnsi="Times New Roman"/>
        </w:rPr>
        <w:t>through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BES</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lastRenderedPageBreak/>
        <w:t>adequate.</w:t>
      </w:r>
      <w:r w:rsidR="00900061" w:rsidRPr="00645878">
        <w:rPr>
          <w:rFonts w:ascii="Times New Roman" w:hAnsi="Times New Roman"/>
        </w:rPr>
        <w:t xml:space="preserve"> </w:t>
      </w:r>
      <w:r w:rsidR="00B03657" w:rsidRPr="00645878">
        <w:rPr>
          <w:rFonts w:ascii="Times New Roman" w:hAnsi="Times New Roman"/>
        </w:rPr>
        <w:t>Coverage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controls</w:t>
      </w:r>
      <w:r w:rsidR="00900061" w:rsidRPr="00645878">
        <w:rPr>
          <w:rFonts w:ascii="Times New Roman" w:hAnsi="Times New Roman"/>
        </w:rPr>
        <w:t xml:space="preserve"> </w:t>
      </w:r>
      <w:r w:rsidR="00B03657" w:rsidRPr="00645878">
        <w:rPr>
          <w:rFonts w:ascii="Times New Roman" w:hAnsi="Times New Roman"/>
        </w:rPr>
        <w:t>integrated</w:t>
      </w:r>
      <w:r w:rsidR="00900061" w:rsidRPr="00645878">
        <w:rPr>
          <w:rFonts w:ascii="Times New Roman" w:hAnsi="Times New Roman"/>
        </w:rPr>
        <w:t xml:space="preserve"> </w:t>
      </w:r>
      <w:r w:rsidR="00B03657" w:rsidRPr="00645878">
        <w:rPr>
          <w:rFonts w:ascii="Times New Roman" w:hAnsi="Times New Roman"/>
        </w:rPr>
        <w:t>into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BES</w:t>
      </w:r>
      <w:r w:rsidR="00900061" w:rsidRPr="00645878">
        <w:rPr>
          <w:rFonts w:ascii="Times New Roman" w:hAnsi="Times New Roman"/>
        </w:rPr>
        <w:t xml:space="preserve"> </w:t>
      </w:r>
      <w:r w:rsidR="00B03657" w:rsidRPr="00645878">
        <w:rPr>
          <w:rFonts w:ascii="Times New Roman" w:hAnsi="Times New Roman"/>
        </w:rPr>
        <w:t>application</w:t>
      </w:r>
      <w:r w:rsidR="00900061" w:rsidRPr="00645878">
        <w:rPr>
          <w:rFonts w:ascii="Times New Roman" w:hAnsi="Times New Roman"/>
        </w:rPr>
        <w:t xml:space="preserve"> </w:t>
      </w:r>
      <w:r w:rsidR="00B03657" w:rsidRPr="00645878">
        <w:rPr>
          <w:rFonts w:ascii="Times New Roman" w:hAnsi="Times New Roman"/>
        </w:rPr>
        <w:t>include</w:t>
      </w:r>
      <w:r w:rsidR="00A71E9F" w:rsidRPr="00645878">
        <w:rPr>
          <w:rFonts w:ascii="Times New Roman" w:hAnsi="Times New Roman"/>
        </w:rPr>
        <w:t>s</w:t>
      </w:r>
      <w:r w:rsidR="00900061" w:rsidRPr="00645878">
        <w:rPr>
          <w:rFonts w:ascii="Times New Roman" w:hAnsi="Times New Roman"/>
        </w:rPr>
        <w:t xml:space="preserve"> </w:t>
      </w:r>
      <w:r w:rsidR="00B03657" w:rsidRPr="00645878">
        <w:rPr>
          <w:rFonts w:ascii="Times New Roman" w:hAnsi="Times New Roman"/>
        </w:rPr>
        <w:t>revenues/expenditures,</w:t>
      </w:r>
      <w:r w:rsidR="00900061" w:rsidRPr="00645878">
        <w:rPr>
          <w:rFonts w:ascii="Times New Roman" w:hAnsi="Times New Roman"/>
        </w:rPr>
        <w:t xml:space="preserve"> </w:t>
      </w:r>
      <w:r w:rsidR="00B03657" w:rsidRPr="00645878">
        <w:rPr>
          <w:rFonts w:ascii="Times New Roman" w:hAnsi="Times New Roman"/>
        </w:rPr>
        <w:t>own</w:t>
      </w:r>
      <w:r w:rsidR="00DE4317" w:rsidRPr="00645878">
        <w:rPr>
          <w:rFonts w:ascii="Times New Roman" w:hAnsi="Times New Roman"/>
        </w:rPr>
        <w:t>-</w:t>
      </w:r>
      <w:r w:rsidR="00B03657" w:rsidRPr="00645878">
        <w:rPr>
          <w:rFonts w:ascii="Times New Roman" w:hAnsi="Times New Roman"/>
        </w:rPr>
        <w:t>source</w:t>
      </w:r>
      <w:r w:rsidR="00900061" w:rsidRPr="00645878">
        <w:rPr>
          <w:rFonts w:ascii="Times New Roman" w:hAnsi="Times New Roman"/>
        </w:rPr>
        <w:t xml:space="preserve"> </w:t>
      </w:r>
      <w:r w:rsidR="00B03657" w:rsidRPr="00645878">
        <w:rPr>
          <w:rFonts w:ascii="Times New Roman" w:hAnsi="Times New Roman"/>
        </w:rPr>
        <w:t>revenues/expenditures</w:t>
      </w:r>
      <w:r w:rsidR="005E35C7"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received</w:t>
      </w:r>
      <w:r w:rsidR="00900061" w:rsidRPr="00645878">
        <w:rPr>
          <w:rFonts w:ascii="Times New Roman" w:hAnsi="Times New Roman"/>
        </w:rPr>
        <w:t xml:space="preserve"> </w:t>
      </w:r>
      <w:r w:rsidR="00B03657" w:rsidRPr="00645878">
        <w:rPr>
          <w:rFonts w:ascii="Times New Roman" w:hAnsi="Times New Roman"/>
        </w:rPr>
        <w:t>grants/expenditures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8D14C4" w:rsidRPr="00645878">
        <w:rPr>
          <w:rFonts w:ascii="Times New Roman" w:hAnsi="Times New Roman"/>
        </w:rPr>
        <w:t>DBBs</w:t>
      </w:r>
      <w:r w:rsidR="00900061" w:rsidRPr="00645878">
        <w:rPr>
          <w:rFonts w:ascii="Times New Roman" w:hAnsi="Times New Roman"/>
        </w:rPr>
        <w:t xml:space="preserve"> </w:t>
      </w:r>
      <w:r w:rsidR="00B03657" w:rsidRPr="00645878">
        <w:rPr>
          <w:rFonts w:ascii="Times New Roman" w:hAnsi="Times New Roman"/>
        </w:rPr>
        <w:t>as</w:t>
      </w:r>
      <w:r w:rsidR="00900061" w:rsidRPr="00645878">
        <w:rPr>
          <w:rFonts w:ascii="Times New Roman" w:hAnsi="Times New Roman"/>
        </w:rPr>
        <w:t xml:space="preserve"> </w:t>
      </w:r>
      <w:r w:rsidR="00B03657" w:rsidRPr="00645878">
        <w:rPr>
          <w:rFonts w:ascii="Times New Roman" w:hAnsi="Times New Roman"/>
        </w:rPr>
        <w:t>well</w:t>
      </w:r>
      <w:r w:rsidR="00900061" w:rsidRPr="00645878">
        <w:rPr>
          <w:rFonts w:ascii="Times New Roman" w:hAnsi="Times New Roman"/>
        </w:rPr>
        <w:t xml:space="preserve"> </w:t>
      </w:r>
      <w:r w:rsidR="00B03657" w:rsidRPr="00645878">
        <w:rPr>
          <w:rFonts w:ascii="Times New Roman" w:hAnsi="Times New Roman"/>
        </w:rPr>
        <w:t>as</w:t>
      </w:r>
      <w:r w:rsidR="00900061" w:rsidRPr="00645878">
        <w:rPr>
          <w:rFonts w:ascii="Times New Roman" w:hAnsi="Times New Roman"/>
        </w:rPr>
        <w:t xml:space="preserve"> </w:t>
      </w:r>
      <w:r w:rsidR="00B03657" w:rsidRPr="00645878">
        <w:rPr>
          <w:rFonts w:ascii="Times New Roman" w:hAnsi="Times New Roman"/>
        </w:rPr>
        <w:t>transfers</w:t>
      </w:r>
      <w:r w:rsidR="00900061" w:rsidRPr="00645878">
        <w:rPr>
          <w:rFonts w:ascii="Times New Roman" w:hAnsi="Times New Roman"/>
        </w:rPr>
        <w:t xml:space="preserve"> </w:t>
      </w:r>
      <w:r w:rsidR="00B03657" w:rsidRPr="00645878">
        <w:rPr>
          <w:rFonts w:ascii="Times New Roman" w:hAnsi="Times New Roman"/>
        </w:rPr>
        <w:t>from</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Republican</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A71E9F" w:rsidRPr="00645878">
        <w:rPr>
          <w:rFonts w:ascii="Times New Roman" w:hAnsi="Times New Roman"/>
        </w:rPr>
        <w:t>T</w:t>
      </w:r>
      <w:r w:rsidR="00B03657" w:rsidRPr="00645878">
        <w:rPr>
          <w:rFonts w:ascii="Times New Roman" w:hAnsi="Times New Roman"/>
        </w:rPr>
        <w:t>ransfers</w:t>
      </w:r>
      <w:r w:rsidR="00900061" w:rsidRPr="00645878">
        <w:rPr>
          <w:rFonts w:ascii="Times New Roman" w:hAnsi="Times New Roman"/>
        </w:rPr>
        <w:t xml:space="preserve"> </w:t>
      </w:r>
      <w:r w:rsidR="00B03657" w:rsidRPr="00645878">
        <w:rPr>
          <w:rFonts w:ascii="Times New Roman" w:hAnsi="Times New Roman"/>
        </w:rPr>
        <w:t>from</w:t>
      </w:r>
      <w:r w:rsidR="00900061" w:rsidRPr="00645878">
        <w:rPr>
          <w:rFonts w:ascii="Times New Roman" w:hAnsi="Times New Roman"/>
        </w:rPr>
        <w:t xml:space="preserve"> </w:t>
      </w:r>
      <w:r w:rsidR="00B03657" w:rsidRPr="00645878">
        <w:rPr>
          <w:rFonts w:ascii="Times New Roman" w:hAnsi="Times New Roman"/>
        </w:rPr>
        <w:t>local</w:t>
      </w:r>
      <w:r w:rsidR="00900061" w:rsidRPr="00645878">
        <w:rPr>
          <w:rFonts w:ascii="Times New Roman" w:hAnsi="Times New Roman"/>
        </w:rPr>
        <w:t xml:space="preserve"> </w:t>
      </w:r>
      <w:r w:rsidR="00B03657" w:rsidRPr="00645878">
        <w:rPr>
          <w:rFonts w:ascii="Times New Roman" w:hAnsi="Times New Roman"/>
        </w:rPr>
        <w:t>government</w:t>
      </w:r>
      <w:r w:rsidR="00900061" w:rsidRPr="00645878">
        <w:rPr>
          <w:rFonts w:ascii="Times New Roman" w:hAnsi="Times New Roman"/>
        </w:rPr>
        <w:t xml:space="preserve"> </w:t>
      </w:r>
      <w:r w:rsidR="00B03657" w:rsidRPr="00645878">
        <w:rPr>
          <w:rFonts w:ascii="Times New Roman" w:hAnsi="Times New Roman"/>
        </w:rPr>
        <w:t>budgets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own</w:t>
      </w:r>
      <w:r w:rsidR="00DE4317" w:rsidRPr="00645878">
        <w:rPr>
          <w:rFonts w:ascii="Times New Roman" w:hAnsi="Times New Roman"/>
        </w:rPr>
        <w:t>-</w:t>
      </w:r>
      <w:r w:rsidR="00B03657" w:rsidRPr="00645878">
        <w:rPr>
          <w:rFonts w:ascii="Times New Roman" w:hAnsi="Times New Roman"/>
        </w:rPr>
        <w:t>source</w:t>
      </w:r>
      <w:r w:rsidR="00900061" w:rsidRPr="00645878">
        <w:rPr>
          <w:rFonts w:ascii="Times New Roman" w:hAnsi="Times New Roman"/>
        </w:rPr>
        <w:t xml:space="preserve"> </w:t>
      </w:r>
      <w:r w:rsidR="00B03657" w:rsidRPr="00645878">
        <w:rPr>
          <w:rFonts w:ascii="Times New Roman" w:hAnsi="Times New Roman"/>
        </w:rPr>
        <w:t>revenues/expenditures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E625DE" w:rsidRPr="00645878">
        <w:rPr>
          <w:rFonts w:ascii="Times New Roman" w:hAnsi="Times New Roman"/>
        </w:rPr>
        <w:t>IBBs</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project</w:t>
      </w:r>
      <w:r w:rsidR="00900061" w:rsidRPr="00645878">
        <w:rPr>
          <w:rFonts w:ascii="Times New Roman" w:hAnsi="Times New Roman"/>
        </w:rPr>
        <w:t xml:space="preserve"> </w:t>
      </w:r>
      <w:r w:rsidR="00B03657" w:rsidRPr="00645878">
        <w:rPr>
          <w:rFonts w:ascii="Times New Roman" w:hAnsi="Times New Roman"/>
        </w:rPr>
        <w:t>loans</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not</w:t>
      </w:r>
      <w:r w:rsidR="00900061" w:rsidRPr="00645878">
        <w:rPr>
          <w:rFonts w:ascii="Times New Roman" w:hAnsi="Times New Roman"/>
        </w:rPr>
        <w:t xml:space="preserve"> </w:t>
      </w:r>
      <w:r w:rsidR="00B03657" w:rsidRPr="00645878">
        <w:rPr>
          <w:rFonts w:ascii="Times New Roman" w:hAnsi="Times New Roman"/>
        </w:rPr>
        <w:t>executed</w:t>
      </w:r>
      <w:r w:rsidR="00900061" w:rsidRPr="00645878">
        <w:rPr>
          <w:rFonts w:ascii="Times New Roman" w:hAnsi="Times New Roman"/>
        </w:rPr>
        <w:t xml:space="preserve"> </w:t>
      </w:r>
      <w:r w:rsidR="00B03657" w:rsidRPr="00645878">
        <w:rPr>
          <w:rFonts w:ascii="Times New Roman" w:hAnsi="Times New Roman"/>
        </w:rPr>
        <w:t>through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BES.</w:t>
      </w:r>
    </w:p>
    <w:p w14:paraId="00F7CFEB" w14:textId="440B145C" w:rsidR="006134B0" w:rsidRPr="00645878" w:rsidRDefault="00B03657"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internal</w:t>
      </w:r>
      <w:r w:rsidR="00900061" w:rsidRPr="00645878">
        <w:rPr>
          <w:rFonts w:ascii="Times New Roman" w:hAnsi="Times New Roman"/>
          <w:b/>
        </w:rPr>
        <w:t xml:space="preserve"> </w:t>
      </w:r>
      <w:r w:rsidRPr="00645878">
        <w:rPr>
          <w:rFonts w:ascii="Times New Roman" w:hAnsi="Times New Roman"/>
          <w:b/>
        </w:rPr>
        <w:t>controls</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included</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scope</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1B78A4"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provide</w:t>
      </w:r>
      <w:r w:rsidR="00900061" w:rsidRPr="00645878">
        <w:rPr>
          <w:rFonts w:ascii="Times New Roman" w:hAnsi="Times New Roman"/>
          <w:b/>
        </w:rPr>
        <w:t xml:space="preserve"> </w:t>
      </w:r>
      <w:r w:rsidR="00A71E9F" w:rsidRPr="00645878">
        <w:rPr>
          <w:rFonts w:ascii="Times New Roman" w:hAnsi="Times New Roman"/>
          <w:b/>
        </w:rPr>
        <w:t xml:space="preserve">a </w:t>
      </w:r>
      <w:r w:rsidRPr="00645878">
        <w:rPr>
          <w:rFonts w:ascii="Times New Roman" w:hAnsi="Times New Roman"/>
          <w:b/>
        </w:rPr>
        <w:t>framework</w:t>
      </w:r>
      <w:r w:rsidR="00900061" w:rsidRPr="00645878">
        <w:rPr>
          <w:rFonts w:ascii="Times New Roman" w:hAnsi="Times New Roman"/>
          <w:b/>
        </w:rPr>
        <w:t xml:space="preserve"> </w:t>
      </w:r>
      <w:r w:rsidRPr="00645878">
        <w:rPr>
          <w:rFonts w:ascii="Times New Roman" w:hAnsi="Times New Roman"/>
          <w:b/>
        </w:rPr>
        <w:t>for</w:t>
      </w:r>
      <w:r w:rsidR="00900061" w:rsidRPr="00645878">
        <w:rPr>
          <w:rFonts w:ascii="Times New Roman" w:hAnsi="Times New Roman"/>
          <w:b/>
        </w:rPr>
        <w:t xml:space="preserve"> </w:t>
      </w:r>
      <w:r w:rsidRPr="00645878">
        <w:rPr>
          <w:rFonts w:ascii="Times New Roman" w:hAnsi="Times New Roman"/>
          <w:b/>
        </w:rPr>
        <w:t>appropriate</w:t>
      </w:r>
      <w:r w:rsidR="00900061" w:rsidRPr="00645878">
        <w:rPr>
          <w:rFonts w:ascii="Times New Roman" w:hAnsi="Times New Roman"/>
          <w:b/>
        </w:rPr>
        <w:t xml:space="preserve"> </w:t>
      </w:r>
      <w:r w:rsidRPr="00645878">
        <w:rPr>
          <w:rFonts w:ascii="Times New Roman" w:hAnsi="Times New Roman"/>
          <w:b/>
        </w:rPr>
        <w:t>segregation</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duties,</w:t>
      </w:r>
      <w:r w:rsidR="00900061" w:rsidRPr="00645878">
        <w:rPr>
          <w:rFonts w:ascii="Times New Roman" w:hAnsi="Times New Roman"/>
          <w:b/>
        </w:rPr>
        <w:t xml:space="preserve"> </w:t>
      </w:r>
      <w:r w:rsidRPr="00645878">
        <w:rPr>
          <w:rFonts w:ascii="Times New Roman" w:hAnsi="Times New Roman"/>
          <w:b/>
        </w:rPr>
        <w:t>authorized</w:t>
      </w:r>
      <w:r w:rsidR="00900061" w:rsidRPr="00645878">
        <w:rPr>
          <w:rFonts w:ascii="Times New Roman" w:hAnsi="Times New Roman"/>
          <w:b/>
        </w:rPr>
        <w:t xml:space="preserve"> </w:t>
      </w:r>
      <w:r w:rsidRPr="00645878">
        <w:rPr>
          <w:rFonts w:ascii="Times New Roman" w:hAnsi="Times New Roman"/>
          <w:b/>
        </w:rPr>
        <w:t>signatories</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lines</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approval,</w:t>
      </w:r>
      <w:r w:rsidR="00900061" w:rsidRPr="00645878">
        <w:rPr>
          <w:rFonts w:ascii="Times New Roman" w:hAnsi="Times New Roman"/>
          <w:b/>
        </w:rPr>
        <w:t xml:space="preserve"> </w:t>
      </w:r>
      <w:r w:rsidRPr="00645878">
        <w:rPr>
          <w:rFonts w:ascii="Times New Roman" w:hAnsi="Times New Roman"/>
          <w:b/>
        </w:rPr>
        <w:t>accounting</w:t>
      </w:r>
      <w:r w:rsidR="00900061" w:rsidRPr="00645878">
        <w:rPr>
          <w:rFonts w:ascii="Times New Roman" w:hAnsi="Times New Roman"/>
          <w:b/>
        </w:rPr>
        <w:t xml:space="preserve"> </w:t>
      </w:r>
      <w:r w:rsidRPr="00645878">
        <w:rPr>
          <w:rFonts w:ascii="Times New Roman" w:hAnsi="Times New Roman"/>
          <w:b/>
        </w:rPr>
        <w:t>controls</w:t>
      </w:r>
      <w:r w:rsidR="00900061" w:rsidRPr="00645878">
        <w:rPr>
          <w:rFonts w:ascii="Times New Roman" w:hAnsi="Times New Roman"/>
          <w:b/>
        </w:rPr>
        <w:t xml:space="preserve"> </w:t>
      </w:r>
      <w:r w:rsidRPr="00645878">
        <w:rPr>
          <w:rFonts w:ascii="Times New Roman" w:hAnsi="Times New Roman"/>
          <w:b/>
        </w:rPr>
        <w:t>including</w:t>
      </w:r>
      <w:r w:rsidR="00900061" w:rsidRPr="00645878">
        <w:rPr>
          <w:rFonts w:ascii="Times New Roman" w:hAnsi="Times New Roman"/>
          <w:b/>
        </w:rPr>
        <w:t xml:space="preserve"> </w:t>
      </w:r>
      <w:r w:rsidRPr="00645878">
        <w:rPr>
          <w:rFonts w:ascii="Times New Roman" w:hAnsi="Times New Roman"/>
          <w:b/>
        </w:rPr>
        <w:t>reconciliations,</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procurement</w:t>
      </w:r>
      <w:r w:rsidR="00900061" w:rsidRPr="00645878">
        <w:rPr>
          <w:rFonts w:ascii="Times New Roman" w:hAnsi="Times New Roman"/>
          <w:b/>
        </w:rPr>
        <w:t xml:space="preserve"> </w:t>
      </w:r>
      <w:r w:rsidRPr="00645878">
        <w:rPr>
          <w:rFonts w:ascii="Times New Roman" w:hAnsi="Times New Roman"/>
          <w:b/>
        </w:rPr>
        <w:t>controls</w:t>
      </w:r>
      <w:r w:rsidR="00943ED0" w:rsidRPr="00645878">
        <w:rPr>
          <w:rFonts w:ascii="Times New Roman" w:hAnsi="Times New Roman"/>
          <w:b/>
        </w:rPr>
        <w:t>—</w:t>
      </w:r>
      <w:r w:rsidR="008915DE" w:rsidRPr="00645878">
        <w:rPr>
          <w:rFonts w:ascii="Times New Roman" w:hAnsi="Times New Roman"/>
          <w:b/>
        </w:rPr>
        <w:t>and</w:t>
      </w:r>
      <w:r w:rsidR="00900061" w:rsidRPr="00645878">
        <w:rPr>
          <w:rFonts w:ascii="Times New Roman" w:hAnsi="Times New Roman"/>
          <w:b/>
        </w:rPr>
        <w:t xml:space="preserve"> </w:t>
      </w:r>
      <w:r w:rsidR="008915DE" w:rsidRPr="00645878">
        <w:rPr>
          <w:rFonts w:ascii="Times New Roman" w:hAnsi="Times New Roman"/>
          <w:b/>
        </w:rPr>
        <w:t>will</w:t>
      </w:r>
      <w:r w:rsidR="00900061" w:rsidRPr="00645878">
        <w:rPr>
          <w:rFonts w:ascii="Times New Roman" w:hAnsi="Times New Roman"/>
          <w:b/>
        </w:rPr>
        <w:t xml:space="preserve"> </w:t>
      </w:r>
      <w:r w:rsidR="008915DE" w:rsidRPr="00645878">
        <w:rPr>
          <w:rFonts w:ascii="Times New Roman" w:hAnsi="Times New Roman"/>
          <w:b/>
        </w:rPr>
        <w:t>be</w:t>
      </w:r>
      <w:r w:rsidR="00900061" w:rsidRPr="00645878">
        <w:rPr>
          <w:rFonts w:ascii="Times New Roman" w:hAnsi="Times New Roman"/>
          <w:b/>
        </w:rPr>
        <w:t xml:space="preserve"> </w:t>
      </w:r>
      <w:r w:rsidR="008915DE" w:rsidRPr="00645878">
        <w:rPr>
          <w:rFonts w:ascii="Times New Roman" w:hAnsi="Times New Roman"/>
          <w:b/>
        </w:rPr>
        <w:t>relied</w:t>
      </w:r>
      <w:r w:rsidR="00900061" w:rsidRPr="00645878">
        <w:rPr>
          <w:rFonts w:ascii="Times New Roman" w:hAnsi="Times New Roman"/>
          <w:b/>
        </w:rPr>
        <w:t xml:space="preserve"> </w:t>
      </w:r>
      <w:r w:rsidR="008915DE" w:rsidRPr="00645878">
        <w:rPr>
          <w:rFonts w:ascii="Times New Roman" w:hAnsi="Times New Roman"/>
          <w:b/>
        </w:rPr>
        <w:t>upon</w:t>
      </w:r>
      <w:r w:rsidR="00900061" w:rsidRPr="00645878">
        <w:rPr>
          <w:rFonts w:ascii="Times New Roman" w:hAnsi="Times New Roman"/>
          <w:b/>
        </w:rPr>
        <w:t xml:space="preserve"> </w:t>
      </w:r>
      <w:r w:rsidR="008915DE" w:rsidRPr="00645878">
        <w:rPr>
          <w:rFonts w:ascii="Times New Roman" w:hAnsi="Times New Roman"/>
          <w:b/>
        </w:rPr>
        <w:t>for</w:t>
      </w:r>
      <w:r w:rsidR="00900061" w:rsidRPr="00645878">
        <w:rPr>
          <w:rFonts w:ascii="Times New Roman" w:hAnsi="Times New Roman"/>
          <w:b/>
        </w:rPr>
        <w:t xml:space="preserve"> </w:t>
      </w:r>
      <w:r w:rsidR="009329A9" w:rsidRPr="00645878">
        <w:rPr>
          <w:rFonts w:ascii="Times New Roman" w:hAnsi="Times New Roman"/>
          <w:b/>
        </w:rPr>
        <w:t>P</w:t>
      </w:r>
      <w:r w:rsidR="008915DE" w:rsidRPr="00645878">
        <w:rPr>
          <w:rFonts w:ascii="Times New Roman" w:hAnsi="Times New Roman"/>
          <w:b/>
        </w:rPr>
        <w:t>rogram</w:t>
      </w:r>
      <w:r w:rsidR="00900061" w:rsidRPr="00645878">
        <w:rPr>
          <w:rFonts w:ascii="Times New Roman" w:hAnsi="Times New Roman"/>
          <w:b/>
        </w:rPr>
        <w:t xml:space="preserve"> </w:t>
      </w:r>
      <w:r w:rsidR="008915DE" w:rsidRPr="00645878">
        <w:rPr>
          <w:rFonts w:ascii="Times New Roman" w:hAnsi="Times New Roman"/>
          <w:b/>
        </w:rPr>
        <w:t>impl</w:t>
      </w:r>
      <w:r w:rsidR="000C0698" w:rsidRPr="00645878">
        <w:rPr>
          <w:rFonts w:ascii="Times New Roman" w:hAnsi="Times New Roman"/>
          <w:b/>
        </w:rPr>
        <w:t>e</w:t>
      </w:r>
      <w:r w:rsidR="008915DE" w:rsidRPr="00645878">
        <w:rPr>
          <w:rFonts w:ascii="Times New Roman" w:hAnsi="Times New Roman"/>
          <w:b/>
        </w:rPr>
        <w:t>mentation</w:t>
      </w:r>
      <w:r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rPr>
        <w:t>According</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application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practice</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subject</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certain</w:t>
      </w:r>
      <w:r w:rsidR="00900061" w:rsidRPr="00645878">
        <w:rPr>
          <w:rFonts w:ascii="Times New Roman" w:hAnsi="Times New Roman"/>
        </w:rPr>
        <w:t xml:space="preserve"> </w:t>
      </w:r>
      <w:r w:rsidRPr="00645878">
        <w:rPr>
          <w:rFonts w:ascii="Times New Roman" w:hAnsi="Times New Roman"/>
        </w:rPr>
        <w:t>deviations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some</w:t>
      </w:r>
      <w:r w:rsidR="00900061" w:rsidRPr="00645878">
        <w:rPr>
          <w:rFonts w:ascii="Times New Roman" w:hAnsi="Times New Roman"/>
        </w:rPr>
        <w:t xml:space="preserve"> </w:t>
      </w:r>
      <w:r w:rsidRPr="00645878">
        <w:rPr>
          <w:rFonts w:ascii="Times New Roman" w:hAnsi="Times New Roman"/>
        </w:rPr>
        <w:t>cases</w:t>
      </w:r>
      <w:r w:rsidR="00900061" w:rsidRPr="00645878">
        <w:rPr>
          <w:rFonts w:ascii="Times New Roman" w:hAnsi="Times New Roman"/>
        </w:rPr>
        <w:t xml:space="preserve"> </w:t>
      </w:r>
      <w:r w:rsidRPr="00645878">
        <w:rPr>
          <w:rFonts w:ascii="Times New Roman" w:hAnsi="Times New Roman"/>
        </w:rPr>
        <w:t>but</w:t>
      </w:r>
      <w:r w:rsidR="00943ED0"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general</w:t>
      </w:r>
      <w:r w:rsidR="00943ED0"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are</w:t>
      </w:r>
      <w:r w:rsidR="00900061" w:rsidRPr="00645878">
        <w:rPr>
          <w:rFonts w:ascii="Times New Roman" w:hAnsi="Times New Roman"/>
        </w:rPr>
        <w:t xml:space="preserve"> </w:t>
      </w:r>
      <w:r w:rsidRPr="00645878">
        <w:rPr>
          <w:rFonts w:ascii="Times New Roman" w:hAnsi="Times New Roman"/>
        </w:rPr>
        <w:t>complied</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Other</w:t>
      </w:r>
      <w:r w:rsidR="00900061" w:rsidRPr="00645878">
        <w:rPr>
          <w:rFonts w:ascii="Times New Roman" w:hAnsi="Times New Roman"/>
        </w:rPr>
        <w:t xml:space="preserve"> </w:t>
      </w:r>
      <w:r w:rsidRPr="00645878">
        <w:rPr>
          <w:rFonts w:ascii="Times New Roman" w:hAnsi="Times New Roman"/>
        </w:rPr>
        <w:t>identified</w:t>
      </w:r>
      <w:r w:rsidR="00900061" w:rsidRPr="00645878">
        <w:rPr>
          <w:rFonts w:ascii="Times New Roman" w:hAnsi="Times New Roman"/>
        </w:rPr>
        <w:t xml:space="preserve"> </w:t>
      </w:r>
      <w:r w:rsidRPr="00645878">
        <w:rPr>
          <w:rFonts w:ascii="Times New Roman" w:hAnsi="Times New Roman"/>
        </w:rPr>
        <w:t>weaknesses</w:t>
      </w:r>
      <w:r w:rsidR="00900061" w:rsidRPr="00645878">
        <w:rPr>
          <w:rFonts w:ascii="Times New Roman" w:hAnsi="Times New Roman"/>
        </w:rPr>
        <w:t xml:space="preserve"> </w:t>
      </w:r>
      <w:r w:rsidRPr="00645878">
        <w:rPr>
          <w:rFonts w:ascii="Times New Roman" w:hAnsi="Times New Roman"/>
        </w:rPr>
        <w:t>include</w:t>
      </w:r>
      <w:r w:rsidR="00900061" w:rsidRPr="00645878">
        <w:rPr>
          <w:rFonts w:ascii="Times New Roman" w:hAnsi="Times New Roman"/>
        </w:rPr>
        <w:t xml:space="preserve"> </w:t>
      </w:r>
      <w:r w:rsidRPr="00645878">
        <w:rPr>
          <w:rFonts w:ascii="Times New Roman" w:hAnsi="Times New Roman"/>
        </w:rPr>
        <w:t>lack</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follow-up</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results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conducted</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self-assessments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low</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interest</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behalf</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07465" w:rsidRPr="00645878">
        <w:rPr>
          <w:rFonts w:ascii="Times New Roman" w:hAnsi="Times New Roman"/>
        </w:rPr>
        <w:t>government</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recommendations</w:t>
      </w:r>
      <w:r w:rsidR="00900061" w:rsidRPr="00645878">
        <w:rPr>
          <w:rFonts w:ascii="Times New Roman" w:hAnsi="Times New Roman"/>
        </w:rPr>
        <w:t xml:space="preserve"> </w:t>
      </w:r>
      <w:r w:rsidRPr="00645878">
        <w:rPr>
          <w:rFonts w:ascii="Times New Roman" w:hAnsi="Times New Roman"/>
        </w:rPr>
        <w:t>intended</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address</w:t>
      </w:r>
      <w:r w:rsidR="00900061" w:rsidRPr="00645878">
        <w:rPr>
          <w:rFonts w:ascii="Times New Roman" w:hAnsi="Times New Roman"/>
        </w:rPr>
        <w:t xml:space="preserve"> </w:t>
      </w:r>
      <w:r w:rsidRPr="00645878">
        <w:rPr>
          <w:rFonts w:ascii="Times New Roman" w:hAnsi="Times New Roman"/>
        </w:rPr>
        <w:t>systemwide</w:t>
      </w:r>
      <w:r w:rsidR="00900061" w:rsidRPr="00645878">
        <w:rPr>
          <w:rFonts w:ascii="Times New Roman" w:hAnsi="Times New Roman"/>
        </w:rPr>
        <w:t xml:space="preserve"> </w:t>
      </w:r>
      <w:r w:rsidRPr="00645878">
        <w:rPr>
          <w:rFonts w:ascii="Times New Roman" w:hAnsi="Times New Roman"/>
        </w:rPr>
        <w:t>issues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Selection</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financed</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monitoring</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implementation</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aim</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mitigate</w:t>
      </w:r>
      <w:r w:rsidR="00900061" w:rsidRPr="00645878">
        <w:rPr>
          <w:rFonts w:ascii="Times New Roman" w:hAnsi="Times New Roman"/>
        </w:rPr>
        <w:t xml:space="preserve"> </w:t>
      </w:r>
      <w:r w:rsidRPr="00645878">
        <w:rPr>
          <w:rFonts w:ascii="Times New Roman" w:hAnsi="Times New Roman"/>
        </w:rPr>
        <w:t>this</w:t>
      </w:r>
      <w:r w:rsidR="00900061" w:rsidRPr="00645878">
        <w:rPr>
          <w:rFonts w:ascii="Times New Roman" w:hAnsi="Times New Roman"/>
        </w:rPr>
        <w:t xml:space="preserve"> </w:t>
      </w:r>
      <w:r w:rsidRPr="00645878">
        <w:rPr>
          <w:rFonts w:ascii="Times New Roman" w:hAnsi="Times New Roman"/>
        </w:rPr>
        <w:t>risk</w:t>
      </w:r>
      <w:r w:rsidR="00900061" w:rsidRPr="00645878">
        <w:rPr>
          <w:rFonts w:ascii="Times New Roman" w:hAnsi="Times New Roman"/>
        </w:rPr>
        <w:t xml:space="preserve"> </w:t>
      </w:r>
      <w:r w:rsidRPr="00645878">
        <w:rPr>
          <w:rFonts w:ascii="Times New Roman" w:hAnsi="Times New Roman"/>
        </w:rPr>
        <w:t>through</w:t>
      </w:r>
      <w:r w:rsidR="00900061" w:rsidRPr="00645878">
        <w:rPr>
          <w:rFonts w:ascii="Times New Roman" w:hAnsi="Times New Roman"/>
        </w:rPr>
        <w:t xml:space="preserve"> </w:t>
      </w:r>
      <w:r w:rsidRPr="00645878">
        <w:rPr>
          <w:rFonts w:ascii="Times New Roman" w:hAnsi="Times New Roman"/>
        </w:rPr>
        <w:t>financing</w:t>
      </w:r>
      <w:r w:rsidR="00900061" w:rsidRPr="00645878">
        <w:rPr>
          <w:rFonts w:ascii="Times New Roman" w:hAnsi="Times New Roman"/>
        </w:rPr>
        <w:t xml:space="preserve"> </w:t>
      </w:r>
      <w:r w:rsidRPr="00645878">
        <w:rPr>
          <w:rFonts w:ascii="Times New Roman" w:hAnsi="Times New Roman"/>
        </w:rPr>
        <w:t>implementable</w:t>
      </w:r>
      <w:r w:rsidR="00900061" w:rsidRPr="00645878">
        <w:rPr>
          <w:rFonts w:ascii="Times New Roman" w:hAnsi="Times New Roman"/>
        </w:rPr>
        <w:t xml:space="preserve"> </w:t>
      </w:r>
      <w:r w:rsidR="009329A9" w:rsidRPr="00645878">
        <w:rPr>
          <w:rFonts w:ascii="Times New Roman" w:hAnsi="Times New Roman"/>
        </w:rPr>
        <w:t>P</w:t>
      </w:r>
      <w:r w:rsidRPr="00645878">
        <w:rPr>
          <w:rFonts w:ascii="Times New Roman" w:hAnsi="Times New Roman"/>
        </w:rPr>
        <w:t>rograms</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allow</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adequate</w:t>
      </w:r>
      <w:r w:rsidR="00900061" w:rsidRPr="00645878">
        <w:rPr>
          <w:rFonts w:ascii="Times New Roman" w:hAnsi="Times New Roman"/>
        </w:rPr>
        <w:t xml:space="preserve"> </w:t>
      </w:r>
      <w:r w:rsidRPr="00645878">
        <w:rPr>
          <w:rFonts w:ascii="Times New Roman" w:hAnsi="Times New Roman"/>
        </w:rPr>
        <w:t>monitoring.</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level</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9D5C6F" w:rsidRPr="00645878">
        <w:rPr>
          <w:rFonts w:ascii="Times New Roman" w:hAnsi="Times New Roman"/>
        </w:rPr>
        <w:t>b</w:t>
      </w:r>
      <w:r w:rsidRPr="00645878">
        <w:rPr>
          <w:rFonts w:ascii="Times New Roman" w:hAnsi="Times New Roman"/>
        </w:rPr>
        <w:t>udget</w:t>
      </w:r>
      <w:r w:rsidR="00900061" w:rsidRPr="00645878">
        <w:rPr>
          <w:rFonts w:ascii="Times New Roman" w:hAnsi="Times New Roman"/>
        </w:rPr>
        <w:t xml:space="preserve"> </w:t>
      </w:r>
      <w:r w:rsidR="009D5C6F" w:rsidRPr="00645878">
        <w:rPr>
          <w:rFonts w:ascii="Times New Roman" w:hAnsi="Times New Roman"/>
        </w:rPr>
        <w:t>f</w:t>
      </w:r>
      <w:r w:rsidRPr="00645878">
        <w:rPr>
          <w:rFonts w:ascii="Times New Roman" w:hAnsi="Times New Roman"/>
        </w:rPr>
        <w:t>inal</w:t>
      </w:r>
      <w:r w:rsidR="00900061" w:rsidRPr="00645878">
        <w:rPr>
          <w:rFonts w:ascii="Times New Roman" w:hAnsi="Times New Roman"/>
        </w:rPr>
        <w:t xml:space="preserve"> </w:t>
      </w:r>
      <w:r w:rsidR="009D5C6F" w:rsidRPr="00645878">
        <w:rPr>
          <w:rFonts w:ascii="Times New Roman" w:hAnsi="Times New Roman"/>
        </w:rPr>
        <w:t>a</w:t>
      </w:r>
      <w:r w:rsidRPr="00645878">
        <w:rPr>
          <w:rFonts w:ascii="Times New Roman" w:hAnsi="Times New Roman"/>
        </w:rPr>
        <w:t>ccount,</w:t>
      </w:r>
      <w:r w:rsidR="00900061" w:rsidRPr="00645878">
        <w:rPr>
          <w:rFonts w:ascii="Times New Roman" w:hAnsi="Times New Roman"/>
        </w:rPr>
        <w:t xml:space="preserve"> </w:t>
      </w:r>
      <w:r w:rsidR="009D5C6F"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gave</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opinion</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FY2013.</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same</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00D23356" w:rsidRPr="00645878">
        <w:rPr>
          <w:rFonts w:ascii="Times New Roman" w:hAnsi="Times New Roman"/>
        </w:rPr>
        <w:t xml:space="preserve">the </w:t>
      </w:r>
      <w:r w:rsidRPr="00645878">
        <w:rPr>
          <w:rFonts w:ascii="Times New Roman" w:hAnsi="Times New Roman"/>
        </w:rPr>
        <w:t>SAI’s</w:t>
      </w:r>
      <w:r w:rsidR="00900061" w:rsidRPr="00645878">
        <w:rPr>
          <w:rFonts w:ascii="Times New Roman" w:hAnsi="Times New Roman"/>
        </w:rPr>
        <w:t xml:space="preserve"> </w:t>
      </w:r>
      <w:r w:rsidRPr="00645878">
        <w:rPr>
          <w:rFonts w:ascii="Times New Roman" w:hAnsi="Times New Roman"/>
        </w:rPr>
        <w:t>Sector</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Budget</w:t>
      </w:r>
      <w:r w:rsidR="00900061" w:rsidRPr="00645878">
        <w:rPr>
          <w:rFonts w:ascii="Times New Roman" w:hAnsi="Times New Roman"/>
        </w:rPr>
        <w:t xml:space="preserve"> </w:t>
      </w:r>
      <w:r w:rsidRPr="00645878">
        <w:rPr>
          <w:rFonts w:ascii="Times New Roman" w:hAnsi="Times New Roman"/>
        </w:rPr>
        <w:t>Funds</w:t>
      </w:r>
      <w:r w:rsidR="00900061" w:rsidRPr="00645878">
        <w:rPr>
          <w:rFonts w:ascii="Times New Roman" w:hAnsi="Times New Roman"/>
        </w:rPr>
        <w:t xml:space="preserve"> </w:t>
      </w:r>
      <w:r w:rsidRPr="00645878">
        <w:rPr>
          <w:rFonts w:ascii="Times New Roman" w:hAnsi="Times New Roman"/>
        </w:rPr>
        <w:t>reported</w:t>
      </w:r>
      <w:r w:rsidR="00900061" w:rsidRPr="00645878">
        <w:rPr>
          <w:rFonts w:ascii="Times New Roman" w:hAnsi="Times New Roman"/>
        </w:rPr>
        <w:t xml:space="preserve"> </w:t>
      </w:r>
      <w:r w:rsidRPr="00645878">
        <w:rPr>
          <w:rFonts w:ascii="Times New Roman" w:hAnsi="Times New Roman"/>
        </w:rPr>
        <w:t>2</w:t>
      </w:r>
      <w:r w:rsidR="00900061" w:rsidRPr="00645878">
        <w:rPr>
          <w:rFonts w:ascii="Times New Roman" w:hAnsi="Times New Roman"/>
        </w:rPr>
        <w:t xml:space="preserve"> </w:t>
      </w:r>
      <w:r w:rsidRPr="00645878">
        <w:rPr>
          <w:rFonts w:ascii="Times New Roman" w:hAnsi="Times New Roman"/>
        </w:rPr>
        <w:t>positive</w:t>
      </w:r>
      <w:r w:rsidR="00900061" w:rsidRPr="00645878">
        <w:rPr>
          <w:rFonts w:ascii="Times New Roman" w:hAnsi="Times New Roman"/>
        </w:rPr>
        <w:t xml:space="preserve"> </w:t>
      </w:r>
      <w:r w:rsidRPr="00645878">
        <w:rPr>
          <w:rFonts w:ascii="Times New Roman" w:hAnsi="Times New Roman"/>
        </w:rPr>
        <w:t>opinions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17</w:t>
      </w:r>
      <w:r w:rsidR="00900061" w:rsidRPr="00645878">
        <w:rPr>
          <w:rFonts w:ascii="Times New Roman" w:hAnsi="Times New Roman"/>
        </w:rPr>
        <w:t xml:space="preserve"> </w:t>
      </w:r>
      <w:r w:rsidRPr="00645878">
        <w:rPr>
          <w:rFonts w:ascii="Times New Roman" w:hAnsi="Times New Roman"/>
        </w:rPr>
        <w:t>qualified</w:t>
      </w:r>
      <w:r w:rsidR="00900061" w:rsidRPr="00645878">
        <w:rPr>
          <w:rFonts w:ascii="Times New Roman" w:hAnsi="Times New Roman"/>
        </w:rPr>
        <w:t xml:space="preserve"> </w:t>
      </w:r>
      <w:r w:rsidRPr="00645878">
        <w:rPr>
          <w:rFonts w:ascii="Times New Roman" w:hAnsi="Times New Roman"/>
        </w:rPr>
        <w:t>opinions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individual</w:t>
      </w:r>
      <w:r w:rsidR="00900061" w:rsidRPr="00645878">
        <w:rPr>
          <w:rFonts w:ascii="Times New Roman" w:hAnsi="Times New Roman"/>
        </w:rPr>
        <w:t xml:space="preserve"> </w:t>
      </w:r>
      <w:r w:rsidR="008D14C4" w:rsidRPr="00645878">
        <w:rPr>
          <w:rFonts w:ascii="Times New Roman" w:hAnsi="Times New Roman"/>
        </w:rPr>
        <w:t>DBBs</w:t>
      </w:r>
      <w:r w:rsidRPr="00645878">
        <w:rPr>
          <w:rFonts w:ascii="Times New Roman" w:hAnsi="Times New Roman"/>
        </w:rPr>
        <w:t>.</w:t>
      </w:r>
    </w:p>
    <w:p w14:paraId="3DF02C3C" w14:textId="772C5D11" w:rsidR="003C32F7" w:rsidRPr="00645878" w:rsidRDefault="005F53BF"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Implementing</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make</w:t>
      </w:r>
      <w:r w:rsidR="00900061" w:rsidRPr="00645878">
        <w:rPr>
          <w:rFonts w:ascii="Times New Roman" w:hAnsi="Times New Roman"/>
          <w:b/>
        </w:rPr>
        <w:t xml:space="preserve"> </w:t>
      </w:r>
      <w:r w:rsidRPr="00645878">
        <w:rPr>
          <w:rFonts w:ascii="Times New Roman" w:hAnsi="Times New Roman"/>
          <w:b/>
        </w:rPr>
        <w:t>part</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00B03657" w:rsidRPr="00645878">
        <w:rPr>
          <w:rFonts w:ascii="Times New Roman" w:hAnsi="Times New Roman"/>
          <w:b/>
        </w:rPr>
        <w:t>the</w:t>
      </w:r>
      <w:r w:rsidR="00900061" w:rsidRPr="00645878">
        <w:rPr>
          <w:rFonts w:ascii="Times New Roman" w:hAnsi="Times New Roman"/>
          <w:b/>
        </w:rPr>
        <w:t xml:space="preserve"> </w:t>
      </w:r>
      <w:r w:rsidR="00B03657" w:rsidRPr="00645878">
        <w:rPr>
          <w:rFonts w:ascii="Times New Roman" w:hAnsi="Times New Roman"/>
          <w:b/>
        </w:rPr>
        <w:t>centralized</w:t>
      </w:r>
      <w:r w:rsidR="00900061" w:rsidRPr="00645878">
        <w:rPr>
          <w:rFonts w:ascii="Times New Roman" w:hAnsi="Times New Roman"/>
          <w:b/>
        </w:rPr>
        <w:t xml:space="preserve"> </w:t>
      </w:r>
      <w:r w:rsidR="00B03657" w:rsidRPr="00645878">
        <w:rPr>
          <w:rFonts w:ascii="Times New Roman" w:hAnsi="Times New Roman"/>
          <w:b/>
        </w:rPr>
        <w:t>payroll</w:t>
      </w:r>
      <w:r w:rsidR="00900061" w:rsidRPr="00645878">
        <w:rPr>
          <w:rFonts w:ascii="Times New Roman" w:hAnsi="Times New Roman"/>
          <w:b/>
        </w:rPr>
        <w:t xml:space="preserve"> </w:t>
      </w:r>
      <w:r w:rsidRPr="00645878">
        <w:rPr>
          <w:rFonts w:ascii="Times New Roman" w:hAnsi="Times New Roman"/>
          <w:b/>
        </w:rPr>
        <w:t>system</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Treasury,</w:t>
      </w:r>
      <w:r w:rsidR="00900061" w:rsidRPr="00645878">
        <w:rPr>
          <w:rFonts w:ascii="Times New Roman" w:hAnsi="Times New Roman"/>
          <w:b/>
        </w:rPr>
        <w:t xml:space="preserve"> </w:t>
      </w:r>
      <w:r w:rsidRPr="00645878">
        <w:rPr>
          <w:rFonts w:ascii="Times New Roman" w:hAnsi="Times New Roman"/>
          <w:b/>
        </w:rPr>
        <w:t>which</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assessed</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include</w:t>
      </w:r>
      <w:r w:rsidR="00900061" w:rsidRPr="00645878">
        <w:rPr>
          <w:rFonts w:ascii="Times New Roman" w:hAnsi="Times New Roman"/>
          <w:b/>
        </w:rPr>
        <w:t xml:space="preserve"> </w:t>
      </w:r>
      <w:r w:rsidRPr="00645878">
        <w:rPr>
          <w:rFonts w:ascii="Times New Roman" w:hAnsi="Times New Roman"/>
          <w:b/>
        </w:rPr>
        <w:t>adequate</w:t>
      </w:r>
      <w:r w:rsidR="00900061" w:rsidRPr="00645878">
        <w:rPr>
          <w:rFonts w:ascii="Times New Roman" w:hAnsi="Times New Roman"/>
          <w:b/>
        </w:rPr>
        <w:t xml:space="preserve"> </w:t>
      </w:r>
      <w:r w:rsidRPr="00645878">
        <w:rPr>
          <w:rFonts w:ascii="Times New Roman" w:hAnsi="Times New Roman"/>
          <w:b/>
        </w:rPr>
        <w:t>payroll</w:t>
      </w:r>
      <w:r w:rsidR="00900061" w:rsidRPr="00645878">
        <w:rPr>
          <w:rFonts w:ascii="Times New Roman" w:hAnsi="Times New Roman"/>
          <w:b/>
        </w:rPr>
        <w:t xml:space="preserve"> </w:t>
      </w:r>
      <w:r w:rsidRPr="00645878">
        <w:rPr>
          <w:rFonts w:ascii="Times New Roman" w:hAnsi="Times New Roman"/>
          <w:b/>
        </w:rPr>
        <w:t>controls.</w:t>
      </w:r>
      <w:r w:rsidR="00A563DA" w:rsidRPr="00645878" w:rsidDel="00A563DA">
        <w:rPr>
          <w:rFonts w:ascii="Times New Roman" w:hAnsi="Times New Roman"/>
          <w:b/>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TA</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required</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manage</w:t>
      </w:r>
      <w:r w:rsidR="00900061" w:rsidRPr="00645878">
        <w:rPr>
          <w:rFonts w:ascii="Times New Roman" w:hAnsi="Times New Roman"/>
        </w:rPr>
        <w:t xml:space="preserve"> </w:t>
      </w:r>
      <w:r w:rsidR="00B03657" w:rsidRPr="00645878">
        <w:rPr>
          <w:rFonts w:ascii="Times New Roman" w:hAnsi="Times New Roman"/>
        </w:rPr>
        <w:t>a</w:t>
      </w:r>
      <w:r w:rsidR="00A81926" w:rsidRPr="00645878">
        <w:rPr>
          <w:rFonts w:ascii="Times New Roman" w:hAnsi="Times New Roman"/>
        </w:rPr>
        <w:t xml:space="preserve"> r</w:t>
      </w:r>
      <w:r w:rsidR="00B03657" w:rsidRPr="00645878">
        <w:rPr>
          <w:rFonts w:ascii="Times New Roman" w:hAnsi="Times New Roman"/>
        </w:rPr>
        <w:t>egistry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A563DA" w:rsidRPr="00645878">
        <w:rPr>
          <w:rFonts w:ascii="Times New Roman" w:hAnsi="Times New Roman"/>
        </w:rPr>
        <w:t>e</w:t>
      </w:r>
      <w:r w:rsidR="00B03657" w:rsidRPr="00645878">
        <w:rPr>
          <w:rFonts w:ascii="Times New Roman" w:hAnsi="Times New Roman"/>
        </w:rPr>
        <w:t>mployed,</w:t>
      </w:r>
      <w:r w:rsidR="00900061" w:rsidRPr="00645878">
        <w:rPr>
          <w:rFonts w:ascii="Times New Roman" w:hAnsi="Times New Roman"/>
        </w:rPr>
        <w:t xml:space="preserve"> </w:t>
      </w:r>
      <w:r w:rsidR="00A563DA" w:rsidRPr="00645878">
        <w:rPr>
          <w:rFonts w:ascii="Times New Roman" w:hAnsi="Times New Roman"/>
        </w:rPr>
        <w:t>e</w:t>
      </w:r>
      <w:r w:rsidR="00B03657" w:rsidRPr="00645878">
        <w:rPr>
          <w:rFonts w:ascii="Times New Roman" w:hAnsi="Times New Roman"/>
        </w:rPr>
        <w:t>lected,</w:t>
      </w:r>
      <w:r w:rsidR="00900061" w:rsidRPr="00645878">
        <w:rPr>
          <w:rFonts w:ascii="Times New Roman" w:hAnsi="Times New Roman"/>
        </w:rPr>
        <w:t xml:space="preserve"> </w:t>
      </w:r>
      <w:r w:rsidR="00A563DA" w:rsidRPr="00645878">
        <w:rPr>
          <w:rFonts w:ascii="Times New Roman" w:hAnsi="Times New Roman"/>
        </w:rPr>
        <w:t>a</w:t>
      </w:r>
      <w:r w:rsidR="00B03657" w:rsidRPr="00645878">
        <w:rPr>
          <w:rFonts w:ascii="Times New Roman" w:hAnsi="Times New Roman"/>
        </w:rPr>
        <w:t>ppointed</w:t>
      </w:r>
      <w:r w:rsidR="0093562C"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A563DA" w:rsidRPr="00645878">
        <w:rPr>
          <w:rFonts w:ascii="Times New Roman" w:hAnsi="Times New Roman"/>
        </w:rPr>
        <w:t>e</w:t>
      </w:r>
      <w:r w:rsidR="00B03657" w:rsidRPr="00645878">
        <w:rPr>
          <w:rFonts w:ascii="Times New Roman" w:hAnsi="Times New Roman"/>
        </w:rPr>
        <w:t>ngaged</w:t>
      </w:r>
      <w:r w:rsidR="00900061" w:rsidRPr="00645878">
        <w:rPr>
          <w:rFonts w:ascii="Times New Roman" w:hAnsi="Times New Roman"/>
        </w:rPr>
        <w:t xml:space="preserve"> </w:t>
      </w:r>
      <w:r w:rsidR="00B03657" w:rsidRPr="00645878">
        <w:rPr>
          <w:rFonts w:ascii="Times New Roman" w:hAnsi="Times New Roman"/>
        </w:rPr>
        <w:t>Persons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3C0E00" w:rsidRPr="00645878">
        <w:rPr>
          <w:rFonts w:ascii="Times New Roman" w:hAnsi="Times New Roman"/>
        </w:rPr>
        <w:t>p</w:t>
      </w:r>
      <w:r w:rsidR="00B03657" w:rsidRPr="00645878">
        <w:rPr>
          <w:rFonts w:ascii="Times New Roman" w:hAnsi="Times New Roman"/>
        </w:rPr>
        <w:t>ublic</w:t>
      </w:r>
      <w:r w:rsidR="00900061" w:rsidRPr="00645878">
        <w:rPr>
          <w:rFonts w:ascii="Times New Roman" w:hAnsi="Times New Roman"/>
        </w:rPr>
        <w:t xml:space="preserve"> </w:t>
      </w:r>
      <w:r w:rsidR="003C0E00" w:rsidRPr="00645878">
        <w:rPr>
          <w:rFonts w:ascii="Times New Roman" w:hAnsi="Times New Roman"/>
        </w:rPr>
        <w:t>s</w:t>
      </w:r>
      <w:r w:rsidR="00B03657" w:rsidRPr="00645878">
        <w:rPr>
          <w:rFonts w:ascii="Times New Roman" w:hAnsi="Times New Roman"/>
        </w:rPr>
        <w:t>ector.</w:t>
      </w:r>
      <w:r w:rsidR="00900061" w:rsidRPr="00645878">
        <w:rPr>
          <w:rFonts w:ascii="Times New Roman" w:hAnsi="Times New Roman"/>
        </w:rPr>
        <w:t xml:space="preserve"> </w:t>
      </w:r>
      <w:r w:rsidR="00B03657" w:rsidRPr="00645878">
        <w:rPr>
          <w:rFonts w:ascii="Times New Roman" w:hAnsi="Times New Roman"/>
        </w:rPr>
        <w:t>Recent</w:t>
      </w:r>
      <w:r w:rsidR="00900061" w:rsidRPr="00645878">
        <w:rPr>
          <w:rFonts w:ascii="Times New Roman" w:hAnsi="Times New Roman"/>
        </w:rPr>
        <w:t xml:space="preserve"> </w:t>
      </w:r>
      <w:r w:rsidR="00B03657" w:rsidRPr="00645878">
        <w:rPr>
          <w:rFonts w:ascii="Times New Roman" w:hAnsi="Times New Roman"/>
        </w:rPr>
        <w:t>assessments</w:t>
      </w:r>
      <w:r w:rsidR="00900061" w:rsidRPr="00645878">
        <w:rPr>
          <w:rFonts w:ascii="Times New Roman" w:hAnsi="Times New Roman"/>
        </w:rPr>
        <w:t xml:space="preserve"> </w:t>
      </w:r>
      <w:r w:rsidR="00B03657" w:rsidRPr="00645878">
        <w:rPr>
          <w:rFonts w:ascii="Times New Roman" w:hAnsi="Times New Roman"/>
        </w:rPr>
        <w:t>contain</w:t>
      </w:r>
      <w:r w:rsidR="00900061" w:rsidRPr="00645878">
        <w:rPr>
          <w:rFonts w:ascii="Times New Roman" w:hAnsi="Times New Roman"/>
        </w:rPr>
        <w:t xml:space="preserve"> </w:t>
      </w:r>
      <w:r w:rsidR="00B03657" w:rsidRPr="00645878">
        <w:rPr>
          <w:rFonts w:ascii="Times New Roman" w:hAnsi="Times New Roman"/>
        </w:rPr>
        <w:t>reservations</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respect</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quality</w:t>
      </w:r>
      <w:r w:rsidR="00900061" w:rsidRPr="00645878">
        <w:rPr>
          <w:rFonts w:ascii="Times New Roman" w:hAnsi="Times New Roman"/>
        </w:rPr>
        <w:t xml:space="preserve"> </w:t>
      </w:r>
      <w:r w:rsidR="00B03657" w:rsidRPr="00645878">
        <w:rPr>
          <w:rFonts w:ascii="Times New Roman" w:hAnsi="Times New Roman"/>
        </w:rPr>
        <w:t>(</w:t>
      </w:r>
      <w:r w:rsidR="00B71C7F" w:rsidRPr="00645878">
        <w:rPr>
          <w:rFonts w:ascii="Times New Roman" w:hAnsi="Times New Roman"/>
        </w:rPr>
        <w:t>that is,</w:t>
      </w:r>
      <w:r w:rsidR="00900061" w:rsidRPr="00645878">
        <w:rPr>
          <w:rFonts w:ascii="Times New Roman" w:hAnsi="Times New Roman"/>
        </w:rPr>
        <w:t xml:space="preserve"> </w:t>
      </w:r>
      <w:r w:rsidR="00B03657" w:rsidRPr="00645878">
        <w:rPr>
          <w:rFonts w:ascii="Times New Roman" w:hAnsi="Times New Roman"/>
        </w:rPr>
        <w:t>comprehensiveness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credibility)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this</w:t>
      </w:r>
      <w:r w:rsidR="00900061" w:rsidRPr="00645878">
        <w:rPr>
          <w:rFonts w:ascii="Times New Roman" w:hAnsi="Times New Roman"/>
        </w:rPr>
        <w:t xml:space="preserve"> </w:t>
      </w:r>
      <w:r w:rsidR="00A81926" w:rsidRPr="00645878">
        <w:rPr>
          <w:rFonts w:ascii="Times New Roman" w:hAnsi="Times New Roman"/>
        </w:rPr>
        <w:t>r</w:t>
      </w:r>
      <w:r w:rsidR="00B03657" w:rsidRPr="00645878">
        <w:rPr>
          <w:rFonts w:ascii="Times New Roman" w:hAnsi="Times New Roman"/>
        </w:rPr>
        <w:t>egistry</w:t>
      </w:r>
      <w:r w:rsidR="00900061" w:rsidRPr="00645878">
        <w:rPr>
          <w:rFonts w:ascii="Times New Roman" w:hAnsi="Times New Roman"/>
        </w:rPr>
        <w:t xml:space="preserve"> </w:t>
      </w:r>
      <w:r w:rsidR="00B03657" w:rsidRPr="00645878">
        <w:rPr>
          <w:rFonts w:ascii="Times New Roman" w:hAnsi="Times New Roman"/>
        </w:rPr>
        <w:t>due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delays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data</w:t>
      </w:r>
      <w:r w:rsidR="00900061" w:rsidRPr="00645878">
        <w:rPr>
          <w:rFonts w:ascii="Times New Roman" w:hAnsi="Times New Roman"/>
        </w:rPr>
        <w:t xml:space="preserve"> </w:t>
      </w:r>
      <w:r w:rsidR="00B03657" w:rsidRPr="00645878">
        <w:rPr>
          <w:rFonts w:ascii="Times New Roman" w:hAnsi="Times New Roman"/>
        </w:rPr>
        <w:t>gathering</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issues</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accuracy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submissions</w:t>
      </w:r>
      <w:r w:rsidR="00900061" w:rsidRPr="00645878">
        <w:rPr>
          <w:rFonts w:ascii="Times New Roman" w:hAnsi="Times New Roman"/>
        </w:rPr>
        <w:t xml:space="preserve"> </w:t>
      </w:r>
      <w:r w:rsidR="00B03657" w:rsidRPr="00645878">
        <w:rPr>
          <w:rFonts w:ascii="Times New Roman" w:hAnsi="Times New Roman"/>
        </w:rPr>
        <w:t>from</w:t>
      </w:r>
      <w:r w:rsidR="00900061" w:rsidRPr="00645878">
        <w:rPr>
          <w:rFonts w:ascii="Times New Roman" w:hAnsi="Times New Roman"/>
        </w:rPr>
        <w:t xml:space="preserve"> </w:t>
      </w:r>
      <w:r w:rsidR="00B03657" w:rsidRPr="00645878">
        <w:rPr>
          <w:rFonts w:ascii="Times New Roman" w:hAnsi="Times New Roman"/>
        </w:rPr>
        <w:t>individual</w:t>
      </w:r>
      <w:r w:rsidR="00900061" w:rsidRPr="00645878">
        <w:rPr>
          <w:rFonts w:ascii="Times New Roman" w:hAnsi="Times New Roman"/>
        </w:rPr>
        <w:t xml:space="preserve"> </w:t>
      </w:r>
      <w:r w:rsidR="00B03657" w:rsidRPr="00645878">
        <w:rPr>
          <w:rFonts w:ascii="Times New Roman" w:hAnsi="Times New Roman"/>
        </w:rPr>
        <w:t>public</w:t>
      </w:r>
      <w:r w:rsidR="00900061" w:rsidRPr="00645878">
        <w:rPr>
          <w:rFonts w:ascii="Times New Roman" w:hAnsi="Times New Roman"/>
        </w:rPr>
        <w:t xml:space="preserve"> </w:t>
      </w:r>
      <w:r w:rsidR="00B03657" w:rsidRPr="00645878">
        <w:rPr>
          <w:rFonts w:ascii="Times New Roman" w:hAnsi="Times New Roman"/>
        </w:rPr>
        <w:t>funds</w:t>
      </w:r>
      <w:r w:rsidR="00900061" w:rsidRPr="00645878">
        <w:rPr>
          <w:rFonts w:ascii="Times New Roman" w:hAnsi="Times New Roman"/>
        </w:rPr>
        <w:t xml:space="preserve"> </w:t>
      </w:r>
      <w:r w:rsidR="00B03657" w:rsidRPr="00645878">
        <w:rPr>
          <w:rFonts w:ascii="Times New Roman" w:hAnsi="Times New Roman"/>
        </w:rPr>
        <w:t>beneficiaries.</w:t>
      </w:r>
      <w:r w:rsidR="00900061" w:rsidRPr="00645878">
        <w:rPr>
          <w:rFonts w:ascii="Times New Roman" w:hAnsi="Times New Roman"/>
        </w:rPr>
        <w:t xml:space="preserve"> </w:t>
      </w:r>
      <w:r w:rsidR="00B03657" w:rsidRPr="00645878">
        <w:rPr>
          <w:rFonts w:ascii="Times New Roman" w:hAnsi="Times New Roman"/>
        </w:rPr>
        <w:t>This</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mainly</w:t>
      </w:r>
      <w:r w:rsidR="00900061" w:rsidRPr="00645878">
        <w:rPr>
          <w:rFonts w:ascii="Times New Roman" w:hAnsi="Times New Roman"/>
        </w:rPr>
        <w:t xml:space="preserve"> </w:t>
      </w:r>
      <w:r w:rsidR="00B03657" w:rsidRPr="00645878">
        <w:rPr>
          <w:rFonts w:ascii="Times New Roman" w:hAnsi="Times New Roman"/>
        </w:rPr>
        <w:t>due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fact</w:t>
      </w:r>
      <w:r w:rsidR="00900061" w:rsidRPr="00645878">
        <w:rPr>
          <w:rFonts w:ascii="Times New Roman" w:hAnsi="Times New Roman"/>
        </w:rPr>
        <w:t xml:space="preserve"> </w:t>
      </w:r>
      <w:r w:rsidR="00B03657" w:rsidRPr="00645878">
        <w:rPr>
          <w:rFonts w:ascii="Times New Roman" w:hAnsi="Times New Roman"/>
        </w:rPr>
        <w:t>that</w:t>
      </w:r>
      <w:r w:rsidR="00900061" w:rsidRPr="00645878">
        <w:rPr>
          <w:rFonts w:ascii="Times New Roman" w:hAnsi="Times New Roman"/>
        </w:rPr>
        <w:t xml:space="preserve"> </w:t>
      </w:r>
      <w:r w:rsidR="00B03657" w:rsidRPr="00645878">
        <w:rPr>
          <w:rFonts w:ascii="Times New Roman" w:hAnsi="Times New Roman"/>
        </w:rPr>
        <w:t>this</w:t>
      </w:r>
      <w:r w:rsidR="00900061" w:rsidRPr="00645878">
        <w:rPr>
          <w:rFonts w:ascii="Times New Roman" w:hAnsi="Times New Roman"/>
        </w:rPr>
        <w:t xml:space="preserve"> </w:t>
      </w:r>
      <w:r w:rsidR="00A81926" w:rsidRPr="00645878">
        <w:rPr>
          <w:rFonts w:ascii="Times New Roman" w:hAnsi="Times New Roman"/>
        </w:rPr>
        <w:t>r</w:t>
      </w:r>
      <w:r w:rsidR="00B03657" w:rsidRPr="00645878">
        <w:rPr>
          <w:rFonts w:ascii="Times New Roman" w:hAnsi="Times New Roman"/>
        </w:rPr>
        <w:t>egistry</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designed</w:t>
      </w:r>
      <w:r w:rsidR="00900061" w:rsidRPr="00645878">
        <w:rPr>
          <w:rFonts w:ascii="Times New Roman" w:hAnsi="Times New Roman"/>
        </w:rPr>
        <w:t xml:space="preserve"> </w:t>
      </w:r>
      <w:r w:rsidR="00B03657" w:rsidRPr="00645878">
        <w:rPr>
          <w:rFonts w:ascii="Times New Roman" w:hAnsi="Times New Roman"/>
        </w:rPr>
        <w:t>as</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self-reporting</w:t>
      </w:r>
      <w:r w:rsidR="00900061" w:rsidRPr="00645878">
        <w:rPr>
          <w:rFonts w:ascii="Times New Roman" w:hAnsi="Times New Roman"/>
        </w:rPr>
        <w:t xml:space="preserve"> </w:t>
      </w:r>
      <w:r w:rsidR="00B03657" w:rsidRPr="00645878">
        <w:rPr>
          <w:rFonts w:ascii="Times New Roman" w:hAnsi="Times New Roman"/>
        </w:rPr>
        <w:t>tool</w:t>
      </w:r>
      <w:r w:rsidR="00900061" w:rsidRPr="00645878">
        <w:rPr>
          <w:rFonts w:ascii="Times New Roman" w:hAnsi="Times New Roman"/>
        </w:rPr>
        <w:t xml:space="preserve"> </w:t>
      </w:r>
      <w:r w:rsidR="00B03657" w:rsidRPr="00645878">
        <w:rPr>
          <w:rFonts w:ascii="Times New Roman" w:hAnsi="Times New Roman"/>
        </w:rPr>
        <w:t>where</w:t>
      </w:r>
      <w:r w:rsidR="00900061" w:rsidRPr="00645878">
        <w:rPr>
          <w:rFonts w:ascii="Times New Roman" w:hAnsi="Times New Roman"/>
        </w:rPr>
        <w:t xml:space="preserve"> </w:t>
      </w:r>
      <w:r w:rsidR="00AC5663" w:rsidRPr="00645878">
        <w:rPr>
          <w:rFonts w:ascii="Times New Roman" w:hAnsi="Times New Roman"/>
        </w:rPr>
        <w:t xml:space="preserve">the </w:t>
      </w:r>
      <w:r w:rsidR="00B03657" w:rsidRPr="00645878">
        <w:rPr>
          <w:rFonts w:ascii="Times New Roman" w:hAnsi="Times New Roman"/>
        </w:rPr>
        <w:t>TA</w:t>
      </w:r>
      <w:r w:rsidR="00900061" w:rsidRPr="00645878">
        <w:rPr>
          <w:rFonts w:ascii="Times New Roman" w:hAnsi="Times New Roman"/>
        </w:rPr>
        <w:t xml:space="preserve"> </w:t>
      </w:r>
      <w:r w:rsidR="00B03657" w:rsidRPr="00645878">
        <w:rPr>
          <w:rFonts w:ascii="Times New Roman" w:hAnsi="Times New Roman"/>
        </w:rPr>
        <w:t>has</w:t>
      </w:r>
      <w:r w:rsidR="00900061" w:rsidRPr="00645878">
        <w:rPr>
          <w:rFonts w:ascii="Times New Roman" w:hAnsi="Times New Roman"/>
        </w:rPr>
        <w:t xml:space="preserve"> </w:t>
      </w:r>
      <w:r w:rsidR="00B03657" w:rsidRPr="00645878">
        <w:rPr>
          <w:rFonts w:ascii="Times New Roman" w:hAnsi="Times New Roman"/>
        </w:rPr>
        <w:t>no</w:t>
      </w:r>
      <w:r w:rsidR="00900061" w:rsidRPr="00645878">
        <w:rPr>
          <w:rFonts w:ascii="Times New Roman" w:hAnsi="Times New Roman"/>
        </w:rPr>
        <w:t xml:space="preserve"> </w:t>
      </w:r>
      <w:r w:rsidR="00B03657" w:rsidRPr="00645878">
        <w:rPr>
          <w:rFonts w:ascii="Times New Roman" w:hAnsi="Times New Roman"/>
        </w:rPr>
        <w:t>control</w:t>
      </w:r>
      <w:r w:rsidR="00900061" w:rsidRPr="00645878">
        <w:rPr>
          <w:rFonts w:ascii="Times New Roman" w:hAnsi="Times New Roman"/>
        </w:rPr>
        <w:t xml:space="preserve"> </w:t>
      </w:r>
      <w:r w:rsidR="00B03657" w:rsidRPr="00645878">
        <w:rPr>
          <w:rFonts w:ascii="Times New Roman" w:hAnsi="Times New Roman"/>
        </w:rPr>
        <w:t>over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quality</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reliability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A81926" w:rsidRPr="00645878">
        <w:rPr>
          <w:rFonts w:ascii="Times New Roman" w:hAnsi="Times New Roman"/>
        </w:rPr>
        <w:t xml:space="preserve">the </w:t>
      </w:r>
      <w:r w:rsidR="00B03657" w:rsidRPr="00645878">
        <w:rPr>
          <w:rFonts w:ascii="Times New Roman" w:hAnsi="Times New Roman"/>
        </w:rPr>
        <w:t>data</w:t>
      </w:r>
      <w:r w:rsidR="00900061" w:rsidRPr="00645878">
        <w:rPr>
          <w:rFonts w:ascii="Times New Roman" w:hAnsi="Times New Roman"/>
        </w:rPr>
        <w:t xml:space="preserve"> </w:t>
      </w:r>
      <w:r w:rsidR="00B03657" w:rsidRPr="00645878">
        <w:rPr>
          <w:rFonts w:ascii="Times New Roman" w:hAnsi="Times New Roman"/>
        </w:rPr>
        <w:t>provided.</w:t>
      </w:r>
      <w:r w:rsidR="00900061" w:rsidRPr="00645878">
        <w:rPr>
          <w:rFonts w:ascii="Times New Roman" w:hAnsi="Times New Roman"/>
        </w:rPr>
        <w:t xml:space="preserve"> </w:t>
      </w:r>
      <w:r w:rsidR="00B03657" w:rsidRPr="00645878">
        <w:rPr>
          <w:rFonts w:ascii="Times New Roman" w:hAnsi="Times New Roman"/>
        </w:rPr>
        <w:t>Until</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comprehensive</w:t>
      </w:r>
      <w:r w:rsidR="00900061" w:rsidRPr="00645878">
        <w:rPr>
          <w:rFonts w:ascii="Times New Roman" w:hAnsi="Times New Roman"/>
        </w:rPr>
        <w:t xml:space="preserve"> </w:t>
      </w:r>
      <w:r w:rsidR="004930F4" w:rsidRPr="00645878">
        <w:rPr>
          <w:rFonts w:ascii="Times New Roman" w:hAnsi="Times New Roman"/>
        </w:rPr>
        <w:t>r</w:t>
      </w:r>
      <w:r w:rsidR="00B03657" w:rsidRPr="00645878">
        <w:rPr>
          <w:rFonts w:ascii="Times New Roman" w:hAnsi="Times New Roman"/>
        </w:rPr>
        <w:t>egistry</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fully</w:t>
      </w:r>
      <w:r w:rsidR="00900061" w:rsidRPr="00645878">
        <w:rPr>
          <w:rFonts w:ascii="Times New Roman" w:hAnsi="Times New Roman"/>
        </w:rPr>
        <w:t xml:space="preserve"> </w:t>
      </w:r>
      <w:r w:rsidR="00B03657" w:rsidRPr="00645878">
        <w:rPr>
          <w:rFonts w:ascii="Times New Roman" w:hAnsi="Times New Roman"/>
        </w:rPr>
        <w:t>implemented,</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TA</w:t>
      </w:r>
      <w:r w:rsidR="00900061" w:rsidRPr="00645878">
        <w:rPr>
          <w:rFonts w:ascii="Times New Roman" w:hAnsi="Times New Roman"/>
        </w:rPr>
        <w:t xml:space="preserve"> </w:t>
      </w:r>
      <w:r w:rsidR="00B03657" w:rsidRPr="00645878">
        <w:rPr>
          <w:rFonts w:ascii="Times New Roman" w:hAnsi="Times New Roman"/>
        </w:rPr>
        <w:t>relies</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its</w:t>
      </w:r>
      <w:r w:rsidR="00900061" w:rsidRPr="00645878">
        <w:rPr>
          <w:rFonts w:ascii="Times New Roman" w:hAnsi="Times New Roman"/>
        </w:rPr>
        <w:t xml:space="preserve"> </w:t>
      </w:r>
      <w:r w:rsidR="00B03657" w:rsidRPr="00645878">
        <w:rPr>
          <w:rFonts w:ascii="Times New Roman" w:hAnsi="Times New Roman"/>
        </w:rPr>
        <w:t>own</w:t>
      </w:r>
      <w:r w:rsidR="00900061" w:rsidRPr="00645878">
        <w:rPr>
          <w:rFonts w:ascii="Times New Roman" w:hAnsi="Times New Roman"/>
        </w:rPr>
        <w:t xml:space="preserve"> </w:t>
      </w:r>
      <w:r w:rsidR="00B03657" w:rsidRPr="00645878">
        <w:rPr>
          <w:rFonts w:ascii="Times New Roman" w:hAnsi="Times New Roman"/>
        </w:rPr>
        <w:t>database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personnel</w:t>
      </w:r>
      <w:r w:rsidR="00900061" w:rsidRPr="00645878">
        <w:rPr>
          <w:rFonts w:ascii="Times New Roman" w:hAnsi="Times New Roman"/>
        </w:rPr>
        <w:t xml:space="preserve"> </w:t>
      </w:r>
      <w:r w:rsidR="00B03657" w:rsidRPr="00645878">
        <w:rPr>
          <w:rFonts w:ascii="Times New Roman" w:hAnsi="Times New Roman"/>
        </w:rPr>
        <w:t>records</w:t>
      </w:r>
      <w:r w:rsidR="00900061" w:rsidRPr="00645878">
        <w:rPr>
          <w:rFonts w:ascii="Times New Roman" w:hAnsi="Times New Roman"/>
        </w:rPr>
        <w:t xml:space="preserve"> </w:t>
      </w:r>
      <w:r w:rsidR="00B03657" w:rsidRPr="00645878">
        <w:rPr>
          <w:rFonts w:ascii="Times New Roman" w:hAnsi="Times New Roman"/>
        </w:rPr>
        <w:t>(established</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2006)</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underpin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centralized</w:t>
      </w:r>
      <w:r w:rsidR="00900061" w:rsidRPr="00645878">
        <w:rPr>
          <w:rFonts w:ascii="Times New Roman" w:hAnsi="Times New Roman"/>
        </w:rPr>
        <w:t xml:space="preserve"> </w:t>
      </w:r>
      <w:r w:rsidR="00B03657" w:rsidRPr="00645878">
        <w:rPr>
          <w:rFonts w:ascii="Times New Roman" w:hAnsi="Times New Roman"/>
        </w:rPr>
        <w:t>payroll</w:t>
      </w:r>
      <w:r w:rsidR="00900061" w:rsidRPr="00645878">
        <w:rPr>
          <w:rFonts w:ascii="Times New Roman" w:hAnsi="Times New Roman"/>
        </w:rPr>
        <w:t xml:space="preserve"> </w:t>
      </w:r>
      <w:r w:rsidR="00B03657" w:rsidRPr="00645878">
        <w:rPr>
          <w:rFonts w:ascii="Times New Roman" w:hAnsi="Times New Roman"/>
        </w:rPr>
        <w:t>system</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civil</w:t>
      </w:r>
      <w:r w:rsidR="00900061" w:rsidRPr="00645878">
        <w:rPr>
          <w:rFonts w:ascii="Times New Roman" w:hAnsi="Times New Roman"/>
        </w:rPr>
        <w:t xml:space="preserve"> </w:t>
      </w:r>
      <w:r w:rsidR="00B03657" w:rsidRPr="00645878">
        <w:rPr>
          <w:rFonts w:ascii="Times New Roman" w:hAnsi="Times New Roman"/>
        </w:rPr>
        <w:t>servants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employees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bodies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Republican</w:t>
      </w:r>
      <w:r w:rsidR="00900061" w:rsidRPr="00645878">
        <w:rPr>
          <w:rFonts w:ascii="Times New Roman" w:hAnsi="Times New Roman"/>
        </w:rPr>
        <w:t xml:space="preserve"> </w:t>
      </w:r>
      <w:r w:rsidR="00B03657" w:rsidRPr="00645878">
        <w:rPr>
          <w:rFonts w:ascii="Times New Roman" w:hAnsi="Times New Roman"/>
        </w:rPr>
        <w:t>administration</w:t>
      </w:r>
      <w:r w:rsidR="0093562C"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which</w:t>
      </w:r>
      <w:r w:rsidR="00900061" w:rsidRPr="00645878">
        <w:rPr>
          <w:rFonts w:ascii="Times New Roman" w:hAnsi="Times New Roman"/>
        </w:rPr>
        <w:t xml:space="preserve"> </w:t>
      </w:r>
      <w:r w:rsidR="00B03657" w:rsidRPr="00645878">
        <w:rPr>
          <w:rFonts w:ascii="Times New Roman" w:hAnsi="Times New Roman"/>
        </w:rPr>
        <w:t>covers</w:t>
      </w:r>
      <w:r w:rsidR="00900061" w:rsidRPr="00645878">
        <w:rPr>
          <w:rFonts w:ascii="Times New Roman" w:hAnsi="Times New Roman"/>
        </w:rPr>
        <w:t xml:space="preserve"> </w:t>
      </w:r>
      <w:r w:rsidR="00B03657" w:rsidRPr="00645878">
        <w:rPr>
          <w:rFonts w:ascii="Times New Roman" w:hAnsi="Times New Roman"/>
        </w:rPr>
        <w:t>about</w:t>
      </w:r>
      <w:r w:rsidR="00900061" w:rsidRPr="00645878">
        <w:rPr>
          <w:rFonts w:ascii="Times New Roman" w:hAnsi="Times New Roman"/>
        </w:rPr>
        <w:t xml:space="preserve"> </w:t>
      </w:r>
      <w:r w:rsidR="00B03657" w:rsidRPr="00645878">
        <w:rPr>
          <w:rFonts w:ascii="Times New Roman" w:hAnsi="Times New Roman"/>
        </w:rPr>
        <w:t>120,000</w:t>
      </w:r>
      <w:r w:rsidR="00900061" w:rsidRPr="00645878">
        <w:rPr>
          <w:rFonts w:ascii="Times New Roman" w:hAnsi="Times New Roman"/>
        </w:rPr>
        <w:t xml:space="preserve"> </w:t>
      </w:r>
      <w:r w:rsidR="00B03657" w:rsidRPr="00645878">
        <w:rPr>
          <w:rFonts w:ascii="Times New Roman" w:hAnsi="Times New Roman"/>
        </w:rPr>
        <w:t>civil</w:t>
      </w:r>
      <w:r w:rsidR="00900061" w:rsidRPr="00645878">
        <w:rPr>
          <w:rFonts w:ascii="Times New Roman" w:hAnsi="Times New Roman"/>
        </w:rPr>
        <w:t xml:space="preserve"> </w:t>
      </w:r>
      <w:r w:rsidR="00B03657" w:rsidRPr="00645878">
        <w:rPr>
          <w:rFonts w:ascii="Times New Roman" w:hAnsi="Times New Roman"/>
        </w:rPr>
        <w:t>servants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employees</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fraction</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total</w:t>
      </w:r>
      <w:r w:rsidR="00900061" w:rsidRPr="00645878">
        <w:rPr>
          <w:rFonts w:ascii="Times New Roman" w:hAnsi="Times New Roman"/>
        </w:rPr>
        <w:t xml:space="preserve"> </w:t>
      </w:r>
      <w:r w:rsidR="00B03657" w:rsidRPr="00645878">
        <w:rPr>
          <w:rFonts w:ascii="Times New Roman" w:hAnsi="Times New Roman"/>
        </w:rPr>
        <w:t>number</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general</w:t>
      </w:r>
      <w:r w:rsidR="00900061" w:rsidRPr="00645878">
        <w:rPr>
          <w:rFonts w:ascii="Times New Roman" w:hAnsi="Times New Roman"/>
        </w:rPr>
        <w:t xml:space="preserve"> </w:t>
      </w:r>
      <w:r w:rsidR="00B03657" w:rsidRPr="00645878">
        <w:rPr>
          <w:rFonts w:ascii="Times New Roman" w:hAnsi="Times New Roman"/>
        </w:rPr>
        <w:t>government</w:t>
      </w:r>
      <w:r w:rsidR="00900061" w:rsidRPr="00645878">
        <w:rPr>
          <w:rFonts w:ascii="Times New Roman" w:hAnsi="Times New Roman"/>
        </w:rPr>
        <w:t xml:space="preserve"> </w:t>
      </w:r>
      <w:r w:rsidR="00B03657" w:rsidRPr="00645878">
        <w:rPr>
          <w:rFonts w:ascii="Times New Roman" w:hAnsi="Times New Roman"/>
        </w:rPr>
        <w:t>personnel)</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undisclosed</w:t>
      </w:r>
      <w:r w:rsidR="00900061" w:rsidRPr="00645878">
        <w:rPr>
          <w:rFonts w:ascii="Times New Roman" w:hAnsi="Times New Roman"/>
        </w:rPr>
        <w:t xml:space="preserve"> </w:t>
      </w:r>
      <w:r w:rsidR="00B03657" w:rsidRPr="00645878">
        <w:rPr>
          <w:rFonts w:ascii="Times New Roman" w:hAnsi="Times New Roman"/>
        </w:rPr>
        <w:t>number</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staff</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military,</w:t>
      </w:r>
      <w:r w:rsidR="00900061" w:rsidRPr="00645878">
        <w:rPr>
          <w:rFonts w:ascii="Times New Roman" w:hAnsi="Times New Roman"/>
        </w:rPr>
        <w:t xml:space="preserve"> </w:t>
      </w:r>
      <w:r w:rsidR="00B03657" w:rsidRPr="00645878">
        <w:rPr>
          <w:rFonts w:ascii="Times New Roman" w:hAnsi="Times New Roman"/>
        </w:rPr>
        <w:t>police</w:t>
      </w:r>
      <w:r w:rsidR="00234EF3"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intelligence</w:t>
      </w:r>
      <w:r w:rsidR="00900061" w:rsidRPr="00645878">
        <w:rPr>
          <w:rFonts w:ascii="Times New Roman" w:hAnsi="Times New Roman"/>
        </w:rPr>
        <w:t xml:space="preserve"> </w:t>
      </w:r>
      <w:r w:rsidR="00B03657" w:rsidRPr="00645878">
        <w:rPr>
          <w:rFonts w:ascii="Times New Roman" w:hAnsi="Times New Roman"/>
        </w:rPr>
        <w:t>structures.</w:t>
      </w:r>
      <w:r w:rsidR="00900061" w:rsidRPr="00645878">
        <w:rPr>
          <w:rFonts w:ascii="Times New Roman" w:hAnsi="Times New Roman"/>
        </w:rPr>
        <w:t xml:space="preserve"> </w:t>
      </w:r>
      <w:r w:rsidR="00B03657" w:rsidRPr="00645878">
        <w:rPr>
          <w:rFonts w:ascii="Times New Roman" w:hAnsi="Times New Roman"/>
        </w:rPr>
        <w:t>All</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entities</w:t>
      </w:r>
      <w:r w:rsidR="00900061" w:rsidRPr="00645878">
        <w:rPr>
          <w:rFonts w:ascii="Times New Roman" w:hAnsi="Times New Roman"/>
        </w:rPr>
        <w:t xml:space="preserve"> </w:t>
      </w:r>
      <w:r w:rsidR="00B03657" w:rsidRPr="00645878">
        <w:rPr>
          <w:rFonts w:ascii="Times New Roman" w:hAnsi="Times New Roman"/>
        </w:rPr>
        <w:t>involved</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covered</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current</w:t>
      </w:r>
      <w:r w:rsidR="00900061" w:rsidRPr="00645878">
        <w:rPr>
          <w:rFonts w:ascii="Times New Roman" w:hAnsi="Times New Roman"/>
        </w:rPr>
        <w:t xml:space="preserve"> </w:t>
      </w:r>
      <w:r w:rsidR="00B03657" w:rsidRPr="00645878">
        <w:rPr>
          <w:rFonts w:ascii="Times New Roman" w:hAnsi="Times New Roman"/>
        </w:rPr>
        <w:t>centralized</w:t>
      </w:r>
      <w:r w:rsidR="00900061" w:rsidRPr="00645878">
        <w:rPr>
          <w:rFonts w:ascii="Times New Roman" w:hAnsi="Times New Roman"/>
        </w:rPr>
        <w:t xml:space="preserve"> </w:t>
      </w:r>
      <w:r w:rsidR="00B03657" w:rsidRPr="00645878">
        <w:rPr>
          <w:rFonts w:ascii="Times New Roman" w:hAnsi="Times New Roman"/>
        </w:rPr>
        <w:t>payroll</w:t>
      </w:r>
      <w:r w:rsidR="00900061" w:rsidRPr="00645878">
        <w:rPr>
          <w:rFonts w:ascii="Times New Roman" w:hAnsi="Times New Roman"/>
        </w:rPr>
        <w:t xml:space="preserve"> </w:t>
      </w:r>
      <w:r w:rsidR="00B03657" w:rsidRPr="00645878">
        <w:rPr>
          <w:rFonts w:ascii="Times New Roman" w:hAnsi="Times New Roman"/>
        </w:rPr>
        <w:t>system</w:t>
      </w:r>
      <w:r w:rsidR="00900061" w:rsidRPr="00645878">
        <w:rPr>
          <w:rFonts w:ascii="Times New Roman" w:hAnsi="Times New Roman"/>
        </w:rPr>
        <w:t xml:space="preserve"> </w:t>
      </w:r>
      <w:r w:rsidR="00B03657" w:rsidRPr="00645878">
        <w:rPr>
          <w:rFonts w:ascii="Times New Roman" w:hAnsi="Times New Roman"/>
        </w:rPr>
        <w:t>operated</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TA.</w:t>
      </w:r>
      <w:r w:rsidR="00900061" w:rsidRPr="00645878">
        <w:rPr>
          <w:rFonts w:ascii="Times New Roman" w:hAnsi="Times New Roman"/>
        </w:rPr>
        <w:t xml:space="preserve"> </w:t>
      </w:r>
      <w:r w:rsidR="00B03657" w:rsidRPr="00645878">
        <w:rPr>
          <w:rFonts w:ascii="Times New Roman" w:hAnsi="Times New Roman"/>
        </w:rPr>
        <w:t>Recent</w:t>
      </w:r>
      <w:r w:rsidR="00900061" w:rsidRPr="00645878">
        <w:rPr>
          <w:rFonts w:ascii="Times New Roman" w:hAnsi="Times New Roman"/>
        </w:rPr>
        <w:t xml:space="preserve"> </w:t>
      </w:r>
      <w:r w:rsidR="00B03657" w:rsidRPr="00645878">
        <w:rPr>
          <w:rFonts w:ascii="Times New Roman" w:hAnsi="Times New Roman"/>
        </w:rPr>
        <w:t>assessments</w:t>
      </w:r>
      <w:r w:rsidR="00900061" w:rsidRPr="00645878">
        <w:rPr>
          <w:rFonts w:ascii="Times New Roman" w:hAnsi="Times New Roman"/>
        </w:rPr>
        <w:t xml:space="preserve"> </w:t>
      </w:r>
      <w:r w:rsidR="00B03657" w:rsidRPr="00645878">
        <w:rPr>
          <w:rFonts w:ascii="Times New Roman" w:hAnsi="Times New Roman"/>
        </w:rPr>
        <w:t>indicate</w:t>
      </w:r>
      <w:r w:rsidR="00900061" w:rsidRPr="00645878">
        <w:rPr>
          <w:rFonts w:ascii="Times New Roman" w:hAnsi="Times New Roman"/>
        </w:rPr>
        <w:t xml:space="preserve"> </w:t>
      </w:r>
      <w:r w:rsidR="00B03657" w:rsidRPr="00645878">
        <w:rPr>
          <w:rFonts w:ascii="Times New Roman" w:hAnsi="Times New Roman"/>
        </w:rPr>
        <w:t>that</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degree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integration</w:t>
      </w:r>
      <w:r w:rsidR="00900061" w:rsidRPr="00645878">
        <w:rPr>
          <w:rFonts w:ascii="Times New Roman" w:hAnsi="Times New Roman"/>
        </w:rPr>
        <w:t xml:space="preserve"> </w:t>
      </w:r>
      <w:r w:rsidR="00B03657" w:rsidRPr="00645878">
        <w:rPr>
          <w:rFonts w:ascii="Times New Roman" w:hAnsi="Times New Roman"/>
        </w:rPr>
        <w:t>between</w:t>
      </w:r>
      <w:r w:rsidR="00900061" w:rsidRPr="00645878">
        <w:rPr>
          <w:rFonts w:ascii="Times New Roman" w:hAnsi="Times New Roman"/>
        </w:rPr>
        <w:t xml:space="preserve"> </w:t>
      </w:r>
      <w:r w:rsidR="00B03657" w:rsidRPr="00645878">
        <w:rPr>
          <w:rFonts w:ascii="Times New Roman" w:hAnsi="Times New Roman"/>
        </w:rPr>
        <w:t>personnel</w:t>
      </w:r>
      <w:r w:rsidR="00900061" w:rsidRPr="00645878">
        <w:rPr>
          <w:rFonts w:ascii="Times New Roman" w:hAnsi="Times New Roman"/>
        </w:rPr>
        <w:t xml:space="preserve"> </w:t>
      </w:r>
      <w:r w:rsidR="00B03657" w:rsidRPr="00645878">
        <w:rPr>
          <w:rFonts w:ascii="Times New Roman" w:hAnsi="Times New Roman"/>
        </w:rPr>
        <w:t>records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payroll,</w:t>
      </w:r>
      <w:r w:rsidR="00900061" w:rsidRPr="00645878">
        <w:rPr>
          <w:rFonts w:ascii="Times New Roman" w:hAnsi="Times New Roman"/>
        </w:rPr>
        <w:t xml:space="preserve"> </w:t>
      </w:r>
      <w:r w:rsidR="00B03657" w:rsidRPr="00645878">
        <w:rPr>
          <w:rFonts w:ascii="Times New Roman" w:hAnsi="Times New Roman"/>
        </w:rPr>
        <w:t>timeliness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changes,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internal</w:t>
      </w:r>
      <w:r w:rsidR="00900061" w:rsidRPr="00645878">
        <w:rPr>
          <w:rFonts w:ascii="Times New Roman" w:hAnsi="Times New Roman"/>
        </w:rPr>
        <w:t xml:space="preserve"> </w:t>
      </w:r>
      <w:r w:rsidR="00B03657" w:rsidRPr="00645878">
        <w:rPr>
          <w:rFonts w:ascii="Times New Roman" w:hAnsi="Times New Roman"/>
        </w:rPr>
        <w:t>controls</w:t>
      </w:r>
      <w:r w:rsidR="00900061" w:rsidRPr="00645878">
        <w:rPr>
          <w:rFonts w:ascii="Times New Roman" w:hAnsi="Times New Roman"/>
        </w:rPr>
        <w:t xml:space="preserve"> </w:t>
      </w:r>
      <w:r w:rsidR="00B03657" w:rsidRPr="00645878">
        <w:rPr>
          <w:rFonts w:ascii="Times New Roman" w:hAnsi="Times New Roman"/>
        </w:rPr>
        <w:t>over</w:t>
      </w:r>
      <w:r w:rsidR="00900061" w:rsidRPr="00645878">
        <w:rPr>
          <w:rFonts w:ascii="Times New Roman" w:hAnsi="Times New Roman"/>
        </w:rPr>
        <w:t xml:space="preserve"> </w:t>
      </w:r>
      <w:r w:rsidR="00B03657" w:rsidRPr="00645878">
        <w:rPr>
          <w:rFonts w:ascii="Times New Roman" w:hAnsi="Times New Roman"/>
        </w:rPr>
        <w:t>changes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personnel</w:t>
      </w:r>
      <w:r w:rsidR="00900061" w:rsidRPr="00645878">
        <w:rPr>
          <w:rFonts w:ascii="Times New Roman" w:hAnsi="Times New Roman"/>
        </w:rPr>
        <w:t xml:space="preserve"> </w:t>
      </w:r>
      <w:r w:rsidR="00B03657" w:rsidRPr="00645878">
        <w:rPr>
          <w:rFonts w:ascii="Times New Roman" w:hAnsi="Times New Roman"/>
        </w:rPr>
        <w:t>records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payroll</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satisfactory</w:t>
      </w:r>
      <w:r w:rsidR="00900061" w:rsidRPr="00645878">
        <w:rPr>
          <w:rFonts w:ascii="Times New Roman" w:hAnsi="Times New Roman"/>
        </w:rPr>
        <w:t xml:space="preserve"> </w:t>
      </w:r>
      <w:r w:rsidR="00B03657" w:rsidRPr="00645878">
        <w:rPr>
          <w:rFonts w:ascii="Times New Roman" w:hAnsi="Times New Roman"/>
        </w:rPr>
        <w:t>so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risk</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participating</w:t>
      </w:r>
      <w:r w:rsidR="00900061" w:rsidRPr="00645878">
        <w:rPr>
          <w:rFonts w:ascii="Times New Roman" w:hAnsi="Times New Roman"/>
        </w:rPr>
        <w:t xml:space="preserve"> </w:t>
      </w:r>
      <w:r w:rsidR="00B03657" w:rsidRPr="00645878">
        <w:rPr>
          <w:rFonts w:ascii="Times New Roman" w:hAnsi="Times New Roman"/>
        </w:rPr>
        <w:t>entities</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low.</w:t>
      </w:r>
    </w:p>
    <w:p w14:paraId="41DDC6AD" w14:textId="5C741DED" w:rsidR="006134B0" w:rsidRPr="00645878" w:rsidRDefault="002473AC"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An i</w:t>
      </w:r>
      <w:r w:rsidR="00613503" w:rsidRPr="00645878">
        <w:rPr>
          <w:rFonts w:ascii="Times New Roman" w:hAnsi="Times New Roman"/>
          <w:b/>
        </w:rPr>
        <w:t>nternal</w:t>
      </w:r>
      <w:r w:rsidR="00900061" w:rsidRPr="00645878">
        <w:rPr>
          <w:rFonts w:ascii="Times New Roman" w:hAnsi="Times New Roman"/>
          <w:b/>
        </w:rPr>
        <w:t xml:space="preserve"> </w:t>
      </w:r>
      <w:r w:rsidR="00613503" w:rsidRPr="00645878">
        <w:rPr>
          <w:rFonts w:ascii="Times New Roman" w:hAnsi="Times New Roman"/>
          <w:b/>
        </w:rPr>
        <w:t>audit</w:t>
      </w:r>
      <w:r w:rsidR="00900061" w:rsidRPr="00645878">
        <w:rPr>
          <w:rFonts w:ascii="Times New Roman" w:hAnsi="Times New Roman"/>
          <w:b/>
        </w:rPr>
        <w:t xml:space="preserve"> </w:t>
      </w:r>
      <w:r w:rsidR="00613503" w:rsidRPr="00645878">
        <w:rPr>
          <w:rFonts w:ascii="Times New Roman" w:hAnsi="Times New Roman"/>
          <w:b/>
        </w:rPr>
        <w:t>unit</w:t>
      </w:r>
      <w:r w:rsidR="00900061" w:rsidRPr="00645878">
        <w:rPr>
          <w:rFonts w:ascii="Times New Roman" w:hAnsi="Times New Roman"/>
          <w:b/>
        </w:rPr>
        <w:t xml:space="preserve"> </w:t>
      </w:r>
      <w:r w:rsidR="00613503" w:rsidRPr="00645878">
        <w:rPr>
          <w:rFonts w:ascii="Times New Roman" w:hAnsi="Times New Roman"/>
          <w:b/>
        </w:rPr>
        <w:t>has</w:t>
      </w:r>
      <w:r w:rsidR="00900061" w:rsidRPr="00645878">
        <w:rPr>
          <w:rFonts w:ascii="Times New Roman" w:hAnsi="Times New Roman"/>
          <w:b/>
        </w:rPr>
        <w:t xml:space="preserve"> </w:t>
      </w:r>
      <w:r w:rsidR="00613503" w:rsidRPr="00645878">
        <w:rPr>
          <w:rFonts w:ascii="Times New Roman" w:hAnsi="Times New Roman"/>
          <w:b/>
        </w:rPr>
        <w:t>been</w:t>
      </w:r>
      <w:r w:rsidR="00900061" w:rsidRPr="00645878">
        <w:rPr>
          <w:rFonts w:ascii="Times New Roman" w:hAnsi="Times New Roman"/>
          <w:b/>
        </w:rPr>
        <w:t xml:space="preserve"> </w:t>
      </w:r>
      <w:r w:rsidR="00613503" w:rsidRPr="00645878">
        <w:rPr>
          <w:rFonts w:ascii="Times New Roman" w:hAnsi="Times New Roman"/>
          <w:b/>
        </w:rPr>
        <w:t>established</w:t>
      </w:r>
      <w:r w:rsidR="00900061" w:rsidRPr="00645878">
        <w:rPr>
          <w:rFonts w:ascii="Times New Roman" w:hAnsi="Times New Roman"/>
          <w:b/>
        </w:rPr>
        <w:t xml:space="preserve"> </w:t>
      </w:r>
      <w:r w:rsidR="00613503" w:rsidRPr="00645878">
        <w:rPr>
          <w:rFonts w:ascii="Times New Roman" w:hAnsi="Times New Roman"/>
          <w:b/>
        </w:rPr>
        <w:t>and</w:t>
      </w:r>
      <w:r w:rsidR="00900061" w:rsidRPr="00645878">
        <w:rPr>
          <w:rFonts w:ascii="Times New Roman" w:hAnsi="Times New Roman"/>
          <w:b/>
        </w:rPr>
        <w:t xml:space="preserve"> </w:t>
      </w:r>
      <w:r w:rsidR="00613503" w:rsidRPr="00645878">
        <w:rPr>
          <w:rFonts w:ascii="Times New Roman" w:hAnsi="Times New Roman"/>
          <w:b/>
        </w:rPr>
        <w:t>made</w:t>
      </w:r>
      <w:r w:rsidR="00900061" w:rsidRPr="00645878">
        <w:rPr>
          <w:rFonts w:ascii="Times New Roman" w:hAnsi="Times New Roman"/>
          <w:b/>
        </w:rPr>
        <w:t xml:space="preserve"> </w:t>
      </w:r>
      <w:r w:rsidR="00613503" w:rsidRPr="00645878">
        <w:rPr>
          <w:rFonts w:ascii="Times New Roman" w:hAnsi="Times New Roman"/>
          <w:b/>
        </w:rPr>
        <w:t>functional</w:t>
      </w:r>
      <w:r w:rsidR="00900061" w:rsidRPr="00645878">
        <w:rPr>
          <w:rFonts w:ascii="Times New Roman" w:hAnsi="Times New Roman"/>
          <w:b/>
        </w:rPr>
        <w:t xml:space="preserve"> </w:t>
      </w:r>
      <w:r w:rsidR="00613503" w:rsidRPr="00645878">
        <w:rPr>
          <w:rFonts w:ascii="Times New Roman" w:hAnsi="Times New Roman"/>
          <w:b/>
        </w:rPr>
        <w:t>in</w:t>
      </w:r>
      <w:r w:rsidR="00BF5AA8" w:rsidRPr="00645878">
        <w:rPr>
          <w:rFonts w:ascii="Times New Roman" w:hAnsi="Times New Roman"/>
          <w:b/>
        </w:rPr>
        <w:t xml:space="preserve"> the</w:t>
      </w:r>
      <w:r w:rsidR="00900061" w:rsidRPr="00645878">
        <w:rPr>
          <w:rFonts w:ascii="Times New Roman" w:hAnsi="Times New Roman"/>
          <w:b/>
        </w:rPr>
        <w:t xml:space="preserve"> </w:t>
      </w:r>
      <w:r w:rsidR="007D4C2C" w:rsidRPr="00645878">
        <w:rPr>
          <w:rFonts w:ascii="Times New Roman" w:hAnsi="Times New Roman"/>
          <w:b/>
        </w:rPr>
        <w:t>P</w:t>
      </w:r>
      <w:r w:rsidR="00613503" w:rsidRPr="00645878">
        <w:rPr>
          <w:rFonts w:ascii="Times New Roman" w:hAnsi="Times New Roman"/>
          <w:b/>
        </w:rPr>
        <w:t>rogram</w:t>
      </w:r>
      <w:r w:rsidR="00900061" w:rsidRPr="00645878">
        <w:rPr>
          <w:rFonts w:ascii="Times New Roman" w:hAnsi="Times New Roman"/>
          <w:b/>
        </w:rPr>
        <w:t xml:space="preserve"> </w:t>
      </w:r>
      <w:r w:rsidR="00613503" w:rsidRPr="00645878">
        <w:rPr>
          <w:rFonts w:ascii="Times New Roman" w:hAnsi="Times New Roman"/>
          <w:b/>
        </w:rPr>
        <w:t>implementing</w:t>
      </w:r>
      <w:r w:rsidR="00900061" w:rsidRPr="00645878">
        <w:rPr>
          <w:rFonts w:ascii="Times New Roman" w:hAnsi="Times New Roman"/>
          <w:b/>
        </w:rPr>
        <w:t xml:space="preserve"> </w:t>
      </w:r>
      <w:r w:rsidR="00613503" w:rsidRPr="00645878">
        <w:rPr>
          <w:rFonts w:ascii="Times New Roman" w:hAnsi="Times New Roman"/>
          <w:b/>
        </w:rPr>
        <w:t>entities,</w:t>
      </w:r>
      <w:r w:rsidR="00900061" w:rsidRPr="00645878">
        <w:rPr>
          <w:rFonts w:ascii="Times New Roman" w:hAnsi="Times New Roman"/>
          <w:b/>
        </w:rPr>
        <w:t xml:space="preserve"> </w:t>
      </w:r>
      <w:r w:rsidR="00613503" w:rsidRPr="00645878">
        <w:rPr>
          <w:rFonts w:ascii="Times New Roman" w:hAnsi="Times New Roman"/>
          <w:b/>
        </w:rPr>
        <w:t>but</w:t>
      </w:r>
      <w:r w:rsidR="00900061" w:rsidRPr="00645878">
        <w:rPr>
          <w:rFonts w:ascii="Times New Roman" w:hAnsi="Times New Roman"/>
          <w:b/>
        </w:rPr>
        <w:t xml:space="preserve"> </w:t>
      </w:r>
      <w:r w:rsidR="00613503" w:rsidRPr="00645878">
        <w:rPr>
          <w:rFonts w:ascii="Times New Roman" w:hAnsi="Times New Roman"/>
          <w:b/>
        </w:rPr>
        <w:t>similar</w:t>
      </w:r>
      <w:r w:rsidR="00900061" w:rsidRPr="00645878">
        <w:rPr>
          <w:rFonts w:ascii="Times New Roman" w:hAnsi="Times New Roman"/>
          <w:b/>
        </w:rPr>
        <w:t xml:space="preserve"> </w:t>
      </w:r>
      <w:r w:rsidR="00613503" w:rsidRPr="00645878">
        <w:rPr>
          <w:rFonts w:ascii="Times New Roman" w:hAnsi="Times New Roman"/>
          <w:b/>
        </w:rPr>
        <w:t>to</w:t>
      </w:r>
      <w:r w:rsidR="00900061" w:rsidRPr="00645878">
        <w:rPr>
          <w:rFonts w:ascii="Times New Roman" w:hAnsi="Times New Roman"/>
          <w:b/>
        </w:rPr>
        <w:t xml:space="preserve"> </w:t>
      </w:r>
      <w:r w:rsidR="00613503" w:rsidRPr="00645878">
        <w:rPr>
          <w:rFonts w:ascii="Times New Roman" w:hAnsi="Times New Roman"/>
          <w:b/>
        </w:rPr>
        <w:t>the</w:t>
      </w:r>
      <w:r w:rsidR="00900061" w:rsidRPr="00645878">
        <w:rPr>
          <w:rFonts w:ascii="Times New Roman" w:hAnsi="Times New Roman"/>
          <w:b/>
        </w:rPr>
        <w:t xml:space="preserve"> </w:t>
      </w:r>
      <w:r w:rsidR="00613503" w:rsidRPr="00645878">
        <w:rPr>
          <w:rFonts w:ascii="Times New Roman" w:hAnsi="Times New Roman"/>
          <w:b/>
        </w:rPr>
        <w:t>whole</w:t>
      </w:r>
      <w:r w:rsidR="00900061" w:rsidRPr="00645878">
        <w:rPr>
          <w:rFonts w:ascii="Times New Roman" w:hAnsi="Times New Roman"/>
          <w:b/>
        </w:rPr>
        <w:t xml:space="preserve"> </w:t>
      </w:r>
      <w:r w:rsidR="00613503" w:rsidRPr="00645878">
        <w:rPr>
          <w:rFonts w:ascii="Times New Roman" w:hAnsi="Times New Roman"/>
          <w:b/>
        </w:rPr>
        <w:t>public</w:t>
      </w:r>
      <w:r w:rsidR="00900061" w:rsidRPr="00645878">
        <w:rPr>
          <w:rFonts w:ascii="Times New Roman" w:hAnsi="Times New Roman"/>
          <w:b/>
        </w:rPr>
        <w:t xml:space="preserve"> </w:t>
      </w:r>
      <w:r w:rsidR="00613503" w:rsidRPr="00645878">
        <w:rPr>
          <w:rFonts w:ascii="Times New Roman" w:hAnsi="Times New Roman"/>
          <w:b/>
        </w:rPr>
        <w:t>sector</w:t>
      </w:r>
      <w:r w:rsidR="00900061" w:rsidRPr="00645878">
        <w:rPr>
          <w:rFonts w:ascii="Times New Roman" w:hAnsi="Times New Roman"/>
          <w:b/>
        </w:rPr>
        <w:t xml:space="preserve"> </w:t>
      </w:r>
      <w:r w:rsidR="00613503" w:rsidRPr="00645878">
        <w:rPr>
          <w:rFonts w:ascii="Times New Roman" w:hAnsi="Times New Roman"/>
          <w:b/>
        </w:rPr>
        <w:t>it</w:t>
      </w:r>
      <w:r w:rsidR="00900061" w:rsidRPr="00645878">
        <w:rPr>
          <w:rFonts w:ascii="Times New Roman" w:hAnsi="Times New Roman"/>
          <w:b/>
        </w:rPr>
        <w:t xml:space="preserve"> </w:t>
      </w:r>
      <w:r w:rsidR="00613503" w:rsidRPr="00645878">
        <w:rPr>
          <w:rFonts w:ascii="Times New Roman" w:hAnsi="Times New Roman"/>
          <w:b/>
        </w:rPr>
        <w:t>needs</w:t>
      </w:r>
      <w:r w:rsidR="00900061" w:rsidRPr="00645878">
        <w:rPr>
          <w:rFonts w:ascii="Times New Roman" w:hAnsi="Times New Roman"/>
          <w:b/>
        </w:rPr>
        <w:t xml:space="preserve"> </w:t>
      </w:r>
      <w:r w:rsidR="00613503" w:rsidRPr="00645878">
        <w:rPr>
          <w:rFonts w:ascii="Times New Roman" w:hAnsi="Times New Roman"/>
          <w:b/>
        </w:rPr>
        <w:t>substantial</w:t>
      </w:r>
      <w:r w:rsidR="00900061" w:rsidRPr="00645878">
        <w:rPr>
          <w:rFonts w:ascii="Times New Roman" w:hAnsi="Times New Roman"/>
          <w:b/>
        </w:rPr>
        <w:t xml:space="preserve"> </w:t>
      </w:r>
      <w:r w:rsidR="00613503" w:rsidRPr="00645878">
        <w:rPr>
          <w:rFonts w:ascii="Times New Roman" w:hAnsi="Times New Roman"/>
          <w:b/>
        </w:rPr>
        <w:t>institutional,</w:t>
      </w:r>
      <w:r w:rsidR="00900061" w:rsidRPr="00645878">
        <w:rPr>
          <w:rFonts w:ascii="Times New Roman" w:hAnsi="Times New Roman"/>
          <w:b/>
        </w:rPr>
        <w:t xml:space="preserve"> </w:t>
      </w:r>
      <w:r w:rsidR="00613503" w:rsidRPr="00645878">
        <w:rPr>
          <w:rFonts w:ascii="Times New Roman" w:hAnsi="Times New Roman"/>
          <w:b/>
        </w:rPr>
        <w:t>methodological</w:t>
      </w:r>
      <w:r w:rsidR="005D7FCC" w:rsidRPr="00645878">
        <w:rPr>
          <w:rFonts w:ascii="Times New Roman" w:hAnsi="Times New Roman"/>
          <w:b/>
        </w:rPr>
        <w:t>,</w:t>
      </w:r>
      <w:r w:rsidR="00900061" w:rsidRPr="00645878">
        <w:rPr>
          <w:rFonts w:ascii="Times New Roman" w:hAnsi="Times New Roman"/>
          <w:b/>
        </w:rPr>
        <w:t xml:space="preserve"> </w:t>
      </w:r>
      <w:r w:rsidR="00613503" w:rsidRPr="00645878">
        <w:rPr>
          <w:rFonts w:ascii="Times New Roman" w:hAnsi="Times New Roman"/>
          <w:b/>
        </w:rPr>
        <w:t>and</w:t>
      </w:r>
      <w:r w:rsidR="00900061" w:rsidRPr="00645878">
        <w:rPr>
          <w:rFonts w:ascii="Times New Roman" w:hAnsi="Times New Roman"/>
          <w:b/>
        </w:rPr>
        <w:t xml:space="preserve"> </w:t>
      </w:r>
      <w:r w:rsidR="00613503" w:rsidRPr="00645878">
        <w:rPr>
          <w:rFonts w:ascii="Times New Roman" w:hAnsi="Times New Roman"/>
          <w:b/>
        </w:rPr>
        <w:t>capacity</w:t>
      </w:r>
      <w:r w:rsidR="00900061" w:rsidRPr="00645878">
        <w:rPr>
          <w:rFonts w:ascii="Times New Roman" w:hAnsi="Times New Roman"/>
          <w:b/>
        </w:rPr>
        <w:t xml:space="preserve"> </w:t>
      </w:r>
      <w:r w:rsidR="00613503" w:rsidRPr="00645878">
        <w:rPr>
          <w:rFonts w:ascii="Times New Roman" w:hAnsi="Times New Roman"/>
          <w:b/>
        </w:rPr>
        <w:t>developments.</w:t>
      </w:r>
      <w:r w:rsidR="00900061" w:rsidRPr="00645878">
        <w:rPr>
          <w:rFonts w:ascii="Times New Roman" w:hAnsi="Times New Roman"/>
        </w:rPr>
        <w:t xml:space="preserve"> </w:t>
      </w:r>
      <w:r w:rsidR="00F6064B" w:rsidRPr="00645878">
        <w:rPr>
          <w:rFonts w:ascii="Times New Roman" w:hAnsi="Times New Roman"/>
        </w:rPr>
        <w:t xml:space="preserve">The </w:t>
      </w:r>
      <w:r w:rsidR="00613503" w:rsidRPr="00645878">
        <w:rPr>
          <w:rFonts w:ascii="Times New Roman" w:hAnsi="Times New Roman"/>
        </w:rPr>
        <w:t>MPALSG</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A25243" w:rsidRPr="00645878">
        <w:rPr>
          <w:rFonts w:ascii="Times New Roman" w:hAnsi="Times New Roman"/>
        </w:rPr>
        <w:t xml:space="preserve">the </w:t>
      </w:r>
      <w:r w:rsidR="00613503" w:rsidRPr="00645878">
        <w:rPr>
          <w:rFonts w:ascii="Times New Roman" w:hAnsi="Times New Roman"/>
        </w:rPr>
        <w:t>TA</w:t>
      </w:r>
      <w:r w:rsidR="00900061" w:rsidRPr="00645878">
        <w:rPr>
          <w:rFonts w:ascii="Times New Roman" w:hAnsi="Times New Roman"/>
        </w:rPr>
        <w:t xml:space="preserve"> </w:t>
      </w:r>
      <w:r w:rsidR="00613503" w:rsidRPr="00645878">
        <w:rPr>
          <w:rFonts w:ascii="Times New Roman" w:hAnsi="Times New Roman"/>
        </w:rPr>
        <w:t>have</w:t>
      </w:r>
      <w:r w:rsidR="00900061" w:rsidRPr="00645878">
        <w:rPr>
          <w:rFonts w:ascii="Times New Roman" w:hAnsi="Times New Roman"/>
        </w:rPr>
        <w:t xml:space="preserve"> </w:t>
      </w:r>
      <w:r w:rsidR="00613503" w:rsidRPr="00645878">
        <w:rPr>
          <w:rFonts w:ascii="Times New Roman" w:hAnsi="Times New Roman"/>
        </w:rPr>
        <w:t>one</w:t>
      </w:r>
      <w:r w:rsidR="00900061" w:rsidRPr="00645878">
        <w:rPr>
          <w:rFonts w:ascii="Times New Roman" w:hAnsi="Times New Roman"/>
        </w:rPr>
        <w:t xml:space="preserve"> </w:t>
      </w:r>
      <w:r w:rsidR="00613503" w:rsidRPr="00645878">
        <w:rPr>
          <w:rFonts w:ascii="Times New Roman" w:hAnsi="Times New Roman"/>
        </w:rPr>
        <w:t>employee</w:t>
      </w:r>
      <w:r w:rsidR="00900061" w:rsidRPr="00645878">
        <w:rPr>
          <w:rFonts w:ascii="Times New Roman" w:hAnsi="Times New Roman"/>
        </w:rPr>
        <w:t xml:space="preserve"> </w:t>
      </w:r>
      <w:r w:rsidR="00613503" w:rsidRPr="00645878">
        <w:rPr>
          <w:rFonts w:ascii="Times New Roman" w:hAnsi="Times New Roman"/>
        </w:rPr>
        <w:t>each</w:t>
      </w:r>
      <w:r w:rsidR="00900061" w:rsidRPr="00645878">
        <w:rPr>
          <w:rFonts w:ascii="Times New Roman" w:hAnsi="Times New Roman"/>
        </w:rPr>
        <w:t xml:space="preserve"> </w:t>
      </w:r>
      <w:r w:rsidR="00613503" w:rsidRPr="00645878">
        <w:rPr>
          <w:rFonts w:ascii="Times New Roman" w:hAnsi="Times New Roman"/>
        </w:rPr>
        <w:t>in</w:t>
      </w:r>
      <w:r w:rsidR="00FA242B" w:rsidRPr="00645878">
        <w:rPr>
          <w:rFonts w:ascii="Times New Roman" w:hAnsi="Times New Roman"/>
        </w:rPr>
        <w:t xml:space="preserve"> the</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department.</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prepares</w:t>
      </w:r>
      <w:r w:rsidR="00900061" w:rsidRPr="00645878">
        <w:rPr>
          <w:rFonts w:ascii="Times New Roman" w:hAnsi="Times New Roman"/>
        </w:rPr>
        <w:t xml:space="preserve"> </w:t>
      </w:r>
      <w:r w:rsidR="00613503" w:rsidRPr="00645878">
        <w:rPr>
          <w:rFonts w:ascii="Times New Roman" w:hAnsi="Times New Roman"/>
        </w:rPr>
        <w:t>annual</w:t>
      </w:r>
      <w:r w:rsidR="00900061" w:rsidRPr="00645878">
        <w:rPr>
          <w:rFonts w:ascii="Times New Roman" w:hAnsi="Times New Roman"/>
        </w:rPr>
        <w:t xml:space="preserve"> </w:t>
      </w:r>
      <w:r w:rsidR="00613503" w:rsidRPr="00645878">
        <w:rPr>
          <w:rFonts w:ascii="Times New Roman" w:hAnsi="Times New Roman"/>
        </w:rPr>
        <w:t>plans</w:t>
      </w:r>
      <w:r w:rsidR="00900061" w:rsidRPr="00645878">
        <w:rPr>
          <w:rFonts w:ascii="Times New Roman" w:hAnsi="Times New Roman"/>
        </w:rPr>
        <w:t xml:space="preserve"> </w:t>
      </w:r>
      <w:r w:rsidR="00613503" w:rsidRPr="00645878">
        <w:rPr>
          <w:rFonts w:ascii="Times New Roman" w:hAnsi="Times New Roman"/>
        </w:rPr>
        <w:t>based</w:t>
      </w:r>
      <w:r w:rsidR="00900061" w:rsidRPr="00645878">
        <w:rPr>
          <w:rFonts w:ascii="Times New Roman" w:hAnsi="Times New Roman"/>
        </w:rPr>
        <w:t xml:space="preserve"> </w:t>
      </w:r>
      <w:r w:rsidR="00613503" w:rsidRPr="00645878">
        <w:rPr>
          <w:rFonts w:ascii="Times New Roman" w:hAnsi="Times New Roman"/>
        </w:rPr>
        <w:t>on</w:t>
      </w:r>
      <w:r w:rsidR="00900061" w:rsidRPr="00645878">
        <w:rPr>
          <w:rFonts w:ascii="Times New Roman" w:hAnsi="Times New Roman"/>
        </w:rPr>
        <w:t xml:space="preserve"> </w:t>
      </w:r>
      <w:r w:rsidR="00613503" w:rsidRPr="00645878">
        <w:rPr>
          <w:rFonts w:ascii="Times New Roman" w:hAnsi="Times New Roman"/>
        </w:rPr>
        <w:t>assessed</w:t>
      </w:r>
      <w:r w:rsidR="00900061" w:rsidRPr="00645878">
        <w:rPr>
          <w:rFonts w:ascii="Times New Roman" w:hAnsi="Times New Roman"/>
        </w:rPr>
        <w:t xml:space="preserve"> </w:t>
      </w:r>
      <w:r w:rsidR="00613503" w:rsidRPr="00645878">
        <w:rPr>
          <w:rFonts w:ascii="Times New Roman" w:hAnsi="Times New Roman"/>
        </w:rPr>
        <w:t>risks</w:t>
      </w:r>
      <w:r w:rsidR="004729AC" w:rsidRPr="00645878">
        <w:rPr>
          <w:rFonts w:ascii="Times New Roman" w:hAnsi="Times New Roman"/>
        </w:rPr>
        <w:t>,</w:t>
      </w:r>
      <w:r w:rsidR="00900061" w:rsidRPr="00645878">
        <w:rPr>
          <w:rFonts w:ascii="Times New Roman" w:hAnsi="Times New Roman"/>
        </w:rPr>
        <w:t xml:space="preserve"> </w:t>
      </w:r>
      <w:r w:rsidR="00613503" w:rsidRPr="00645878">
        <w:rPr>
          <w:rFonts w:ascii="Times New Roman" w:hAnsi="Times New Roman"/>
        </w:rPr>
        <w:t>which</w:t>
      </w:r>
      <w:r w:rsidR="00900061" w:rsidRPr="00645878">
        <w:rPr>
          <w:rFonts w:ascii="Times New Roman" w:hAnsi="Times New Roman"/>
        </w:rPr>
        <w:t xml:space="preserve"> </w:t>
      </w:r>
      <w:r w:rsidR="00613503" w:rsidRPr="00645878">
        <w:rPr>
          <w:rFonts w:ascii="Times New Roman" w:hAnsi="Times New Roman"/>
        </w:rPr>
        <w:t>are</w:t>
      </w:r>
      <w:r w:rsidR="00900061" w:rsidRPr="00645878">
        <w:rPr>
          <w:rFonts w:ascii="Times New Roman" w:hAnsi="Times New Roman"/>
        </w:rPr>
        <w:t xml:space="preserve"> </w:t>
      </w:r>
      <w:r w:rsidR="00613503" w:rsidRPr="00645878">
        <w:rPr>
          <w:rFonts w:ascii="Times New Roman" w:hAnsi="Times New Roman"/>
        </w:rPr>
        <w:t>duly</w:t>
      </w:r>
      <w:r w:rsidR="00900061" w:rsidRPr="00645878">
        <w:rPr>
          <w:rFonts w:ascii="Times New Roman" w:hAnsi="Times New Roman"/>
        </w:rPr>
        <w:t xml:space="preserve"> </w:t>
      </w:r>
      <w:r w:rsidR="00613503" w:rsidRPr="00645878">
        <w:rPr>
          <w:rFonts w:ascii="Times New Roman" w:hAnsi="Times New Roman"/>
        </w:rPr>
        <w:t>implemented.</w:t>
      </w:r>
      <w:r w:rsidR="00900061" w:rsidRPr="00645878">
        <w:rPr>
          <w:rFonts w:ascii="Times New Roman" w:hAnsi="Times New Roman"/>
        </w:rPr>
        <w:t xml:space="preserve"> </w:t>
      </w:r>
      <w:r w:rsidR="00613503" w:rsidRPr="00645878">
        <w:rPr>
          <w:rFonts w:ascii="Times New Roman" w:hAnsi="Times New Roman"/>
        </w:rPr>
        <w:t>Implementation</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follow</w:t>
      </w:r>
      <w:r w:rsidR="004729AC" w:rsidRPr="00645878">
        <w:rPr>
          <w:rFonts w:ascii="Times New Roman" w:hAnsi="Times New Roman"/>
        </w:rPr>
        <w:t>-</w:t>
      </w:r>
      <w:r w:rsidR="00613503" w:rsidRPr="00645878">
        <w:rPr>
          <w:rFonts w:ascii="Times New Roman" w:hAnsi="Times New Roman"/>
        </w:rPr>
        <w:t>up</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recommendations</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is</w:t>
      </w:r>
      <w:r w:rsidR="00900061" w:rsidRPr="00645878">
        <w:rPr>
          <w:rFonts w:ascii="Times New Roman" w:hAnsi="Times New Roman"/>
        </w:rPr>
        <w:t xml:space="preserve"> </w:t>
      </w:r>
      <w:r w:rsidR="00613503" w:rsidRPr="00645878">
        <w:rPr>
          <w:rFonts w:ascii="Times New Roman" w:hAnsi="Times New Roman"/>
        </w:rPr>
        <w:t>limited</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needs</w:t>
      </w:r>
      <w:r w:rsidR="00900061" w:rsidRPr="00645878">
        <w:rPr>
          <w:rFonts w:ascii="Times New Roman" w:hAnsi="Times New Roman"/>
        </w:rPr>
        <w:t xml:space="preserve"> </w:t>
      </w:r>
      <w:r w:rsidR="00613503" w:rsidRPr="00645878">
        <w:rPr>
          <w:rFonts w:ascii="Times New Roman" w:hAnsi="Times New Roman"/>
        </w:rPr>
        <w:t>improvements.</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F36405" w:rsidRPr="00645878">
        <w:rPr>
          <w:rFonts w:ascii="Times New Roman" w:hAnsi="Times New Roman"/>
        </w:rPr>
        <w:t>P</w:t>
      </w:r>
      <w:r w:rsidR="00613503" w:rsidRPr="00645878">
        <w:rPr>
          <w:rFonts w:ascii="Times New Roman" w:hAnsi="Times New Roman"/>
        </w:rPr>
        <w:t>rogram</w:t>
      </w:r>
      <w:r w:rsidR="00900061" w:rsidRPr="00645878">
        <w:rPr>
          <w:rFonts w:ascii="Times New Roman" w:hAnsi="Times New Roman"/>
        </w:rPr>
        <w:t xml:space="preserve"> </w:t>
      </w:r>
      <w:r w:rsidR="00613503" w:rsidRPr="00645878">
        <w:rPr>
          <w:rFonts w:ascii="Times New Roman" w:hAnsi="Times New Roman"/>
        </w:rPr>
        <w:t>will</w:t>
      </w:r>
      <w:r w:rsidR="00900061" w:rsidRPr="00645878">
        <w:rPr>
          <w:rFonts w:ascii="Times New Roman" w:hAnsi="Times New Roman"/>
        </w:rPr>
        <w:t xml:space="preserve"> </w:t>
      </w:r>
      <w:r w:rsidR="00613503" w:rsidRPr="00645878">
        <w:rPr>
          <w:rFonts w:ascii="Times New Roman" w:hAnsi="Times New Roman"/>
        </w:rPr>
        <w:t>not</w:t>
      </w:r>
      <w:r w:rsidR="00900061" w:rsidRPr="00645878">
        <w:rPr>
          <w:rFonts w:ascii="Times New Roman" w:hAnsi="Times New Roman"/>
        </w:rPr>
        <w:t xml:space="preserve"> </w:t>
      </w:r>
      <w:r w:rsidR="00613503" w:rsidRPr="00645878">
        <w:rPr>
          <w:rFonts w:ascii="Times New Roman" w:hAnsi="Times New Roman"/>
        </w:rPr>
        <w:t>rely</w:t>
      </w:r>
      <w:r w:rsidR="00900061" w:rsidRPr="00645878">
        <w:rPr>
          <w:rFonts w:ascii="Times New Roman" w:hAnsi="Times New Roman"/>
        </w:rPr>
        <w:t xml:space="preserve"> </w:t>
      </w:r>
      <w:r w:rsidR="00613503" w:rsidRPr="00645878">
        <w:rPr>
          <w:rFonts w:ascii="Times New Roman" w:hAnsi="Times New Roman"/>
        </w:rPr>
        <w:t>on</w:t>
      </w:r>
      <w:r w:rsidR="00900061" w:rsidRPr="00645878">
        <w:rPr>
          <w:rFonts w:ascii="Times New Roman" w:hAnsi="Times New Roman"/>
        </w:rPr>
        <w:t xml:space="preserve"> </w:t>
      </w:r>
      <w:r w:rsidR="004729AC" w:rsidRPr="00645878">
        <w:rPr>
          <w:rFonts w:ascii="Times New Roman" w:hAnsi="Times New Roman"/>
        </w:rPr>
        <w:t xml:space="preserve">the </w:t>
      </w:r>
      <w:r w:rsidR="00613503" w:rsidRPr="00645878">
        <w:rPr>
          <w:rFonts w:ascii="Times New Roman" w:hAnsi="Times New Roman"/>
        </w:rPr>
        <w:t>findings</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as</w:t>
      </w:r>
      <w:r w:rsidR="00900061" w:rsidRPr="00645878">
        <w:rPr>
          <w:rFonts w:ascii="Times New Roman" w:hAnsi="Times New Roman"/>
        </w:rPr>
        <w:t xml:space="preserve"> </w:t>
      </w:r>
      <w:r w:rsidR="00613503" w:rsidRPr="00645878">
        <w:rPr>
          <w:rFonts w:ascii="Times New Roman" w:hAnsi="Times New Roman"/>
        </w:rPr>
        <w:t>an</w:t>
      </w:r>
      <w:r w:rsidR="00900061" w:rsidRPr="00645878">
        <w:rPr>
          <w:rFonts w:ascii="Times New Roman" w:hAnsi="Times New Roman"/>
        </w:rPr>
        <w:t xml:space="preserve"> </w:t>
      </w:r>
      <w:r w:rsidR="00613503" w:rsidRPr="00645878">
        <w:rPr>
          <w:rFonts w:ascii="Times New Roman" w:hAnsi="Times New Roman"/>
        </w:rPr>
        <w:t>instituted</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agreed</w:t>
      </w:r>
      <w:r w:rsidR="00900061" w:rsidRPr="00645878">
        <w:rPr>
          <w:rFonts w:ascii="Times New Roman" w:hAnsi="Times New Roman"/>
        </w:rPr>
        <w:t xml:space="preserve"> </w:t>
      </w:r>
      <w:r w:rsidR="00613503" w:rsidRPr="00645878">
        <w:rPr>
          <w:rFonts w:ascii="Times New Roman" w:hAnsi="Times New Roman"/>
        </w:rPr>
        <w:t>measure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confirming</w:t>
      </w:r>
      <w:r w:rsidR="00900061" w:rsidRPr="00645878">
        <w:rPr>
          <w:rFonts w:ascii="Times New Roman" w:hAnsi="Times New Roman"/>
        </w:rPr>
        <w:t xml:space="preserve"> </w:t>
      </w:r>
      <w:r w:rsidR="00613503" w:rsidRPr="00645878">
        <w:rPr>
          <w:rFonts w:ascii="Times New Roman" w:hAnsi="Times New Roman"/>
        </w:rPr>
        <w:t>appropriate</w:t>
      </w:r>
      <w:r w:rsidR="00900061" w:rsidRPr="00645878">
        <w:rPr>
          <w:rFonts w:ascii="Times New Roman" w:hAnsi="Times New Roman"/>
        </w:rPr>
        <w:t xml:space="preserve"> </w:t>
      </w:r>
      <w:r w:rsidR="00613503" w:rsidRPr="00645878">
        <w:rPr>
          <w:rFonts w:ascii="Times New Roman" w:hAnsi="Times New Roman"/>
        </w:rPr>
        <w:t>fiduciary</w:t>
      </w:r>
      <w:r w:rsidR="00900061" w:rsidRPr="00645878">
        <w:rPr>
          <w:rFonts w:ascii="Times New Roman" w:hAnsi="Times New Roman"/>
        </w:rPr>
        <w:t xml:space="preserve"> </w:t>
      </w:r>
      <w:r w:rsidR="00613503" w:rsidRPr="00645878">
        <w:rPr>
          <w:rFonts w:ascii="Times New Roman" w:hAnsi="Times New Roman"/>
        </w:rPr>
        <w:t>arrangements</w:t>
      </w:r>
      <w:r w:rsidR="00900061" w:rsidRPr="00645878">
        <w:rPr>
          <w:rFonts w:ascii="Times New Roman" w:hAnsi="Times New Roman"/>
        </w:rPr>
        <w:t xml:space="preserve"> </w:t>
      </w:r>
      <w:r w:rsidR="00613503" w:rsidRPr="00645878">
        <w:rPr>
          <w:rFonts w:ascii="Times New Roman" w:hAnsi="Times New Roman"/>
        </w:rPr>
        <w:t>for</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5111CE" w:rsidRPr="00645878">
        <w:rPr>
          <w:rFonts w:ascii="Times New Roman" w:hAnsi="Times New Roman"/>
        </w:rPr>
        <w:t>P</w:t>
      </w:r>
      <w:r w:rsidR="00613503" w:rsidRPr="00645878">
        <w:rPr>
          <w:rFonts w:ascii="Times New Roman" w:hAnsi="Times New Roman"/>
        </w:rPr>
        <w:t>rogram</w:t>
      </w:r>
      <w:r w:rsidR="00900061" w:rsidRPr="00645878">
        <w:rPr>
          <w:rFonts w:ascii="Times New Roman" w:hAnsi="Times New Roman"/>
        </w:rPr>
        <w:t xml:space="preserve"> </w:t>
      </w:r>
      <w:r w:rsidR="00613503" w:rsidRPr="00645878">
        <w:rPr>
          <w:rFonts w:ascii="Times New Roman" w:hAnsi="Times New Roman"/>
        </w:rPr>
        <w:t>during</w:t>
      </w:r>
      <w:r w:rsidR="00900061" w:rsidRPr="00645878">
        <w:rPr>
          <w:rFonts w:ascii="Times New Roman" w:hAnsi="Times New Roman"/>
        </w:rPr>
        <w:t xml:space="preserve"> </w:t>
      </w:r>
      <w:r w:rsidR="00613503" w:rsidRPr="00645878">
        <w:rPr>
          <w:rFonts w:ascii="Times New Roman" w:hAnsi="Times New Roman"/>
        </w:rPr>
        <w:t>implementation,</w:t>
      </w:r>
      <w:r w:rsidR="00900061" w:rsidRPr="00645878">
        <w:rPr>
          <w:rFonts w:ascii="Times New Roman" w:hAnsi="Times New Roman"/>
        </w:rPr>
        <w:t xml:space="preserve"> </w:t>
      </w:r>
      <w:r w:rsidR="00613503" w:rsidRPr="00645878">
        <w:rPr>
          <w:rFonts w:ascii="Times New Roman" w:hAnsi="Times New Roman"/>
        </w:rPr>
        <w:t>but</w:t>
      </w:r>
      <w:r w:rsidR="00900061" w:rsidRPr="00645878">
        <w:rPr>
          <w:rFonts w:ascii="Times New Roman" w:hAnsi="Times New Roman"/>
        </w:rPr>
        <w:t xml:space="preserve"> </w:t>
      </w:r>
      <w:r w:rsidR="00613503" w:rsidRPr="00645878">
        <w:rPr>
          <w:rFonts w:ascii="Times New Roman" w:hAnsi="Times New Roman"/>
        </w:rPr>
        <w:t>it</w:t>
      </w:r>
      <w:r w:rsidR="00900061" w:rsidRPr="00645878">
        <w:rPr>
          <w:rFonts w:ascii="Times New Roman" w:hAnsi="Times New Roman"/>
        </w:rPr>
        <w:t xml:space="preserve"> </w:t>
      </w:r>
      <w:r w:rsidR="00613503" w:rsidRPr="00645878">
        <w:rPr>
          <w:rFonts w:ascii="Times New Roman" w:hAnsi="Times New Roman"/>
        </w:rPr>
        <w:t>will</w:t>
      </w:r>
      <w:r w:rsidR="00900061" w:rsidRPr="00645878">
        <w:rPr>
          <w:rFonts w:ascii="Times New Roman" w:hAnsi="Times New Roman"/>
        </w:rPr>
        <w:t xml:space="preserve"> </w:t>
      </w:r>
      <w:r w:rsidR="00613503" w:rsidRPr="00645878">
        <w:rPr>
          <w:rFonts w:ascii="Times New Roman" w:hAnsi="Times New Roman"/>
        </w:rPr>
        <w:t>consult</w:t>
      </w:r>
      <w:r w:rsidR="00900061" w:rsidRPr="00645878">
        <w:rPr>
          <w:rFonts w:ascii="Times New Roman" w:hAnsi="Times New Roman"/>
        </w:rPr>
        <w:t xml:space="preserve"> </w:t>
      </w:r>
      <w:r w:rsidR="00613503" w:rsidRPr="00645878">
        <w:rPr>
          <w:rFonts w:ascii="Times New Roman" w:hAnsi="Times New Roman"/>
        </w:rPr>
        <w:t>reports</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audits</w:t>
      </w:r>
      <w:r w:rsidR="00900061" w:rsidRPr="00645878">
        <w:rPr>
          <w:rFonts w:ascii="Times New Roman" w:hAnsi="Times New Roman"/>
        </w:rPr>
        <w:t xml:space="preserve"> </w:t>
      </w:r>
      <w:r w:rsidR="00613503" w:rsidRPr="00645878">
        <w:rPr>
          <w:rFonts w:ascii="Times New Roman" w:hAnsi="Times New Roman"/>
        </w:rPr>
        <w:t>for</w:t>
      </w:r>
      <w:r w:rsidR="00900061" w:rsidRPr="00645878">
        <w:rPr>
          <w:rFonts w:ascii="Times New Roman" w:hAnsi="Times New Roman"/>
        </w:rPr>
        <w:t xml:space="preserve"> </w:t>
      </w:r>
      <w:r w:rsidR="00613503" w:rsidRPr="00645878">
        <w:rPr>
          <w:rFonts w:ascii="Times New Roman" w:hAnsi="Times New Roman"/>
        </w:rPr>
        <w:t>entities</w:t>
      </w:r>
      <w:r w:rsidR="00900061" w:rsidRPr="00645878">
        <w:rPr>
          <w:rFonts w:ascii="Times New Roman" w:hAnsi="Times New Roman"/>
        </w:rPr>
        <w:t xml:space="preserve"> </w:t>
      </w:r>
      <w:r w:rsidR="00613503" w:rsidRPr="00645878">
        <w:rPr>
          <w:rFonts w:ascii="Times New Roman" w:hAnsi="Times New Roman"/>
        </w:rPr>
        <w:t>involved</w:t>
      </w:r>
      <w:r w:rsidR="00900061" w:rsidRPr="00645878">
        <w:rPr>
          <w:rFonts w:ascii="Times New Roman" w:hAnsi="Times New Roman"/>
        </w:rPr>
        <w:t xml:space="preserve"> </w:t>
      </w:r>
      <w:r w:rsidR="00613503" w:rsidRPr="00645878">
        <w:rPr>
          <w:rFonts w:ascii="Times New Roman" w:hAnsi="Times New Roman"/>
        </w:rPr>
        <w:t>in</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00613503" w:rsidRPr="00645878">
        <w:rPr>
          <w:rFonts w:ascii="Times New Roman" w:hAnsi="Times New Roman"/>
        </w:rPr>
        <w:t>as</w:t>
      </w:r>
      <w:r w:rsidR="00900061" w:rsidRPr="00645878">
        <w:rPr>
          <w:rFonts w:ascii="Times New Roman" w:hAnsi="Times New Roman"/>
        </w:rPr>
        <w:t xml:space="preserve"> </w:t>
      </w:r>
      <w:r w:rsidR="00613503" w:rsidRPr="00645878">
        <w:rPr>
          <w:rFonts w:ascii="Times New Roman" w:hAnsi="Times New Roman"/>
        </w:rPr>
        <w:t>an</w:t>
      </w:r>
      <w:r w:rsidR="00900061" w:rsidRPr="00645878">
        <w:rPr>
          <w:rFonts w:ascii="Times New Roman" w:hAnsi="Times New Roman"/>
        </w:rPr>
        <w:t xml:space="preserve"> </w:t>
      </w:r>
      <w:r w:rsidR="00613503" w:rsidRPr="00645878">
        <w:rPr>
          <w:rFonts w:ascii="Times New Roman" w:hAnsi="Times New Roman"/>
        </w:rPr>
        <w:t>additional</w:t>
      </w:r>
      <w:r w:rsidR="00900061" w:rsidRPr="00645878">
        <w:rPr>
          <w:rFonts w:ascii="Times New Roman" w:hAnsi="Times New Roman"/>
        </w:rPr>
        <w:t xml:space="preserve"> </w:t>
      </w:r>
      <w:r w:rsidR="00613503" w:rsidRPr="00645878">
        <w:rPr>
          <w:rFonts w:ascii="Times New Roman" w:hAnsi="Times New Roman"/>
        </w:rPr>
        <w:t>source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information.</w:t>
      </w:r>
      <w:r w:rsidR="00900061" w:rsidRPr="00645878">
        <w:rPr>
          <w:rFonts w:ascii="Times New Roman" w:hAnsi="Times New Roman"/>
        </w:rPr>
        <w:t xml:space="preserve"> </w:t>
      </w:r>
      <w:r w:rsidR="001E15EA" w:rsidRPr="00645878">
        <w:rPr>
          <w:rFonts w:ascii="Times New Roman" w:hAnsi="Times New Roman"/>
        </w:rPr>
        <w:lastRenderedPageBreak/>
        <w:t xml:space="preserve">Internal audit </w:t>
      </w:r>
      <w:r w:rsidR="00613503" w:rsidRPr="00645878">
        <w:rPr>
          <w:rFonts w:ascii="Times New Roman" w:hAnsi="Times New Roman"/>
        </w:rPr>
        <w:t>reports</w:t>
      </w:r>
      <w:r w:rsidR="00900061" w:rsidRPr="00645878">
        <w:rPr>
          <w:rFonts w:ascii="Times New Roman" w:hAnsi="Times New Roman"/>
        </w:rPr>
        <w:t xml:space="preserve"> </w:t>
      </w:r>
      <w:r w:rsidR="00613503" w:rsidRPr="00645878">
        <w:rPr>
          <w:rFonts w:ascii="Times New Roman" w:hAnsi="Times New Roman"/>
        </w:rPr>
        <w:t>are</w:t>
      </w:r>
      <w:r w:rsidR="00900061" w:rsidRPr="00645878">
        <w:rPr>
          <w:rFonts w:ascii="Times New Roman" w:hAnsi="Times New Roman"/>
        </w:rPr>
        <w:t xml:space="preserve"> </w:t>
      </w:r>
      <w:r w:rsidR="00613503" w:rsidRPr="00645878">
        <w:rPr>
          <w:rFonts w:ascii="Times New Roman" w:hAnsi="Times New Roman"/>
        </w:rPr>
        <w:t>considered</w:t>
      </w:r>
      <w:r w:rsidR="00900061" w:rsidRPr="00645878">
        <w:rPr>
          <w:rFonts w:ascii="Times New Roman" w:hAnsi="Times New Roman"/>
        </w:rPr>
        <w:t xml:space="preserve"> </w:t>
      </w:r>
      <w:r w:rsidR="00792AE0" w:rsidRPr="00645878">
        <w:rPr>
          <w:rFonts w:ascii="Times New Roman" w:hAnsi="Times New Roman"/>
        </w:rPr>
        <w:t xml:space="preserve">as </w:t>
      </w:r>
      <w:r w:rsidR="00613503" w:rsidRPr="00645878">
        <w:rPr>
          <w:rFonts w:ascii="Times New Roman" w:hAnsi="Times New Roman"/>
        </w:rPr>
        <w:t>an</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enactment</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respective</w:t>
      </w:r>
      <w:r w:rsidR="00900061" w:rsidRPr="00645878">
        <w:rPr>
          <w:rFonts w:ascii="Times New Roman" w:hAnsi="Times New Roman"/>
        </w:rPr>
        <w:t xml:space="preserve"> </w:t>
      </w:r>
      <w:r w:rsidR="00613503" w:rsidRPr="00645878">
        <w:rPr>
          <w:rFonts w:ascii="Times New Roman" w:hAnsi="Times New Roman"/>
        </w:rPr>
        <w:t>institution</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are</w:t>
      </w:r>
      <w:r w:rsidR="00900061" w:rsidRPr="00645878">
        <w:rPr>
          <w:rFonts w:ascii="Times New Roman" w:hAnsi="Times New Roman"/>
        </w:rPr>
        <w:t xml:space="preserve"> </w:t>
      </w:r>
      <w:r w:rsidR="00613503" w:rsidRPr="00645878">
        <w:rPr>
          <w:rFonts w:ascii="Times New Roman" w:hAnsi="Times New Roman"/>
        </w:rPr>
        <w:t>not</w:t>
      </w:r>
      <w:r w:rsidR="00900061" w:rsidRPr="00645878">
        <w:rPr>
          <w:rFonts w:ascii="Times New Roman" w:hAnsi="Times New Roman"/>
        </w:rPr>
        <w:t xml:space="preserve"> </w:t>
      </w:r>
      <w:r w:rsidR="00613503" w:rsidRPr="00645878">
        <w:rPr>
          <w:rFonts w:ascii="Times New Roman" w:hAnsi="Times New Roman"/>
        </w:rPr>
        <w:t>normally</w:t>
      </w:r>
      <w:r w:rsidR="00900061" w:rsidRPr="00645878">
        <w:rPr>
          <w:rFonts w:ascii="Times New Roman" w:hAnsi="Times New Roman"/>
        </w:rPr>
        <w:t xml:space="preserve"> </w:t>
      </w:r>
      <w:r w:rsidR="00613503" w:rsidRPr="00645878">
        <w:rPr>
          <w:rFonts w:ascii="Times New Roman" w:hAnsi="Times New Roman"/>
        </w:rPr>
        <w:t>distributed</w:t>
      </w:r>
      <w:r w:rsidR="00900061" w:rsidRPr="00645878">
        <w:rPr>
          <w:rFonts w:ascii="Times New Roman" w:hAnsi="Times New Roman"/>
        </w:rPr>
        <w:t xml:space="preserve"> </w:t>
      </w:r>
      <w:r w:rsidR="00613503" w:rsidRPr="00645878">
        <w:rPr>
          <w:rFonts w:ascii="Times New Roman" w:hAnsi="Times New Roman"/>
        </w:rPr>
        <w:t>outside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institution,</w:t>
      </w:r>
      <w:r w:rsidR="00900061" w:rsidRPr="00645878">
        <w:rPr>
          <w:rFonts w:ascii="Times New Roman" w:hAnsi="Times New Roman"/>
        </w:rPr>
        <w:t xml:space="preserve"> </w:t>
      </w:r>
      <w:r w:rsidR="00613503" w:rsidRPr="00645878">
        <w:rPr>
          <w:rFonts w:ascii="Times New Roman" w:hAnsi="Times New Roman"/>
        </w:rPr>
        <w:t>except</w:t>
      </w:r>
      <w:r w:rsidR="00900061" w:rsidRPr="00645878">
        <w:rPr>
          <w:rFonts w:ascii="Times New Roman" w:hAnsi="Times New Roman"/>
        </w:rPr>
        <w:t xml:space="preserve"> </w:t>
      </w:r>
      <w:r w:rsidR="00613503" w:rsidRPr="00645878">
        <w:rPr>
          <w:rFonts w:ascii="Times New Roman" w:hAnsi="Times New Roman"/>
        </w:rPr>
        <w:t>to</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SAI</w:t>
      </w:r>
      <w:r w:rsidR="004729AC" w:rsidRPr="00645878">
        <w:rPr>
          <w:rFonts w:ascii="Times New Roman" w:hAnsi="Times New Roman"/>
        </w:rPr>
        <w:t>,</w:t>
      </w:r>
      <w:r w:rsidR="00900061" w:rsidRPr="00645878">
        <w:rPr>
          <w:rFonts w:ascii="Times New Roman" w:hAnsi="Times New Roman"/>
        </w:rPr>
        <w:t xml:space="preserve"> </w:t>
      </w:r>
      <w:r w:rsidR="00613503" w:rsidRPr="00645878">
        <w:rPr>
          <w:rFonts w:ascii="Times New Roman" w:hAnsi="Times New Roman"/>
        </w:rPr>
        <w:t>upon</w:t>
      </w:r>
      <w:r w:rsidR="00900061" w:rsidRPr="00645878">
        <w:rPr>
          <w:rFonts w:ascii="Times New Roman" w:hAnsi="Times New Roman"/>
        </w:rPr>
        <w:t xml:space="preserve"> </w:t>
      </w:r>
      <w:r w:rsidR="00613503" w:rsidRPr="00645878">
        <w:rPr>
          <w:rFonts w:ascii="Times New Roman" w:hAnsi="Times New Roman"/>
        </w:rPr>
        <w:t>request.</w:t>
      </w:r>
      <w:r w:rsidR="00900061" w:rsidRPr="00645878">
        <w:rPr>
          <w:rFonts w:ascii="Times New Roman" w:hAnsi="Times New Roman"/>
        </w:rPr>
        <w:t xml:space="preserve"> </w:t>
      </w:r>
      <w:r w:rsidR="00613503" w:rsidRPr="00645878">
        <w:rPr>
          <w:rFonts w:ascii="Times New Roman" w:hAnsi="Times New Roman"/>
        </w:rPr>
        <w:t>In</w:t>
      </w:r>
      <w:r w:rsidR="00900061" w:rsidRPr="00645878">
        <w:rPr>
          <w:rFonts w:ascii="Times New Roman" w:hAnsi="Times New Roman"/>
        </w:rPr>
        <w:t xml:space="preserve"> </w:t>
      </w:r>
      <w:r w:rsidR="00613503" w:rsidRPr="00645878">
        <w:rPr>
          <w:rFonts w:ascii="Times New Roman" w:hAnsi="Times New Roman"/>
        </w:rPr>
        <w:t>recent</w:t>
      </w:r>
      <w:r w:rsidR="00900061" w:rsidRPr="00645878">
        <w:rPr>
          <w:rFonts w:ascii="Times New Roman" w:hAnsi="Times New Roman"/>
        </w:rPr>
        <w:t xml:space="preserve"> </w:t>
      </w:r>
      <w:r w:rsidR="00613503" w:rsidRPr="00645878">
        <w:rPr>
          <w:rFonts w:ascii="Times New Roman" w:hAnsi="Times New Roman"/>
        </w:rPr>
        <w:t>years,</w:t>
      </w:r>
      <w:r w:rsidR="00900061" w:rsidRPr="00645878">
        <w:rPr>
          <w:rFonts w:ascii="Times New Roman" w:hAnsi="Times New Roman"/>
        </w:rPr>
        <w:t xml:space="preserve"> </w:t>
      </w:r>
      <w:r w:rsidR="00613503" w:rsidRPr="00645878">
        <w:rPr>
          <w:rFonts w:ascii="Times New Roman" w:hAnsi="Times New Roman"/>
        </w:rPr>
        <w:t>issues</w:t>
      </w:r>
      <w:r w:rsidR="00900061" w:rsidRPr="00645878">
        <w:rPr>
          <w:rFonts w:ascii="Times New Roman" w:hAnsi="Times New Roman"/>
        </w:rPr>
        <w:t xml:space="preserve"> </w:t>
      </w:r>
      <w:r w:rsidR="00613503" w:rsidRPr="00645878">
        <w:rPr>
          <w:rFonts w:ascii="Times New Roman" w:hAnsi="Times New Roman"/>
        </w:rPr>
        <w:t>have</w:t>
      </w:r>
      <w:r w:rsidR="00900061" w:rsidRPr="00645878">
        <w:rPr>
          <w:rFonts w:ascii="Times New Roman" w:hAnsi="Times New Roman"/>
        </w:rPr>
        <w:t xml:space="preserve"> </w:t>
      </w:r>
      <w:r w:rsidR="00613503" w:rsidRPr="00645878">
        <w:rPr>
          <w:rFonts w:ascii="Times New Roman" w:hAnsi="Times New Roman"/>
        </w:rPr>
        <w:t>been</w:t>
      </w:r>
      <w:r w:rsidR="00900061" w:rsidRPr="00645878">
        <w:rPr>
          <w:rFonts w:ascii="Times New Roman" w:hAnsi="Times New Roman"/>
        </w:rPr>
        <w:t xml:space="preserve"> </w:t>
      </w:r>
      <w:r w:rsidR="00613503" w:rsidRPr="00645878">
        <w:rPr>
          <w:rFonts w:ascii="Times New Roman" w:hAnsi="Times New Roman"/>
        </w:rPr>
        <w:t>reported</w:t>
      </w:r>
      <w:r w:rsidR="00900061" w:rsidRPr="00645878">
        <w:rPr>
          <w:rFonts w:ascii="Times New Roman" w:hAnsi="Times New Roman"/>
        </w:rPr>
        <w:t xml:space="preserve"> </w:t>
      </w:r>
      <w:r w:rsidR="00613503" w:rsidRPr="00645878">
        <w:rPr>
          <w:rFonts w:ascii="Times New Roman" w:hAnsi="Times New Roman"/>
        </w:rPr>
        <w:t>with</w:t>
      </w:r>
      <w:r w:rsidR="00900061" w:rsidRPr="00645878">
        <w:rPr>
          <w:rFonts w:ascii="Times New Roman" w:hAnsi="Times New Roman"/>
        </w:rPr>
        <w:t xml:space="preserve"> </w:t>
      </w:r>
      <w:r w:rsidR="00613503" w:rsidRPr="00645878">
        <w:rPr>
          <w:rFonts w:ascii="Times New Roman" w:hAnsi="Times New Roman"/>
        </w:rPr>
        <w:t>respect</w:t>
      </w:r>
      <w:r w:rsidR="00900061" w:rsidRPr="00645878">
        <w:rPr>
          <w:rFonts w:ascii="Times New Roman" w:hAnsi="Times New Roman"/>
        </w:rPr>
        <w:t xml:space="preserve"> </w:t>
      </w:r>
      <w:r w:rsidR="00613503" w:rsidRPr="00645878">
        <w:rPr>
          <w:rFonts w:ascii="Times New Roman" w:hAnsi="Times New Roman"/>
        </w:rPr>
        <w:t>to</w:t>
      </w:r>
      <w:r w:rsidR="00900061" w:rsidRPr="00645878">
        <w:rPr>
          <w:rFonts w:ascii="Times New Roman" w:hAnsi="Times New Roman"/>
        </w:rPr>
        <w:t xml:space="preserve"> </w:t>
      </w:r>
      <w:r w:rsidR="00613503" w:rsidRPr="00645878">
        <w:rPr>
          <w:rFonts w:ascii="Times New Roman" w:hAnsi="Times New Roman"/>
        </w:rPr>
        <w:t>independence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auditors.</w:t>
      </w:r>
      <w:r w:rsidR="00900061" w:rsidRPr="00645878">
        <w:rPr>
          <w:rFonts w:ascii="Times New Roman" w:hAnsi="Times New Roman"/>
        </w:rPr>
        <w:t xml:space="preserve"> </w:t>
      </w:r>
      <w:r w:rsidR="00613503" w:rsidRPr="00645878">
        <w:rPr>
          <w:rFonts w:ascii="Times New Roman" w:hAnsi="Times New Roman"/>
        </w:rPr>
        <w:t>It</w:t>
      </w:r>
      <w:r w:rsidR="00900061" w:rsidRPr="00645878">
        <w:rPr>
          <w:rFonts w:ascii="Times New Roman" w:hAnsi="Times New Roman"/>
        </w:rPr>
        <w:t xml:space="preserve"> </w:t>
      </w:r>
      <w:r w:rsidR="00613503" w:rsidRPr="00645878">
        <w:rPr>
          <w:rFonts w:ascii="Times New Roman" w:hAnsi="Times New Roman"/>
        </w:rPr>
        <w:t>has</w:t>
      </w:r>
      <w:r w:rsidR="00900061" w:rsidRPr="00645878">
        <w:rPr>
          <w:rFonts w:ascii="Times New Roman" w:hAnsi="Times New Roman"/>
        </w:rPr>
        <w:t xml:space="preserve"> </w:t>
      </w:r>
      <w:r w:rsidR="00613503" w:rsidRPr="00645878">
        <w:rPr>
          <w:rFonts w:ascii="Times New Roman" w:hAnsi="Times New Roman"/>
        </w:rPr>
        <w:t>likewise</w:t>
      </w:r>
      <w:r w:rsidR="00900061" w:rsidRPr="00645878">
        <w:rPr>
          <w:rFonts w:ascii="Times New Roman" w:hAnsi="Times New Roman"/>
        </w:rPr>
        <w:t xml:space="preserve"> </w:t>
      </w:r>
      <w:r w:rsidR="00613503" w:rsidRPr="00645878">
        <w:rPr>
          <w:rFonts w:ascii="Times New Roman" w:hAnsi="Times New Roman"/>
        </w:rPr>
        <w:t>been</w:t>
      </w:r>
      <w:r w:rsidR="00900061" w:rsidRPr="00645878">
        <w:rPr>
          <w:rFonts w:ascii="Times New Roman" w:hAnsi="Times New Roman"/>
        </w:rPr>
        <w:t xml:space="preserve"> </w:t>
      </w:r>
      <w:r w:rsidR="00613503" w:rsidRPr="00645878">
        <w:rPr>
          <w:rFonts w:ascii="Times New Roman" w:hAnsi="Times New Roman"/>
        </w:rPr>
        <w:t>noted</w:t>
      </w:r>
      <w:r w:rsidR="00900061" w:rsidRPr="00645878">
        <w:rPr>
          <w:rFonts w:ascii="Times New Roman" w:hAnsi="Times New Roman"/>
        </w:rPr>
        <w:t xml:space="preserve"> </w:t>
      </w:r>
      <w:r w:rsidR="00613503" w:rsidRPr="00645878">
        <w:rPr>
          <w:rFonts w:ascii="Times New Roman" w:hAnsi="Times New Roman"/>
        </w:rPr>
        <w:t>that</w:t>
      </w:r>
      <w:r w:rsidR="00900061" w:rsidRPr="00645878">
        <w:rPr>
          <w:rFonts w:ascii="Times New Roman" w:hAnsi="Times New Roman"/>
        </w:rPr>
        <w:t xml:space="preserve"> </w:t>
      </w:r>
      <w:r w:rsidR="00613503" w:rsidRPr="00645878">
        <w:rPr>
          <w:rFonts w:ascii="Times New Roman" w:hAnsi="Times New Roman"/>
        </w:rPr>
        <w:t>quality</w:t>
      </w:r>
      <w:r w:rsidR="00900061" w:rsidRPr="00645878">
        <w:rPr>
          <w:rFonts w:ascii="Times New Roman" w:hAnsi="Times New Roman"/>
        </w:rPr>
        <w:t xml:space="preserve"> </w:t>
      </w:r>
      <w:r w:rsidR="00613503" w:rsidRPr="00645878">
        <w:rPr>
          <w:rFonts w:ascii="Times New Roman" w:hAnsi="Times New Roman"/>
        </w:rPr>
        <w:t>assurance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their</w:t>
      </w:r>
      <w:r w:rsidR="00900061" w:rsidRPr="00645878">
        <w:rPr>
          <w:rFonts w:ascii="Times New Roman" w:hAnsi="Times New Roman"/>
        </w:rPr>
        <w:t xml:space="preserve"> </w:t>
      </w:r>
      <w:r w:rsidR="00613503" w:rsidRPr="00645878">
        <w:rPr>
          <w:rFonts w:ascii="Times New Roman" w:hAnsi="Times New Roman"/>
        </w:rPr>
        <w:t>work</w:t>
      </w:r>
      <w:r w:rsidR="00900061" w:rsidRPr="00645878">
        <w:rPr>
          <w:rFonts w:ascii="Times New Roman" w:hAnsi="Times New Roman"/>
        </w:rPr>
        <w:t xml:space="preserve"> </w:t>
      </w:r>
      <w:r w:rsidR="00613503" w:rsidRPr="00645878">
        <w:rPr>
          <w:rFonts w:ascii="Times New Roman" w:hAnsi="Times New Roman"/>
        </w:rPr>
        <w:t>needs</w:t>
      </w:r>
      <w:r w:rsidR="00900061" w:rsidRPr="00645878">
        <w:rPr>
          <w:rFonts w:ascii="Times New Roman" w:hAnsi="Times New Roman"/>
        </w:rPr>
        <w:t xml:space="preserve"> </w:t>
      </w:r>
      <w:r w:rsidR="00613503" w:rsidRPr="00645878">
        <w:rPr>
          <w:rFonts w:ascii="Times New Roman" w:hAnsi="Times New Roman"/>
        </w:rPr>
        <w:t>further</w:t>
      </w:r>
      <w:r w:rsidR="00900061" w:rsidRPr="00645878">
        <w:rPr>
          <w:rFonts w:ascii="Times New Roman" w:hAnsi="Times New Roman"/>
        </w:rPr>
        <w:t xml:space="preserve"> </w:t>
      </w:r>
      <w:r w:rsidR="00613503" w:rsidRPr="00645878">
        <w:rPr>
          <w:rFonts w:ascii="Times New Roman" w:hAnsi="Times New Roman"/>
        </w:rPr>
        <w:t>attention.</w:t>
      </w:r>
      <w:r w:rsidR="00900061" w:rsidRPr="00645878">
        <w:rPr>
          <w:rFonts w:ascii="Times New Roman" w:hAnsi="Times New Roman"/>
        </w:rPr>
        <w:t xml:space="preserve"> </w:t>
      </w:r>
      <w:r w:rsidR="00613503" w:rsidRPr="00645878">
        <w:rPr>
          <w:rFonts w:ascii="Times New Roman" w:hAnsi="Times New Roman"/>
        </w:rPr>
        <w:t>On</w:t>
      </w:r>
      <w:r w:rsidR="00900061" w:rsidRPr="00645878">
        <w:rPr>
          <w:rFonts w:ascii="Times New Roman" w:hAnsi="Times New Roman"/>
        </w:rPr>
        <w:t xml:space="preserve"> </w:t>
      </w:r>
      <w:r w:rsidR="00613503" w:rsidRPr="00645878">
        <w:rPr>
          <w:rFonts w:ascii="Times New Roman" w:hAnsi="Times New Roman"/>
        </w:rPr>
        <w:t>a</w:t>
      </w:r>
      <w:r w:rsidR="00900061" w:rsidRPr="00645878">
        <w:rPr>
          <w:rFonts w:ascii="Times New Roman" w:hAnsi="Times New Roman"/>
        </w:rPr>
        <w:t xml:space="preserve"> </w:t>
      </w:r>
      <w:r w:rsidR="00613503" w:rsidRPr="00645878">
        <w:rPr>
          <w:rFonts w:ascii="Times New Roman" w:hAnsi="Times New Roman"/>
        </w:rPr>
        <w:t>positive</w:t>
      </w:r>
      <w:r w:rsidR="00900061" w:rsidRPr="00645878">
        <w:rPr>
          <w:rFonts w:ascii="Times New Roman" w:hAnsi="Times New Roman"/>
        </w:rPr>
        <w:t xml:space="preserve"> </w:t>
      </w:r>
      <w:r w:rsidR="00613503" w:rsidRPr="00645878">
        <w:rPr>
          <w:rFonts w:ascii="Times New Roman" w:hAnsi="Times New Roman"/>
        </w:rPr>
        <w:t>note,</w:t>
      </w:r>
      <w:r w:rsidR="00900061" w:rsidRPr="00645878">
        <w:rPr>
          <w:rFonts w:ascii="Times New Roman" w:hAnsi="Times New Roman"/>
        </w:rPr>
        <w:t xml:space="preserve"> </w:t>
      </w:r>
      <w:r w:rsidR="00F47C3C" w:rsidRPr="00645878">
        <w:rPr>
          <w:rFonts w:ascii="Times New Roman" w:hAnsi="Times New Roman"/>
        </w:rPr>
        <w:t xml:space="preserve">a </w:t>
      </w:r>
      <w:r w:rsidR="00613503" w:rsidRPr="00645878">
        <w:rPr>
          <w:rFonts w:ascii="Times New Roman" w:hAnsi="Times New Roman"/>
        </w:rPr>
        <w:t>substantial</w:t>
      </w:r>
      <w:r w:rsidR="00900061" w:rsidRPr="00645878">
        <w:rPr>
          <w:rFonts w:ascii="Times New Roman" w:hAnsi="Times New Roman"/>
        </w:rPr>
        <w:t xml:space="preserve"> </w:t>
      </w:r>
      <w:r w:rsidR="00613503" w:rsidRPr="00645878">
        <w:rPr>
          <w:rFonts w:ascii="Times New Roman" w:hAnsi="Times New Roman"/>
        </w:rPr>
        <w:t>number</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12064C" w:rsidRPr="00645878">
        <w:rPr>
          <w:rFonts w:ascii="Times New Roman" w:hAnsi="Times New Roman"/>
        </w:rPr>
        <w:t>internal audit department</w:t>
      </w:r>
      <w:r w:rsidR="00613503" w:rsidRPr="00645878">
        <w:rPr>
          <w:rFonts w:ascii="Times New Roman" w:hAnsi="Times New Roman"/>
        </w:rPr>
        <w:t>s</w:t>
      </w:r>
      <w:r w:rsidR="00900061" w:rsidRPr="00645878">
        <w:rPr>
          <w:rFonts w:ascii="Times New Roman" w:hAnsi="Times New Roman"/>
        </w:rPr>
        <w:t xml:space="preserve"> </w:t>
      </w:r>
      <w:r w:rsidR="00613503" w:rsidRPr="00645878">
        <w:rPr>
          <w:rFonts w:ascii="Times New Roman" w:hAnsi="Times New Roman"/>
        </w:rPr>
        <w:t>follow</w:t>
      </w:r>
      <w:r w:rsidR="00900061" w:rsidRPr="00645878">
        <w:rPr>
          <w:rFonts w:ascii="Times New Roman" w:hAnsi="Times New Roman"/>
        </w:rPr>
        <w:t xml:space="preserve"> </w:t>
      </w:r>
      <w:r w:rsidR="00613503" w:rsidRPr="00645878">
        <w:rPr>
          <w:rFonts w:ascii="Times New Roman" w:hAnsi="Times New Roman"/>
        </w:rPr>
        <w:t>strategic/annual</w:t>
      </w:r>
      <w:r w:rsidR="00900061" w:rsidRPr="00645878">
        <w:rPr>
          <w:rFonts w:ascii="Times New Roman" w:hAnsi="Times New Roman"/>
        </w:rPr>
        <w:t xml:space="preserve"> </w:t>
      </w:r>
      <w:r w:rsidR="00613503" w:rsidRPr="00645878">
        <w:rPr>
          <w:rFonts w:ascii="Times New Roman" w:hAnsi="Times New Roman"/>
        </w:rPr>
        <w:t>risk-based</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plan.</w:t>
      </w:r>
      <w:r w:rsidR="00900061" w:rsidRPr="00645878">
        <w:rPr>
          <w:rFonts w:ascii="Times New Roman" w:hAnsi="Times New Roman"/>
        </w:rPr>
        <w:t xml:space="preserve"> </w:t>
      </w:r>
      <w:r w:rsidR="004729AC" w:rsidRPr="00645878">
        <w:rPr>
          <w:rFonts w:ascii="Times New Roman" w:hAnsi="Times New Roman"/>
        </w:rPr>
        <w:t>A h</w:t>
      </w:r>
      <w:r w:rsidR="00613503" w:rsidRPr="00645878">
        <w:rPr>
          <w:rFonts w:ascii="Times New Roman" w:hAnsi="Times New Roman"/>
        </w:rPr>
        <w:t>igh</w:t>
      </w:r>
      <w:r w:rsidR="00900061" w:rsidRPr="00645878">
        <w:rPr>
          <w:rFonts w:ascii="Times New Roman" w:hAnsi="Times New Roman"/>
        </w:rPr>
        <w:t xml:space="preserve"> </w:t>
      </w:r>
      <w:r w:rsidR="00613503" w:rsidRPr="00645878">
        <w:rPr>
          <w:rFonts w:ascii="Times New Roman" w:hAnsi="Times New Roman"/>
        </w:rPr>
        <w:t>percentage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practicing</w:t>
      </w:r>
      <w:r w:rsidR="00900061" w:rsidRPr="00645878">
        <w:rPr>
          <w:rFonts w:ascii="Times New Roman" w:hAnsi="Times New Roman"/>
        </w:rPr>
        <w:t xml:space="preserve"> </w:t>
      </w:r>
      <w:r w:rsidR="00613503" w:rsidRPr="00645878">
        <w:rPr>
          <w:rFonts w:ascii="Times New Roman" w:hAnsi="Times New Roman"/>
        </w:rPr>
        <w:t>public</w:t>
      </w:r>
      <w:r w:rsidR="00900061" w:rsidRPr="00645878">
        <w:rPr>
          <w:rFonts w:ascii="Times New Roman" w:hAnsi="Times New Roman"/>
        </w:rPr>
        <w:t xml:space="preserve"> </w:t>
      </w:r>
      <w:r w:rsidR="00613503" w:rsidRPr="00645878">
        <w:rPr>
          <w:rFonts w:ascii="Times New Roman" w:hAnsi="Times New Roman"/>
        </w:rPr>
        <w:t>sector</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auditors</w:t>
      </w:r>
      <w:r w:rsidR="00900061" w:rsidRPr="00645878">
        <w:rPr>
          <w:rFonts w:ascii="Times New Roman" w:hAnsi="Times New Roman"/>
        </w:rPr>
        <w:t xml:space="preserve"> </w:t>
      </w:r>
      <w:r w:rsidR="00613503" w:rsidRPr="00645878">
        <w:rPr>
          <w:rFonts w:ascii="Times New Roman" w:hAnsi="Times New Roman"/>
        </w:rPr>
        <w:t>are</w:t>
      </w:r>
      <w:r w:rsidR="00900061" w:rsidRPr="00645878">
        <w:rPr>
          <w:rFonts w:ascii="Times New Roman" w:hAnsi="Times New Roman"/>
        </w:rPr>
        <w:t xml:space="preserve"> </w:t>
      </w:r>
      <w:r w:rsidR="00613503" w:rsidRPr="00645878">
        <w:rPr>
          <w:rFonts w:ascii="Times New Roman" w:hAnsi="Times New Roman"/>
        </w:rPr>
        <w:t>trained</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certified</w:t>
      </w:r>
      <w:r w:rsidR="00900061" w:rsidRPr="00645878">
        <w:rPr>
          <w:rFonts w:ascii="Times New Roman" w:hAnsi="Times New Roman"/>
        </w:rPr>
        <w:t xml:space="preserve"> </w:t>
      </w:r>
      <w:r w:rsidR="00613503" w:rsidRPr="00645878">
        <w:rPr>
          <w:rFonts w:ascii="Times New Roman" w:hAnsi="Times New Roman"/>
        </w:rPr>
        <w:t>under</w:t>
      </w:r>
      <w:r w:rsidR="00900061" w:rsidRPr="00645878">
        <w:rPr>
          <w:rFonts w:ascii="Times New Roman" w:hAnsi="Times New Roman"/>
        </w:rPr>
        <w:t xml:space="preserve"> </w:t>
      </w:r>
      <w:r w:rsidR="00613503" w:rsidRPr="00645878">
        <w:rPr>
          <w:rFonts w:ascii="Times New Roman" w:hAnsi="Times New Roman"/>
        </w:rPr>
        <w:t>a</w:t>
      </w:r>
      <w:r w:rsidR="00900061" w:rsidRPr="00645878">
        <w:rPr>
          <w:rFonts w:ascii="Times New Roman" w:hAnsi="Times New Roman"/>
        </w:rPr>
        <w:t xml:space="preserve"> </w:t>
      </w:r>
      <w:r w:rsidR="009329A9" w:rsidRPr="00645878">
        <w:rPr>
          <w:rFonts w:ascii="Times New Roman" w:hAnsi="Times New Roman"/>
        </w:rPr>
        <w:t>P</w:t>
      </w:r>
      <w:r w:rsidR="00613503" w:rsidRPr="00645878">
        <w:rPr>
          <w:rFonts w:ascii="Times New Roman" w:hAnsi="Times New Roman"/>
        </w:rPr>
        <w:t>rogram</w:t>
      </w:r>
      <w:r w:rsidR="00900061" w:rsidRPr="00645878">
        <w:rPr>
          <w:rFonts w:ascii="Times New Roman" w:hAnsi="Times New Roman"/>
        </w:rPr>
        <w:t xml:space="preserve"> </w:t>
      </w:r>
      <w:r w:rsidR="00613503" w:rsidRPr="00645878">
        <w:rPr>
          <w:rFonts w:ascii="Times New Roman" w:hAnsi="Times New Roman"/>
        </w:rPr>
        <w:t>designed</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implemented</w:t>
      </w:r>
      <w:r w:rsidR="00900061" w:rsidRPr="00645878">
        <w:rPr>
          <w:rFonts w:ascii="Times New Roman" w:hAnsi="Times New Roman"/>
        </w:rPr>
        <w:t xml:space="preserve"> </w:t>
      </w:r>
      <w:r w:rsidR="00613503" w:rsidRPr="00645878">
        <w:rPr>
          <w:rFonts w:ascii="Times New Roman" w:hAnsi="Times New Roman"/>
        </w:rPr>
        <w:t>by</w:t>
      </w:r>
      <w:r w:rsidR="00900061" w:rsidRPr="00645878">
        <w:rPr>
          <w:rFonts w:ascii="Times New Roman" w:hAnsi="Times New Roman"/>
        </w:rPr>
        <w:t xml:space="preserve"> </w:t>
      </w:r>
      <w:r w:rsidR="008A19F2" w:rsidRPr="00645878">
        <w:rPr>
          <w:rFonts w:ascii="Times New Roman" w:hAnsi="Times New Roman"/>
        </w:rPr>
        <w:t xml:space="preserve">the </w:t>
      </w:r>
      <w:r w:rsidR="00613503" w:rsidRPr="00645878">
        <w:rPr>
          <w:rFonts w:ascii="Times New Roman" w:hAnsi="Times New Roman"/>
        </w:rPr>
        <w:t>Central</w:t>
      </w:r>
      <w:r w:rsidR="00900061" w:rsidRPr="00645878">
        <w:rPr>
          <w:rFonts w:ascii="Times New Roman" w:hAnsi="Times New Roman"/>
        </w:rPr>
        <w:t xml:space="preserve"> </w:t>
      </w:r>
      <w:r w:rsidR="00613503" w:rsidRPr="00645878">
        <w:rPr>
          <w:rFonts w:ascii="Times New Roman" w:hAnsi="Times New Roman"/>
        </w:rPr>
        <w:t>Harmonization</w:t>
      </w:r>
      <w:r w:rsidR="00900061" w:rsidRPr="00645878">
        <w:rPr>
          <w:rFonts w:ascii="Times New Roman" w:hAnsi="Times New Roman"/>
        </w:rPr>
        <w:t xml:space="preserve"> </w:t>
      </w:r>
      <w:r w:rsidR="00613503" w:rsidRPr="00645878">
        <w:rPr>
          <w:rFonts w:ascii="Times New Roman" w:hAnsi="Times New Roman"/>
        </w:rPr>
        <w:t>Unit</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MoF,</w:t>
      </w:r>
      <w:r w:rsidR="00900061" w:rsidRPr="00645878">
        <w:rPr>
          <w:rFonts w:ascii="Times New Roman" w:hAnsi="Times New Roman"/>
        </w:rPr>
        <w:t xml:space="preserve"> </w:t>
      </w:r>
      <w:r w:rsidR="00613503" w:rsidRPr="00645878">
        <w:rPr>
          <w:rFonts w:ascii="Times New Roman" w:hAnsi="Times New Roman"/>
        </w:rPr>
        <w:t>involving</w:t>
      </w:r>
      <w:r w:rsidR="00900061" w:rsidRPr="00645878">
        <w:rPr>
          <w:rFonts w:ascii="Times New Roman" w:hAnsi="Times New Roman"/>
        </w:rPr>
        <w:t xml:space="preserve"> </w:t>
      </w:r>
      <w:r w:rsidR="00613503" w:rsidRPr="00645878">
        <w:rPr>
          <w:rFonts w:ascii="Times New Roman" w:hAnsi="Times New Roman"/>
        </w:rPr>
        <w:t>in-class</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practical</w:t>
      </w:r>
      <w:r w:rsidR="00900061" w:rsidRPr="00645878">
        <w:rPr>
          <w:rFonts w:ascii="Times New Roman" w:hAnsi="Times New Roman"/>
        </w:rPr>
        <w:t xml:space="preserve"> </w:t>
      </w:r>
      <w:r w:rsidR="00613503" w:rsidRPr="00645878">
        <w:rPr>
          <w:rFonts w:ascii="Times New Roman" w:hAnsi="Times New Roman"/>
        </w:rPr>
        <w:t>on-the-job</w:t>
      </w:r>
      <w:r w:rsidR="00900061" w:rsidRPr="00645878">
        <w:rPr>
          <w:rFonts w:ascii="Times New Roman" w:hAnsi="Times New Roman"/>
        </w:rPr>
        <w:t xml:space="preserve"> </w:t>
      </w:r>
      <w:r w:rsidR="00613503" w:rsidRPr="00645878">
        <w:rPr>
          <w:rFonts w:ascii="Times New Roman" w:hAnsi="Times New Roman"/>
        </w:rPr>
        <w:t>training.</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same</w:t>
      </w:r>
      <w:r w:rsidR="00900061" w:rsidRPr="00645878">
        <w:rPr>
          <w:rFonts w:ascii="Times New Roman" w:hAnsi="Times New Roman"/>
        </w:rPr>
        <w:t xml:space="preserve"> </w:t>
      </w:r>
      <w:r w:rsidR="00613503" w:rsidRPr="00645878">
        <w:rPr>
          <w:rFonts w:ascii="Times New Roman" w:hAnsi="Times New Roman"/>
        </w:rPr>
        <w:t>applies</w:t>
      </w:r>
      <w:r w:rsidR="00900061" w:rsidRPr="00645878">
        <w:rPr>
          <w:rFonts w:ascii="Times New Roman" w:hAnsi="Times New Roman"/>
        </w:rPr>
        <w:t xml:space="preserve"> </w:t>
      </w:r>
      <w:r w:rsidR="00613503" w:rsidRPr="00645878">
        <w:rPr>
          <w:rFonts w:ascii="Times New Roman" w:hAnsi="Times New Roman"/>
        </w:rPr>
        <w:t>to</w:t>
      </w:r>
      <w:r w:rsidR="00900061" w:rsidRPr="00645878">
        <w:rPr>
          <w:rFonts w:ascii="Times New Roman" w:hAnsi="Times New Roman"/>
        </w:rPr>
        <w:t xml:space="preserve"> </w:t>
      </w:r>
      <w:r w:rsidR="000A65EC" w:rsidRPr="00645878">
        <w:rPr>
          <w:rFonts w:ascii="Times New Roman" w:hAnsi="Times New Roman"/>
        </w:rPr>
        <w:t xml:space="preserve">the </w:t>
      </w:r>
      <w:r w:rsidR="00613503" w:rsidRPr="00645878">
        <w:rPr>
          <w:rFonts w:ascii="Times New Roman" w:hAnsi="Times New Roman"/>
        </w:rPr>
        <w:t>implementing</w:t>
      </w:r>
      <w:r w:rsidR="00900061" w:rsidRPr="00645878">
        <w:rPr>
          <w:rFonts w:ascii="Times New Roman" w:hAnsi="Times New Roman"/>
        </w:rPr>
        <w:t xml:space="preserve"> </w:t>
      </w:r>
      <w:r w:rsidR="00613503" w:rsidRPr="00645878">
        <w:rPr>
          <w:rFonts w:ascii="Times New Roman" w:hAnsi="Times New Roman"/>
        </w:rPr>
        <w:t>entities.</w:t>
      </w:r>
      <w:r w:rsidR="00900061" w:rsidRPr="00645878">
        <w:rPr>
          <w:rFonts w:ascii="Times New Roman" w:hAnsi="Times New Roman"/>
        </w:rPr>
        <w:t xml:space="preserve"> </w:t>
      </w:r>
      <w:r w:rsidR="00613503" w:rsidRPr="00645878">
        <w:rPr>
          <w:rFonts w:ascii="Times New Roman" w:hAnsi="Times New Roman"/>
        </w:rPr>
        <w:t>Assessed</w:t>
      </w:r>
      <w:r w:rsidR="00900061" w:rsidRPr="00645878">
        <w:rPr>
          <w:rFonts w:ascii="Times New Roman" w:hAnsi="Times New Roman"/>
        </w:rPr>
        <w:t xml:space="preserve"> </w:t>
      </w:r>
      <w:r w:rsidR="00613503" w:rsidRPr="00645878">
        <w:rPr>
          <w:rFonts w:ascii="Times New Roman" w:hAnsi="Times New Roman"/>
        </w:rPr>
        <w:t>entities</w:t>
      </w:r>
      <w:r w:rsidR="00900061" w:rsidRPr="00645878">
        <w:rPr>
          <w:rFonts w:ascii="Times New Roman" w:hAnsi="Times New Roman"/>
        </w:rPr>
        <w:t xml:space="preserve"> </w:t>
      </w:r>
      <w:r w:rsidR="00613503" w:rsidRPr="00645878">
        <w:rPr>
          <w:rFonts w:ascii="Times New Roman" w:hAnsi="Times New Roman"/>
        </w:rPr>
        <w:t>have</w:t>
      </w:r>
      <w:r w:rsidR="00900061" w:rsidRPr="00645878">
        <w:rPr>
          <w:rFonts w:ascii="Times New Roman" w:hAnsi="Times New Roman"/>
        </w:rPr>
        <w:t xml:space="preserve"> </w:t>
      </w:r>
      <w:r w:rsidR="00CB12E0" w:rsidRPr="00645878">
        <w:rPr>
          <w:rFonts w:ascii="Times New Roman" w:hAnsi="Times New Roman"/>
        </w:rPr>
        <w:t xml:space="preserve">an </w:t>
      </w:r>
      <w:r w:rsidR="00613503" w:rsidRPr="00645878">
        <w:rPr>
          <w:rFonts w:ascii="Times New Roman" w:hAnsi="Times New Roman"/>
        </w:rPr>
        <w:t>established</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function,</w:t>
      </w:r>
      <w:r w:rsidR="00900061" w:rsidRPr="00645878">
        <w:rPr>
          <w:rFonts w:ascii="Times New Roman" w:hAnsi="Times New Roman"/>
        </w:rPr>
        <w:t xml:space="preserve"> </w:t>
      </w:r>
      <w:r w:rsidR="00613503" w:rsidRPr="00645878">
        <w:rPr>
          <w:rFonts w:ascii="Times New Roman" w:hAnsi="Times New Roman"/>
        </w:rPr>
        <w:t>which</w:t>
      </w:r>
      <w:r w:rsidR="00900061" w:rsidRPr="00645878">
        <w:rPr>
          <w:rFonts w:ascii="Times New Roman" w:hAnsi="Times New Roman"/>
        </w:rPr>
        <w:t xml:space="preserve"> </w:t>
      </w:r>
      <w:r w:rsidR="00613503" w:rsidRPr="00645878">
        <w:rPr>
          <w:rFonts w:ascii="Times New Roman" w:hAnsi="Times New Roman"/>
        </w:rPr>
        <w:t>is</w:t>
      </w:r>
      <w:r w:rsidR="00900061" w:rsidRPr="00645878">
        <w:rPr>
          <w:rFonts w:ascii="Times New Roman" w:hAnsi="Times New Roman"/>
        </w:rPr>
        <w:t xml:space="preserve"> </w:t>
      </w:r>
      <w:r w:rsidR="00613503" w:rsidRPr="00645878">
        <w:rPr>
          <w:rFonts w:ascii="Times New Roman" w:hAnsi="Times New Roman"/>
        </w:rPr>
        <w:t>operational</w:t>
      </w:r>
      <w:r w:rsidR="00900061" w:rsidRPr="00645878">
        <w:rPr>
          <w:rFonts w:ascii="Times New Roman" w:hAnsi="Times New Roman"/>
        </w:rPr>
        <w:t xml:space="preserve"> </w:t>
      </w:r>
      <w:r w:rsidR="00613503" w:rsidRPr="00645878">
        <w:rPr>
          <w:rFonts w:ascii="Times New Roman" w:hAnsi="Times New Roman"/>
        </w:rPr>
        <w:t>but</w:t>
      </w:r>
      <w:r w:rsidR="00DF4628" w:rsidRPr="00645878">
        <w:rPr>
          <w:rFonts w:ascii="Times New Roman" w:hAnsi="Times New Roman"/>
        </w:rPr>
        <w:t>—</w:t>
      </w:r>
      <w:r w:rsidR="00613503" w:rsidRPr="00645878">
        <w:rPr>
          <w:rFonts w:ascii="Times New Roman" w:hAnsi="Times New Roman"/>
        </w:rPr>
        <w:t>as</w:t>
      </w:r>
      <w:r w:rsidR="00900061" w:rsidRPr="00645878">
        <w:rPr>
          <w:rFonts w:ascii="Times New Roman" w:hAnsi="Times New Roman"/>
        </w:rPr>
        <w:t xml:space="preserve"> </w:t>
      </w:r>
      <w:r w:rsidR="00613503" w:rsidRPr="00645878">
        <w:rPr>
          <w:rFonts w:ascii="Times New Roman" w:hAnsi="Times New Roman"/>
        </w:rPr>
        <w:t>with</w:t>
      </w:r>
      <w:r w:rsidR="00900061" w:rsidRPr="00645878">
        <w:rPr>
          <w:rFonts w:ascii="Times New Roman" w:hAnsi="Times New Roman"/>
        </w:rPr>
        <w:t xml:space="preserve"> </w:t>
      </w:r>
      <w:r w:rsidR="00613503" w:rsidRPr="00645878">
        <w:rPr>
          <w:rFonts w:ascii="Times New Roman" w:hAnsi="Times New Roman"/>
        </w:rPr>
        <w:t>most</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public</w:t>
      </w:r>
      <w:r w:rsidR="00900061" w:rsidRPr="00645878">
        <w:rPr>
          <w:rFonts w:ascii="Times New Roman" w:hAnsi="Times New Roman"/>
        </w:rPr>
        <w:t xml:space="preserve"> </w:t>
      </w:r>
      <w:r w:rsidR="00613503" w:rsidRPr="00645878">
        <w:rPr>
          <w:rFonts w:ascii="Times New Roman" w:hAnsi="Times New Roman"/>
        </w:rPr>
        <w:t>sector</w:t>
      </w:r>
      <w:r w:rsidR="00900061" w:rsidRPr="00645878">
        <w:rPr>
          <w:rFonts w:ascii="Times New Roman" w:hAnsi="Times New Roman"/>
        </w:rPr>
        <w:t xml:space="preserve"> </w:t>
      </w:r>
      <w:r w:rsidR="00613503" w:rsidRPr="00645878">
        <w:rPr>
          <w:rFonts w:ascii="Times New Roman" w:hAnsi="Times New Roman"/>
        </w:rPr>
        <w:t>entities</w:t>
      </w:r>
      <w:r w:rsidR="00DF4628" w:rsidRPr="00645878">
        <w:rPr>
          <w:rFonts w:ascii="Times New Roman" w:hAnsi="Times New Roman"/>
        </w:rPr>
        <w:t>—</w:t>
      </w:r>
      <w:r w:rsidR="00613503" w:rsidRPr="00645878">
        <w:rPr>
          <w:rFonts w:ascii="Times New Roman" w:hAnsi="Times New Roman"/>
        </w:rPr>
        <w:t>is</w:t>
      </w:r>
      <w:r w:rsidR="00900061" w:rsidRPr="00645878">
        <w:rPr>
          <w:rFonts w:ascii="Times New Roman" w:hAnsi="Times New Roman"/>
        </w:rPr>
        <w:t xml:space="preserve"> </w:t>
      </w:r>
      <w:r w:rsidR="00613503" w:rsidRPr="00645878">
        <w:rPr>
          <w:rFonts w:ascii="Times New Roman" w:hAnsi="Times New Roman"/>
        </w:rPr>
        <w:t>in</w:t>
      </w:r>
      <w:r w:rsidR="00900061" w:rsidRPr="00645878">
        <w:rPr>
          <w:rFonts w:ascii="Times New Roman" w:hAnsi="Times New Roman"/>
        </w:rPr>
        <w:t xml:space="preserve"> </w:t>
      </w:r>
      <w:r w:rsidR="00613503" w:rsidRPr="00645878">
        <w:rPr>
          <w:rFonts w:ascii="Times New Roman" w:hAnsi="Times New Roman"/>
        </w:rPr>
        <w:t>need</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further</w:t>
      </w:r>
      <w:r w:rsidR="00900061" w:rsidRPr="00645878">
        <w:rPr>
          <w:rFonts w:ascii="Times New Roman" w:hAnsi="Times New Roman"/>
        </w:rPr>
        <w:t xml:space="preserve"> </w:t>
      </w:r>
      <w:r w:rsidR="00613503" w:rsidRPr="00645878">
        <w:rPr>
          <w:rFonts w:ascii="Times New Roman" w:hAnsi="Times New Roman"/>
        </w:rPr>
        <w:t>capacity</w:t>
      </w:r>
      <w:r w:rsidR="00900061" w:rsidRPr="00645878">
        <w:rPr>
          <w:rFonts w:ascii="Times New Roman" w:hAnsi="Times New Roman"/>
        </w:rPr>
        <w:t xml:space="preserve"> </w:t>
      </w:r>
      <w:r w:rsidR="00613503" w:rsidRPr="00645878">
        <w:rPr>
          <w:rFonts w:ascii="Times New Roman" w:hAnsi="Times New Roman"/>
        </w:rPr>
        <w:t>strengthening.</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units</w:t>
      </w:r>
      <w:r w:rsidR="00900061" w:rsidRPr="00645878">
        <w:rPr>
          <w:rFonts w:ascii="Times New Roman" w:hAnsi="Times New Roman"/>
        </w:rPr>
        <w:t xml:space="preserve"> </w:t>
      </w:r>
      <w:r w:rsidR="00613503" w:rsidRPr="00645878">
        <w:rPr>
          <w:rFonts w:ascii="Times New Roman" w:hAnsi="Times New Roman"/>
        </w:rPr>
        <w:t>consist</w:t>
      </w:r>
      <w:r w:rsidR="00900061" w:rsidRPr="00645878">
        <w:rPr>
          <w:rFonts w:ascii="Times New Roman" w:hAnsi="Times New Roman"/>
        </w:rPr>
        <w:t xml:space="preserve"> </w:t>
      </w:r>
      <w:r w:rsidR="00613503" w:rsidRPr="00645878">
        <w:rPr>
          <w:rFonts w:ascii="Times New Roman" w:hAnsi="Times New Roman"/>
        </w:rPr>
        <w:t>typically</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several</w:t>
      </w:r>
      <w:r w:rsidR="00900061" w:rsidRPr="00645878">
        <w:rPr>
          <w:rFonts w:ascii="Times New Roman" w:hAnsi="Times New Roman"/>
        </w:rPr>
        <w:t xml:space="preserve"> </w:t>
      </w:r>
      <w:r w:rsidR="00613503" w:rsidRPr="00645878">
        <w:rPr>
          <w:rFonts w:ascii="Times New Roman" w:hAnsi="Times New Roman"/>
        </w:rPr>
        <w:t>people</w:t>
      </w:r>
      <w:r w:rsidR="00900061" w:rsidRPr="00645878">
        <w:rPr>
          <w:rFonts w:ascii="Times New Roman" w:hAnsi="Times New Roman"/>
        </w:rPr>
        <w:t xml:space="preserve"> </w:t>
      </w:r>
      <w:r w:rsidR="00613503" w:rsidRPr="00645878">
        <w:rPr>
          <w:rFonts w:ascii="Times New Roman" w:hAnsi="Times New Roman"/>
        </w:rPr>
        <w:t>and</w:t>
      </w:r>
      <w:r w:rsidR="00900061" w:rsidRPr="00645878">
        <w:rPr>
          <w:rFonts w:ascii="Times New Roman" w:hAnsi="Times New Roman"/>
        </w:rPr>
        <w:t xml:space="preserve"> </w:t>
      </w:r>
      <w:r w:rsidR="00613503" w:rsidRPr="00645878">
        <w:rPr>
          <w:rFonts w:ascii="Times New Roman" w:hAnsi="Times New Roman"/>
        </w:rPr>
        <w:t>conduct</w:t>
      </w:r>
      <w:r w:rsidR="00900061" w:rsidRPr="00645878">
        <w:rPr>
          <w:rFonts w:ascii="Times New Roman" w:hAnsi="Times New Roman"/>
        </w:rPr>
        <w:t xml:space="preserve"> </w:t>
      </w:r>
      <w:r w:rsidR="00613503" w:rsidRPr="00645878">
        <w:rPr>
          <w:rFonts w:ascii="Times New Roman" w:hAnsi="Times New Roman"/>
        </w:rPr>
        <w:t>audits</w:t>
      </w:r>
      <w:r w:rsidR="00900061" w:rsidRPr="00645878">
        <w:rPr>
          <w:rFonts w:ascii="Times New Roman" w:hAnsi="Times New Roman"/>
        </w:rPr>
        <w:t xml:space="preserve"> </w:t>
      </w:r>
      <w:r w:rsidR="00613503" w:rsidRPr="00645878">
        <w:rPr>
          <w:rFonts w:ascii="Times New Roman" w:hAnsi="Times New Roman"/>
        </w:rPr>
        <w:t>in</w:t>
      </w:r>
      <w:r w:rsidR="00900061" w:rsidRPr="00645878">
        <w:rPr>
          <w:rFonts w:ascii="Times New Roman" w:hAnsi="Times New Roman"/>
        </w:rPr>
        <w:t xml:space="preserve"> </w:t>
      </w:r>
      <w:r w:rsidR="00613503" w:rsidRPr="00645878">
        <w:rPr>
          <w:rFonts w:ascii="Times New Roman" w:hAnsi="Times New Roman"/>
        </w:rPr>
        <w:t>line</w:t>
      </w:r>
      <w:r w:rsidR="00900061" w:rsidRPr="00645878">
        <w:rPr>
          <w:rFonts w:ascii="Times New Roman" w:hAnsi="Times New Roman"/>
        </w:rPr>
        <w:t xml:space="preserve"> </w:t>
      </w:r>
      <w:r w:rsidR="00613503" w:rsidRPr="00645878">
        <w:rPr>
          <w:rFonts w:ascii="Times New Roman" w:hAnsi="Times New Roman"/>
        </w:rPr>
        <w:t>with</w:t>
      </w:r>
      <w:r w:rsidR="00900061" w:rsidRPr="00645878">
        <w:rPr>
          <w:rFonts w:ascii="Times New Roman" w:hAnsi="Times New Roman"/>
        </w:rPr>
        <w:t xml:space="preserve"> </w:t>
      </w:r>
      <w:r w:rsidR="00613503" w:rsidRPr="00645878">
        <w:rPr>
          <w:rFonts w:ascii="Times New Roman" w:hAnsi="Times New Roman"/>
        </w:rPr>
        <w:t>annual</w:t>
      </w:r>
      <w:r w:rsidR="00900061" w:rsidRPr="00645878">
        <w:rPr>
          <w:rFonts w:ascii="Times New Roman" w:hAnsi="Times New Roman"/>
        </w:rPr>
        <w:t xml:space="preserve"> </w:t>
      </w:r>
      <w:r w:rsidR="00613503" w:rsidRPr="00645878">
        <w:rPr>
          <w:rFonts w:ascii="Times New Roman" w:hAnsi="Times New Roman"/>
        </w:rPr>
        <w:t>audit</w:t>
      </w:r>
      <w:r w:rsidR="00900061" w:rsidRPr="00645878">
        <w:rPr>
          <w:rFonts w:ascii="Times New Roman" w:hAnsi="Times New Roman"/>
        </w:rPr>
        <w:t xml:space="preserve"> </w:t>
      </w:r>
      <w:r w:rsidR="00613503" w:rsidRPr="00645878">
        <w:rPr>
          <w:rFonts w:ascii="Times New Roman" w:hAnsi="Times New Roman"/>
        </w:rPr>
        <w:t>plans</w:t>
      </w:r>
      <w:r w:rsidR="00900061" w:rsidRPr="00645878">
        <w:rPr>
          <w:rFonts w:ascii="Times New Roman" w:hAnsi="Times New Roman"/>
        </w:rPr>
        <w:t xml:space="preserve"> </w:t>
      </w:r>
      <w:r w:rsidR="00CB12E0" w:rsidRPr="00645878">
        <w:rPr>
          <w:rFonts w:ascii="Times New Roman" w:hAnsi="Times New Roman"/>
        </w:rPr>
        <w:t xml:space="preserve">that </w:t>
      </w:r>
      <w:r w:rsidR="00613503" w:rsidRPr="00645878">
        <w:rPr>
          <w:rFonts w:ascii="Times New Roman" w:hAnsi="Times New Roman"/>
        </w:rPr>
        <w:t>they</w:t>
      </w:r>
      <w:r w:rsidR="00900061" w:rsidRPr="00645878">
        <w:rPr>
          <w:rFonts w:ascii="Times New Roman" w:hAnsi="Times New Roman"/>
        </w:rPr>
        <w:t xml:space="preserve"> </w:t>
      </w:r>
      <w:r w:rsidR="00613503" w:rsidRPr="00645878">
        <w:rPr>
          <w:rFonts w:ascii="Times New Roman" w:hAnsi="Times New Roman"/>
        </w:rPr>
        <w:t>prepare.</w:t>
      </w:r>
      <w:r w:rsidR="00900061" w:rsidRPr="00645878">
        <w:rPr>
          <w:rFonts w:ascii="Times New Roman" w:hAnsi="Times New Roman"/>
        </w:rPr>
        <w:t xml:space="preserve"> </w:t>
      </w:r>
      <w:r w:rsidR="00613503" w:rsidRPr="00645878">
        <w:rPr>
          <w:rFonts w:ascii="Times New Roman" w:hAnsi="Times New Roman"/>
        </w:rPr>
        <w:t>Public</w:t>
      </w:r>
      <w:r w:rsidR="00900061" w:rsidRPr="00645878">
        <w:rPr>
          <w:rFonts w:ascii="Times New Roman" w:hAnsi="Times New Roman"/>
        </w:rPr>
        <w:t xml:space="preserve"> </w:t>
      </w:r>
      <w:r w:rsidR="00613503" w:rsidRPr="00645878">
        <w:rPr>
          <w:rFonts w:ascii="Times New Roman" w:hAnsi="Times New Roman"/>
        </w:rPr>
        <w:t>sector</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auditors</w:t>
      </w:r>
      <w:r w:rsidR="00900061" w:rsidRPr="00645878">
        <w:rPr>
          <w:rFonts w:ascii="Times New Roman" w:hAnsi="Times New Roman"/>
        </w:rPr>
        <w:t xml:space="preserve"> </w:t>
      </w:r>
      <w:r w:rsidR="00613503" w:rsidRPr="00645878">
        <w:rPr>
          <w:rFonts w:ascii="Times New Roman" w:hAnsi="Times New Roman"/>
        </w:rPr>
        <w:t>are</w:t>
      </w:r>
      <w:r w:rsidR="00900061" w:rsidRPr="00645878">
        <w:rPr>
          <w:rFonts w:ascii="Times New Roman" w:hAnsi="Times New Roman"/>
        </w:rPr>
        <w:t xml:space="preserve"> </w:t>
      </w:r>
      <w:r w:rsidR="00613503" w:rsidRPr="00645878">
        <w:rPr>
          <w:rFonts w:ascii="Times New Roman" w:hAnsi="Times New Roman"/>
        </w:rPr>
        <w:t>required</w:t>
      </w:r>
      <w:r w:rsidR="00900061" w:rsidRPr="00645878">
        <w:rPr>
          <w:rFonts w:ascii="Times New Roman" w:hAnsi="Times New Roman"/>
        </w:rPr>
        <w:t xml:space="preserve"> </w:t>
      </w:r>
      <w:r w:rsidR="00613503" w:rsidRPr="00645878">
        <w:rPr>
          <w:rFonts w:ascii="Times New Roman" w:hAnsi="Times New Roman"/>
        </w:rPr>
        <w:t>to</w:t>
      </w:r>
      <w:r w:rsidR="00900061" w:rsidRPr="00645878">
        <w:rPr>
          <w:rFonts w:ascii="Times New Roman" w:hAnsi="Times New Roman"/>
        </w:rPr>
        <w:t xml:space="preserve"> </w:t>
      </w:r>
      <w:r w:rsidR="00613503" w:rsidRPr="00645878">
        <w:rPr>
          <w:rFonts w:ascii="Times New Roman" w:hAnsi="Times New Roman"/>
        </w:rPr>
        <w:t>follow</w:t>
      </w:r>
      <w:r w:rsidR="00900061" w:rsidRPr="00645878">
        <w:rPr>
          <w:rFonts w:ascii="Times New Roman" w:hAnsi="Times New Roman"/>
        </w:rPr>
        <w:t xml:space="preserve"> </w:t>
      </w:r>
      <w:r w:rsidR="00613503" w:rsidRPr="00645878">
        <w:rPr>
          <w:rFonts w:ascii="Times New Roman" w:hAnsi="Times New Roman"/>
        </w:rPr>
        <w:t>internationally</w:t>
      </w:r>
      <w:r w:rsidR="00900061" w:rsidRPr="00645878">
        <w:rPr>
          <w:rFonts w:ascii="Times New Roman" w:hAnsi="Times New Roman"/>
        </w:rPr>
        <w:t xml:space="preserve"> </w:t>
      </w:r>
      <w:r w:rsidR="00613503" w:rsidRPr="00645878">
        <w:rPr>
          <w:rFonts w:ascii="Times New Roman" w:hAnsi="Times New Roman"/>
        </w:rPr>
        <w:t>recognized</w:t>
      </w:r>
      <w:r w:rsidR="00900061" w:rsidRPr="00645878">
        <w:rPr>
          <w:rFonts w:ascii="Times New Roman" w:hAnsi="Times New Roman"/>
        </w:rPr>
        <w:t xml:space="preserve"> </w:t>
      </w:r>
      <w:r w:rsidR="00613503" w:rsidRPr="00645878">
        <w:rPr>
          <w:rFonts w:ascii="Times New Roman" w:hAnsi="Times New Roman"/>
        </w:rPr>
        <w:t>International</w:t>
      </w:r>
      <w:r w:rsidR="00900061" w:rsidRPr="00645878">
        <w:rPr>
          <w:rFonts w:ascii="Times New Roman" w:hAnsi="Times New Roman"/>
        </w:rPr>
        <w:t xml:space="preserve"> </w:t>
      </w:r>
      <w:r w:rsidR="00613503" w:rsidRPr="00645878">
        <w:rPr>
          <w:rFonts w:ascii="Times New Roman" w:hAnsi="Times New Roman"/>
        </w:rPr>
        <w:t>Professional</w:t>
      </w:r>
      <w:r w:rsidR="00900061" w:rsidRPr="00645878">
        <w:rPr>
          <w:rFonts w:ascii="Times New Roman" w:hAnsi="Times New Roman"/>
        </w:rPr>
        <w:t xml:space="preserve"> </w:t>
      </w:r>
      <w:r w:rsidR="00613503" w:rsidRPr="00645878">
        <w:rPr>
          <w:rFonts w:ascii="Times New Roman" w:hAnsi="Times New Roman"/>
        </w:rPr>
        <w:t>Practices</w:t>
      </w:r>
      <w:r w:rsidR="00900061" w:rsidRPr="00645878">
        <w:rPr>
          <w:rFonts w:ascii="Times New Roman" w:hAnsi="Times New Roman"/>
        </w:rPr>
        <w:t xml:space="preserve"> </w:t>
      </w:r>
      <w:r w:rsidR="00613503" w:rsidRPr="00645878">
        <w:rPr>
          <w:rFonts w:ascii="Times New Roman" w:hAnsi="Times New Roman"/>
        </w:rPr>
        <w:t>Framework</w:t>
      </w:r>
      <w:r w:rsidR="00900061" w:rsidRPr="00645878">
        <w:rPr>
          <w:rFonts w:ascii="Times New Roman" w:hAnsi="Times New Roman"/>
        </w:rPr>
        <w:t xml:space="preserve"> </w:t>
      </w:r>
      <w:r w:rsidR="00613503" w:rsidRPr="00645878">
        <w:rPr>
          <w:rFonts w:ascii="Times New Roman" w:hAnsi="Times New Roman"/>
        </w:rPr>
        <w:t>issued</w:t>
      </w:r>
      <w:r w:rsidR="00900061" w:rsidRPr="00645878">
        <w:rPr>
          <w:rFonts w:ascii="Times New Roman" w:hAnsi="Times New Roman"/>
        </w:rPr>
        <w:t xml:space="preserve"> </w:t>
      </w:r>
      <w:r w:rsidR="00613503" w:rsidRPr="00645878">
        <w:rPr>
          <w:rFonts w:ascii="Times New Roman" w:hAnsi="Times New Roman"/>
        </w:rPr>
        <w:t>by</w:t>
      </w:r>
      <w:r w:rsidR="00900061" w:rsidRPr="00645878">
        <w:rPr>
          <w:rFonts w:ascii="Times New Roman" w:hAnsi="Times New Roman"/>
        </w:rPr>
        <w:t xml:space="preserve"> </w:t>
      </w:r>
      <w:r w:rsidR="00613503" w:rsidRPr="00645878">
        <w:rPr>
          <w:rFonts w:ascii="Times New Roman" w:hAnsi="Times New Roman"/>
        </w:rPr>
        <w:t>the</w:t>
      </w:r>
      <w:r w:rsidR="00900061" w:rsidRPr="00645878">
        <w:rPr>
          <w:rFonts w:ascii="Times New Roman" w:hAnsi="Times New Roman"/>
        </w:rPr>
        <w:t xml:space="preserve"> </w:t>
      </w:r>
      <w:r w:rsidR="00613503" w:rsidRPr="00645878">
        <w:rPr>
          <w:rFonts w:ascii="Times New Roman" w:hAnsi="Times New Roman"/>
        </w:rPr>
        <w:t>Institute</w:t>
      </w:r>
      <w:r w:rsidR="00900061" w:rsidRPr="00645878">
        <w:rPr>
          <w:rFonts w:ascii="Times New Roman" w:hAnsi="Times New Roman"/>
        </w:rPr>
        <w:t xml:space="preserve"> </w:t>
      </w:r>
      <w:r w:rsidR="00613503" w:rsidRPr="00645878">
        <w:rPr>
          <w:rFonts w:ascii="Times New Roman" w:hAnsi="Times New Roman"/>
        </w:rPr>
        <w:t>of</w:t>
      </w:r>
      <w:r w:rsidR="00900061" w:rsidRPr="00645878">
        <w:rPr>
          <w:rFonts w:ascii="Times New Roman" w:hAnsi="Times New Roman"/>
        </w:rPr>
        <w:t xml:space="preserve"> </w:t>
      </w:r>
      <w:r w:rsidR="00613503" w:rsidRPr="00645878">
        <w:rPr>
          <w:rFonts w:ascii="Times New Roman" w:hAnsi="Times New Roman"/>
        </w:rPr>
        <w:t>Internal</w:t>
      </w:r>
      <w:r w:rsidR="00900061" w:rsidRPr="00645878">
        <w:rPr>
          <w:rFonts w:ascii="Times New Roman" w:hAnsi="Times New Roman"/>
        </w:rPr>
        <w:t xml:space="preserve"> </w:t>
      </w:r>
      <w:r w:rsidR="00613503" w:rsidRPr="00645878">
        <w:rPr>
          <w:rFonts w:ascii="Times New Roman" w:hAnsi="Times New Roman"/>
        </w:rPr>
        <w:t>Auditors.</w:t>
      </w:r>
    </w:p>
    <w:p w14:paraId="741BA7B9" w14:textId="2D7FFB41" w:rsidR="00214159" w:rsidRPr="004F5154" w:rsidRDefault="00863673" w:rsidP="004F5154">
      <w:pPr>
        <w:pStyle w:val="ListParagraph"/>
        <w:numPr>
          <w:ilvl w:val="0"/>
          <w:numId w:val="9"/>
        </w:numPr>
        <w:ind w:left="0" w:firstLine="0"/>
        <w:contextualSpacing w:val="0"/>
        <w:rPr>
          <w:rFonts w:ascii="Times New Roman" w:hAnsi="Times New Roman"/>
        </w:rPr>
      </w:pPr>
      <w:r w:rsidRPr="00645878">
        <w:rPr>
          <w:rFonts w:ascii="Times New Roman" w:hAnsi="Times New Roman"/>
          <w:b/>
        </w:rPr>
        <w:t xml:space="preserve">The </w:t>
      </w:r>
      <w:r w:rsidR="00B03657" w:rsidRPr="00645878">
        <w:rPr>
          <w:rFonts w:ascii="Times New Roman" w:hAnsi="Times New Roman"/>
          <w:b/>
        </w:rPr>
        <w:t>MoF</w:t>
      </w:r>
      <w:r w:rsidR="00900061" w:rsidRPr="00645878">
        <w:rPr>
          <w:rFonts w:ascii="Times New Roman" w:hAnsi="Times New Roman"/>
        </w:rPr>
        <w:t xml:space="preserve"> </w:t>
      </w:r>
      <w:r w:rsidR="00B03657" w:rsidRPr="00645878">
        <w:rPr>
          <w:rFonts w:ascii="Times New Roman" w:hAnsi="Times New Roman"/>
          <w:b/>
        </w:rPr>
        <w:t>Budget</w:t>
      </w:r>
      <w:r w:rsidR="00900061" w:rsidRPr="00645878">
        <w:rPr>
          <w:rFonts w:ascii="Times New Roman" w:hAnsi="Times New Roman"/>
          <w:b/>
        </w:rPr>
        <w:t xml:space="preserve"> </w:t>
      </w:r>
      <w:r w:rsidR="00B03657" w:rsidRPr="00645878">
        <w:rPr>
          <w:rFonts w:ascii="Times New Roman" w:hAnsi="Times New Roman"/>
          <w:b/>
        </w:rPr>
        <w:t>Inspection</w:t>
      </w:r>
      <w:r w:rsidR="00900061" w:rsidRPr="00645878">
        <w:rPr>
          <w:rFonts w:ascii="Times New Roman" w:hAnsi="Times New Roman"/>
          <w:b/>
        </w:rPr>
        <w:t xml:space="preserve"> </w:t>
      </w:r>
      <w:r w:rsidR="006C3744" w:rsidRPr="00645878">
        <w:rPr>
          <w:rFonts w:ascii="Times New Roman" w:hAnsi="Times New Roman"/>
          <w:b/>
        </w:rPr>
        <w:t>U</w:t>
      </w:r>
      <w:r w:rsidR="00B03657" w:rsidRPr="00645878">
        <w:rPr>
          <w:rFonts w:ascii="Times New Roman" w:hAnsi="Times New Roman"/>
          <w:b/>
        </w:rPr>
        <w:t>nit</w:t>
      </w:r>
      <w:r w:rsidR="00900061" w:rsidRPr="00645878">
        <w:rPr>
          <w:rFonts w:ascii="Times New Roman" w:hAnsi="Times New Roman"/>
          <w:b/>
        </w:rPr>
        <w:t xml:space="preserve"> </w:t>
      </w:r>
      <w:r w:rsidR="00B03657" w:rsidRPr="00645878">
        <w:rPr>
          <w:rFonts w:ascii="Times New Roman" w:hAnsi="Times New Roman"/>
          <w:b/>
        </w:rPr>
        <w:t>carries</w:t>
      </w:r>
      <w:r w:rsidR="00900061" w:rsidRPr="00645878">
        <w:rPr>
          <w:rFonts w:ascii="Times New Roman" w:hAnsi="Times New Roman"/>
          <w:b/>
        </w:rPr>
        <w:t xml:space="preserve"> </w:t>
      </w:r>
      <w:r w:rsidR="00B03657" w:rsidRPr="00645878">
        <w:rPr>
          <w:rFonts w:ascii="Times New Roman" w:hAnsi="Times New Roman"/>
          <w:b/>
        </w:rPr>
        <w:t>out</w:t>
      </w:r>
      <w:r w:rsidR="00900061" w:rsidRPr="00645878">
        <w:rPr>
          <w:rFonts w:ascii="Times New Roman" w:hAnsi="Times New Roman"/>
          <w:b/>
        </w:rPr>
        <w:t xml:space="preserve"> </w:t>
      </w:r>
      <w:r w:rsidR="00B03657" w:rsidRPr="00645878">
        <w:rPr>
          <w:rFonts w:ascii="Times New Roman" w:hAnsi="Times New Roman"/>
          <w:b/>
        </w:rPr>
        <w:t>additional</w:t>
      </w:r>
      <w:r w:rsidR="00900061" w:rsidRPr="00645878">
        <w:rPr>
          <w:rFonts w:ascii="Times New Roman" w:hAnsi="Times New Roman"/>
          <w:b/>
        </w:rPr>
        <w:t xml:space="preserve"> </w:t>
      </w:r>
      <w:r w:rsidR="00B03657" w:rsidRPr="00645878">
        <w:rPr>
          <w:rFonts w:ascii="Times New Roman" w:hAnsi="Times New Roman"/>
          <w:b/>
        </w:rPr>
        <w:t>control</w:t>
      </w:r>
      <w:r w:rsidR="00900061" w:rsidRPr="00645878">
        <w:rPr>
          <w:rFonts w:ascii="Times New Roman" w:hAnsi="Times New Roman"/>
          <w:b/>
        </w:rPr>
        <w:t xml:space="preserve"> </w:t>
      </w:r>
      <w:r w:rsidR="00B03657" w:rsidRPr="00645878">
        <w:rPr>
          <w:rFonts w:ascii="Times New Roman" w:hAnsi="Times New Roman"/>
          <w:b/>
        </w:rPr>
        <w:t>of</w:t>
      </w:r>
      <w:r w:rsidR="00900061" w:rsidRPr="00645878">
        <w:rPr>
          <w:rFonts w:ascii="Times New Roman" w:hAnsi="Times New Roman"/>
          <w:b/>
        </w:rPr>
        <w:t xml:space="preserve"> </w:t>
      </w:r>
      <w:r w:rsidR="00B03657" w:rsidRPr="00645878">
        <w:rPr>
          <w:rFonts w:ascii="Times New Roman" w:hAnsi="Times New Roman"/>
          <w:b/>
        </w:rPr>
        <w:t>compliance</w:t>
      </w:r>
      <w:r w:rsidR="00900061" w:rsidRPr="00645878">
        <w:rPr>
          <w:rFonts w:ascii="Times New Roman" w:hAnsi="Times New Roman"/>
          <w:b/>
        </w:rPr>
        <w:t xml:space="preserve"> </w:t>
      </w:r>
      <w:r w:rsidR="00B03657" w:rsidRPr="00645878">
        <w:rPr>
          <w:rFonts w:ascii="Times New Roman" w:hAnsi="Times New Roman"/>
          <w:b/>
        </w:rPr>
        <w:t>with</w:t>
      </w:r>
      <w:r w:rsidR="00900061" w:rsidRPr="00645878">
        <w:rPr>
          <w:rFonts w:ascii="Times New Roman" w:hAnsi="Times New Roman"/>
          <w:b/>
        </w:rPr>
        <w:t xml:space="preserve"> </w:t>
      </w:r>
      <w:r w:rsidR="00B03657" w:rsidRPr="00645878">
        <w:rPr>
          <w:rFonts w:ascii="Times New Roman" w:hAnsi="Times New Roman"/>
          <w:b/>
        </w:rPr>
        <w:t>laws</w:t>
      </w:r>
      <w:r w:rsidR="00900061" w:rsidRPr="00645878">
        <w:rPr>
          <w:rFonts w:ascii="Times New Roman" w:hAnsi="Times New Roman"/>
          <w:b/>
        </w:rPr>
        <w:t xml:space="preserve"> </w:t>
      </w:r>
      <w:r w:rsidR="00B03657" w:rsidRPr="00645878">
        <w:rPr>
          <w:rFonts w:ascii="Times New Roman" w:hAnsi="Times New Roman"/>
          <w:b/>
        </w:rPr>
        <w:t>and</w:t>
      </w:r>
      <w:r w:rsidR="00900061" w:rsidRPr="00645878">
        <w:rPr>
          <w:rFonts w:ascii="Times New Roman" w:hAnsi="Times New Roman"/>
          <w:b/>
        </w:rPr>
        <w:t xml:space="preserve"> </w:t>
      </w:r>
      <w:r w:rsidR="00B03657" w:rsidRPr="00645878">
        <w:rPr>
          <w:rFonts w:ascii="Times New Roman" w:hAnsi="Times New Roman"/>
          <w:b/>
        </w:rPr>
        <w:t>regulations.</w:t>
      </w:r>
      <w:r w:rsidR="00900061" w:rsidRPr="00645878">
        <w:rPr>
          <w:rFonts w:ascii="Times New Roman" w:hAnsi="Times New Roman"/>
          <w:b/>
        </w:rPr>
        <w:t xml:space="preserve"> </w:t>
      </w:r>
      <w:r w:rsidR="00276D4D" w:rsidRPr="00645878">
        <w:rPr>
          <w:rFonts w:ascii="Times New Roman" w:hAnsi="Times New Roman"/>
        </w:rPr>
        <w:t>Findings</w:t>
      </w:r>
      <w:r w:rsidR="00900061" w:rsidRPr="00645878">
        <w:rPr>
          <w:rFonts w:ascii="Times New Roman" w:hAnsi="Times New Roman"/>
        </w:rPr>
        <w:t xml:space="preserve"> </w:t>
      </w:r>
      <w:r w:rsidR="00276D4D" w:rsidRPr="00645878">
        <w:rPr>
          <w:rFonts w:ascii="Times New Roman" w:hAnsi="Times New Roman"/>
        </w:rPr>
        <w:t>of</w:t>
      </w:r>
      <w:r w:rsidR="00900061" w:rsidRPr="00645878">
        <w:rPr>
          <w:rFonts w:ascii="Times New Roman" w:hAnsi="Times New Roman"/>
        </w:rPr>
        <w:t xml:space="preserve"> </w:t>
      </w:r>
      <w:r w:rsidR="00276D4D" w:rsidRPr="00645878">
        <w:rPr>
          <w:rFonts w:ascii="Times New Roman" w:hAnsi="Times New Roman"/>
        </w:rPr>
        <w:t>the</w:t>
      </w:r>
      <w:r w:rsidR="00900061" w:rsidRPr="00645878">
        <w:rPr>
          <w:rFonts w:ascii="Times New Roman" w:hAnsi="Times New Roman"/>
        </w:rPr>
        <w:t xml:space="preserve"> </w:t>
      </w:r>
      <w:r w:rsidR="00276D4D" w:rsidRPr="00645878">
        <w:rPr>
          <w:rFonts w:ascii="Times New Roman" w:hAnsi="Times New Roman"/>
        </w:rPr>
        <w:t>budget</w:t>
      </w:r>
      <w:r w:rsidR="00900061" w:rsidRPr="00645878">
        <w:rPr>
          <w:rFonts w:ascii="Times New Roman" w:hAnsi="Times New Roman"/>
        </w:rPr>
        <w:t xml:space="preserve"> </w:t>
      </w:r>
      <w:r w:rsidR="00276D4D" w:rsidRPr="00645878">
        <w:rPr>
          <w:rFonts w:ascii="Times New Roman" w:hAnsi="Times New Roman"/>
        </w:rPr>
        <w:t>inspection,</w:t>
      </w:r>
      <w:r w:rsidR="00900061" w:rsidRPr="00645878">
        <w:rPr>
          <w:rFonts w:ascii="Times New Roman" w:hAnsi="Times New Roman"/>
        </w:rPr>
        <w:t xml:space="preserve"> </w:t>
      </w:r>
      <w:r w:rsidR="00276D4D" w:rsidRPr="00645878">
        <w:rPr>
          <w:rFonts w:ascii="Times New Roman" w:hAnsi="Times New Roman"/>
        </w:rPr>
        <w:t>as</w:t>
      </w:r>
      <w:r w:rsidR="00900061" w:rsidRPr="00645878">
        <w:rPr>
          <w:rFonts w:ascii="Times New Roman" w:hAnsi="Times New Roman"/>
        </w:rPr>
        <w:t xml:space="preserve"> </w:t>
      </w:r>
      <w:r w:rsidR="00276D4D" w:rsidRPr="00645878">
        <w:rPr>
          <w:rFonts w:ascii="Times New Roman" w:hAnsi="Times New Roman"/>
        </w:rPr>
        <w:t>they</w:t>
      </w:r>
      <w:r w:rsidR="00900061" w:rsidRPr="00645878">
        <w:rPr>
          <w:rFonts w:ascii="Times New Roman" w:hAnsi="Times New Roman"/>
        </w:rPr>
        <w:t xml:space="preserve"> </w:t>
      </w:r>
      <w:r w:rsidR="00276D4D" w:rsidRPr="00645878">
        <w:rPr>
          <w:rFonts w:ascii="Times New Roman" w:hAnsi="Times New Roman"/>
        </w:rPr>
        <w:t>pertain</w:t>
      </w:r>
      <w:r w:rsidR="00900061" w:rsidRPr="00645878">
        <w:rPr>
          <w:rFonts w:ascii="Times New Roman" w:hAnsi="Times New Roman"/>
        </w:rPr>
        <w:t xml:space="preserve"> </w:t>
      </w:r>
      <w:r w:rsidR="00276D4D" w:rsidRPr="00645878">
        <w:rPr>
          <w:rFonts w:ascii="Times New Roman" w:hAnsi="Times New Roman"/>
        </w:rPr>
        <w:t>to</w:t>
      </w:r>
      <w:r w:rsidR="00900061" w:rsidRPr="00645878">
        <w:rPr>
          <w:rFonts w:ascii="Times New Roman" w:hAnsi="Times New Roman"/>
        </w:rPr>
        <w:t xml:space="preserve"> </w:t>
      </w:r>
      <w:r w:rsidR="00276D4D" w:rsidRPr="00645878">
        <w:rPr>
          <w:rFonts w:ascii="Times New Roman" w:hAnsi="Times New Roman"/>
        </w:rPr>
        <w:t>the</w:t>
      </w:r>
      <w:r w:rsidR="00900061" w:rsidRPr="00645878">
        <w:rPr>
          <w:rFonts w:ascii="Times New Roman" w:hAnsi="Times New Roman"/>
        </w:rPr>
        <w:t xml:space="preserve"> </w:t>
      </w:r>
      <w:r w:rsidR="00580E33" w:rsidRPr="00645878">
        <w:rPr>
          <w:rFonts w:ascii="Times New Roman" w:hAnsi="Times New Roman"/>
        </w:rPr>
        <w:t>P</w:t>
      </w:r>
      <w:r w:rsidR="00276D4D" w:rsidRPr="00645878">
        <w:rPr>
          <w:rFonts w:ascii="Times New Roman" w:hAnsi="Times New Roman"/>
        </w:rPr>
        <w:t>rogram</w:t>
      </w:r>
      <w:r w:rsidR="00900061" w:rsidRPr="00645878">
        <w:rPr>
          <w:rFonts w:ascii="Times New Roman" w:hAnsi="Times New Roman"/>
        </w:rPr>
        <w:t xml:space="preserve"> </w:t>
      </w:r>
      <w:r w:rsidR="00276D4D" w:rsidRPr="00645878">
        <w:rPr>
          <w:rFonts w:ascii="Times New Roman" w:hAnsi="Times New Roman"/>
        </w:rPr>
        <w:t>expe</w:t>
      </w:r>
      <w:r w:rsidR="00BE72A7" w:rsidRPr="00645878">
        <w:rPr>
          <w:rFonts w:ascii="Times New Roman" w:hAnsi="Times New Roman"/>
        </w:rPr>
        <w:t>n</w:t>
      </w:r>
      <w:r w:rsidR="00276D4D" w:rsidRPr="00645878">
        <w:rPr>
          <w:rFonts w:ascii="Times New Roman" w:hAnsi="Times New Roman"/>
        </w:rPr>
        <w:t>ditures,</w:t>
      </w:r>
      <w:r w:rsidR="00900061" w:rsidRPr="00645878">
        <w:rPr>
          <w:rFonts w:ascii="Times New Roman" w:hAnsi="Times New Roman"/>
        </w:rPr>
        <w:t xml:space="preserve"> </w:t>
      </w:r>
      <w:r w:rsidR="00276D4D" w:rsidRPr="00645878">
        <w:rPr>
          <w:rFonts w:ascii="Times New Roman" w:hAnsi="Times New Roman"/>
        </w:rPr>
        <w:t>will</w:t>
      </w:r>
      <w:r w:rsidR="00900061" w:rsidRPr="00645878">
        <w:rPr>
          <w:rFonts w:ascii="Times New Roman" w:hAnsi="Times New Roman"/>
        </w:rPr>
        <w:t xml:space="preserve"> </w:t>
      </w:r>
      <w:r w:rsidR="00276D4D" w:rsidRPr="00645878">
        <w:rPr>
          <w:rFonts w:ascii="Times New Roman" w:hAnsi="Times New Roman"/>
        </w:rPr>
        <w:t>be</w:t>
      </w:r>
      <w:r w:rsidR="00900061" w:rsidRPr="00645878">
        <w:rPr>
          <w:rFonts w:ascii="Times New Roman" w:hAnsi="Times New Roman"/>
        </w:rPr>
        <w:t xml:space="preserve"> </w:t>
      </w:r>
      <w:r w:rsidR="00276D4D" w:rsidRPr="00645878">
        <w:rPr>
          <w:rFonts w:ascii="Times New Roman" w:hAnsi="Times New Roman"/>
        </w:rPr>
        <w:t>consulted</w:t>
      </w:r>
      <w:r w:rsidR="00900061" w:rsidRPr="00645878">
        <w:rPr>
          <w:rFonts w:ascii="Times New Roman" w:hAnsi="Times New Roman"/>
        </w:rPr>
        <w:t xml:space="preserve"> </w:t>
      </w:r>
      <w:r w:rsidR="00276D4D" w:rsidRPr="00645878">
        <w:rPr>
          <w:rFonts w:ascii="Times New Roman" w:hAnsi="Times New Roman"/>
        </w:rPr>
        <w:t>in</w:t>
      </w:r>
      <w:r w:rsidR="00900061" w:rsidRPr="00645878">
        <w:rPr>
          <w:rFonts w:ascii="Times New Roman" w:hAnsi="Times New Roman"/>
        </w:rPr>
        <w:t xml:space="preserve"> </w:t>
      </w:r>
      <w:r w:rsidR="00276D4D" w:rsidRPr="00645878">
        <w:rPr>
          <w:rFonts w:ascii="Times New Roman" w:hAnsi="Times New Roman"/>
        </w:rPr>
        <w:t>the</w:t>
      </w:r>
      <w:r w:rsidR="00900061" w:rsidRPr="00645878">
        <w:rPr>
          <w:rFonts w:ascii="Times New Roman" w:hAnsi="Times New Roman"/>
        </w:rPr>
        <w:t xml:space="preserve"> </w:t>
      </w:r>
      <w:r w:rsidR="00276D4D" w:rsidRPr="00645878">
        <w:rPr>
          <w:rFonts w:ascii="Times New Roman" w:hAnsi="Times New Roman"/>
        </w:rPr>
        <w:t>process</w:t>
      </w:r>
      <w:r w:rsidR="00900061" w:rsidRPr="00645878">
        <w:rPr>
          <w:rFonts w:ascii="Times New Roman" w:hAnsi="Times New Roman"/>
        </w:rPr>
        <w:t xml:space="preserve"> </w:t>
      </w:r>
      <w:r w:rsidR="00276D4D" w:rsidRPr="00645878">
        <w:rPr>
          <w:rFonts w:ascii="Times New Roman" w:hAnsi="Times New Roman"/>
        </w:rPr>
        <w:t>of</w:t>
      </w:r>
      <w:r w:rsidR="00900061" w:rsidRPr="00645878">
        <w:rPr>
          <w:rFonts w:ascii="Times New Roman" w:hAnsi="Times New Roman"/>
        </w:rPr>
        <w:t xml:space="preserve"> </w:t>
      </w:r>
      <w:r w:rsidR="00276D4D" w:rsidRPr="00645878">
        <w:rPr>
          <w:rFonts w:ascii="Times New Roman" w:hAnsi="Times New Roman"/>
        </w:rPr>
        <w:t>monitoring</w:t>
      </w:r>
      <w:r w:rsidR="00900061" w:rsidRPr="00645878">
        <w:rPr>
          <w:rFonts w:ascii="Times New Roman" w:hAnsi="Times New Roman"/>
        </w:rPr>
        <w:t xml:space="preserve"> </w:t>
      </w:r>
      <w:r w:rsidR="00276D4D" w:rsidRPr="00645878">
        <w:rPr>
          <w:rFonts w:ascii="Times New Roman" w:hAnsi="Times New Roman"/>
        </w:rPr>
        <w:t>the</w:t>
      </w:r>
      <w:r w:rsidR="00900061" w:rsidRPr="00645878">
        <w:rPr>
          <w:rFonts w:ascii="Times New Roman" w:hAnsi="Times New Roman"/>
        </w:rPr>
        <w:t xml:space="preserve"> </w:t>
      </w:r>
      <w:r w:rsidR="00276D4D" w:rsidRPr="00645878">
        <w:rPr>
          <w:rFonts w:ascii="Times New Roman" w:hAnsi="Times New Roman"/>
        </w:rPr>
        <w:t>expenditures.</w:t>
      </w:r>
      <w:r w:rsidR="00900061" w:rsidRPr="00645878">
        <w:rPr>
          <w:rFonts w:ascii="Times New Roman" w:hAnsi="Times New Roman"/>
          <w:b/>
        </w:rPr>
        <w:t xml:space="preserve"> </w:t>
      </w:r>
      <w:r w:rsidR="00B03657" w:rsidRPr="00645878">
        <w:rPr>
          <w:rFonts w:ascii="Times New Roman" w:hAnsi="Times New Roman"/>
        </w:rPr>
        <w:t>The</w:t>
      </w:r>
      <w:r w:rsidR="00900061" w:rsidRPr="00645878">
        <w:rPr>
          <w:rFonts w:ascii="Times New Roman" w:hAnsi="Times New Roman"/>
          <w:b/>
        </w:rPr>
        <w:t xml:space="preserve"> </w:t>
      </w:r>
      <w:r w:rsidR="00B03657" w:rsidRPr="00645878">
        <w:rPr>
          <w:rFonts w:ascii="Times New Roman" w:hAnsi="Times New Roman"/>
        </w:rPr>
        <w:t>mandate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Inspection</w:t>
      </w:r>
      <w:r w:rsidR="00900061" w:rsidRPr="00645878">
        <w:rPr>
          <w:rFonts w:ascii="Times New Roman" w:hAnsi="Times New Roman"/>
        </w:rPr>
        <w:t xml:space="preserve"> </w:t>
      </w:r>
      <w:r w:rsidR="001C5F8A" w:rsidRPr="00645878">
        <w:rPr>
          <w:rFonts w:ascii="Times New Roman" w:hAnsi="Times New Roman"/>
        </w:rPr>
        <w:t>U</w:t>
      </w:r>
      <w:r w:rsidR="00B03657" w:rsidRPr="00645878">
        <w:rPr>
          <w:rFonts w:ascii="Times New Roman" w:hAnsi="Times New Roman"/>
        </w:rPr>
        <w:t>nit</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very</w:t>
      </w:r>
      <w:r w:rsidR="00900061" w:rsidRPr="00645878">
        <w:rPr>
          <w:rFonts w:ascii="Times New Roman" w:hAnsi="Times New Roman"/>
        </w:rPr>
        <w:t xml:space="preserve"> </w:t>
      </w:r>
      <w:r w:rsidR="00B03657" w:rsidRPr="00645878">
        <w:rPr>
          <w:rFonts w:ascii="Times New Roman" w:hAnsi="Times New Roman"/>
        </w:rPr>
        <w:t>broad</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includes</w:t>
      </w:r>
      <w:r w:rsidR="00900061" w:rsidRPr="00645878">
        <w:rPr>
          <w:rFonts w:ascii="Times New Roman" w:hAnsi="Times New Roman"/>
        </w:rPr>
        <w:t xml:space="preserve"> </w:t>
      </w:r>
      <w:r w:rsidR="00E625DE" w:rsidRPr="00645878">
        <w:rPr>
          <w:rFonts w:ascii="Times New Roman" w:hAnsi="Times New Roman"/>
        </w:rPr>
        <w:t>DBBs and IBBs</w:t>
      </w:r>
      <w:r w:rsidR="00B03657"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extra-budgetary</w:t>
      </w:r>
      <w:r w:rsidR="00900061" w:rsidRPr="00645878">
        <w:rPr>
          <w:rFonts w:ascii="Times New Roman" w:hAnsi="Times New Roman"/>
        </w:rPr>
        <w:t xml:space="preserve"> </w:t>
      </w:r>
      <w:r w:rsidR="00B03657" w:rsidRPr="00645878">
        <w:rPr>
          <w:rFonts w:ascii="Times New Roman" w:hAnsi="Times New Roman"/>
        </w:rPr>
        <w:t>funds,</w:t>
      </w:r>
      <w:r w:rsidR="00900061" w:rsidRPr="00645878">
        <w:rPr>
          <w:rFonts w:ascii="Times New Roman" w:hAnsi="Times New Roman"/>
        </w:rPr>
        <w:t xml:space="preserve"> </w:t>
      </w:r>
      <w:r w:rsidR="00B03657" w:rsidRPr="00645878">
        <w:rPr>
          <w:rFonts w:ascii="Times New Roman" w:hAnsi="Times New Roman"/>
        </w:rPr>
        <w:t>state-owned</w:t>
      </w:r>
      <w:r w:rsidR="00900061" w:rsidRPr="00645878">
        <w:rPr>
          <w:rFonts w:ascii="Times New Roman" w:hAnsi="Times New Roman"/>
        </w:rPr>
        <w:t xml:space="preserve"> </w:t>
      </w:r>
      <w:r w:rsidR="00B03657" w:rsidRPr="00645878">
        <w:rPr>
          <w:rFonts w:ascii="Times New Roman" w:hAnsi="Times New Roman"/>
        </w:rPr>
        <w:t>enterprises,</w:t>
      </w:r>
      <w:r w:rsidR="00900061" w:rsidRPr="00645878">
        <w:rPr>
          <w:rFonts w:ascii="Times New Roman" w:hAnsi="Times New Roman"/>
        </w:rPr>
        <w:t xml:space="preserve"> </w:t>
      </w:r>
      <w:r w:rsidR="00B03657" w:rsidRPr="00645878">
        <w:rPr>
          <w:rFonts w:ascii="Times New Roman" w:hAnsi="Times New Roman"/>
        </w:rPr>
        <w:t>regional</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local</w:t>
      </w:r>
      <w:r w:rsidR="00900061" w:rsidRPr="00645878">
        <w:rPr>
          <w:rFonts w:ascii="Times New Roman" w:hAnsi="Times New Roman"/>
        </w:rPr>
        <w:t xml:space="preserve"> </w:t>
      </w:r>
      <w:r w:rsidR="00B03657" w:rsidRPr="00645878">
        <w:rPr>
          <w:rFonts w:ascii="Times New Roman" w:hAnsi="Times New Roman"/>
        </w:rPr>
        <w:t>governments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their</w:t>
      </w:r>
      <w:r w:rsidR="00900061" w:rsidRPr="00645878">
        <w:rPr>
          <w:rFonts w:ascii="Times New Roman" w:hAnsi="Times New Roman"/>
        </w:rPr>
        <w:t xml:space="preserve"> </w:t>
      </w:r>
      <w:r w:rsidR="00B03657" w:rsidRPr="00645878">
        <w:rPr>
          <w:rFonts w:ascii="Times New Roman" w:hAnsi="Times New Roman"/>
        </w:rPr>
        <w:t>state-owned</w:t>
      </w:r>
      <w:r w:rsidR="00900061" w:rsidRPr="00645878">
        <w:rPr>
          <w:rFonts w:ascii="Times New Roman" w:hAnsi="Times New Roman"/>
        </w:rPr>
        <w:t xml:space="preserve"> </w:t>
      </w:r>
      <w:r w:rsidR="00B03657" w:rsidRPr="00645878">
        <w:rPr>
          <w:rFonts w:ascii="Times New Roman" w:hAnsi="Times New Roman"/>
        </w:rPr>
        <w:t>enterprises,</w:t>
      </w:r>
      <w:r w:rsidR="00900061" w:rsidRPr="00645878">
        <w:rPr>
          <w:rFonts w:ascii="Times New Roman" w:hAnsi="Times New Roman"/>
        </w:rPr>
        <w:t xml:space="preserve"> </w:t>
      </w:r>
      <w:r w:rsidR="00CB12E0"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any</w:t>
      </w:r>
      <w:r w:rsidR="00900061" w:rsidRPr="00645878">
        <w:rPr>
          <w:rFonts w:ascii="Times New Roman" w:hAnsi="Times New Roman"/>
        </w:rPr>
        <w:t xml:space="preserve"> </w:t>
      </w:r>
      <w:r w:rsidR="00B03657" w:rsidRPr="00645878">
        <w:rPr>
          <w:rFonts w:ascii="Times New Roman" w:hAnsi="Times New Roman"/>
        </w:rPr>
        <w:t>other</w:t>
      </w:r>
      <w:r w:rsidR="00900061" w:rsidRPr="00645878">
        <w:rPr>
          <w:rFonts w:ascii="Times New Roman" w:hAnsi="Times New Roman"/>
        </w:rPr>
        <w:t xml:space="preserve"> </w:t>
      </w:r>
      <w:r w:rsidR="00B03657" w:rsidRPr="00645878">
        <w:rPr>
          <w:rFonts w:ascii="Times New Roman" w:hAnsi="Times New Roman"/>
        </w:rPr>
        <w:t>legal</w:t>
      </w:r>
      <w:r w:rsidR="00900061" w:rsidRPr="00645878">
        <w:rPr>
          <w:rFonts w:ascii="Times New Roman" w:hAnsi="Times New Roman"/>
        </w:rPr>
        <w:t xml:space="preserve"> </w:t>
      </w:r>
      <w:r w:rsidR="00B03657" w:rsidRPr="00645878">
        <w:rPr>
          <w:rFonts w:ascii="Times New Roman" w:hAnsi="Times New Roman"/>
        </w:rPr>
        <w:t>entities</w:t>
      </w:r>
      <w:r w:rsidR="00900061" w:rsidRPr="00645878">
        <w:rPr>
          <w:rFonts w:ascii="Times New Roman" w:hAnsi="Times New Roman"/>
        </w:rPr>
        <w:t xml:space="preserve"> </w:t>
      </w:r>
      <w:r w:rsidR="00B03657" w:rsidRPr="00645878">
        <w:rPr>
          <w:rFonts w:ascii="Times New Roman" w:hAnsi="Times New Roman"/>
        </w:rPr>
        <w:t>who</w:t>
      </w:r>
      <w:r w:rsidR="00900061" w:rsidRPr="00645878">
        <w:rPr>
          <w:rFonts w:ascii="Times New Roman" w:hAnsi="Times New Roman"/>
        </w:rPr>
        <w:t xml:space="preserve"> </w:t>
      </w:r>
      <w:r w:rsidR="00B03657" w:rsidRPr="00645878">
        <w:rPr>
          <w:rFonts w:ascii="Times New Roman" w:hAnsi="Times New Roman"/>
        </w:rPr>
        <w:t>have</w:t>
      </w:r>
      <w:r w:rsidR="00900061" w:rsidRPr="00645878">
        <w:rPr>
          <w:rFonts w:ascii="Times New Roman" w:hAnsi="Times New Roman"/>
        </w:rPr>
        <w:t xml:space="preserve"> </w:t>
      </w:r>
      <w:r w:rsidR="00B03657" w:rsidRPr="00645878">
        <w:rPr>
          <w:rFonts w:ascii="Times New Roman" w:hAnsi="Times New Roman"/>
        </w:rPr>
        <w:t>received</w:t>
      </w:r>
      <w:r w:rsidR="00900061" w:rsidRPr="00645878">
        <w:rPr>
          <w:rFonts w:ascii="Times New Roman" w:hAnsi="Times New Roman"/>
        </w:rPr>
        <w:t xml:space="preserve"> </w:t>
      </w:r>
      <w:r w:rsidR="00B03657" w:rsidRPr="00645878">
        <w:rPr>
          <w:rFonts w:ascii="Times New Roman" w:hAnsi="Times New Roman"/>
        </w:rPr>
        <w:t>budgetary</w:t>
      </w:r>
      <w:r w:rsidR="00900061" w:rsidRPr="00645878">
        <w:rPr>
          <w:rFonts w:ascii="Times New Roman" w:hAnsi="Times New Roman"/>
        </w:rPr>
        <w:t xml:space="preserve"> </w:t>
      </w:r>
      <w:r w:rsidR="00B03657" w:rsidRPr="00645878">
        <w:rPr>
          <w:rFonts w:ascii="Times New Roman" w:hAnsi="Times New Roman"/>
        </w:rPr>
        <w:t>funds</w:t>
      </w:r>
      <w:r w:rsidR="00900061" w:rsidRPr="00645878">
        <w:rPr>
          <w:rFonts w:ascii="Times New Roman" w:hAnsi="Times New Roman"/>
        </w:rPr>
        <w:t xml:space="preserve"> </w:t>
      </w:r>
      <w:r w:rsidR="00B03657" w:rsidRPr="00645878">
        <w:rPr>
          <w:rFonts w:ascii="Times New Roman" w:hAnsi="Times New Roman"/>
        </w:rPr>
        <w:t>(</w:t>
      </w:r>
      <w:r w:rsidR="00234CF2" w:rsidRPr="00645878">
        <w:rPr>
          <w:rFonts w:ascii="Times New Roman" w:hAnsi="Times New Roman"/>
        </w:rPr>
        <w:t>for example,</w:t>
      </w:r>
      <w:r w:rsidR="00900061" w:rsidRPr="00645878">
        <w:rPr>
          <w:rFonts w:ascii="Times New Roman" w:hAnsi="Times New Roman"/>
        </w:rPr>
        <w:t xml:space="preserve"> </w:t>
      </w:r>
      <w:r w:rsidR="00B03657" w:rsidRPr="00645878">
        <w:rPr>
          <w:rFonts w:ascii="Times New Roman" w:hAnsi="Times New Roman"/>
        </w:rPr>
        <w:t>lending,</w:t>
      </w:r>
      <w:r w:rsidR="00900061" w:rsidRPr="00645878">
        <w:rPr>
          <w:rFonts w:ascii="Times New Roman" w:hAnsi="Times New Roman"/>
        </w:rPr>
        <w:t xml:space="preserve"> </w:t>
      </w:r>
      <w:r w:rsidR="00B03657" w:rsidRPr="00645878">
        <w:rPr>
          <w:rFonts w:ascii="Times New Roman" w:hAnsi="Times New Roman"/>
        </w:rPr>
        <w:t>subsidies,</w:t>
      </w:r>
      <w:r w:rsidR="00900061" w:rsidRPr="00645878">
        <w:rPr>
          <w:rFonts w:ascii="Times New Roman" w:hAnsi="Times New Roman"/>
        </w:rPr>
        <w:t xml:space="preserve"> </w:t>
      </w:r>
      <w:r w:rsidR="00B03657" w:rsidRPr="00645878">
        <w:rPr>
          <w:rFonts w:ascii="Times New Roman" w:hAnsi="Times New Roman"/>
        </w:rPr>
        <w:t>donations,</w:t>
      </w:r>
      <w:r w:rsidR="00900061" w:rsidRPr="00645878">
        <w:rPr>
          <w:rFonts w:ascii="Times New Roman" w:hAnsi="Times New Roman"/>
        </w:rPr>
        <w:t xml:space="preserve"> </w:t>
      </w:r>
      <w:r w:rsidR="00073464" w:rsidRPr="00645878">
        <w:rPr>
          <w:rFonts w:ascii="Times New Roman" w:hAnsi="Times New Roman"/>
        </w:rPr>
        <w:t>and so on</w:t>
      </w:r>
      <w:r w:rsidR="00B03657"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case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noncompliance</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application</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laws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terms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material</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financial</w:t>
      </w:r>
      <w:r w:rsidR="00900061" w:rsidRPr="00645878">
        <w:rPr>
          <w:rFonts w:ascii="Times New Roman" w:hAnsi="Times New Roman"/>
        </w:rPr>
        <w:t xml:space="preserve"> </w:t>
      </w:r>
      <w:r w:rsidR="00B03657" w:rsidRPr="00645878">
        <w:rPr>
          <w:rFonts w:ascii="Times New Roman" w:hAnsi="Times New Roman"/>
        </w:rPr>
        <w:t>operations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intended</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legal</w:t>
      </w:r>
      <w:r w:rsidR="00900061" w:rsidRPr="00645878">
        <w:rPr>
          <w:rFonts w:ascii="Times New Roman" w:hAnsi="Times New Roman"/>
        </w:rPr>
        <w:t xml:space="preserve"> </w:t>
      </w:r>
      <w:r w:rsidR="00B03657" w:rsidRPr="00645878">
        <w:rPr>
          <w:rFonts w:ascii="Times New Roman" w:hAnsi="Times New Roman"/>
        </w:rPr>
        <w:t>use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funds</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beneficiaries,</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inspection</w:t>
      </w:r>
      <w:r w:rsidR="00900061" w:rsidRPr="00645878">
        <w:rPr>
          <w:rFonts w:ascii="Times New Roman" w:hAnsi="Times New Roman"/>
        </w:rPr>
        <w:t xml:space="preserve"> </w:t>
      </w:r>
      <w:r w:rsidR="00B03657" w:rsidRPr="00645878">
        <w:rPr>
          <w:rFonts w:ascii="Times New Roman" w:hAnsi="Times New Roman"/>
        </w:rPr>
        <w:t>may</w:t>
      </w:r>
      <w:r w:rsidR="00900061" w:rsidRPr="00645878">
        <w:rPr>
          <w:rFonts w:ascii="Times New Roman" w:hAnsi="Times New Roman"/>
        </w:rPr>
        <w:t xml:space="preserve"> </w:t>
      </w:r>
      <w:r w:rsidR="00B03657" w:rsidRPr="00645878">
        <w:rPr>
          <w:rFonts w:ascii="Times New Roman" w:hAnsi="Times New Roman"/>
        </w:rPr>
        <w:t>issue</w:t>
      </w:r>
      <w:r w:rsidR="00900061" w:rsidRPr="00645878">
        <w:rPr>
          <w:rFonts w:ascii="Times New Roman" w:hAnsi="Times New Roman"/>
        </w:rPr>
        <w:t xml:space="preserve"> </w:t>
      </w:r>
      <w:r w:rsidR="00B03657" w:rsidRPr="00645878">
        <w:rPr>
          <w:rFonts w:ascii="Times New Roman" w:hAnsi="Times New Roman"/>
        </w:rPr>
        <w:t>administrative</w:t>
      </w:r>
      <w:r w:rsidR="00900061" w:rsidRPr="00645878">
        <w:rPr>
          <w:rFonts w:ascii="Times New Roman" w:hAnsi="Times New Roman"/>
        </w:rPr>
        <w:t xml:space="preserve"> </w:t>
      </w:r>
      <w:r w:rsidR="00B03657" w:rsidRPr="00645878">
        <w:rPr>
          <w:rFonts w:ascii="Times New Roman" w:hAnsi="Times New Roman"/>
        </w:rPr>
        <w:t>acts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decisions</w:t>
      </w:r>
      <w:r w:rsidR="00CB12E0"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which</w:t>
      </w:r>
      <w:r w:rsidR="00900061" w:rsidRPr="00645878">
        <w:rPr>
          <w:rFonts w:ascii="Times New Roman" w:hAnsi="Times New Roman"/>
        </w:rPr>
        <w:t xml:space="preserve"> </w:t>
      </w:r>
      <w:r w:rsidR="00B03657" w:rsidRPr="00645878">
        <w:rPr>
          <w:rFonts w:ascii="Times New Roman" w:hAnsi="Times New Roman"/>
        </w:rPr>
        <w:t>impose</w:t>
      </w:r>
      <w:r w:rsidR="00900061" w:rsidRPr="00645878">
        <w:rPr>
          <w:rFonts w:ascii="Times New Roman" w:hAnsi="Times New Roman"/>
        </w:rPr>
        <w:t xml:space="preserve"> </w:t>
      </w:r>
      <w:r w:rsidR="00B03657" w:rsidRPr="00645878">
        <w:rPr>
          <w:rFonts w:ascii="Times New Roman" w:hAnsi="Times New Roman"/>
        </w:rPr>
        <w:t>orders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remove</w:t>
      </w:r>
      <w:r w:rsidR="00900061" w:rsidRPr="00645878">
        <w:rPr>
          <w:rFonts w:ascii="Times New Roman" w:hAnsi="Times New Roman"/>
        </w:rPr>
        <w:t xml:space="preserve"> </w:t>
      </w:r>
      <w:r w:rsidR="00B03657" w:rsidRPr="00645878">
        <w:rPr>
          <w:rFonts w:ascii="Times New Roman" w:hAnsi="Times New Roman"/>
        </w:rPr>
        <w:t>irregularities,</w:t>
      </w:r>
      <w:r w:rsidR="00900061" w:rsidRPr="00645878">
        <w:rPr>
          <w:rFonts w:ascii="Times New Roman" w:hAnsi="Times New Roman"/>
        </w:rPr>
        <w:t xml:space="preserve"> </w:t>
      </w:r>
      <w:r w:rsidR="00B03657" w:rsidRPr="00645878">
        <w:rPr>
          <w:rFonts w:ascii="Times New Roman" w:hAnsi="Times New Roman"/>
        </w:rPr>
        <w:t>recover</w:t>
      </w:r>
      <w:r w:rsidR="00900061" w:rsidRPr="00645878">
        <w:rPr>
          <w:rFonts w:ascii="Times New Roman" w:hAnsi="Times New Roman"/>
        </w:rPr>
        <w:t xml:space="preserve"> </w:t>
      </w:r>
      <w:r w:rsidR="00B03657" w:rsidRPr="00645878">
        <w:rPr>
          <w:rFonts w:ascii="Times New Roman" w:hAnsi="Times New Roman"/>
        </w:rPr>
        <w:t>funds</w:t>
      </w:r>
      <w:r w:rsidR="00900061" w:rsidRPr="00645878">
        <w:rPr>
          <w:rFonts w:ascii="Times New Roman" w:hAnsi="Times New Roman"/>
        </w:rPr>
        <w:t xml:space="preserve"> </w:t>
      </w:r>
      <w:r w:rsidR="00B03657" w:rsidRPr="00645878">
        <w:rPr>
          <w:rFonts w:ascii="Times New Roman" w:hAnsi="Times New Roman"/>
        </w:rPr>
        <w:t>during</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year</w:t>
      </w:r>
      <w:r w:rsidR="005E38DB"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file</w:t>
      </w:r>
      <w:r w:rsidR="00900061" w:rsidRPr="00645878">
        <w:rPr>
          <w:rFonts w:ascii="Times New Roman" w:hAnsi="Times New Roman"/>
        </w:rPr>
        <w:t xml:space="preserve"> </w:t>
      </w:r>
      <w:r w:rsidR="00B03657" w:rsidRPr="00645878">
        <w:rPr>
          <w:rFonts w:ascii="Times New Roman" w:hAnsi="Times New Roman"/>
        </w:rPr>
        <w:t>misdemeanor</w:t>
      </w:r>
      <w:r w:rsidR="00900061" w:rsidRPr="00645878">
        <w:rPr>
          <w:rFonts w:ascii="Times New Roman" w:hAnsi="Times New Roman"/>
        </w:rPr>
        <w:t xml:space="preserve"> </w:t>
      </w:r>
      <w:r w:rsidR="00B03657" w:rsidRPr="00645878">
        <w:rPr>
          <w:rFonts w:ascii="Times New Roman" w:hAnsi="Times New Roman"/>
        </w:rPr>
        <w:t>charges</w:t>
      </w:r>
      <w:r w:rsidR="00900061" w:rsidRPr="00645878">
        <w:rPr>
          <w:rFonts w:ascii="Times New Roman" w:hAnsi="Times New Roman"/>
        </w:rPr>
        <w:t xml:space="preserve"> </w:t>
      </w:r>
      <w:r w:rsidR="00B03657" w:rsidRPr="00645878">
        <w:rPr>
          <w:rFonts w:ascii="Times New Roman" w:hAnsi="Times New Roman"/>
        </w:rPr>
        <w:t>against</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inspected</w:t>
      </w:r>
      <w:r w:rsidR="00900061" w:rsidRPr="00645878">
        <w:rPr>
          <w:rFonts w:ascii="Times New Roman" w:hAnsi="Times New Roman"/>
        </w:rPr>
        <w:t xml:space="preserve"> </w:t>
      </w:r>
      <w:r w:rsidR="00B03657" w:rsidRPr="00645878">
        <w:rPr>
          <w:rFonts w:ascii="Times New Roman" w:hAnsi="Times New Roman"/>
        </w:rPr>
        <w:t>entities</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responsible</w:t>
      </w:r>
      <w:r w:rsidR="00900061" w:rsidRPr="00645878">
        <w:rPr>
          <w:rFonts w:ascii="Times New Roman" w:hAnsi="Times New Roman"/>
        </w:rPr>
        <w:t xml:space="preserve"> </w:t>
      </w:r>
      <w:r w:rsidR="00B03657" w:rsidRPr="00645878">
        <w:rPr>
          <w:rFonts w:ascii="Times New Roman" w:hAnsi="Times New Roman"/>
        </w:rPr>
        <w:t>persons.</w:t>
      </w:r>
      <w:r w:rsidR="00900061" w:rsidRPr="00645878">
        <w:rPr>
          <w:rFonts w:ascii="Times New Roman" w:hAnsi="Times New Roman"/>
        </w:rPr>
        <w:t xml:space="preserve"> </w:t>
      </w:r>
      <w:r w:rsidR="00B03657" w:rsidRPr="00645878">
        <w:rPr>
          <w:rFonts w:ascii="Times New Roman" w:hAnsi="Times New Roman"/>
        </w:rPr>
        <w:t>At</w:t>
      </w:r>
      <w:r w:rsidR="00900061" w:rsidRPr="00645878">
        <w:rPr>
          <w:rFonts w:ascii="Times New Roman" w:hAnsi="Times New Roman"/>
        </w:rPr>
        <w:t xml:space="preserve"> </w:t>
      </w:r>
      <w:r w:rsidR="00B03657" w:rsidRPr="00645878">
        <w:rPr>
          <w:rFonts w:ascii="Times New Roman" w:hAnsi="Times New Roman"/>
        </w:rPr>
        <w:t>11</w:t>
      </w:r>
      <w:r w:rsidR="00900061" w:rsidRPr="00645878">
        <w:rPr>
          <w:rFonts w:ascii="Times New Roman" w:hAnsi="Times New Roman"/>
        </w:rPr>
        <w:t xml:space="preserve"> </w:t>
      </w:r>
      <w:r w:rsidR="00B03657" w:rsidRPr="00645878">
        <w:rPr>
          <w:rFonts w:ascii="Times New Roman" w:hAnsi="Times New Roman"/>
        </w:rPr>
        <w:t>systematized</w:t>
      </w:r>
      <w:r w:rsidR="00900061" w:rsidRPr="00645878">
        <w:rPr>
          <w:rFonts w:ascii="Times New Roman" w:hAnsi="Times New Roman"/>
        </w:rPr>
        <w:t xml:space="preserve"> </w:t>
      </w:r>
      <w:r w:rsidR="00B03657" w:rsidRPr="00645878">
        <w:rPr>
          <w:rFonts w:ascii="Times New Roman" w:hAnsi="Times New Roman"/>
        </w:rPr>
        <w:t>posts,</w:t>
      </w:r>
      <w:r w:rsidR="00900061" w:rsidRPr="00645878">
        <w:rPr>
          <w:rFonts w:ascii="Times New Roman" w:hAnsi="Times New Roman"/>
        </w:rPr>
        <w:t xml:space="preserve"> </w:t>
      </w:r>
      <w:r w:rsidR="00277256" w:rsidRPr="00645878">
        <w:rPr>
          <w:rFonts w:ascii="Times New Roman" w:hAnsi="Times New Roman"/>
        </w:rPr>
        <w:t xml:space="preserve">the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Inspection</w:t>
      </w:r>
      <w:r w:rsidR="00900061" w:rsidRPr="00645878">
        <w:rPr>
          <w:rFonts w:ascii="Times New Roman" w:hAnsi="Times New Roman"/>
        </w:rPr>
        <w:t xml:space="preserve"> </w:t>
      </w:r>
      <w:r w:rsidR="00277256" w:rsidRPr="00645878">
        <w:rPr>
          <w:rFonts w:ascii="Times New Roman" w:hAnsi="Times New Roman"/>
        </w:rPr>
        <w:t>U</w:t>
      </w:r>
      <w:r w:rsidR="00B03657" w:rsidRPr="00645878">
        <w:rPr>
          <w:rFonts w:ascii="Times New Roman" w:hAnsi="Times New Roman"/>
        </w:rPr>
        <w:t>nit</w:t>
      </w:r>
      <w:r w:rsidR="00900061" w:rsidRPr="00645878">
        <w:rPr>
          <w:rFonts w:ascii="Times New Roman" w:hAnsi="Times New Roman"/>
        </w:rPr>
        <w:t xml:space="preserve"> </w:t>
      </w:r>
      <w:r w:rsidR="00B03657" w:rsidRPr="00645878">
        <w:rPr>
          <w:rFonts w:ascii="Times New Roman" w:hAnsi="Times New Roman"/>
        </w:rPr>
        <w:t>remains</w:t>
      </w:r>
      <w:r w:rsidR="00900061" w:rsidRPr="00645878">
        <w:rPr>
          <w:rFonts w:ascii="Times New Roman" w:hAnsi="Times New Roman"/>
        </w:rPr>
        <w:t xml:space="preserve"> </w:t>
      </w:r>
      <w:r w:rsidR="00B03657" w:rsidRPr="00645878">
        <w:rPr>
          <w:rFonts w:ascii="Times New Roman" w:hAnsi="Times New Roman"/>
        </w:rPr>
        <w:t>largely</w:t>
      </w:r>
      <w:r w:rsidR="00900061" w:rsidRPr="00645878">
        <w:rPr>
          <w:rFonts w:ascii="Times New Roman" w:hAnsi="Times New Roman"/>
        </w:rPr>
        <w:t xml:space="preserve"> </w:t>
      </w:r>
      <w:r w:rsidR="00B03657" w:rsidRPr="00645878">
        <w:rPr>
          <w:rFonts w:ascii="Times New Roman" w:hAnsi="Times New Roman"/>
        </w:rPr>
        <w:t>understaffed</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discharge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such</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broad</w:t>
      </w:r>
      <w:r w:rsidR="00900061" w:rsidRPr="00645878">
        <w:rPr>
          <w:rFonts w:ascii="Times New Roman" w:hAnsi="Times New Roman"/>
        </w:rPr>
        <w:t xml:space="preserve"> </w:t>
      </w:r>
      <w:r w:rsidR="00B03657" w:rsidRPr="00645878">
        <w:rPr>
          <w:rFonts w:ascii="Times New Roman" w:hAnsi="Times New Roman"/>
        </w:rPr>
        <w:t>mandate.</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time</w:t>
      </w:r>
      <w:r w:rsidR="00900061" w:rsidRPr="00645878">
        <w:rPr>
          <w:rFonts w:ascii="Times New Roman" w:hAnsi="Times New Roman"/>
        </w:rPr>
        <w:t xml:space="preserve"> </w:t>
      </w:r>
      <w:r w:rsidR="00B03657" w:rsidRPr="00645878">
        <w:rPr>
          <w:rFonts w:ascii="Times New Roman" w:hAnsi="Times New Roman"/>
        </w:rPr>
        <w:t>being,</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work</w:t>
      </w:r>
      <w:r w:rsidR="00900061" w:rsidRPr="00645878">
        <w:rPr>
          <w:rFonts w:ascii="Times New Roman" w:hAnsi="Times New Roman"/>
        </w:rPr>
        <w:t xml:space="preserve"> </w:t>
      </w:r>
      <w:r w:rsidR="000F0400" w:rsidRPr="00645878">
        <w:rPr>
          <w:rFonts w:ascii="Times New Roman" w:hAnsi="Times New Roman"/>
        </w:rPr>
        <w:t>p</w:t>
      </w:r>
      <w:r w:rsidR="00B03657" w:rsidRPr="004F5154">
        <w:rPr>
          <w:rFonts w:ascii="Times New Roman" w:hAnsi="Times New Roman"/>
        </w:rPr>
        <w:t>rogram</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B03657" w:rsidRPr="004F5154">
        <w:rPr>
          <w:rFonts w:ascii="Times New Roman" w:hAnsi="Times New Roman"/>
        </w:rPr>
        <w:t>Budget</w:t>
      </w:r>
      <w:r w:rsidR="00900061" w:rsidRPr="004F5154">
        <w:rPr>
          <w:rFonts w:ascii="Times New Roman" w:hAnsi="Times New Roman"/>
        </w:rPr>
        <w:t xml:space="preserve"> </w:t>
      </w:r>
      <w:r w:rsidR="00B03657" w:rsidRPr="004F5154">
        <w:rPr>
          <w:rFonts w:ascii="Times New Roman" w:hAnsi="Times New Roman"/>
        </w:rPr>
        <w:t>Inspection</w:t>
      </w:r>
      <w:r w:rsidR="00900061" w:rsidRPr="004F5154">
        <w:rPr>
          <w:rFonts w:ascii="Times New Roman" w:hAnsi="Times New Roman"/>
        </w:rPr>
        <w:t xml:space="preserve"> </w:t>
      </w:r>
      <w:r w:rsidR="00CD3550" w:rsidRPr="004F5154">
        <w:rPr>
          <w:rFonts w:ascii="Times New Roman" w:hAnsi="Times New Roman"/>
        </w:rPr>
        <w:t xml:space="preserve">Unit </w:t>
      </w:r>
      <w:r w:rsidR="00B03657" w:rsidRPr="004F5154">
        <w:rPr>
          <w:rFonts w:ascii="Times New Roman" w:hAnsi="Times New Roman"/>
        </w:rPr>
        <w:t>is</w:t>
      </w:r>
      <w:r w:rsidR="00900061" w:rsidRPr="004F5154">
        <w:rPr>
          <w:rFonts w:ascii="Times New Roman" w:hAnsi="Times New Roman"/>
        </w:rPr>
        <w:t xml:space="preserve"> </w:t>
      </w:r>
      <w:r w:rsidR="00B03657" w:rsidRPr="004F5154">
        <w:rPr>
          <w:rFonts w:ascii="Times New Roman" w:hAnsi="Times New Roman"/>
        </w:rPr>
        <w:t>determined</w:t>
      </w:r>
      <w:r w:rsidR="00900061" w:rsidRPr="004F5154">
        <w:rPr>
          <w:rFonts w:ascii="Times New Roman" w:hAnsi="Times New Roman"/>
        </w:rPr>
        <w:t xml:space="preserve"> </w:t>
      </w:r>
      <w:r w:rsidR="00B03657" w:rsidRPr="004F5154">
        <w:rPr>
          <w:rFonts w:ascii="Times New Roman" w:hAnsi="Times New Roman"/>
        </w:rPr>
        <w:t>by</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CB12E0" w:rsidRPr="004F5154">
        <w:rPr>
          <w:rFonts w:ascii="Times New Roman" w:hAnsi="Times New Roman"/>
        </w:rPr>
        <w:t>m</w:t>
      </w:r>
      <w:r w:rsidR="00B03657" w:rsidRPr="004F5154">
        <w:rPr>
          <w:rFonts w:ascii="Times New Roman" w:hAnsi="Times New Roman"/>
        </w:rPr>
        <w:t>inister</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Finance.</w:t>
      </w:r>
      <w:r w:rsidR="00900061" w:rsidRPr="004F5154">
        <w:rPr>
          <w:rFonts w:ascii="Times New Roman" w:hAnsi="Times New Roman"/>
        </w:rPr>
        <w:t xml:space="preserve"> </w:t>
      </w:r>
      <w:r w:rsidR="00B03657" w:rsidRPr="004F5154">
        <w:rPr>
          <w:rFonts w:ascii="Times New Roman" w:hAnsi="Times New Roman"/>
        </w:rPr>
        <w:t>It</w:t>
      </w:r>
      <w:r w:rsidR="00900061" w:rsidRPr="004F5154">
        <w:rPr>
          <w:rFonts w:ascii="Times New Roman" w:hAnsi="Times New Roman"/>
        </w:rPr>
        <w:t xml:space="preserve"> </w:t>
      </w:r>
      <w:r w:rsidR="00B03657" w:rsidRPr="004F5154">
        <w:rPr>
          <w:rFonts w:ascii="Times New Roman" w:hAnsi="Times New Roman"/>
        </w:rPr>
        <w:t>is</w:t>
      </w:r>
      <w:r w:rsidR="00900061" w:rsidRPr="004F5154">
        <w:rPr>
          <w:rFonts w:ascii="Times New Roman" w:hAnsi="Times New Roman"/>
        </w:rPr>
        <w:t xml:space="preserve"> </w:t>
      </w:r>
      <w:r w:rsidR="00B03657" w:rsidRPr="004F5154">
        <w:rPr>
          <w:rFonts w:ascii="Times New Roman" w:hAnsi="Times New Roman"/>
        </w:rPr>
        <w:t>likely</w:t>
      </w:r>
      <w:r w:rsidR="00900061" w:rsidRPr="004F5154">
        <w:rPr>
          <w:rFonts w:ascii="Times New Roman" w:hAnsi="Times New Roman"/>
        </w:rPr>
        <w:t xml:space="preserve"> </w:t>
      </w:r>
      <w:r w:rsidR="00B03657" w:rsidRPr="004F5154">
        <w:rPr>
          <w:rFonts w:ascii="Times New Roman" w:hAnsi="Times New Roman"/>
        </w:rPr>
        <w:t>that</w:t>
      </w:r>
      <w:r w:rsidR="00900061" w:rsidRPr="004F5154">
        <w:rPr>
          <w:rFonts w:ascii="Times New Roman" w:hAnsi="Times New Roman"/>
        </w:rPr>
        <w:t xml:space="preserve"> </w:t>
      </w:r>
      <w:r w:rsidR="00B03657" w:rsidRPr="004F5154">
        <w:rPr>
          <w:rFonts w:ascii="Times New Roman" w:hAnsi="Times New Roman"/>
        </w:rPr>
        <w:t>planning</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B03657" w:rsidRPr="004F5154">
        <w:rPr>
          <w:rFonts w:ascii="Times New Roman" w:hAnsi="Times New Roman"/>
        </w:rPr>
        <w:t>Budget</w:t>
      </w:r>
      <w:r w:rsidR="00900061" w:rsidRPr="004F5154">
        <w:rPr>
          <w:rFonts w:ascii="Times New Roman" w:hAnsi="Times New Roman"/>
        </w:rPr>
        <w:t xml:space="preserve"> </w:t>
      </w:r>
      <w:r w:rsidR="00B03657" w:rsidRPr="004F5154">
        <w:rPr>
          <w:rFonts w:ascii="Times New Roman" w:hAnsi="Times New Roman"/>
        </w:rPr>
        <w:t>Inspection</w:t>
      </w:r>
      <w:r w:rsidR="00900061" w:rsidRPr="004F5154">
        <w:rPr>
          <w:rFonts w:ascii="Times New Roman" w:hAnsi="Times New Roman"/>
        </w:rPr>
        <w:t xml:space="preserve"> </w:t>
      </w:r>
      <w:r w:rsidR="00DB1F58" w:rsidRPr="004F5154">
        <w:rPr>
          <w:rFonts w:ascii="Times New Roman" w:hAnsi="Times New Roman"/>
        </w:rPr>
        <w:t>U</w:t>
      </w:r>
      <w:r w:rsidR="00B03657" w:rsidRPr="004F5154">
        <w:rPr>
          <w:rFonts w:ascii="Times New Roman" w:hAnsi="Times New Roman"/>
        </w:rPr>
        <w:t>nit’s</w:t>
      </w:r>
      <w:r w:rsidR="00900061" w:rsidRPr="004F5154">
        <w:rPr>
          <w:rFonts w:ascii="Times New Roman" w:hAnsi="Times New Roman"/>
        </w:rPr>
        <w:t xml:space="preserve"> </w:t>
      </w:r>
      <w:r w:rsidR="00B03657" w:rsidRPr="004F5154">
        <w:rPr>
          <w:rFonts w:ascii="Times New Roman" w:hAnsi="Times New Roman"/>
        </w:rPr>
        <w:t>work</w:t>
      </w:r>
      <w:r w:rsidR="00900061" w:rsidRPr="004F5154">
        <w:rPr>
          <w:rFonts w:ascii="Times New Roman" w:hAnsi="Times New Roman"/>
        </w:rPr>
        <w:t xml:space="preserve"> </w:t>
      </w:r>
      <w:r w:rsidR="00B03657" w:rsidRPr="004F5154">
        <w:rPr>
          <w:rFonts w:ascii="Times New Roman" w:hAnsi="Times New Roman"/>
        </w:rPr>
        <w:t>will</w:t>
      </w:r>
      <w:r w:rsidR="00900061" w:rsidRPr="004F5154">
        <w:rPr>
          <w:rFonts w:ascii="Times New Roman" w:hAnsi="Times New Roman"/>
        </w:rPr>
        <w:t xml:space="preserve"> </w:t>
      </w:r>
      <w:r w:rsidR="00B03657" w:rsidRPr="004F5154">
        <w:rPr>
          <w:rFonts w:ascii="Times New Roman" w:hAnsi="Times New Roman"/>
        </w:rPr>
        <w:t>have</w:t>
      </w:r>
      <w:r w:rsidR="00900061" w:rsidRPr="004F5154">
        <w:rPr>
          <w:rFonts w:ascii="Times New Roman" w:hAnsi="Times New Roman"/>
        </w:rPr>
        <w:t xml:space="preserve"> </w:t>
      </w:r>
      <w:r w:rsidR="00B03657" w:rsidRPr="004F5154">
        <w:rPr>
          <w:rFonts w:ascii="Times New Roman" w:hAnsi="Times New Roman"/>
        </w:rPr>
        <w:t>to</w:t>
      </w:r>
      <w:r w:rsidR="00900061" w:rsidRPr="004F5154">
        <w:rPr>
          <w:rFonts w:ascii="Times New Roman" w:hAnsi="Times New Roman"/>
        </w:rPr>
        <w:t xml:space="preserve"> </w:t>
      </w:r>
      <w:r w:rsidR="00B03657" w:rsidRPr="004F5154">
        <w:rPr>
          <w:rFonts w:ascii="Times New Roman" w:hAnsi="Times New Roman"/>
        </w:rPr>
        <w:t>be</w:t>
      </w:r>
      <w:r w:rsidR="00900061" w:rsidRPr="004F5154">
        <w:rPr>
          <w:rFonts w:ascii="Times New Roman" w:hAnsi="Times New Roman"/>
        </w:rPr>
        <w:t xml:space="preserve"> </w:t>
      </w:r>
      <w:r w:rsidR="00B03657" w:rsidRPr="004F5154">
        <w:rPr>
          <w:rFonts w:ascii="Times New Roman" w:hAnsi="Times New Roman"/>
        </w:rPr>
        <w:t>aligned</w:t>
      </w:r>
      <w:r w:rsidR="00900061" w:rsidRPr="004F5154">
        <w:rPr>
          <w:rFonts w:ascii="Times New Roman" w:hAnsi="Times New Roman"/>
        </w:rPr>
        <w:t xml:space="preserve"> </w:t>
      </w:r>
      <w:r w:rsidR="00B03657" w:rsidRPr="004F5154">
        <w:rPr>
          <w:rFonts w:ascii="Times New Roman" w:hAnsi="Times New Roman"/>
        </w:rPr>
        <w:t>more</w:t>
      </w:r>
      <w:r w:rsidR="00900061" w:rsidRPr="004F5154">
        <w:rPr>
          <w:rFonts w:ascii="Times New Roman" w:hAnsi="Times New Roman"/>
        </w:rPr>
        <w:t xml:space="preserve"> </w:t>
      </w:r>
      <w:r w:rsidR="00B03657" w:rsidRPr="004F5154">
        <w:rPr>
          <w:rFonts w:ascii="Times New Roman" w:hAnsi="Times New Roman"/>
        </w:rPr>
        <w:t>closely</w:t>
      </w:r>
      <w:r w:rsidR="00900061" w:rsidRPr="004F5154">
        <w:rPr>
          <w:rFonts w:ascii="Times New Roman" w:hAnsi="Times New Roman"/>
        </w:rPr>
        <w:t xml:space="preserve"> </w:t>
      </w:r>
      <w:r w:rsidR="00B03657" w:rsidRPr="004F5154">
        <w:rPr>
          <w:rFonts w:ascii="Times New Roman" w:hAnsi="Times New Roman"/>
        </w:rPr>
        <w:t>with</w:t>
      </w:r>
      <w:r w:rsidR="00900061" w:rsidRPr="004F5154">
        <w:rPr>
          <w:rFonts w:ascii="Times New Roman" w:hAnsi="Times New Roman"/>
        </w:rPr>
        <w:t xml:space="preserve"> </w:t>
      </w:r>
      <w:r w:rsidR="00FF4790" w:rsidRPr="004F5154">
        <w:rPr>
          <w:rFonts w:ascii="Times New Roman" w:hAnsi="Times New Roman"/>
        </w:rPr>
        <w:t>European Union (</w:t>
      </w:r>
      <w:r w:rsidR="00B03657" w:rsidRPr="004F5154">
        <w:rPr>
          <w:rFonts w:ascii="Times New Roman" w:hAnsi="Times New Roman"/>
        </w:rPr>
        <w:t>EU</w:t>
      </w:r>
      <w:r w:rsidR="00FF4790" w:rsidRPr="004F5154">
        <w:rPr>
          <w:rFonts w:ascii="Times New Roman" w:hAnsi="Times New Roman"/>
        </w:rPr>
        <w:t>)</w:t>
      </w:r>
      <w:r w:rsidR="00900061" w:rsidRPr="004F5154">
        <w:rPr>
          <w:rFonts w:ascii="Times New Roman" w:hAnsi="Times New Roman"/>
        </w:rPr>
        <w:t xml:space="preserve"> </w:t>
      </w:r>
      <w:r w:rsidR="00B03657" w:rsidRPr="004F5154">
        <w:rPr>
          <w:rFonts w:ascii="Times New Roman" w:hAnsi="Times New Roman"/>
        </w:rPr>
        <w:t>PIFC</w:t>
      </w:r>
      <w:r w:rsidR="00900061" w:rsidRPr="004F5154">
        <w:rPr>
          <w:rFonts w:ascii="Times New Roman" w:hAnsi="Times New Roman"/>
        </w:rPr>
        <w:t xml:space="preserve"> </w:t>
      </w:r>
      <w:r w:rsidR="00B03657" w:rsidRPr="004F5154">
        <w:rPr>
          <w:rFonts w:ascii="Times New Roman" w:hAnsi="Times New Roman"/>
        </w:rPr>
        <w:t>requirements.</w:t>
      </w:r>
      <w:r w:rsidR="00900061" w:rsidRPr="004F5154">
        <w:rPr>
          <w:rFonts w:ascii="Times New Roman" w:hAnsi="Times New Roman"/>
        </w:rPr>
        <w:t xml:space="preserve"> </w:t>
      </w:r>
      <w:r w:rsidR="00B03657" w:rsidRPr="004F5154">
        <w:rPr>
          <w:rFonts w:ascii="Times New Roman" w:hAnsi="Times New Roman"/>
        </w:rPr>
        <w:t>Under</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B03657" w:rsidRPr="004F5154">
        <w:rPr>
          <w:rFonts w:ascii="Times New Roman" w:hAnsi="Times New Roman"/>
        </w:rPr>
        <w:t>PIFC</w:t>
      </w:r>
      <w:r w:rsidR="00900061" w:rsidRPr="004F5154">
        <w:rPr>
          <w:rFonts w:ascii="Times New Roman" w:hAnsi="Times New Roman"/>
        </w:rPr>
        <w:t xml:space="preserve"> </w:t>
      </w:r>
      <w:r w:rsidR="00B03657" w:rsidRPr="004F5154">
        <w:rPr>
          <w:rFonts w:ascii="Times New Roman" w:hAnsi="Times New Roman"/>
        </w:rPr>
        <w:t>concept,</w:t>
      </w:r>
      <w:r w:rsidR="00900061" w:rsidRPr="004F5154">
        <w:rPr>
          <w:rFonts w:ascii="Times New Roman" w:hAnsi="Times New Roman"/>
        </w:rPr>
        <w:t xml:space="preserve"> </w:t>
      </w:r>
      <w:r w:rsidR="00B03657" w:rsidRPr="004F5154">
        <w:rPr>
          <w:rFonts w:ascii="Times New Roman" w:hAnsi="Times New Roman"/>
        </w:rPr>
        <w:t>inspection</w:t>
      </w:r>
      <w:r w:rsidR="00900061" w:rsidRPr="004F5154">
        <w:rPr>
          <w:rFonts w:ascii="Times New Roman" w:hAnsi="Times New Roman"/>
        </w:rPr>
        <w:t xml:space="preserve"> </w:t>
      </w:r>
      <w:r w:rsidR="00B03657" w:rsidRPr="004F5154">
        <w:rPr>
          <w:rFonts w:ascii="Times New Roman" w:hAnsi="Times New Roman"/>
        </w:rPr>
        <w:t>should</w:t>
      </w:r>
      <w:r w:rsidR="00900061" w:rsidRPr="004F5154">
        <w:rPr>
          <w:rFonts w:ascii="Times New Roman" w:hAnsi="Times New Roman"/>
        </w:rPr>
        <w:t xml:space="preserve"> </w:t>
      </w:r>
      <w:r w:rsidR="00B03657" w:rsidRPr="004F5154">
        <w:rPr>
          <w:rFonts w:ascii="Times New Roman" w:hAnsi="Times New Roman"/>
        </w:rPr>
        <w:t>act</w:t>
      </w:r>
      <w:r w:rsidR="00900061" w:rsidRPr="004F5154">
        <w:rPr>
          <w:rFonts w:ascii="Times New Roman" w:hAnsi="Times New Roman"/>
        </w:rPr>
        <w:t xml:space="preserve"> </w:t>
      </w:r>
      <w:r w:rsidR="00B03657" w:rsidRPr="004F5154">
        <w:rPr>
          <w:rFonts w:ascii="Times New Roman" w:hAnsi="Times New Roman"/>
        </w:rPr>
        <w:t>upon</w:t>
      </w:r>
      <w:r w:rsidR="00900061" w:rsidRPr="004F5154">
        <w:rPr>
          <w:rFonts w:ascii="Times New Roman" w:hAnsi="Times New Roman"/>
        </w:rPr>
        <w:t xml:space="preserve"> </w:t>
      </w:r>
      <w:r w:rsidR="00B03657" w:rsidRPr="004F5154">
        <w:rPr>
          <w:rFonts w:ascii="Times New Roman" w:hAnsi="Times New Roman"/>
        </w:rPr>
        <w:t>petitions</w:t>
      </w:r>
      <w:r w:rsidR="00900061" w:rsidRPr="004F5154">
        <w:rPr>
          <w:rFonts w:ascii="Times New Roman" w:hAnsi="Times New Roman"/>
        </w:rPr>
        <w:t xml:space="preserve"> </w:t>
      </w:r>
      <w:r w:rsidR="00B03657" w:rsidRPr="004F5154">
        <w:rPr>
          <w:rFonts w:ascii="Times New Roman" w:hAnsi="Times New Roman"/>
        </w:rPr>
        <w:t>and</w:t>
      </w:r>
      <w:r w:rsidR="00900061" w:rsidRPr="004F5154">
        <w:rPr>
          <w:rFonts w:ascii="Times New Roman" w:hAnsi="Times New Roman"/>
        </w:rPr>
        <w:t xml:space="preserve"> </w:t>
      </w:r>
      <w:r w:rsidR="00B03657" w:rsidRPr="004F5154">
        <w:rPr>
          <w:rFonts w:ascii="Times New Roman" w:hAnsi="Times New Roman"/>
        </w:rPr>
        <w:t>complaints</w:t>
      </w:r>
      <w:r w:rsidR="00900061" w:rsidRPr="004F5154">
        <w:rPr>
          <w:rFonts w:ascii="Times New Roman" w:hAnsi="Times New Roman"/>
        </w:rPr>
        <w:t xml:space="preserve"> </w:t>
      </w:r>
      <w:r w:rsidR="00B03657" w:rsidRPr="004F5154">
        <w:rPr>
          <w:rFonts w:ascii="Times New Roman" w:hAnsi="Times New Roman"/>
        </w:rPr>
        <w:t>(in</w:t>
      </w:r>
      <w:r w:rsidR="00900061" w:rsidRPr="004F5154">
        <w:rPr>
          <w:rFonts w:ascii="Times New Roman" w:hAnsi="Times New Roman"/>
        </w:rPr>
        <w:t xml:space="preserve"> </w:t>
      </w:r>
      <w:r w:rsidR="00B03657" w:rsidRPr="004F5154">
        <w:rPr>
          <w:rFonts w:ascii="Times New Roman" w:hAnsi="Times New Roman"/>
        </w:rPr>
        <w:t>reaction</w:t>
      </w:r>
      <w:r w:rsidR="00900061" w:rsidRPr="004F5154">
        <w:rPr>
          <w:rFonts w:ascii="Times New Roman" w:hAnsi="Times New Roman"/>
        </w:rPr>
        <w:t xml:space="preserve"> </w:t>
      </w:r>
      <w:r w:rsidR="00B03657" w:rsidRPr="004F5154">
        <w:rPr>
          <w:rFonts w:ascii="Times New Roman" w:hAnsi="Times New Roman"/>
        </w:rPr>
        <w:t>to</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B03657" w:rsidRPr="004F5154">
        <w:rPr>
          <w:rFonts w:ascii="Times New Roman" w:hAnsi="Times New Roman"/>
        </w:rPr>
        <w:t>problems</w:t>
      </w:r>
      <w:r w:rsidR="00900061" w:rsidRPr="004F5154">
        <w:rPr>
          <w:rFonts w:ascii="Times New Roman" w:hAnsi="Times New Roman"/>
        </w:rPr>
        <w:t xml:space="preserve"> </w:t>
      </w:r>
      <w:r w:rsidR="00B03657" w:rsidRPr="004F5154">
        <w:rPr>
          <w:rFonts w:ascii="Times New Roman" w:hAnsi="Times New Roman"/>
        </w:rPr>
        <w:t>that</w:t>
      </w:r>
      <w:r w:rsidR="00900061" w:rsidRPr="004F5154">
        <w:rPr>
          <w:rFonts w:ascii="Times New Roman" w:hAnsi="Times New Roman"/>
        </w:rPr>
        <w:t xml:space="preserve"> </w:t>
      </w:r>
      <w:r w:rsidR="00B03657" w:rsidRPr="004F5154">
        <w:rPr>
          <w:rFonts w:ascii="Times New Roman" w:hAnsi="Times New Roman"/>
        </w:rPr>
        <w:t>have</w:t>
      </w:r>
      <w:r w:rsidR="00900061" w:rsidRPr="004F5154">
        <w:rPr>
          <w:rFonts w:ascii="Times New Roman" w:hAnsi="Times New Roman"/>
        </w:rPr>
        <w:t xml:space="preserve"> </w:t>
      </w:r>
      <w:r w:rsidR="00B03657" w:rsidRPr="004F5154">
        <w:rPr>
          <w:rFonts w:ascii="Times New Roman" w:hAnsi="Times New Roman"/>
        </w:rPr>
        <w:t>arisen)</w:t>
      </w:r>
      <w:r w:rsidR="00900061" w:rsidRPr="004F5154">
        <w:rPr>
          <w:rFonts w:ascii="Times New Roman" w:hAnsi="Times New Roman"/>
        </w:rPr>
        <w:t xml:space="preserve"> </w:t>
      </w:r>
      <w:r w:rsidR="00B03657" w:rsidRPr="004F5154">
        <w:rPr>
          <w:rFonts w:ascii="Times New Roman" w:hAnsi="Times New Roman"/>
        </w:rPr>
        <w:t>and</w:t>
      </w:r>
      <w:r w:rsidR="00900061" w:rsidRPr="004F5154">
        <w:rPr>
          <w:rFonts w:ascii="Times New Roman" w:hAnsi="Times New Roman"/>
        </w:rPr>
        <w:t xml:space="preserve"> </w:t>
      </w:r>
      <w:r w:rsidR="00B03657" w:rsidRPr="004F5154">
        <w:rPr>
          <w:rFonts w:ascii="Times New Roman" w:hAnsi="Times New Roman"/>
        </w:rPr>
        <w:t>upon</w:t>
      </w:r>
      <w:r w:rsidR="00900061" w:rsidRPr="004F5154">
        <w:rPr>
          <w:rFonts w:ascii="Times New Roman" w:hAnsi="Times New Roman"/>
        </w:rPr>
        <w:t xml:space="preserve"> </w:t>
      </w:r>
      <w:r w:rsidR="00B03657" w:rsidRPr="004F5154">
        <w:rPr>
          <w:rFonts w:ascii="Times New Roman" w:hAnsi="Times New Roman"/>
        </w:rPr>
        <w:t>request</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the</w:t>
      </w:r>
      <w:r w:rsidR="00900061" w:rsidRPr="004F5154">
        <w:rPr>
          <w:rFonts w:ascii="Times New Roman" w:hAnsi="Times New Roman"/>
        </w:rPr>
        <w:t xml:space="preserve"> </w:t>
      </w:r>
      <w:r w:rsidR="00CB12E0" w:rsidRPr="004F5154">
        <w:rPr>
          <w:rFonts w:ascii="Times New Roman" w:hAnsi="Times New Roman"/>
        </w:rPr>
        <w:t>m</w:t>
      </w:r>
      <w:r w:rsidR="00B03657" w:rsidRPr="004F5154">
        <w:rPr>
          <w:rFonts w:ascii="Times New Roman" w:hAnsi="Times New Roman"/>
        </w:rPr>
        <w:t>inister</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Finance</w:t>
      </w:r>
      <w:r w:rsidR="00900061" w:rsidRPr="004F5154">
        <w:rPr>
          <w:rFonts w:ascii="Times New Roman" w:hAnsi="Times New Roman"/>
        </w:rPr>
        <w:t xml:space="preserve"> </w:t>
      </w:r>
      <w:r w:rsidR="00B03657" w:rsidRPr="004F5154">
        <w:rPr>
          <w:rFonts w:ascii="Times New Roman" w:hAnsi="Times New Roman"/>
        </w:rPr>
        <w:t>(in</w:t>
      </w:r>
      <w:r w:rsidR="00900061" w:rsidRPr="004F5154">
        <w:rPr>
          <w:rFonts w:ascii="Times New Roman" w:hAnsi="Times New Roman"/>
        </w:rPr>
        <w:t xml:space="preserve"> </w:t>
      </w:r>
      <w:r w:rsidR="00B03657" w:rsidRPr="004F5154">
        <w:rPr>
          <w:rFonts w:ascii="Times New Roman" w:hAnsi="Times New Roman"/>
        </w:rPr>
        <w:t>case</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suspicion</w:t>
      </w:r>
      <w:r w:rsidR="00900061" w:rsidRPr="004F5154">
        <w:rPr>
          <w:rFonts w:ascii="Times New Roman" w:hAnsi="Times New Roman"/>
        </w:rPr>
        <w:t xml:space="preserve"> </w:t>
      </w:r>
      <w:r w:rsidR="00B03657" w:rsidRPr="004F5154">
        <w:rPr>
          <w:rFonts w:ascii="Times New Roman" w:hAnsi="Times New Roman"/>
        </w:rPr>
        <w:t>that</w:t>
      </w:r>
      <w:r w:rsidR="00900061" w:rsidRPr="004F5154">
        <w:rPr>
          <w:rFonts w:ascii="Times New Roman" w:hAnsi="Times New Roman"/>
        </w:rPr>
        <w:t xml:space="preserve"> </w:t>
      </w:r>
      <w:r w:rsidR="00B03657" w:rsidRPr="004F5154">
        <w:rPr>
          <w:rFonts w:ascii="Times New Roman" w:hAnsi="Times New Roman"/>
        </w:rPr>
        <w:t>particular</w:t>
      </w:r>
      <w:r w:rsidR="00900061" w:rsidRPr="004F5154">
        <w:rPr>
          <w:rFonts w:ascii="Times New Roman" w:hAnsi="Times New Roman"/>
        </w:rPr>
        <w:t xml:space="preserve"> </w:t>
      </w:r>
      <w:r w:rsidR="00B03657" w:rsidRPr="004F5154">
        <w:rPr>
          <w:rFonts w:ascii="Times New Roman" w:hAnsi="Times New Roman"/>
        </w:rPr>
        <w:t>areas</w:t>
      </w:r>
      <w:r w:rsidR="00900061" w:rsidRPr="004F5154">
        <w:rPr>
          <w:rFonts w:ascii="Times New Roman" w:hAnsi="Times New Roman"/>
        </w:rPr>
        <w:t xml:space="preserve"> </w:t>
      </w:r>
      <w:r w:rsidR="00B03657" w:rsidRPr="004F5154">
        <w:rPr>
          <w:rFonts w:ascii="Times New Roman" w:hAnsi="Times New Roman"/>
        </w:rPr>
        <w:t>may</w:t>
      </w:r>
      <w:r w:rsidR="00900061" w:rsidRPr="004F5154">
        <w:rPr>
          <w:rFonts w:ascii="Times New Roman" w:hAnsi="Times New Roman"/>
        </w:rPr>
        <w:t xml:space="preserve"> </w:t>
      </w:r>
      <w:r w:rsidR="00B03657" w:rsidRPr="004F5154">
        <w:rPr>
          <w:rFonts w:ascii="Times New Roman" w:hAnsi="Times New Roman"/>
        </w:rPr>
        <w:t>be</w:t>
      </w:r>
      <w:r w:rsidR="00900061" w:rsidRPr="004F5154">
        <w:rPr>
          <w:rFonts w:ascii="Times New Roman" w:hAnsi="Times New Roman"/>
        </w:rPr>
        <w:t xml:space="preserve"> </w:t>
      </w:r>
      <w:r w:rsidR="00B03657" w:rsidRPr="004F5154">
        <w:rPr>
          <w:rFonts w:ascii="Times New Roman" w:hAnsi="Times New Roman"/>
        </w:rPr>
        <w:t>prone</w:t>
      </w:r>
      <w:r w:rsidR="00900061" w:rsidRPr="004F5154">
        <w:rPr>
          <w:rFonts w:ascii="Times New Roman" w:hAnsi="Times New Roman"/>
        </w:rPr>
        <w:t xml:space="preserve"> </w:t>
      </w:r>
      <w:r w:rsidR="00B03657" w:rsidRPr="004F5154">
        <w:rPr>
          <w:rFonts w:ascii="Times New Roman" w:hAnsi="Times New Roman"/>
        </w:rPr>
        <w:t>to</w:t>
      </w:r>
      <w:r w:rsidR="00900061" w:rsidRPr="004F5154">
        <w:rPr>
          <w:rFonts w:ascii="Times New Roman" w:hAnsi="Times New Roman"/>
        </w:rPr>
        <w:t xml:space="preserve"> </w:t>
      </w:r>
      <w:r w:rsidR="00B03657" w:rsidRPr="004F5154">
        <w:rPr>
          <w:rFonts w:ascii="Times New Roman" w:hAnsi="Times New Roman"/>
        </w:rPr>
        <w:t>problems),</w:t>
      </w:r>
      <w:r w:rsidR="00900061" w:rsidRPr="004F5154">
        <w:rPr>
          <w:rFonts w:ascii="Times New Roman" w:hAnsi="Times New Roman"/>
        </w:rPr>
        <w:t xml:space="preserve"> </w:t>
      </w:r>
      <w:r w:rsidR="00B03657" w:rsidRPr="004F5154">
        <w:rPr>
          <w:rFonts w:ascii="Times New Roman" w:hAnsi="Times New Roman"/>
        </w:rPr>
        <w:t>making</w:t>
      </w:r>
      <w:r w:rsidR="00900061" w:rsidRPr="004F5154">
        <w:rPr>
          <w:rFonts w:ascii="Times New Roman" w:hAnsi="Times New Roman"/>
        </w:rPr>
        <w:t xml:space="preserve"> </w:t>
      </w:r>
      <w:r w:rsidR="00B03657" w:rsidRPr="004F5154">
        <w:rPr>
          <w:rFonts w:ascii="Times New Roman" w:hAnsi="Times New Roman"/>
        </w:rPr>
        <w:t>it</w:t>
      </w:r>
      <w:r w:rsidR="00900061" w:rsidRPr="004F5154">
        <w:rPr>
          <w:rFonts w:ascii="Times New Roman" w:hAnsi="Times New Roman"/>
        </w:rPr>
        <w:t xml:space="preserve"> </w:t>
      </w:r>
      <w:r w:rsidR="00B03657" w:rsidRPr="004F5154">
        <w:rPr>
          <w:rFonts w:ascii="Times New Roman" w:hAnsi="Times New Roman"/>
        </w:rPr>
        <w:t>a</w:t>
      </w:r>
      <w:r w:rsidR="00900061" w:rsidRPr="004F5154">
        <w:rPr>
          <w:rFonts w:ascii="Times New Roman" w:hAnsi="Times New Roman"/>
        </w:rPr>
        <w:t xml:space="preserve"> </w:t>
      </w:r>
      <w:r w:rsidR="00B03657" w:rsidRPr="004F5154">
        <w:rPr>
          <w:rFonts w:ascii="Times New Roman" w:hAnsi="Times New Roman"/>
        </w:rPr>
        <w:t>more</w:t>
      </w:r>
      <w:r w:rsidR="00900061" w:rsidRPr="004F5154">
        <w:rPr>
          <w:rFonts w:ascii="Times New Roman" w:hAnsi="Times New Roman"/>
        </w:rPr>
        <w:t xml:space="preserve"> </w:t>
      </w:r>
      <w:r w:rsidR="00B03657" w:rsidRPr="004F5154">
        <w:rPr>
          <w:rFonts w:ascii="Times New Roman" w:hAnsi="Times New Roman"/>
        </w:rPr>
        <w:t>effective</w:t>
      </w:r>
      <w:r w:rsidR="00900061" w:rsidRPr="004F5154">
        <w:rPr>
          <w:rFonts w:ascii="Times New Roman" w:hAnsi="Times New Roman"/>
        </w:rPr>
        <w:t xml:space="preserve"> </w:t>
      </w:r>
      <w:r w:rsidR="00B03657" w:rsidRPr="004F5154">
        <w:rPr>
          <w:rFonts w:ascii="Times New Roman" w:hAnsi="Times New Roman"/>
        </w:rPr>
        <w:t>and</w:t>
      </w:r>
      <w:r w:rsidR="00900061" w:rsidRPr="004F5154">
        <w:rPr>
          <w:rFonts w:ascii="Times New Roman" w:hAnsi="Times New Roman"/>
        </w:rPr>
        <w:t xml:space="preserve"> </w:t>
      </w:r>
      <w:r w:rsidR="00B03657" w:rsidRPr="004F5154">
        <w:rPr>
          <w:rFonts w:ascii="Times New Roman" w:hAnsi="Times New Roman"/>
        </w:rPr>
        <w:t>flexible</w:t>
      </w:r>
      <w:r w:rsidR="00900061" w:rsidRPr="004F5154">
        <w:rPr>
          <w:rFonts w:ascii="Times New Roman" w:hAnsi="Times New Roman"/>
        </w:rPr>
        <w:t xml:space="preserve"> </w:t>
      </w:r>
      <w:r w:rsidR="00B03657" w:rsidRPr="004F5154">
        <w:rPr>
          <w:rFonts w:ascii="Times New Roman" w:hAnsi="Times New Roman"/>
        </w:rPr>
        <w:t>instrument</w:t>
      </w:r>
      <w:r w:rsidR="00900061" w:rsidRPr="004F5154">
        <w:rPr>
          <w:rFonts w:ascii="Times New Roman" w:hAnsi="Times New Roman"/>
        </w:rPr>
        <w:t xml:space="preserve"> </w:t>
      </w:r>
      <w:r w:rsidR="00B03657" w:rsidRPr="004F5154">
        <w:rPr>
          <w:rFonts w:ascii="Times New Roman" w:hAnsi="Times New Roman"/>
        </w:rPr>
        <w:t>for</w:t>
      </w:r>
      <w:r w:rsidR="00900061" w:rsidRPr="004F5154">
        <w:rPr>
          <w:rFonts w:ascii="Times New Roman" w:hAnsi="Times New Roman"/>
        </w:rPr>
        <w:t xml:space="preserve"> </w:t>
      </w:r>
      <w:r w:rsidR="00B03657" w:rsidRPr="004F5154">
        <w:rPr>
          <w:rFonts w:ascii="Times New Roman" w:hAnsi="Times New Roman"/>
        </w:rPr>
        <w:t>management</w:t>
      </w:r>
      <w:r w:rsidR="00900061" w:rsidRPr="004F5154">
        <w:rPr>
          <w:rFonts w:ascii="Times New Roman" w:hAnsi="Times New Roman"/>
        </w:rPr>
        <w:t xml:space="preserve"> </w:t>
      </w:r>
      <w:r w:rsidR="00B03657" w:rsidRPr="004F5154">
        <w:rPr>
          <w:rFonts w:ascii="Times New Roman" w:hAnsi="Times New Roman"/>
        </w:rPr>
        <w:t>of</w:t>
      </w:r>
      <w:r w:rsidR="00900061" w:rsidRPr="004F5154">
        <w:rPr>
          <w:rFonts w:ascii="Times New Roman" w:hAnsi="Times New Roman"/>
        </w:rPr>
        <w:t xml:space="preserve"> </w:t>
      </w:r>
      <w:r w:rsidR="00B03657" w:rsidRPr="004F5154">
        <w:rPr>
          <w:rFonts w:ascii="Times New Roman" w:hAnsi="Times New Roman"/>
        </w:rPr>
        <w:t>irregularities</w:t>
      </w:r>
      <w:r w:rsidR="00B03657" w:rsidRPr="004F5154">
        <w:rPr>
          <w:rFonts w:ascii="Times New Roman" w:eastAsia="Times New Roman" w:hAnsi="Times New Roman"/>
        </w:rPr>
        <w:t>.</w:t>
      </w:r>
    </w:p>
    <w:p w14:paraId="63FE4BFB" w14:textId="77777777" w:rsidR="004A0A40" w:rsidRPr="00645878" w:rsidRDefault="002E33CD" w:rsidP="00645878">
      <w:pPr>
        <w:pStyle w:val="Heading2"/>
        <w:spacing w:before="120" w:after="120" w:line="240" w:lineRule="auto"/>
        <w:ind w:left="0" w:firstLine="0"/>
      </w:pPr>
      <w:bookmarkStart w:id="8" w:name="_Toc442428953"/>
      <w:r w:rsidRPr="00645878">
        <w:t>Program</w:t>
      </w:r>
      <w:r w:rsidR="00900061" w:rsidRPr="00645878">
        <w:t xml:space="preserve"> </w:t>
      </w:r>
      <w:r w:rsidRPr="00645878">
        <w:t>Audit</w:t>
      </w:r>
      <w:bookmarkEnd w:id="8"/>
    </w:p>
    <w:p w14:paraId="2DB5CC0E" w14:textId="0ABF31DB" w:rsidR="009E1BC4" w:rsidRPr="00645878" w:rsidRDefault="00DB5CE8"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 xml:space="preserve">The </w:t>
      </w:r>
      <w:r w:rsidR="009E1BC4" w:rsidRPr="00645878">
        <w:rPr>
          <w:rFonts w:ascii="Times New Roman" w:hAnsi="Times New Roman"/>
          <w:b/>
        </w:rPr>
        <w:t>SAI</w:t>
      </w:r>
      <w:r w:rsidR="00900061" w:rsidRPr="00645878">
        <w:rPr>
          <w:rFonts w:ascii="Times New Roman" w:hAnsi="Times New Roman"/>
          <w:b/>
        </w:rPr>
        <w:t xml:space="preserve"> </w:t>
      </w:r>
      <w:r w:rsidR="009E1BC4" w:rsidRPr="00645878">
        <w:rPr>
          <w:rFonts w:ascii="Times New Roman" w:hAnsi="Times New Roman"/>
          <w:b/>
        </w:rPr>
        <w:t>audit</w:t>
      </w:r>
      <w:r w:rsidR="00900061" w:rsidRPr="00645878">
        <w:rPr>
          <w:rFonts w:ascii="Times New Roman" w:hAnsi="Times New Roman"/>
          <w:b/>
        </w:rPr>
        <w:t xml:space="preserve"> </w:t>
      </w:r>
      <w:r w:rsidR="009E1BC4" w:rsidRPr="00645878">
        <w:rPr>
          <w:rFonts w:ascii="Times New Roman" w:hAnsi="Times New Roman"/>
          <w:b/>
        </w:rPr>
        <w:t>of</w:t>
      </w:r>
      <w:r w:rsidR="00900061" w:rsidRPr="00645878">
        <w:rPr>
          <w:rFonts w:ascii="Times New Roman" w:hAnsi="Times New Roman"/>
          <w:b/>
        </w:rPr>
        <w:t xml:space="preserve"> </w:t>
      </w:r>
      <w:r w:rsidR="00907465" w:rsidRPr="00645878">
        <w:rPr>
          <w:rFonts w:ascii="Times New Roman" w:hAnsi="Times New Roman"/>
          <w:b/>
        </w:rPr>
        <w:t>the government</w:t>
      </w:r>
      <w:r w:rsidR="009E1BC4" w:rsidRPr="00645878">
        <w:rPr>
          <w:rFonts w:ascii="Times New Roman" w:hAnsi="Times New Roman"/>
          <w:b/>
        </w:rPr>
        <w:t>’s</w:t>
      </w:r>
      <w:r w:rsidR="00900061" w:rsidRPr="00645878">
        <w:rPr>
          <w:rFonts w:ascii="Times New Roman" w:hAnsi="Times New Roman"/>
          <w:b/>
        </w:rPr>
        <w:t xml:space="preserve"> </w:t>
      </w:r>
      <w:r w:rsidR="009E1BC4" w:rsidRPr="00645878">
        <w:rPr>
          <w:rFonts w:ascii="Times New Roman" w:hAnsi="Times New Roman"/>
          <w:b/>
        </w:rPr>
        <w:t>annual</w:t>
      </w:r>
      <w:r w:rsidR="00900061" w:rsidRPr="00645878">
        <w:rPr>
          <w:rFonts w:ascii="Times New Roman" w:hAnsi="Times New Roman"/>
          <w:b/>
        </w:rPr>
        <w:t xml:space="preserve"> </w:t>
      </w:r>
      <w:r w:rsidR="009E1BC4" w:rsidRPr="00645878">
        <w:rPr>
          <w:rFonts w:ascii="Times New Roman" w:hAnsi="Times New Roman"/>
          <w:b/>
        </w:rPr>
        <w:t>financial</w:t>
      </w:r>
      <w:r w:rsidR="00900061" w:rsidRPr="00645878">
        <w:rPr>
          <w:rFonts w:ascii="Times New Roman" w:hAnsi="Times New Roman"/>
          <w:b/>
        </w:rPr>
        <w:t xml:space="preserve"> </w:t>
      </w:r>
      <w:r w:rsidR="009E1BC4" w:rsidRPr="00645878">
        <w:rPr>
          <w:rFonts w:ascii="Times New Roman" w:hAnsi="Times New Roman"/>
          <w:b/>
        </w:rPr>
        <w:t>statements</w:t>
      </w:r>
      <w:r w:rsidR="00900061" w:rsidRPr="00645878">
        <w:rPr>
          <w:rFonts w:ascii="Times New Roman" w:hAnsi="Times New Roman"/>
          <w:b/>
        </w:rPr>
        <w:t xml:space="preserve"> </w:t>
      </w:r>
      <w:r w:rsidR="009E1BC4" w:rsidRPr="00645878">
        <w:rPr>
          <w:rFonts w:ascii="Times New Roman" w:hAnsi="Times New Roman"/>
          <w:b/>
        </w:rPr>
        <w:t>(the</w:t>
      </w:r>
      <w:r w:rsidR="00900061" w:rsidRPr="00645878">
        <w:rPr>
          <w:rFonts w:ascii="Times New Roman" w:hAnsi="Times New Roman"/>
          <w:b/>
        </w:rPr>
        <w:t xml:space="preserve"> </w:t>
      </w:r>
      <w:r w:rsidR="009E1BC4" w:rsidRPr="00645878">
        <w:rPr>
          <w:rFonts w:ascii="Times New Roman" w:hAnsi="Times New Roman"/>
          <w:b/>
        </w:rPr>
        <w:t>final</w:t>
      </w:r>
      <w:r w:rsidR="00900061" w:rsidRPr="00645878">
        <w:rPr>
          <w:rFonts w:ascii="Times New Roman" w:hAnsi="Times New Roman"/>
          <w:b/>
        </w:rPr>
        <w:t xml:space="preserve"> </w:t>
      </w:r>
      <w:r w:rsidR="009E1BC4" w:rsidRPr="00645878">
        <w:rPr>
          <w:rFonts w:ascii="Times New Roman" w:hAnsi="Times New Roman"/>
          <w:b/>
        </w:rPr>
        <w:t>account)</w:t>
      </w:r>
      <w:r w:rsidR="00900061" w:rsidRPr="00645878">
        <w:rPr>
          <w:rFonts w:ascii="Times New Roman" w:hAnsi="Times New Roman"/>
          <w:b/>
        </w:rPr>
        <w:t xml:space="preserve"> </w:t>
      </w:r>
      <w:r w:rsidR="009E1BC4" w:rsidRPr="00645878">
        <w:rPr>
          <w:rFonts w:ascii="Times New Roman" w:hAnsi="Times New Roman"/>
          <w:b/>
        </w:rPr>
        <w:t>will</w:t>
      </w:r>
      <w:r w:rsidR="00900061" w:rsidRPr="00645878">
        <w:rPr>
          <w:rFonts w:ascii="Times New Roman" w:hAnsi="Times New Roman"/>
          <w:b/>
        </w:rPr>
        <w:t xml:space="preserve"> </w:t>
      </w:r>
      <w:r w:rsidR="009E1BC4" w:rsidRPr="00645878">
        <w:rPr>
          <w:rFonts w:ascii="Times New Roman" w:hAnsi="Times New Roman"/>
          <w:b/>
        </w:rPr>
        <w:t>be</w:t>
      </w:r>
      <w:r w:rsidR="00900061" w:rsidRPr="00645878">
        <w:rPr>
          <w:rFonts w:ascii="Times New Roman" w:hAnsi="Times New Roman"/>
          <w:b/>
        </w:rPr>
        <w:t xml:space="preserve"> </w:t>
      </w:r>
      <w:r w:rsidR="009E1BC4" w:rsidRPr="00645878">
        <w:rPr>
          <w:rFonts w:ascii="Times New Roman" w:hAnsi="Times New Roman"/>
          <w:b/>
        </w:rPr>
        <w:t>considered</w:t>
      </w:r>
      <w:r w:rsidR="00900061" w:rsidRPr="00645878">
        <w:rPr>
          <w:rFonts w:ascii="Times New Roman" w:hAnsi="Times New Roman"/>
          <w:b/>
        </w:rPr>
        <w:t xml:space="preserve"> </w:t>
      </w:r>
      <w:r w:rsidR="009E1BC4" w:rsidRPr="00645878">
        <w:rPr>
          <w:rFonts w:ascii="Times New Roman" w:hAnsi="Times New Roman"/>
          <w:b/>
        </w:rPr>
        <w:t>as</w:t>
      </w:r>
      <w:r w:rsidR="00900061" w:rsidRPr="00645878">
        <w:rPr>
          <w:rFonts w:ascii="Times New Roman" w:hAnsi="Times New Roman"/>
          <w:b/>
        </w:rPr>
        <w:t xml:space="preserve"> </w:t>
      </w:r>
      <w:r w:rsidR="009E1BC4" w:rsidRPr="00645878">
        <w:rPr>
          <w:rFonts w:ascii="Times New Roman" w:hAnsi="Times New Roman"/>
          <w:b/>
        </w:rPr>
        <w:t>the</w:t>
      </w:r>
      <w:r w:rsidR="00900061" w:rsidRPr="00645878">
        <w:rPr>
          <w:rFonts w:ascii="Times New Roman" w:hAnsi="Times New Roman"/>
          <w:b/>
        </w:rPr>
        <w:t xml:space="preserve"> </w:t>
      </w:r>
      <w:r w:rsidR="009E1BC4" w:rsidRPr="00645878">
        <w:rPr>
          <w:rFonts w:ascii="Times New Roman" w:hAnsi="Times New Roman"/>
          <w:b/>
        </w:rPr>
        <w:t>audit</w:t>
      </w:r>
      <w:r w:rsidR="00900061" w:rsidRPr="00645878">
        <w:rPr>
          <w:rFonts w:ascii="Times New Roman" w:hAnsi="Times New Roman"/>
          <w:b/>
        </w:rPr>
        <w:t xml:space="preserve"> </w:t>
      </w:r>
      <w:r w:rsidR="009E1BC4" w:rsidRPr="00645878">
        <w:rPr>
          <w:rFonts w:ascii="Times New Roman" w:hAnsi="Times New Roman"/>
          <w:b/>
        </w:rPr>
        <w:t>of</w:t>
      </w:r>
      <w:r w:rsidR="00900061" w:rsidRPr="00645878">
        <w:rPr>
          <w:rFonts w:ascii="Times New Roman" w:hAnsi="Times New Roman"/>
          <w:b/>
        </w:rPr>
        <w:t xml:space="preserve"> </w:t>
      </w:r>
      <w:r w:rsidR="009E1BC4" w:rsidRPr="00645878">
        <w:rPr>
          <w:rFonts w:ascii="Times New Roman" w:hAnsi="Times New Roman"/>
          <w:b/>
        </w:rPr>
        <w:t>the</w:t>
      </w:r>
      <w:r w:rsidR="00900061" w:rsidRPr="00645878">
        <w:rPr>
          <w:rFonts w:ascii="Times New Roman" w:hAnsi="Times New Roman"/>
          <w:b/>
        </w:rPr>
        <w:t xml:space="preserve"> </w:t>
      </w:r>
      <w:r w:rsidR="001B78A4" w:rsidRPr="00645878">
        <w:rPr>
          <w:rFonts w:ascii="Times New Roman" w:hAnsi="Times New Roman"/>
          <w:b/>
        </w:rPr>
        <w:t>Program</w:t>
      </w:r>
      <w:r w:rsidR="009E1BC4" w:rsidRPr="00645878">
        <w:rPr>
          <w:rFonts w:ascii="Times New Roman" w:hAnsi="Times New Roman"/>
          <w:b/>
        </w:rPr>
        <w:t>.</w:t>
      </w:r>
      <w:r w:rsidR="00900061" w:rsidRPr="00645878">
        <w:rPr>
          <w:rFonts w:ascii="Times New Roman" w:hAnsi="Times New Roman"/>
        </w:rPr>
        <w:t xml:space="preserve"> </w:t>
      </w:r>
      <w:r w:rsidR="009F02CD" w:rsidRPr="00645878">
        <w:rPr>
          <w:rFonts w:ascii="Times New Roman" w:hAnsi="Times New Roman"/>
        </w:rPr>
        <w:t>The i</w:t>
      </w:r>
      <w:r w:rsidR="009E1BC4" w:rsidRPr="00645878">
        <w:rPr>
          <w:rFonts w:ascii="Times New Roman" w:hAnsi="Times New Roman"/>
        </w:rPr>
        <w:t>mplementing</w:t>
      </w:r>
      <w:r w:rsidR="00900061" w:rsidRPr="00645878">
        <w:rPr>
          <w:rFonts w:ascii="Times New Roman" w:hAnsi="Times New Roman"/>
        </w:rPr>
        <w:t xml:space="preserve"> </w:t>
      </w:r>
      <w:r w:rsidR="009E1BC4" w:rsidRPr="00645878">
        <w:rPr>
          <w:rFonts w:ascii="Times New Roman" w:hAnsi="Times New Roman"/>
        </w:rPr>
        <w:t>entities</w:t>
      </w:r>
      <w:r w:rsidR="00900061" w:rsidRPr="00645878">
        <w:rPr>
          <w:rFonts w:ascii="Times New Roman" w:hAnsi="Times New Roman"/>
        </w:rPr>
        <w:t xml:space="preserve"> </w:t>
      </w:r>
      <w:r w:rsidR="009E1BC4" w:rsidRPr="00645878">
        <w:rPr>
          <w:rFonts w:ascii="Times New Roman" w:hAnsi="Times New Roman"/>
        </w:rPr>
        <w:t>prepare</w:t>
      </w:r>
      <w:r w:rsidR="00900061" w:rsidRPr="00645878">
        <w:rPr>
          <w:rFonts w:ascii="Times New Roman" w:hAnsi="Times New Roman"/>
        </w:rPr>
        <w:t xml:space="preserve"> </w:t>
      </w:r>
      <w:r w:rsidR="009F02CD" w:rsidRPr="00645878">
        <w:rPr>
          <w:rFonts w:ascii="Times New Roman" w:hAnsi="Times New Roman"/>
        </w:rPr>
        <w:t xml:space="preserve">the </w:t>
      </w:r>
      <w:r w:rsidR="009E1BC4" w:rsidRPr="00645878">
        <w:rPr>
          <w:rFonts w:ascii="Times New Roman" w:hAnsi="Times New Roman"/>
        </w:rPr>
        <w:t>annual</w:t>
      </w:r>
      <w:r w:rsidR="00900061" w:rsidRPr="00645878">
        <w:rPr>
          <w:rFonts w:ascii="Times New Roman" w:hAnsi="Times New Roman"/>
        </w:rPr>
        <w:t xml:space="preserve"> </w:t>
      </w:r>
      <w:r w:rsidR="009E1BC4" w:rsidRPr="00645878">
        <w:rPr>
          <w:rFonts w:ascii="Times New Roman" w:hAnsi="Times New Roman"/>
        </w:rPr>
        <w:t>financial</w:t>
      </w:r>
      <w:r w:rsidR="00900061" w:rsidRPr="00645878">
        <w:rPr>
          <w:rFonts w:ascii="Times New Roman" w:hAnsi="Times New Roman"/>
        </w:rPr>
        <w:t xml:space="preserve"> </w:t>
      </w:r>
      <w:r w:rsidR="009E1BC4" w:rsidRPr="00645878">
        <w:rPr>
          <w:rFonts w:ascii="Times New Roman" w:hAnsi="Times New Roman"/>
        </w:rPr>
        <w:t>statements</w:t>
      </w:r>
      <w:r w:rsidR="00900061" w:rsidRPr="00645878">
        <w:rPr>
          <w:rFonts w:ascii="Times New Roman" w:hAnsi="Times New Roman"/>
        </w:rPr>
        <w:t xml:space="preserve"> </w:t>
      </w:r>
      <w:r w:rsidR="009E1BC4" w:rsidRPr="00645878">
        <w:rPr>
          <w:rFonts w:ascii="Times New Roman" w:hAnsi="Times New Roman"/>
        </w:rPr>
        <w:t>using</w:t>
      </w:r>
      <w:r w:rsidR="00900061" w:rsidRPr="00645878">
        <w:rPr>
          <w:rFonts w:ascii="Times New Roman" w:hAnsi="Times New Roman"/>
        </w:rPr>
        <w:t xml:space="preserve"> </w:t>
      </w:r>
      <w:r w:rsidR="009E1BC4" w:rsidRPr="00645878">
        <w:rPr>
          <w:rFonts w:ascii="Times New Roman" w:hAnsi="Times New Roman"/>
        </w:rPr>
        <w:t>their</w:t>
      </w:r>
      <w:r w:rsidR="00900061" w:rsidRPr="00645878">
        <w:rPr>
          <w:rFonts w:ascii="Times New Roman" w:hAnsi="Times New Roman"/>
        </w:rPr>
        <w:t xml:space="preserve"> </w:t>
      </w:r>
      <w:r w:rsidR="009E1BC4" w:rsidRPr="00645878">
        <w:rPr>
          <w:rFonts w:ascii="Times New Roman" w:hAnsi="Times New Roman"/>
        </w:rPr>
        <w:t>accounting</w:t>
      </w:r>
      <w:r w:rsidR="00900061" w:rsidRPr="00645878">
        <w:rPr>
          <w:rFonts w:ascii="Times New Roman" w:hAnsi="Times New Roman"/>
        </w:rPr>
        <w:t xml:space="preserve"> </w:t>
      </w:r>
      <w:r w:rsidR="009E1BC4" w:rsidRPr="00645878">
        <w:rPr>
          <w:rFonts w:ascii="Times New Roman" w:hAnsi="Times New Roman"/>
        </w:rPr>
        <w:t>records</w:t>
      </w:r>
      <w:r w:rsidR="00900061" w:rsidRPr="00645878">
        <w:rPr>
          <w:rFonts w:ascii="Times New Roman" w:hAnsi="Times New Roman"/>
        </w:rPr>
        <w:t xml:space="preserve"> </w:t>
      </w:r>
      <w:r w:rsidR="009E1BC4" w:rsidRPr="00645878">
        <w:rPr>
          <w:rFonts w:ascii="Times New Roman" w:hAnsi="Times New Roman"/>
        </w:rPr>
        <w:t>and</w:t>
      </w:r>
      <w:r w:rsidR="00900061" w:rsidRPr="00645878">
        <w:rPr>
          <w:rFonts w:ascii="Times New Roman" w:hAnsi="Times New Roman"/>
        </w:rPr>
        <w:t xml:space="preserve"> </w:t>
      </w:r>
      <w:r w:rsidR="009E1BC4" w:rsidRPr="00645878">
        <w:rPr>
          <w:rFonts w:ascii="Times New Roman" w:hAnsi="Times New Roman"/>
        </w:rPr>
        <w:t>auxiliary</w:t>
      </w:r>
      <w:r w:rsidR="00900061" w:rsidRPr="00645878">
        <w:rPr>
          <w:rFonts w:ascii="Times New Roman" w:hAnsi="Times New Roman"/>
        </w:rPr>
        <w:t xml:space="preserve"> </w:t>
      </w:r>
      <w:r w:rsidR="009E1BC4" w:rsidRPr="00645878">
        <w:rPr>
          <w:rFonts w:ascii="Times New Roman" w:hAnsi="Times New Roman"/>
        </w:rPr>
        <w:t>ledgers</w:t>
      </w:r>
      <w:r w:rsidR="00900061" w:rsidRPr="00645878">
        <w:rPr>
          <w:rFonts w:ascii="Times New Roman" w:hAnsi="Times New Roman"/>
        </w:rPr>
        <w:t xml:space="preserve"> </w:t>
      </w:r>
      <w:r w:rsidR="009E1BC4" w:rsidRPr="00645878">
        <w:rPr>
          <w:rFonts w:ascii="Times New Roman" w:hAnsi="Times New Roman"/>
        </w:rPr>
        <w:t>after</w:t>
      </w:r>
      <w:r w:rsidR="00900061" w:rsidRPr="00645878">
        <w:rPr>
          <w:rFonts w:ascii="Times New Roman" w:hAnsi="Times New Roman"/>
        </w:rPr>
        <w:t xml:space="preserve"> </w:t>
      </w:r>
      <w:r w:rsidR="009E1BC4" w:rsidRPr="00645878">
        <w:rPr>
          <w:rFonts w:ascii="Times New Roman" w:hAnsi="Times New Roman"/>
        </w:rPr>
        <w:t>reconciling</w:t>
      </w:r>
      <w:r w:rsidR="00900061" w:rsidRPr="00645878">
        <w:rPr>
          <w:rFonts w:ascii="Times New Roman" w:hAnsi="Times New Roman"/>
        </w:rPr>
        <w:t xml:space="preserve"> </w:t>
      </w:r>
      <w:r w:rsidR="009E1BC4" w:rsidRPr="00645878">
        <w:rPr>
          <w:rFonts w:ascii="Times New Roman" w:hAnsi="Times New Roman"/>
        </w:rPr>
        <w:t>such</w:t>
      </w:r>
      <w:r w:rsidR="00900061" w:rsidRPr="00645878">
        <w:rPr>
          <w:rFonts w:ascii="Times New Roman" w:hAnsi="Times New Roman"/>
        </w:rPr>
        <w:t xml:space="preserve"> </w:t>
      </w:r>
      <w:r w:rsidR="009E1BC4" w:rsidRPr="00645878">
        <w:rPr>
          <w:rFonts w:ascii="Times New Roman" w:hAnsi="Times New Roman"/>
        </w:rPr>
        <w:t>information</w:t>
      </w:r>
      <w:r w:rsidR="00900061" w:rsidRPr="00645878">
        <w:rPr>
          <w:rFonts w:ascii="Times New Roman" w:hAnsi="Times New Roman"/>
        </w:rPr>
        <w:t xml:space="preserve"> </w:t>
      </w:r>
      <w:r w:rsidR="009E1BC4" w:rsidRPr="00645878">
        <w:rPr>
          <w:rFonts w:ascii="Times New Roman" w:hAnsi="Times New Roman"/>
        </w:rPr>
        <w:t>with</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TML.</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Treasury</w:t>
      </w:r>
      <w:r w:rsidR="00900061" w:rsidRPr="00645878">
        <w:rPr>
          <w:rFonts w:ascii="Times New Roman" w:hAnsi="Times New Roman"/>
        </w:rPr>
        <w:t xml:space="preserve"> </w:t>
      </w:r>
      <w:r w:rsidR="009E1BC4" w:rsidRPr="00645878">
        <w:rPr>
          <w:rFonts w:ascii="Times New Roman" w:hAnsi="Times New Roman"/>
        </w:rPr>
        <w:t>consolidates</w:t>
      </w:r>
      <w:r w:rsidR="00900061" w:rsidRPr="00645878">
        <w:rPr>
          <w:rFonts w:ascii="Times New Roman" w:hAnsi="Times New Roman"/>
        </w:rPr>
        <w:t xml:space="preserve"> </w:t>
      </w:r>
      <w:r w:rsidR="009E1BC4" w:rsidRPr="00645878">
        <w:rPr>
          <w:rFonts w:ascii="Times New Roman" w:hAnsi="Times New Roman"/>
        </w:rPr>
        <w:t>based</w:t>
      </w:r>
      <w:r w:rsidR="00900061" w:rsidRPr="00645878">
        <w:rPr>
          <w:rFonts w:ascii="Times New Roman" w:hAnsi="Times New Roman"/>
        </w:rPr>
        <w:t xml:space="preserve"> </w:t>
      </w:r>
      <w:r w:rsidR="009E1BC4" w:rsidRPr="00645878">
        <w:rPr>
          <w:rFonts w:ascii="Times New Roman" w:hAnsi="Times New Roman"/>
        </w:rPr>
        <w:t>on</w:t>
      </w:r>
      <w:r w:rsidR="00900061" w:rsidRPr="00645878">
        <w:rPr>
          <w:rFonts w:ascii="Times New Roman" w:hAnsi="Times New Roman"/>
        </w:rPr>
        <w:t xml:space="preserve"> </w:t>
      </w:r>
      <w:r w:rsidR="009E1BC4" w:rsidRPr="00645878">
        <w:rPr>
          <w:rFonts w:ascii="Times New Roman" w:hAnsi="Times New Roman"/>
        </w:rPr>
        <w:t>such</w:t>
      </w:r>
      <w:r w:rsidR="00900061" w:rsidRPr="00645878">
        <w:rPr>
          <w:rFonts w:ascii="Times New Roman" w:hAnsi="Times New Roman"/>
        </w:rPr>
        <w:t xml:space="preserve"> </w:t>
      </w:r>
      <w:r w:rsidR="009E1BC4" w:rsidRPr="00645878">
        <w:rPr>
          <w:rFonts w:ascii="Times New Roman" w:hAnsi="Times New Roman"/>
        </w:rPr>
        <w:t>inputs</w:t>
      </w:r>
      <w:r w:rsidR="00900061" w:rsidRPr="00645878">
        <w:rPr>
          <w:rFonts w:ascii="Times New Roman" w:hAnsi="Times New Roman"/>
        </w:rPr>
        <w:t xml:space="preserve"> </w:t>
      </w:r>
      <w:r w:rsidR="009E1BC4" w:rsidRPr="00645878">
        <w:rPr>
          <w:rFonts w:ascii="Times New Roman" w:hAnsi="Times New Roman"/>
        </w:rPr>
        <w:t>and</w:t>
      </w:r>
      <w:r w:rsidR="00900061" w:rsidRPr="00645878">
        <w:rPr>
          <w:rFonts w:ascii="Times New Roman" w:hAnsi="Times New Roman"/>
        </w:rPr>
        <w:t xml:space="preserve"> </w:t>
      </w:r>
      <w:r w:rsidR="00D034B3" w:rsidRPr="00645878">
        <w:rPr>
          <w:rFonts w:ascii="Times New Roman" w:hAnsi="Times New Roman"/>
        </w:rPr>
        <w:t xml:space="preserve">the </w:t>
      </w:r>
      <w:r w:rsidR="009E1BC4" w:rsidRPr="00645878">
        <w:rPr>
          <w:rFonts w:ascii="Times New Roman" w:hAnsi="Times New Roman"/>
        </w:rPr>
        <w:t>TML,</w:t>
      </w:r>
      <w:r w:rsidR="00900061" w:rsidRPr="00645878">
        <w:rPr>
          <w:rFonts w:ascii="Times New Roman" w:hAnsi="Times New Roman"/>
        </w:rPr>
        <w:t xml:space="preserve"> </w:t>
      </w:r>
      <w:r w:rsidR="00D034B3" w:rsidRPr="00645878">
        <w:rPr>
          <w:rFonts w:ascii="Times New Roman" w:hAnsi="Times New Roman"/>
        </w:rPr>
        <w:t>the g</w:t>
      </w:r>
      <w:r w:rsidR="009E1BC4" w:rsidRPr="00645878">
        <w:rPr>
          <w:rFonts w:ascii="Times New Roman" w:hAnsi="Times New Roman"/>
        </w:rPr>
        <w:t>overnment’s</w:t>
      </w:r>
      <w:r w:rsidR="00900061" w:rsidRPr="00645878">
        <w:rPr>
          <w:rFonts w:ascii="Times New Roman" w:hAnsi="Times New Roman"/>
        </w:rPr>
        <w:t xml:space="preserve"> </w:t>
      </w:r>
      <w:r w:rsidR="009E1BC4" w:rsidRPr="00645878">
        <w:rPr>
          <w:rFonts w:ascii="Times New Roman" w:hAnsi="Times New Roman"/>
        </w:rPr>
        <w:t>annual</w:t>
      </w:r>
      <w:r w:rsidR="00900061" w:rsidRPr="00645878">
        <w:rPr>
          <w:rFonts w:ascii="Times New Roman" w:hAnsi="Times New Roman"/>
        </w:rPr>
        <w:t xml:space="preserve"> </w:t>
      </w:r>
      <w:r w:rsidR="009E1BC4" w:rsidRPr="00645878">
        <w:rPr>
          <w:rFonts w:ascii="Times New Roman" w:hAnsi="Times New Roman"/>
        </w:rPr>
        <w:t>financial</w:t>
      </w:r>
      <w:r w:rsidR="00900061" w:rsidRPr="00645878">
        <w:rPr>
          <w:rFonts w:ascii="Times New Roman" w:hAnsi="Times New Roman"/>
        </w:rPr>
        <w:t xml:space="preserve"> </w:t>
      </w:r>
      <w:r w:rsidR="009E1BC4" w:rsidRPr="00645878">
        <w:rPr>
          <w:rFonts w:ascii="Times New Roman" w:hAnsi="Times New Roman"/>
        </w:rPr>
        <w:t>statements</w:t>
      </w:r>
      <w:r w:rsidR="00900061" w:rsidRPr="00645878">
        <w:rPr>
          <w:rFonts w:ascii="Times New Roman" w:hAnsi="Times New Roman"/>
        </w:rPr>
        <w:t xml:space="preserve"> </w:t>
      </w:r>
      <w:r w:rsidR="009E1BC4" w:rsidRPr="00645878">
        <w:rPr>
          <w:rFonts w:ascii="Times New Roman" w:hAnsi="Times New Roman"/>
        </w:rPr>
        <w:t>(final</w:t>
      </w:r>
      <w:r w:rsidR="00900061" w:rsidRPr="00645878">
        <w:rPr>
          <w:rFonts w:ascii="Times New Roman" w:hAnsi="Times New Roman"/>
        </w:rPr>
        <w:t xml:space="preserve"> </w:t>
      </w:r>
      <w:r w:rsidR="009E1BC4" w:rsidRPr="00645878">
        <w:rPr>
          <w:rFonts w:ascii="Times New Roman" w:hAnsi="Times New Roman"/>
        </w:rPr>
        <w:t>account)</w:t>
      </w:r>
      <w:r w:rsidR="00900061" w:rsidRPr="00645878">
        <w:rPr>
          <w:rFonts w:ascii="Times New Roman" w:hAnsi="Times New Roman"/>
        </w:rPr>
        <w:t xml:space="preserve"> </w:t>
      </w:r>
      <w:r w:rsidR="009E1BC4" w:rsidRPr="00645878">
        <w:rPr>
          <w:rFonts w:ascii="Times New Roman" w:hAnsi="Times New Roman"/>
        </w:rPr>
        <w:t>which</w:t>
      </w:r>
      <w:r w:rsidR="00900061" w:rsidRPr="00645878">
        <w:rPr>
          <w:rFonts w:ascii="Times New Roman" w:hAnsi="Times New Roman"/>
        </w:rPr>
        <w:t xml:space="preserve"> </w:t>
      </w:r>
      <w:r w:rsidR="009E1BC4" w:rsidRPr="00645878">
        <w:rPr>
          <w:rFonts w:ascii="Times New Roman" w:hAnsi="Times New Roman"/>
        </w:rPr>
        <w:t>are</w:t>
      </w:r>
      <w:r w:rsidR="00900061" w:rsidRPr="00645878">
        <w:rPr>
          <w:rFonts w:ascii="Times New Roman" w:hAnsi="Times New Roman"/>
        </w:rPr>
        <w:t xml:space="preserve"> </w:t>
      </w:r>
      <w:r w:rsidR="009E1BC4" w:rsidRPr="00645878">
        <w:rPr>
          <w:rFonts w:ascii="Times New Roman" w:hAnsi="Times New Roman"/>
        </w:rPr>
        <w:t>subject</w:t>
      </w:r>
      <w:r w:rsidR="00900061" w:rsidRPr="00645878">
        <w:rPr>
          <w:rFonts w:ascii="Times New Roman" w:hAnsi="Times New Roman"/>
        </w:rPr>
        <w:t xml:space="preserve"> </w:t>
      </w:r>
      <w:r w:rsidR="009E1BC4" w:rsidRPr="00645878">
        <w:rPr>
          <w:rFonts w:ascii="Times New Roman" w:hAnsi="Times New Roman"/>
        </w:rPr>
        <w:t>to</w:t>
      </w:r>
      <w:r w:rsidR="00900061" w:rsidRPr="00645878">
        <w:rPr>
          <w:rFonts w:ascii="Times New Roman" w:hAnsi="Times New Roman"/>
        </w:rPr>
        <w:t xml:space="preserve"> </w:t>
      </w:r>
      <w:r w:rsidR="009E1BC4" w:rsidRPr="00645878">
        <w:rPr>
          <w:rFonts w:ascii="Times New Roman" w:hAnsi="Times New Roman"/>
        </w:rPr>
        <w:t>financial</w:t>
      </w:r>
      <w:r w:rsidR="00900061" w:rsidRPr="00645878">
        <w:rPr>
          <w:rFonts w:ascii="Times New Roman" w:hAnsi="Times New Roman"/>
        </w:rPr>
        <w:t xml:space="preserve"> </w:t>
      </w:r>
      <w:r w:rsidR="009E1BC4" w:rsidRPr="00645878">
        <w:rPr>
          <w:rFonts w:ascii="Times New Roman" w:hAnsi="Times New Roman"/>
        </w:rPr>
        <w:t>and</w:t>
      </w:r>
      <w:r w:rsidR="00900061" w:rsidRPr="00645878">
        <w:rPr>
          <w:rFonts w:ascii="Times New Roman" w:hAnsi="Times New Roman"/>
        </w:rPr>
        <w:t xml:space="preserve"> </w:t>
      </w:r>
      <w:r w:rsidR="009E1BC4" w:rsidRPr="00645878">
        <w:rPr>
          <w:rFonts w:ascii="Times New Roman" w:hAnsi="Times New Roman"/>
        </w:rPr>
        <w:t>compliance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by</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final</w:t>
      </w:r>
      <w:r w:rsidR="00900061" w:rsidRPr="00645878">
        <w:rPr>
          <w:rFonts w:ascii="Times New Roman" w:hAnsi="Times New Roman"/>
        </w:rPr>
        <w:t xml:space="preserve"> </w:t>
      </w:r>
      <w:r w:rsidR="009E1BC4" w:rsidRPr="00645878">
        <w:rPr>
          <w:rFonts w:ascii="Times New Roman" w:hAnsi="Times New Roman"/>
        </w:rPr>
        <w:t>account</w:t>
      </w:r>
      <w:r w:rsidR="00900061" w:rsidRPr="00645878">
        <w:rPr>
          <w:rFonts w:ascii="Times New Roman" w:hAnsi="Times New Roman"/>
        </w:rPr>
        <w:t xml:space="preserve"> </w:t>
      </w:r>
      <w:r w:rsidR="009E1BC4" w:rsidRPr="00645878">
        <w:rPr>
          <w:rFonts w:ascii="Times New Roman" w:hAnsi="Times New Roman"/>
        </w:rPr>
        <w:t>for</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previous</w:t>
      </w:r>
      <w:r w:rsidR="00900061" w:rsidRPr="00645878">
        <w:rPr>
          <w:rFonts w:ascii="Times New Roman" w:hAnsi="Times New Roman"/>
        </w:rPr>
        <w:t xml:space="preserve"> </w:t>
      </w:r>
      <w:r w:rsidR="009E1BC4" w:rsidRPr="00645878">
        <w:rPr>
          <w:rFonts w:ascii="Times New Roman" w:hAnsi="Times New Roman"/>
        </w:rPr>
        <w:t>year</w:t>
      </w:r>
      <w:r w:rsidR="00900061" w:rsidRPr="00645878">
        <w:rPr>
          <w:rFonts w:ascii="Times New Roman" w:hAnsi="Times New Roman"/>
        </w:rPr>
        <w:t xml:space="preserve"> </w:t>
      </w:r>
      <w:r w:rsidR="009E1BC4" w:rsidRPr="00645878">
        <w:rPr>
          <w:rFonts w:ascii="Times New Roman" w:hAnsi="Times New Roman"/>
        </w:rPr>
        <w:t>is</w:t>
      </w:r>
      <w:r w:rsidR="00900061" w:rsidRPr="00645878">
        <w:rPr>
          <w:rFonts w:ascii="Times New Roman" w:hAnsi="Times New Roman"/>
        </w:rPr>
        <w:t xml:space="preserve"> </w:t>
      </w:r>
      <w:r w:rsidR="009E1BC4" w:rsidRPr="00645878">
        <w:rPr>
          <w:rFonts w:ascii="Times New Roman" w:hAnsi="Times New Roman"/>
        </w:rPr>
        <w:t>delivered</w:t>
      </w:r>
      <w:r w:rsidR="00900061" w:rsidRPr="00645878">
        <w:rPr>
          <w:rFonts w:ascii="Times New Roman" w:hAnsi="Times New Roman"/>
        </w:rPr>
        <w:t xml:space="preserve"> </w:t>
      </w:r>
      <w:r w:rsidR="009E1BC4" w:rsidRPr="00645878">
        <w:rPr>
          <w:rFonts w:ascii="Times New Roman" w:hAnsi="Times New Roman"/>
        </w:rPr>
        <w:t>by</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by</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end</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year</w:t>
      </w:r>
      <w:r w:rsidR="00900061" w:rsidRPr="00645878">
        <w:rPr>
          <w:rFonts w:ascii="Times New Roman" w:hAnsi="Times New Roman"/>
        </w:rPr>
        <w:t xml:space="preserve"> </w:t>
      </w:r>
      <w:r w:rsidR="009E1BC4" w:rsidRPr="00645878">
        <w:rPr>
          <w:rFonts w:ascii="Times New Roman" w:hAnsi="Times New Roman"/>
        </w:rPr>
        <w:t>following</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audited</w:t>
      </w:r>
      <w:r w:rsidR="00900061" w:rsidRPr="00645878">
        <w:rPr>
          <w:rFonts w:ascii="Times New Roman" w:hAnsi="Times New Roman"/>
        </w:rPr>
        <w:t xml:space="preserve"> </w:t>
      </w:r>
      <w:r w:rsidR="009E1BC4" w:rsidRPr="00645878">
        <w:rPr>
          <w:rFonts w:ascii="Times New Roman" w:hAnsi="Times New Roman"/>
        </w:rPr>
        <w:t>period.</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issued</w:t>
      </w:r>
      <w:r w:rsidR="00900061" w:rsidRPr="00645878">
        <w:rPr>
          <w:rFonts w:ascii="Times New Roman" w:hAnsi="Times New Roman"/>
        </w:rPr>
        <w:t xml:space="preserve"> </w:t>
      </w:r>
      <w:r w:rsidR="009E1BC4" w:rsidRPr="00645878">
        <w:rPr>
          <w:rFonts w:ascii="Times New Roman" w:hAnsi="Times New Roman"/>
        </w:rPr>
        <w:t>modified</w:t>
      </w:r>
      <w:r w:rsidR="00900061" w:rsidRPr="00645878">
        <w:rPr>
          <w:rFonts w:ascii="Times New Roman" w:hAnsi="Times New Roman"/>
        </w:rPr>
        <w:t xml:space="preserve"> </w:t>
      </w:r>
      <w:r w:rsidR="009E1BC4" w:rsidRPr="00645878">
        <w:rPr>
          <w:rFonts w:ascii="Times New Roman" w:hAnsi="Times New Roman"/>
        </w:rPr>
        <w:t>qualified</w:t>
      </w:r>
      <w:r w:rsidR="00900061" w:rsidRPr="00645878">
        <w:rPr>
          <w:rFonts w:ascii="Times New Roman" w:hAnsi="Times New Roman"/>
        </w:rPr>
        <w:t xml:space="preserve"> </w:t>
      </w:r>
      <w:r w:rsidR="009E1BC4" w:rsidRPr="00645878">
        <w:rPr>
          <w:rFonts w:ascii="Times New Roman" w:hAnsi="Times New Roman"/>
        </w:rPr>
        <w:t>opinion</w:t>
      </w:r>
      <w:r w:rsidR="00900061" w:rsidRPr="00645878">
        <w:rPr>
          <w:rFonts w:ascii="Times New Roman" w:hAnsi="Times New Roman"/>
        </w:rPr>
        <w:t xml:space="preserve"> </w:t>
      </w:r>
      <w:r w:rsidR="009E1BC4" w:rsidRPr="00645878">
        <w:rPr>
          <w:rFonts w:ascii="Times New Roman" w:hAnsi="Times New Roman"/>
        </w:rPr>
        <w:t>on</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final</w:t>
      </w:r>
      <w:r w:rsidR="00900061" w:rsidRPr="00645878">
        <w:rPr>
          <w:rFonts w:ascii="Times New Roman" w:hAnsi="Times New Roman"/>
        </w:rPr>
        <w:t xml:space="preserve"> </w:t>
      </w:r>
      <w:r w:rsidR="009E1BC4" w:rsidRPr="00645878">
        <w:rPr>
          <w:rFonts w:ascii="Times New Roman" w:hAnsi="Times New Roman"/>
        </w:rPr>
        <w:t>account</w:t>
      </w:r>
      <w:r w:rsidR="00900061" w:rsidRPr="00645878">
        <w:rPr>
          <w:rFonts w:ascii="Times New Roman" w:hAnsi="Times New Roman"/>
        </w:rPr>
        <w:t xml:space="preserve"> </w:t>
      </w:r>
      <w:r w:rsidR="009E1BC4" w:rsidRPr="00645878">
        <w:rPr>
          <w:rFonts w:ascii="Times New Roman" w:hAnsi="Times New Roman"/>
        </w:rPr>
        <w:t>for</w:t>
      </w:r>
      <w:r w:rsidR="00900061" w:rsidRPr="00645878">
        <w:rPr>
          <w:rFonts w:ascii="Times New Roman" w:hAnsi="Times New Roman"/>
        </w:rPr>
        <w:t xml:space="preserve"> </w:t>
      </w:r>
      <w:r w:rsidR="009E1BC4" w:rsidRPr="00645878">
        <w:rPr>
          <w:rFonts w:ascii="Times New Roman" w:hAnsi="Times New Roman"/>
        </w:rPr>
        <w:t>2013.</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main</w:t>
      </w:r>
      <w:r w:rsidR="00900061" w:rsidRPr="00645878">
        <w:rPr>
          <w:rFonts w:ascii="Times New Roman" w:hAnsi="Times New Roman"/>
        </w:rPr>
        <w:t xml:space="preserve"> </w:t>
      </w:r>
      <w:r w:rsidR="009E1BC4" w:rsidRPr="00645878">
        <w:rPr>
          <w:rFonts w:ascii="Times New Roman" w:hAnsi="Times New Roman"/>
        </w:rPr>
        <w:t>reason</w:t>
      </w:r>
      <w:r w:rsidR="00900061" w:rsidRPr="00645878">
        <w:rPr>
          <w:rFonts w:ascii="Times New Roman" w:hAnsi="Times New Roman"/>
        </w:rPr>
        <w:t xml:space="preserve"> </w:t>
      </w:r>
      <w:r w:rsidR="009E1BC4" w:rsidRPr="00645878">
        <w:rPr>
          <w:rFonts w:ascii="Times New Roman" w:hAnsi="Times New Roman"/>
        </w:rPr>
        <w:t>for</w:t>
      </w:r>
      <w:r w:rsidR="00900061" w:rsidRPr="00645878">
        <w:rPr>
          <w:rFonts w:ascii="Times New Roman" w:hAnsi="Times New Roman"/>
        </w:rPr>
        <w:t xml:space="preserve"> </w:t>
      </w:r>
      <w:r w:rsidR="009E1BC4" w:rsidRPr="00645878">
        <w:rPr>
          <w:rFonts w:ascii="Times New Roman" w:hAnsi="Times New Roman"/>
        </w:rPr>
        <w:t>such</w:t>
      </w:r>
      <w:r w:rsidR="00900061" w:rsidRPr="00645878">
        <w:rPr>
          <w:rFonts w:ascii="Times New Roman" w:hAnsi="Times New Roman"/>
        </w:rPr>
        <w:t xml:space="preserve"> </w:t>
      </w:r>
      <w:r w:rsidR="009E1BC4" w:rsidRPr="00645878">
        <w:rPr>
          <w:rFonts w:ascii="Times New Roman" w:hAnsi="Times New Roman"/>
        </w:rPr>
        <w:t>opinion</w:t>
      </w:r>
      <w:r w:rsidR="00900061" w:rsidRPr="00645878">
        <w:rPr>
          <w:rFonts w:ascii="Times New Roman" w:hAnsi="Times New Roman"/>
        </w:rPr>
        <w:t xml:space="preserve"> </w:t>
      </w:r>
      <w:r w:rsidR="009E1BC4" w:rsidRPr="00645878">
        <w:rPr>
          <w:rFonts w:ascii="Times New Roman" w:hAnsi="Times New Roman"/>
        </w:rPr>
        <w:t>was</w:t>
      </w:r>
      <w:r w:rsidR="00900061" w:rsidRPr="00645878">
        <w:rPr>
          <w:rFonts w:ascii="Times New Roman" w:hAnsi="Times New Roman"/>
        </w:rPr>
        <w:t xml:space="preserve"> </w:t>
      </w:r>
      <w:r w:rsidR="009E1BC4" w:rsidRPr="00645878">
        <w:rPr>
          <w:rFonts w:ascii="Times New Roman" w:hAnsi="Times New Roman"/>
        </w:rPr>
        <w:t>information</w:t>
      </w:r>
      <w:r w:rsidR="00900061" w:rsidRPr="00645878">
        <w:rPr>
          <w:rFonts w:ascii="Times New Roman" w:hAnsi="Times New Roman"/>
        </w:rPr>
        <w:t xml:space="preserve"> </w:t>
      </w:r>
      <w:r w:rsidR="009E1BC4" w:rsidRPr="00645878">
        <w:rPr>
          <w:rFonts w:ascii="Times New Roman" w:hAnsi="Times New Roman"/>
        </w:rPr>
        <w:t>on</w:t>
      </w:r>
      <w:r w:rsidR="00900061" w:rsidRPr="00645878">
        <w:rPr>
          <w:rFonts w:ascii="Times New Roman" w:hAnsi="Times New Roman"/>
        </w:rPr>
        <w:t xml:space="preserve"> </w:t>
      </w:r>
      <w:r w:rsidR="009E1BC4" w:rsidRPr="00645878">
        <w:rPr>
          <w:rFonts w:ascii="Times New Roman" w:hAnsi="Times New Roman"/>
        </w:rPr>
        <w:t>fixed</w:t>
      </w:r>
      <w:r w:rsidR="00900061" w:rsidRPr="00645878">
        <w:rPr>
          <w:rFonts w:ascii="Times New Roman" w:hAnsi="Times New Roman"/>
        </w:rPr>
        <w:t xml:space="preserve"> </w:t>
      </w:r>
      <w:r w:rsidR="009E1BC4" w:rsidRPr="00645878">
        <w:rPr>
          <w:rFonts w:ascii="Times New Roman" w:hAnsi="Times New Roman"/>
        </w:rPr>
        <w:t>assets</w:t>
      </w:r>
      <w:r w:rsidR="00900061" w:rsidRPr="00645878">
        <w:rPr>
          <w:rFonts w:ascii="Times New Roman" w:hAnsi="Times New Roman"/>
        </w:rPr>
        <w:t xml:space="preserve"> </w:t>
      </w:r>
      <w:r w:rsidR="009E1BC4" w:rsidRPr="00645878">
        <w:rPr>
          <w:rFonts w:ascii="Times New Roman" w:hAnsi="Times New Roman"/>
        </w:rPr>
        <w:t>completeness</w:t>
      </w:r>
      <w:r w:rsidR="00900061" w:rsidRPr="00645878">
        <w:rPr>
          <w:rFonts w:ascii="Times New Roman" w:hAnsi="Times New Roman"/>
        </w:rPr>
        <w:t xml:space="preserve"> </w:t>
      </w:r>
      <w:r w:rsidR="009E1BC4" w:rsidRPr="00645878">
        <w:rPr>
          <w:rFonts w:ascii="Times New Roman" w:hAnsi="Times New Roman"/>
        </w:rPr>
        <w:t>and</w:t>
      </w:r>
      <w:r w:rsidR="00900061" w:rsidRPr="00645878">
        <w:rPr>
          <w:rFonts w:ascii="Times New Roman" w:hAnsi="Times New Roman"/>
        </w:rPr>
        <w:t xml:space="preserve"> </w:t>
      </w:r>
      <w:r w:rsidR="009E1BC4" w:rsidRPr="00645878">
        <w:rPr>
          <w:rFonts w:ascii="Times New Roman" w:hAnsi="Times New Roman"/>
        </w:rPr>
        <w:t>valuation</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which</w:t>
      </w:r>
      <w:r w:rsidR="00900061" w:rsidRPr="00645878">
        <w:rPr>
          <w:rFonts w:ascii="Times New Roman" w:hAnsi="Times New Roman"/>
        </w:rPr>
        <w:t xml:space="preserve"> </w:t>
      </w:r>
      <w:r w:rsidR="009E1BC4" w:rsidRPr="00645878">
        <w:rPr>
          <w:rFonts w:ascii="Times New Roman" w:hAnsi="Times New Roman"/>
        </w:rPr>
        <w:t>could</w:t>
      </w:r>
      <w:r w:rsidR="00900061" w:rsidRPr="00645878">
        <w:rPr>
          <w:rFonts w:ascii="Times New Roman" w:hAnsi="Times New Roman"/>
        </w:rPr>
        <w:t xml:space="preserve"> </w:t>
      </w:r>
      <w:r w:rsidR="009E1BC4" w:rsidRPr="00645878">
        <w:rPr>
          <w:rFonts w:ascii="Times New Roman" w:hAnsi="Times New Roman"/>
        </w:rPr>
        <w:t>not</w:t>
      </w:r>
      <w:r w:rsidR="00900061" w:rsidRPr="00645878">
        <w:rPr>
          <w:rFonts w:ascii="Times New Roman" w:hAnsi="Times New Roman"/>
        </w:rPr>
        <w:t xml:space="preserve"> </w:t>
      </w:r>
      <w:r w:rsidR="009E1BC4" w:rsidRPr="00645878">
        <w:rPr>
          <w:rFonts w:ascii="Times New Roman" w:hAnsi="Times New Roman"/>
        </w:rPr>
        <w:t>be</w:t>
      </w:r>
      <w:r w:rsidR="00900061" w:rsidRPr="00645878">
        <w:rPr>
          <w:rFonts w:ascii="Times New Roman" w:hAnsi="Times New Roman"/>
        </w:rPr>
        <w:t xml:space="preserve"> </w:t>
      </w:r>
      <w:r w:rsidR="009E1BC4" w:rsidRPr="00645878">
        <w:rPr>
          <w:rFonts w:ascii="Times New Roman" w:hAnsi="Times New Roman"/>
        </w:rPr>
        <w:t>verified.</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final</w:t>
      </w:r>
      <w:r w:rsidR="00900061" w:rsidRPr="00645878">
        <w:rPr>
          <w:rFonts w:ascii="Times New Roman" w:hAnsi="Times New Roman"/>
        </w:rPr>
        <w:t xml:space="preserve"> </w:t>
      </w:r>
      <w:r w:rsidR="009E1BC4" w:rsidRPr="00645878">
        <w:rPr>
          <w:rFonts w:ascii="Times New Roman" w:hAnsi="Times New Roman"/>
        </w:rPr>
        <w:t>account</w:t>
      </w:r>
      <w:r w:rsidR="00900061" w:rsidRPr="00645878">
        <w:rPr>
          <w:rFonts w:ascii="Times New Roman" w:hAnsi="Times New Roman"/>
        </w:rPr>
        <w:t xml:space="preserve"> </w:t>
      </w:r>
      <w:r w:rsidR="009E1BC4" w:rsidRPr="00645878">
        <w:rPr>
          <w:rFonts w:ascii="Times New Roman" w:hAnsi="Times New Roman"/>
        </w:rPr>
        <w:t>will</w:t>
      </w:r>
      <w:r w:rsidR="00900061" w:rsidRPr="00645878">
        <w:rPr>
          <w:rFonts w:ascii="Times New Roman" w:hAnsi="Times New Roman"/>
        </w:rPr>
        <w:t xml:space="preserve"> </w:t>
      </w:r>
      <w:r w:rsidR="009E1BC4" w:rsidRPr="00645878">
        <w:rPr>
          <w:rFonts w:ascii="Times New Roman" w:hAnsi="Times New Roman"/>
        </w:rPr>
        <w:t>be</w:t>
      </w:r>
      <w:r w:rsidR="00900061" w:rsidRPr="00645878">
        <w:rPr>
          <w:rFonts w:ascii="Times New Roman" w:hAnsi="Times New Roman"/>
        </w:rPr>
        <w:t xml:space="preserve"> </w:t>
      </w:r>
      <w:r w:rsidR="009E1BC4" w:rsidRPr="00645878">
        <w:rPr>
          <w:rFonts w:ascii="Times New Roman" w:hAnsi="Times New Roman"/>
        </w:rPr>
        <w:t>considered</w:t>
      </w:r>
      <w:r w:rsidR="00900061" w:rsidRPr="00645878">
        <w:rPr>
          <w:rFonts w:ascii="Times New Roman" w:hAnsi="Times New Roman"/>
        </w:rPr>
        <w:t xml:space="preserve"> </w:t>
      </w:r>
      <w:r w:rsidR="009E1BC4" w:rsidRPr="00645878">
        <w:rPr>
          <w:rFonts w:ascii="Times New Roman" w:hAnsi="Times New Roman"/>
        </w:rPr>
        <w:t>as</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E1BC4" w:rsidRPr="00645878">
        <w:rPr>
          <w:rFonts w:ascii="Times New Roman" w:hAnsi="Times New Roman"/>
        </w:rPr>
        <w:t>.</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Bank</w:t>
      </w:r>
      <w:r w:rsidR="00900061" w:rsidRPr="00645878">
        <w:rPr>
          <w:rFonts w:ascii="Times New Roman" w:hAnsi="Times New Roman"/>
        </w:rPr>
        <w:t xml:space="preserve"> </w:t>
      </w:r>
      <w:r w:rsidR="009E1BC4" w:rsidRPr="00645878">
        <w:rPr>
          <w:rFonts w:ascii="Times New Roman" w:hAnsi="Times New Roman"/>
        </w:rPr>
        <w:t>has</w:t>
      </w:r>
      <w:r w:rsidR="00900061" w:rsidRPr="00645878">
        <w:rPr>
          <w:rFonts w:ascii="Times New Roman" w:hAnsi="Times New Roman"/>
        </w:rPr>
        <w:t xml:space="preserve"> </w:t>
      </w:r>
      <w:r w:rsidR="009E1BC4" w:rsidRPr="00645878">
        <w:rPr>
          <w:rFonts w:ascii="Times New Roman" w:hAnsi="Times New Roman"/>
        </w:rPr>
        <w:t>agreed</w:t>
      </w:r>
      <w:r w:rsidR="00900061" w:rsidRPr="00645878">
        <w:rPr>
          <w:rFonts w:ascii="Times New Roman" w:hAnsi="Times New Roman"/>
        </w:rPr>
        <w:t xml:space="preserve"> </w:t>
      </w:r>
      <w:r w:rsidR="009E1BC4" w:rsidRPr="00645878">
        <w:rPr>
          <w:rFonts w:ascii="Times New Roman" w:hAnsi="Times New Roman"/>
        </w:rPr>
        <w:t>with</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that</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report</w:t>
      </w:r>
      <w:r w:rsidR="00900061" w:rsidRPr="00645878">
        <w:rPr>
          <w:rFonts w:ascii="Times New Roman" w:hAnsi="Times New Roman"/>
        </w:rPr>
        <w:t xml:space="preserve"> </w:t>
      </w:r>
      <w:r w:rsidR="009E1BC4" w:rsidRPr="00645878">
        <w:rPr>
          <w:rFonts w:ascii="Times New Roman" w:hAnsi="Times New Roman"/>
        </w:rPr>
        <w:t>will</w:t>
      </w:r>
      <w:r w:rsidR="00900061" w:rsidRPr="00645878">
        <w:rPr>
          <w:rFonts w:ascii="Times New Roman" w:hAnsi="Times New Roman"/>
        </w:rPr>
        <w:t xml:space="preserve"> </w:t>
      </w:r>
      <w:r w:rsidR="009E1BC4" w:rsidRPr="00645878">
        <w:rPr>
          <w:rFonts w:ascii="Times New Roman" w:hAnsi="Times New Roman"/>
        </w:rPr>
        <w:t>include</w:t>
      </w:r>
      <w:r w:rsidR="00900061" w:rsidRPr="00645878">
        <w:rPr>
          <w:rFonts w:ascii="Times New Roman" w:hAnsi="Times New Roman"/>
        </w:rPr>
        <w:t xml:space="preserve"> </w:t>
      </w:r>
      <w:r w:rsidR="009E1BC4" w:rsidRPr="00645878">
        <w:rPr>
          <w:rFonts w:ascii="Times New Roman" w:hAnsi="Times New Roman"/>
        </w:rPr>
        <w:t>an</w:t>
      </w:r>
      <w:r w:rsidR="00900061" w:rsidRPr="00645878">
        <w:rPr>
          <w:rFonts w:ascii="Times New Roman" w:hAnsi="Times New Roman"/>
        </w:rPr>
        <w:t xml:space="preserve"> </w:t>
      </w:r>
      <w:r w:rsidR="009E1BC4" w:rsidRPr="00645878">
        <w:rPr>
          <w:rFonts w:ascii="Times New Roman" w:hAnsi="Times New Roman"/>
        </w:rPr>
        <w:t>explanatory</w:t>
      </w:r>
      <w:r w:rsidR="00900061" w:rsidRPr="00645878">
        <w:rPr>
          <w:rFonts w:ascii="Times New Roman" w:hAnsi="Times New Roman"/>
        </w:rPr>
        <w:t xml:space="preserve"> </w:t>
      </w:r>
      <w:r w:rsidR="009E1BC4" w:rsidRPr="00645878">
        <w:rPr>
          <w:rFonts w:ascii="Times New Roman" w:hAnsi="Times New Roman"/>
        </w:rPr>
        <w:t>note</w:t>
      </w:r>
      <w:r w:rsidR="00900061" w:rsidRPr="00645878">
        <w:rPr>
          <w:rFonts w:ascii="Times New Roman" w:hAnsi="Times New Roman"/>
        </w:rPr>
        <w:t xml:space="preserve"> </w:t>
      </w:r>
      <w:r w:rsidR="009E1BC4" w:rsidRPr="00645878">
        <w:rPr>
          <w:rFonts w:ascii="Times New Roman" w:hAnsi="Times New Roman"/>
        </w:rPr>
        <w:t>which</w:t>
      </w:r>
      <w:r w:rsidR="00900061" w:rsidRPr="00645878">
        <w:rPr>
          <w:rFonts w:ascii="Times New Roman" w:hAnsi="Times New Roman"/>
        </w:rPr>
        <w:t xml:space="preserve"> </w:t>
      </w:r>
      <w:r w:rsidR="009E1BC4" w:rsidRPr="00645878">
        <w:rPr>
          <w:rFonts w:ascii="Times New Roman" w:hAnsi="Times New Roman"/>
        </w:rPr>
        <w:t>will</w:t>
      </w:r>
      <w:r w:rsidR="00900061" w:rsidRPr="00645878">
        <w:rPr>
          <w:rFonts w:ascii="Times New Roman" w:hAnsi="Times New Roman"/>
        </w:rPr>
        <w:t xml:space="preserve"> </w:t>
      </w:r>
      <w:r w:rsidR="009E1BC4" w:rsidRPr="00645878">
        <w:rPr>
          <w:rFonts w:ascii="Times New Roman" w:hAnsi="Times New Roman"/>
        </w:rPr>
        <w:t>detail</w:t>
      </w:r>
      <w:r w:rsidR="00900061" w:rsidRPr="00645878">
        <w:rPr>
          <w:rFonts w:ascii="Times New Roman" w:hAnsi="Times New Roman"/>
        </w:rPr>
        <w:t xml:space="preserve"> </w:t>
      </w:r>
      <w:r w:rsidR="009329A9" w:rsidRPr="00645878">
        <w:rPr>
          <w:rFonts w:ascii="Times New Roman" w:hAnsi="Times New Roman"/>
        </w:rPr>
        <w:t>P</w:t>
      </w:r>
      <w:r w:rsidR="009E1BC4" w:rsidRPr="00645878">
        <w:rPr>
          <w:rFonts w:ascii="Times New Roman" w:hAnsi="Times New Roman"/>
        </w:rPr>
        <w:t>rogram</w:t>
      </w:r>
      <w:r w:rsidR="00900061" w:rsidRPr="00645878">
        <w:rPr>
          <w:rFonts w:ascii="Times New Roman" w:hAnsi="Times New Roman"/>
        </w:rPr>
        <w:t xml:space="preserve"> </w:t>
      </w:r>
      <w:r w:rsidR="009E1BC4" w:rsidRPr="00645878">
        <w:rPr>
          <w:rFonts w:ascii="Times New Roman" w:hAnsi="Times New Roman"/>
        </w:rPr>
        <w:t>expenditures</w:t>
      </w:r>
      <w:r w:rsidR="00900061" w:rsidRPr="00645878">
        <w:rPr>
          <w:rFonts w:ascii="Times New Roman" w:hAnsi="Times New Roman"/>
        </w:rPr>
        <w:t xml:space="preserve"> </w:t>
      </w:r>
      <w:r w:rsidR="009E1BC4" w:rsidRPr="00645878">
        <w:rPr>
          <w:rFonts w:ascii="Times New Roman" w:hAnsi="Times New Roman"/>
        </w:rPr>
        <w:t>specifically.</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SAI</w:t>
      </w:r>
      <w:r w:rsidR="00900061" w:rsidRPr="00645878">
        <w:rPr>
          <w:rFonts w:ascii="Times New Roman" w:hAnsi="Times New Roman"/>
        </w:rPr>
        <w:t xml:space="preserve"> </w:t>
      </w:r>
      <w:r w:rsidR="009E1BC4" w:rsidRPr="00645878">
        <w:rPr>
          <w:rFonts w:ascii="Times New Roman" w:hAnsi="Times New Roman"/>
        </w:rPr>
        <w:t>is</w:t>
      </w:r>
      <w:r w:rsidR="00900061" w:rsidRPr="00645878">
        <w:rPr>
          <w:rFonts w:ascii="Times New Roman" w:hAnsi="Times New Roman"/>
        </w:rPr>
        <w:t xml:space="preserve"> </w:t>
      </w:r>
      <w:r w:rsidR="009E1BC4" w:rsidRPr="00645878">
        <w:rPr>
          <w:rFonts w:ascii="Times New Roman" w:hAnsi="Times New Roman"/>
        </w:rPr>
        <w:t>assessed</w:t>
      </w:r>
      <w:r w:rsidR="00900061" w:rsidRPr="00645878">
        <w:rPr>
          <w:rFonts w:ascii="Times New Roman" w:hAnsi="Times New Roman"/>
        </w:rPr>
        <w:t xml:space="preserve"> </w:t>
      </w:r>
      <w:r w:rsidR="009E1BC4" w:rsidRPr="00645878">
        <w:rPr>
          <w:rFonts w:ascii="Times New Roman" w:hAnsi="Times New Roman"/>
        </w:rPr>
        <w:t>to</w:t>
      </w:r>
      <w:r w:rsidR="00900061" w:rsidRPr="00645878">
        <w:rPr>
          <w:rFonts w:ascii="Times New Roman" w:hAnsi="Times New Roman"/>
        </w:rPr>
        <w:t xml:space="preserve"> </w:t>
      </w:r>
      <w:r w:rsidR="009E1BC4" w:rsidRPr="00645878">
        <w:rPr>
          <w:rFonts w:ascii="Times New Roman" w:hAnsi="Times New Roman"/>
        </w:rPr>
        <w:t>have</w:t>
      </w:r>
      <w:r w:rsidR="00900061" w:rsidRPr="00645878">
        <w:rPr>
          <w:rFonts w:ascii="Times New Roman" w:hAnsi="Times New Roman"/>
        </w:rPr>
        <w:t xml:space="preserve"> </w:t>
      </w:r>
      <w:r w:rsidR="009E1BC4" w:rsidRPr="00645878">
        <w:rPr>
          <w:rFonts w:ascii="Times New Roman" w:hAnsi="Times New Roman"/>
        </w:rPr>
        <w:t>sufficient</w:t>
      </w:r>
      <w:r w:rsidR="00900061" w:rsidRPr="00645878">
        <w:rPr>
          <w:rFonts w:ascii="Times New Roman" w:hAnsi="Times New Roman"/>
        </w:rPr>
        <w:t xml:space="preserve"> </w:t>
      </w:r>
      <w:r w:rsidR="009E1BC4" w:rsidRPr="00645878">
        <w:rPr>
          <w:rFonts w:ascii="Times New Roman" w:hAnsi="Times New Roman"/>
        </w:rPr>
        <w:t>capacity</w:t>
      </w:r>
      <w:r w:rsidR="00900061" w:rsidRPr="00645878">
        <w:rPr>
          <w:rFonts w:ascii="Times New Roman" w:hAnsi="Times New Roman"/>
        </w:rPr>
        <w:t xml:space="preserve"> </w:t>
      </w:r>
      <w:r w:rsidR="009E1BC4" w:rsidRPr="00645878">
        <w:rPr>
          <w:rFonts w:ascii="Times New Roman" w:hAnsi="Times New Roman"/>
        </w:rPr>
        <w:t>to</w:t>
      </w:r>
      <w:r w:rsidR="00900061" w:rsidRPr="00645878">
        <w:rPr>
          <w:rFonts w:ascii="Times New Roman" w:hAnsi="Times New Roman"/>
        </w:rPr>
        <w:t xml:space="preserve"> </w:t>
      </w:r>
      <w:r w:rsidR="009E1BC4" w:rsidRPr="00645878">
        <w:rPr>
          <w:rFonts w:ascii="Times New Roman" w:hAnsi="Times New Roman"/>
        </w:rPr>
        <w:t>produce</w:t>
      </w:r>
      <w:r w:rsidR="00900061" w:rsidRPr="00645878">
        <w:rPr>
          <w:rFonts w:ascii="Times New Roman" w:hAnsi="Times New Roman"/>
        </w:rPr>
        <w:t xml:space="preserve"> </w:t>
      </w:r>
      <w:r w:rsidR="00F12134" w:rsidRPr="00645878">
        <w:rPr>
          <w:rFonts w:ascii="Times New Roman" w:hAnsi="Times New Roman"/>
        </w:rPr>
        <w:t xml:space="preserve">a </w:t>
      </w:r>
      <w:r w:rsidR="009E1BC4" w:rsidRPr="00645878">
        <w:rPr>
          <w:rFonts w:ascii="Times New Roman" w:hAnsi="Times New Roman"/>
        </w:rPr>
        <w:t>reliable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providing</w:t>
      </w:r>
      <w:r w:rsidR="00900061" w:rsidRPr="00645878">
        <w:rPr>
          <w:rFonts w:ascii="Times New Roman" w:hAnsi="Times New Roman"/>
        </w:rPr>
        <w:t xml:space="preserve"> </w:t>
      </w:r>
      <w:r w:rsidR="009E1BC4" w:rsidRPr="00645878">
        <w:rPr>
          <w:rFonts w:ascii="Times New Roman" w:hAnsi="Times New Roman"/>
        </w:rPr>
        <w:lastRenderedPageBreak/>
        <w:t>sufficient</w:t>
      </w:r>
      <w:r w:rsidR="00900061" w:rsidRPr="00645878">
        <w:rPr>
          <w:rFonts w:ascii="Times New Roman" w:hAnsi="Times New Roman"/>
        </w:rPr>
        <w:t xml:space="preserve"> </w:t>
      </w:r>
      <w:r w:rsidR="009E1BC4" w:rsidRPr="00645878">
        <w:rPr>
          <w:rFonts w:ascii="Times New Roman" w:hAnsi="Times New Roman"/>
        </w:rPr>
        <w:t>assurance</w:t>
      </w:r>
      <w:r w:rsidR="00900061" w:rsidRPr="00645878">
        <w:rPr>
          <w:rFonts w:ascii="Times New Roman" w:hAnsi="Times New Roman"/>
        </w:rPr>
        <w:t xml:space="preserve"> </w:t>
      </w:r>
      <w:r w:rsidR="009E1BC4" w:rsidRPr="00645878">
        <w:rPr>
          <w:rFonts w:ascii="Times New Roman" w:hAnsi="Times New Roman"/>
        </w:rPr>
        <w:t>about</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use</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5C10B5" w:rsidRPr="00645878">
        <w:rPr>
          <w:rFonts w:ascii="Times New Roman" w:hAnsi="Times New Roman"/>
        </w:rPr>
        <w:t>P</w:t>
      </w:r>
      <w:r w:rsidR="009E1BC4" w:rsidRPr="00645878">
        <w:rPr>
          <w:rFonts w:ascii="Times New Roman" w:hAnsi="Times New Roman"/>
        </w:rPr>
        <w:t>rogram</w:t>
      </w:r>
      <w:r w:rsidR="00900061" w:rsidRPr="00645878">
        <w:rPr>
          <w:rFonts w:ascii="Times New Roman" w:hAnsi="Times New Roman"/>
        </w:rPr>
        <w:t xml:space="preserve"> </w:t>
      </w:r>
      <w:r w:rsidR="009E1BC4" w:rsidRPr="00645878">
        <w:rPr>
          <w:rFonts w:ascii="Times New Roman" w:hAnsi="Times New Roman"/>
        </w:rPr>
        <w:t>funds.</w:t>
      </w:r>
      <w:r w:rsidR="00900061" w:rsidRPr="00645878">
        <w:rPr>
          <w:rFonts w:ascii="Times New Roman" w:hAnsi="Times New Roman"/>
        </w:rPr>
        <w:t xml:space="preserve"> </w:t>
      </w:r>
      <w:r w:rsidR="009E1BC4" w:rsidRPr="00645878">
        <w:rPr>
          <w:rFonts w:ascii="Times New Roman" w:hAnsi="Times New Roman"/>
        </w:rPr>
        <w:t>Program</w:t>
      </w:r>
      <w:r w:rsidR="00900061" w:rsidRPr="00645878">
        <w:rPr>
          <w:rFonts w:ascii="Times New Roman" w:hAnsi="Times New Roman"/>
        </w:rPr>
        <w:t xml:space="preserve"> </w:t>
      </w:r>
      <w:r w:rsidR="009E1BC4" w:rsidRPr="00645878">
        <w:rPr>
          <w:rFonts w:ascii="Times New Roman" w:hAnsi="Times New Roman"/>
        </w:rPr>
        <w:t>expenditures</w:t>
      </w:r>
      <w:r w:rsidR="00900061" w:rsidRPr="00645878">
        <w:rPr>
          <w:rFonts w:ascii="Times New Roman" w:hAnsi="Times New Roman"/>
        </w:rPr>
        <w:t xml:space="preserve"> </w:t>
      </w:r>
      <w:r w:rsidR="009E1BC4" w:rsidRPr="00645878">
        <w:rPr>
          <w:rFonts w:ascii="Times New Roman" w:hAnsi="Times New Roman"/>
        </w:rPr>
        <w:t>are</w:t>
      </w:r>
      <w:r w:rsidR="00900061" w:rsidRPr="00645878">
        <w:rPr>
          <w:rFonts w:ascii="Times New Roman" w:hAnsi="Times New Roman"/>
        </w:rPr>
        <w:t xml:space="preserve"> </w:t>
      </w:r>
      <w:r w:rsidR="00F12134" w:rsidRPr="00645878">
        <w:rPr>
          <w:rFonts w:ascii="Times New Roman" w:hAnsi="Times New Roman"/>
        </w:rPr>
        <w:t xml:space="preserve">an </w:t>
      </w:r>
      <w:r w:rsidR="009E1BC4" w:rsidRPr="00645878">
        <w:rPr>
          <w:rFonts w:ascii="Times New Roman" w:hAnsi="Times New Roman"/>
        </w:rPr>
        <w:t>integral</w:t>
      </w:r>
      <w:r w:rsidR="00900061" w:rsidRPr="00645878">
        <w:rPr>
          <w:rFonts w:ascii="Times New Roman" w:hAnsi="Times New Roman"/>
        </w:rPr>
        <w:t xml:space="preserve"> </w:t>
      </w:r>
      <w:r w:rsidR="009E1BC4" w:rsidRPr="00645878">
        <w:rPr>
          <w:rFonts w:ascii="Times New Roman" w:hAnsi="Times New Roman"/>
        </w:rPr>
        <w:t>part</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final</w:t>
      </w:r>
      <w:r w:rsidR="00900061" w:rsidRPr="00645878">
        <w:rPr>
          <w:rFonts w:ascii="Times New Roman" w:hAnsi="Times New Roman"/>
        </w:rPr>
        <w:t xml:space="preserve"> </w:t>
      </w:r>
      <w:r w:rsidR="009E1BC4" w:rsidRPr="00645878">
        <w:rPr>
          <w:rFonts w:ascii="Times New Roman" w:hAnsi="Times New Roman"/>
        </w:rPr>
        <w:t>account</w:t>
      </w:r>
      <w:r w:rsidR="00900061" w:rsidRPr="00645878">
        <w:rPr>
          <w:rFonts w:ascii="Times New Roman" w:hAnsi="Times New Roman"/>
        </w:rPr>
        <w:t xml:space="preserve"> </w:t>
      </w:r>
      <w:r w:rsidR="009E1BC4" w:rsidRPr="00645878">
        <w:rPr>
          <w:rFonts w:ascii="Times New Roman" w:hAnsi="Times New Roman"/>
        </w:rPr>
        <w:t>and</w:t>
      </w:r>
      <w:r w:rsidR="00900061" w:rsidRPr="00645878">
        <w:rPr>
          <w:rFonts w:ascii="Times New Roman" w:hAnsi="Times New Roman"/>
        </w:rPr>
        <w:t xml:space="preserve"> </w:t>
      </w:r>
      <w:r w:rsidR="009E1BC4" w:rsidRPr="00645878">
        <w:rPr>
          <w:rFonts w:ascii="Times New Roman" w:hAnsi="Times New Roman"/>
        </w:rPr>
        <w:t>are</w:t>
      </w:r>
      <w:r w:rsidR="00900061" w:rsidRPr="00645878">
        <w:rPr>
          <w:rFonts w:ascii="Times New Roman" w:hAnsi="Times New Roman"/>
        </w:rPr>
        <w:t xml:space="preserve"> </w:t>
      </w:r>
      <w:r w:rsidR="009E1BC4" w:rsidRPr="00645878">
        <w:rPr>
          <w:rFonts w:ascii="Times New Roman" w:hAnsi="Times New Roman"/>
        </w:rPr>
        <w:t>audited</w:t>
      </w:r>
      <w:r w:rsidR="00900061" w:rsidRPr="00645878">
        <w:rPr>
          <w:rFonts w:ascii="Times New Roman" w:hAnsi="Times New Roman"/>
        </w:rPr>
        <w:t xml:space="preserve"> </w:t>
      </w:r>
      <w:r w:rsidR="009E1BC4" w:rsidRPr="00645878">
        <w:rPr>
          <w:rFonts w:ascii="Times New Roman" w:hAnsi="Times New Roman"/>
        </w:rPr>
        <w:t>annually</w:t>
      </w:r>
      <w:r w:rsidR="00900061" w:rsidRPr="00645878">
        <w:rPr>
          <w:rFonts w:ascii="Times New Roman" w:hAnsi="Times New Roman"/>
        </w:rPr>
        <w:t xml:space="preserve"> </w:t>
      </w:r>
      <w:r w:rsidR="009E1BC4" w:rsidRPr="00645878">
        <w:rPr>
          <w:rFonts w:ascii="Times New Roman" w:hAnsi="Times New Roman"/>
        </w:rPr>
        <w:t>within</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9E1BC4" w:rsidRPr="00645878">
        <w:rPr>
          <w:rFonts w:ascii="Times New Roman" w:hAnsi="Times New Roman"/>
        </w:rPr>
        <w:t>audit</w:t>
      </w:r>
      <w:r w:rsidR="00900061" w:rsidRPr="00645878">
        <w:rPr>
          <w:rFonts w:ascii="Times New Roman" w:hAnsi="Times New Roman"/>
        </w:rPr>
        <w:t xml:space="preserve"> </w:t>
      </w:r>
      <w:r w:rsidR="009E1BC4" w:rsidRPr="00645878">
        <w:rPr>
          <w:rFonts w:ascii="Times New Roman" w:hAnsi="Times New Roman"/>
        </w:rPr>
        <w:t>of</w:t>
      </w:r>
      <w:r w:rsidR="00900061" w:rsidRPr="00645878">
        <w:rPr>
          <w:rFonts w:ascii="Times New Roman" w:hAnsi="Times New Roman"/>
        </w:rPr>
        <w:t xml:space="preserve"> </w:t>
      </w:r>
      <w:r w:rsidR="009E1BC4" w:rsidRPr="00645878">
        <w:rPr>
          <w:rFonts w:ascii="Times New Roman" w:hAnsi="Times New Roman"/>
        </w:rPr>
        <w:t>the</w:t>
      </w:r>
      <w:r w:rsidR="00900061" w:rsidRPr="00645878">
        <w:rPr>
          <w:rFonts w:ascii="Times New Roman" w:hAnsi="Times New Roman"/>
        </w:rPr>
        <w:t xml:space="preserve"> </w:t>
      </w:r>
      <w:r w:rsidR="0022093A" w:rsidRPr="00645878">
        <w:rPr>
          <w:rFonts w:ascii="Times New Roman" w:hAnsi="Times New Roman"/>
        </w:rPr>
        <w:t>f</w:t>
      </w:r>
      <w:r w:rsidR="009E1BC4" w:rsidRPr="00645878">
        <w:rPr>
          <w:rFonts w:ascii="Times New Roman" w:hAnsi="Times New Roman"/>
        </w:rPr>
        <w:t>inal</w:t>
      </w:r>
      <w:r w:rsidR="00900061" w:rsidRPr="00645878">
        <w:rPr>
          <w:rFonts w:ascii="Times New Roman" w:hAnsi="Times New Roman"/>
        </w:rPr>
        <w:t xml:space="preserve"> </w:t>
      </w:r>
      <w:r w:rsidR="0022093A" w:rsidRPr="00645878">
        <w:rPr>
          <w:rFonts w:ascii="Times New Roman" w:hAnsi="Times New Roman"/>
        </w:rPr>
        <w:t>a</w:t>
      </w:r>
      <w:r w:rsidR="009E1BC4" w:rsidRPr="00645878">
        <w:rPr>
          <w:rFonts w:ascii="Times New Roman" w:hAnsi="Times New Roman"/>
        </w:rPr>
        <w:t>ccount.</w:t>
      </w:r>
      <w:r w:rsidR="00900061" w:rsidRPr="00645878">
        <w:rPr>
          <w:rFonts w:ascii="Times New Roman" w:hAnsi="Times New Roman"/>
        </w:rPr>
        <w:t xml:space="preserve"> </w:t>
      </w:r>
    </w:p>
    <w:p w14:paraId="3261EFD5" w14:textId="06D0AC39" w:rsidR="00F065BD" w:rsidRPr="00645878" w:rsidRDefault="009E1BC4"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SAI’s</w:t>
      </w:r>
      <w:r w:rsidR="00900061" w:rsidRPr="00645878">
        <w:rPr>
          <w:rFonts w:ascii="Times New Roman" w:hAnsi="Times New Roman"/>
          <w:b/>
        </w:rPr>
        <w:t xml:space="preserve"> </w:t>
      </w:r>
      <w:r w:rsidRPr="00645878">
        <w:rPr>
          <w:rFonts w:ascii="Times New Roman" w:hAnsi="Times New Roman"/>
          <w:b/>
        </w:rPr>
        <w:t>capacity</w:t>
      </w:r>
      <w:r w:rsidR="00900061" w:rsidRPr="00645878">
        <w:rPr>
          <w:rFonts w:ascii="Times New Roman" w:hAnsi="Times New Roman"/>
          <w:b/>
        </w:rPr>
        <w:t xml:space="preserve"> </w:t>
      </w:r>
      <w:r w:rsidRPr="00645878">
        <w:rPr>
          <w:rFonts w:ascii="Times New Roman" w:hAnsi="Times New Roman"/>
          <w:b/>
        </w:rPr>
        <w:t>is</w:t>
      </w:r>
      <w:r w:rsidR="00900061" w:rsidRPr="00645878">
        <w:rPr>
          <w:rFonts w:ascii="Times New Roman" w:hAnsi="Times New Roman"/>
          <w:b/>
        </w:rPr>
        <w:t xml:space="preserve"> </w:t>
      </w:r>
      <w:r w:rsidRPr="00645878">
        <w:rPr>
          <w:rFonts w:ascii="Times New Roman" w:hAnsi="Times New Roman"/>
          <w:b/>
        </w:rPr>
        <w:t>assessed</w:t>
      </w:r>
      <w:r w:rsidR="00900061" w:rsidRPr="00645878">
        <w:rPr>
          <w:rFonts w:ascii="Times New Roman" w:hAnsi="Times New Roman"/>
          <w:b/>
        </w:rPr>
        <w:t xml:space="preserve"> </w:t>
      </w:r>
      <w:r w:rsidRPr="00645878">
        <w:rPr>
          <w:rFonts w:ascii="Times New Roman" w:hAnsi="Times New Roman"/>
          <w:b/>
        </w:rPr>
        <w:t>to</w:t>
      </w:r>
      <w:r w:rsidR="00900061" w:rsidRPr="00645878">
        <w:rPr>
          <w:rFonts w:ascii="Times New Roman" w:hAnsi="Times New Roman"/>
          <w:b/>
        </w:rPr>
        <w:t xml:space="preserve"> </w:t>
      </w:r>
      <w:r w:rsidRPr="00645878">
        <w:rPr>
          <w:rFonts w:ascii="Times New Roman" w:hAnsi="Times New Roman"/>
          <w:b/>
        </w:rPr>
        <w:t>be</w:t>
      </w:r>
      <w:r w:rsidR="00900061" w:rsidRPr="00645878">
        <w:rPr>
          <w:rFonts w:ascii="Times New Roman" w:hAnsi="Times New Roman"/>
          <w:b/>
        </w:rPr>
        <w:t xml:space="preserve"> </w:t>
      </w:r>
      <w:r w:rsidRPr="00645878">
        <w:rPr>
          <w:rFonts w:ascii="Times New Roman" w:hAnsi="Times New Roman"/>
          <w:b/>
        </w:rPr>
        <w:t>adequate</w:t>
      </w:r>
      <w:r w:rsidR="00900061" w:rsidRPr="00645878">
        <w:rPr>
          <w:rFonts w:ascii="Times New Roman" w:hAnsi="Times New Roman"/>
          <w:b/>
        </w:rPr>
        <w:t xml:space="preserve"> </w:t>
      </w:r>
      <w:r w:rsidRPr="00645878">
        <w:rPr>
          <w:rFonts w:ascii="Times New Roman" w:hAnsi="Times New Roman"/>
          <w:b/>
        </w:rPr>
        <w:t>as</w:t>
      </w:r>
      <w:r w:rsidR="00900061" w:rsidRPr="00645878">
        <w:rPr>
          <w:rFonts w:ascii="Times New Roman" w:hAnsi="Times New Roman"/>
          <w:b/>
        </w:rPr>
        <w:t xml:space="preserve"> </w:t>
      </w:r>
      <w:r w:rsidRPr="00645878">
        <w:rPr>
          <w:rFonts w:ascii="Times New Roman" w:hAnsi="Times New Roman"/>
          <w:b/>
        </w:rPr>
        <w:t>a</w:t>
      </w:r>
      <w:r w:rsidR="00900061" w:rsidRPr="00645878">
        <w:rPr>
          <w:rFonts w:ascii="Times New Roman" w:hAnsi="Times New Roman"/>
          <w:b/>
        </w:rPr>
        <w:t xml:space="preserve"> </w:t>
      </w:r>
      <w:r w:rsidRPr="00645878">
        <w:rPr>
          <w:rFonts w:ascii="Times New Roman" w:hAnsi="Times New Roman"/>
          <w:b/>
        </w:rPr>
        <w:t>result</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significant</w:t>
      </w:r>
      <w:r w:rsidR="00900061" w:rsidRPr="00645878">
        <w:rPr>
          <w:rFonts w:ascii="Times New Roman" w:hAnsi="Times New Roman"/>
          <w:b/>
        </w:rPr>
        <w:t xml:space="preserve"> </w:t>
      </w:r>
      <w:r w:rsidRPr="00645878">
        <w:rPr>
          <w:rFonts w:ascii="Times New Roman" w:hAnsi="Times New Roman"/>
          <w:b/>
        </w:rPr>
        <w:t>development</w:t>
      </w:r>
      <w:r w:rsidR="00900061" w:rsidRPr="00645878">
        <w:rPr>
          <w:rFonts w:ascii="Times New Roman" w:hAnsi="Times New Roman"/>
          <w:b/>
        </w:rPr>
        <w:t xml:space="preserve"> </w:t>
      </w:r>
      <w:r w:rsidRPr="00645878">
        <w:rPr>
          <w:rFonts w:ascii="Times New Roman" w:hAnsi="Times New Roman"/>
          <w:b/>
        </w:rPr>
        <w:t>over</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past</w:t>
      </w:r>
      <w:r w:rsidR="00900061" w:rsidRPr="00645878">
        <w:rPr>
          <w:rFonts w:ascii="Times New Roman" w:hAnsi="Times New Roman"/>
          <w:b/>
        </w:rPr>
        <w:t xml:space="preserve"> </w:t>
      </w:r>
      <w:r w:rsidRPr="00645878">
        <w:rPr>
          <w:rFonts w:ascii="Times New Roman" w:hAnsi="Times New Roman"/>
          <w:b/>
        </w:rPr>
        <w:t>years</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terms</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00652C95" w:rsidRPr="00645878">
        <w:rPr>
          <w:rFonts w:ascii="Times New Roman" w:hAnsi="Times New Roman"/>
          <w:b/>
        </w:rPr>
        <w:t xml:space="preserve">the </w:t>
      </w:r>
      <w:r w:rsidRPr="00645878">
        <w:rPr>
          <w:rFonts w:ascii="Times New Roman" w:hAnsi="Times New Roman"/>
          <w:b/>
        </w:rPr>
        <w:t>number</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staff,</w:t>
      </w:r>
      <w:r w:rsidR="00900061" w:rsidRPr="00645878">
        <w:rPr>
          <w:rFonts w:ascii="Times New Roman" w:hAnsi="Times New Roman"/>
          <w:b/>
        </w:rPr>
        <w:t xml:space="preserve"> </w:t>
      </w:r>
      <w:r w:rsidRPr="00645878">
        <w:rPr>
          <w:rFonts w:ascii="Times New Roman" w:hAnsi="Times New Roman"/>
          <w:b/>
        </w:rPr>
        <w:t>organizational</w:t>
      </w:r>
      <w:r w:rsidR="00900061" w:rsidRPr="00645878">
        <w:rPr>
          <w:rFonts w:ascii="Times New Roman" w:hAnsi="Times New Roman"/>
          <w:b/>
        </w:rPr>
        <w:t xml:space="preserve"> </w:t>
      </w:r>
      <w:r w:rsidRPr="00645878">
        <w:rPr>
          <w:rFonts w:ascii="Times New Roman" w:hAnsi="Times New Roman"/>
          <w:b/>
        </w:rPr>
        <w:t>structure</w:t>
      </w:r>
      <w:r w:rsidR="00610C4B" w:rsidRPr="00645878">
        <w:rPr>
          <w:rFonts w:ascii="Times New Roman" w:hAnsi="Times New Roman"/>
          <w:b/>
        </w:rPr>
        <w:t>,</w:t>
      </w:r>
      <w:r w:rsidR="00900061" w:rsidRPr="00645878">
        <w:rPr>
          <w:rFonts w:ascii="Times New Roman" w:hAnsi="Times New Roman"/>
          <w:b/>
        </w:rPr>
        <w:t xml:space="preserve"> </w:t>
      </w:r>
      <w:r w:rsidRPr="00645878">
        <w:rPr>
          <w:rFonts w:ascii="Times New Roman" w:hAnsi="Times New Roman"/>
          <w:b/>
        </w:rPr>
        <w:t>and</w:t>
      </w:r>
      <w:r w:rsidR="00900061" w:rsidRPr="00645878">
        <w:rPr>
          <w:rFonts w:ascii="Times New Roman" w:hAnsi="Times New Roman"/>
          <w:b/>
        </w:rPr>
        <w:t xml:space="preserve"> </w:t>
      </w:r>
      <w:r w:rsidRPr="00645878">
        <w:rPr>
          <w:rFonts w:ascii="Times New Roman" w:hAnsi="Times New Roman"/>
          <w:b/>
        </w:rPr>
        <w:t>audit</w:t>
      </w:r>
      <w:r w:rsidR="00900061" w:rsidRPr="00645878">
        <w:rPr>
          <w:rFonts w:ascii="Times New Roman" w:hAnsi="Times New Roman"/>
          <w:b/>
        </w:rPr>
        <w:t xml:space="preserve"> </w:t>
      </w:r>
      <w:r w:rsidRPr="00645878">
        <w:rPr>
          <w:rFonts w:ascii="Times New Roman" w:hAnsi="Times New Roman"/>
          <w:b/>
        </w:rPr>
        <w:t>methodology.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mandate</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is</w:t>
      </w:r>
      <w:r w:rsidR="00900061" w:rsidRPr="00645878">
        <w:rPr>
          <w:rFonts w:ascii="Times New Roman" w:hAnsi="Times New Roman"/>
        </w:rPr>
        <w:t xml:space="preserve"> </w:t>
      </w:r>
      <w:r w:rsidRPr="00645878">
        <w:rPr>
          <w:rFonts w:ascii="Times New Roman" w:hAnsi="Times New Roman"/>
        </w:rPr>
        <w:t>exhaustive,</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remit</w:t>
      </w:r>
      <w:r w:rsidR="00900061" w:rsidRPr="00645878">
        <w:rPr>
          <w:rFonts w:ascii="Times New Roman" w:hAnsi="Times New Roman"/>
        </w:rPr>
        <w:t xml:space="preserve"> </w:t>
      </w:r>
      <w:r w:rsidRPr="00645878">
        <w:rPr>
          <w:rFonts w:ascii="Times New Roman" w:hAnsi="Times New Roman"/>
        </w:rPr>
        <w:t>includes</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(regularity)</w:t>
      </w:r>
      <w:r w:rsidR="00CF1028"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performance</w:t>
      </w:r>
      <w:r w:rsidR="00900061" w:rsidRPr="00645878">
        <w:rPr>
          <w:rFonts w:ascii="Times New Roman" w:hAnsi="Times New Roman"/>
        </w:rPr>
        <w:t xml:space="preserve"> </w:t>
      </w:r>
      <w:r w:rsidRPr="00645878">
        <w:rPr>
          <w:rFonts w:ascii="Times New Roman" w:hAnsi="Times New Roman"/>
        </w:rPr>
        <w:t>audits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all</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accordance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national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international</w:t>
      </w:r>
      <w:r w:rsidR="00900061" w:rsidRPr="00645878">
        <w:rPr>
          <w:rFonts w:ascii="Times New Roman" w:hAnsi="Times New Roman"/>
        </w:rPr>
        <w:t xml:space="preserve"> </w:t>
      </w:r>
      <w:r w:rsidRPr="00645878">
        <w:rPr>
          <w:rFonts w:ascii="Times New Roman" w:hAnsi="Times New Roman"/>
        </w:rPr>
        <w:t>auditing</w:t>
      </w:r>
      <w:r w:rsidR="00900061" w:rsidRPr="00645878">
        <w:rPr>
          <w:rFonts w:ascii="Times New Roman" w:hAnsi="Times New Roman"/>
        </w:rPr>
        <w:t xml:space="preserve"> </w:t>
      </w:r>
      <w:r w:rsidRPr="00645878">
        <w:rPr>
          <w:rFonts w:ascii="Times New Roman" w:hAnsi="Times New Roman"/>
        </w:rPr>
        <w:t>standards.</w:t>
      </w:r>
      <w:r w:rsidR="00900061" w:rsidRPr="00645878">
        <w:rPr>
          <w:rFonts w:ascii="Times New Roman" w:hAnsi="Times New Roman"/>
        </w:rPr>
        <w:t xml:space="preserve"> </w:t>
      </w:r>
      <w:r w:rsidR="00B43A90"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performs</w:t>
      </w:r>
      <w:r w:rsidR="00900061" w:rsidRPr="00645878">
        <w:rPr>
          <w:rFonts w:ascii="Times New Roman" w:hAnsi="Times New Roman"/>
        </w:rPr>
        <w:t xml:space="preserve"> </w:t>
      </w:r>
      <w:r w:rsidRPr="00645878">
        <w:rPr>
          <w:rFonts w:ascii="Times New Roman" w:hAnsi="Times New Roman"/>
        </w:rPr>
        <w:t>its</w:t>
      </w:r>
      <w:r w:rsidR="00900061" w:rsidRPr="00645878">
        <w:rPr>
          <w:rFonts w:ascii="Times New Roman" w:hAnsi="Times New Roman"/>
        </w:rPr>
        <w:t xml:space="preserve"> </w:t>
      </w:r>
      <w:r w:rsidRPr="00645878">
        <w:rPr>
          <w:rFonts w:ascii="Times New Roman" w:hAnsi="Times New Roman"/>
        </w:rPr>
        <w:t>audits</w:t>
      </w:r>
      <w:r w:rsidR="00900061" w:rsidRPr="00645878">
        <w:rPr>
          <w:rFonts w:ascii="Times New Roman" w:hAnsi="Times New Roman"/>
        </w:rPr>
        <w:t xml:space="preserve"> </w:t>
      </w:r>
      <w:r w:rsidRPr="00645878">
        <w:rPr>
          <w:rFonts w:ascii="Times New Roman" w:hAnsi="Times New Roman"/>
        </w:rPr>
        <w:t>based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risk-based</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Plan</w:t>
      </w:r>
      <w:r w:rsidR="00900061" w:rsidRPr="00645878">
        <w:rPr>
          <w:rFonts w:ascii="Times New Roman" w:hAnsi="Times New Roman"/>
        </w:rPr>
        <w:t xml:space="preserve"> </w:t>
      </w:r>
      <w:r w:rsidRPr="00645878">
        <w:rPr>
          <w:rFonts w:ascii="Times New Roman" w:hAnsi="Times New Roman"/>
        </w:rPr>
        <w:t>which</w:t>
      </w:r>
      <w:r w:rsidR="00900061" w:rsidRPr="00645878">
        <w:rPr>
          <w:rFonts w:ascii="Times New Roman" w:hAnsi="Times New Roman"/>
        </w:rPr>
        <w:t xml:space="preserve"> </w:t>
      </w:r>
      <w:r w:rsidRPr="00645878">
        <w:rPr>
          <w:rFonts w:ascii="Times New Roman" w:hAnsi="Times New Roman"/>
        </w:rPr>
        <w:t>has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be</w:t>
      </w:r>
      <w:r w:rsidR="00900061" w:rsidRPr="00645878">
        <w:rPr>
          <w:rFonts w:ascii="Times New Roman" w:hAnsi="Times New Roman"/>
        </w:rPr>
        <w:t xml:space="preserve"> </w:t>
      </w:r>
      <w:r w:rsidRPr="00645878">
        <w:rPr>
          <w:rFonts w:ascii="Times New Roman" w:hAnsi="Times New Roman"/>
        </w:rPr>
        <w:t>adopted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end</w:t>
      </w:r>
      <w:r w:rsidR="00900061" w:rsidRPr="00645878">
        <w:rPr>
          <w:rFonts w:ascii="Times New Roman" w:hAnsi="Times New Roman"/>
        </w:rPr>
        <w:t xml:space="preserve"> </w:t>
      </w:r>
      <w:r w:rsidRPr="00645878">
        <w:rPr>
          <w:rFonts w:ascii="Times New Roman" w:hAnsi="Times New Roman"/>
        </w:rPr>
        <w:t>on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current</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subsequent</w:t>
      </w:r>
      <w:r w:rsidR="00900061" w:rsidRPr="00645878">
        <w:rPr>
          <w:rFonts w:ascii="Times New Roman" w:hAnsi="Times New Roman"/>
        </w:rPr>
        <w:t xml:space="preserve"> </w:t>
      </w:r>
      <w:r w:rsidRPr="00645878">
        <w:rPr>
          <w:rFonts w:ascii="Times New Roman" w:hAnsi="Times New Roman"/>
        </w:rPr>
        <w:t>calendar</w:t>
      </w:r>
      <w:r w:rsidR="00900061" w:rsidRPr="00645878">
        <w:rPr>
          <w:rFonts w:ascii="Times New Roman" w:hAnsi="Times New Roman"/>
        </w:rPr>
        <w:t xml:space="preserve"> </w:t>
      </w:r>
      <w:r w:rsidRPr="00645878">
        <w:rPr>
          <w:rFonts w:ascii="Times New Roman" w:hAnsi="Times New Roman"/>
        </w:rPr>
        <w:t>year.</w:t>
      </w:r>
      <w:r w:rsidR="00900061" w:rsidRPr="00645878">
        <w:rPr>
          <w:rFonts w:ascii="Times New Roman" w:hAnsi="Times New Roman"/>
        </w:rPr>
        <w:t xml:space="preserve"> </w:t>
      </w:r>
      <w:r w:rsidR="007078B0"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subscribes</w:t>
      </w:r>
      <w:r w:rsidR="00900061" w:rsidRPr="00645878">
        <w:rPr>
          <w:rFonts w:ascii="Times New Roman" w:hAnsi="Times New Roman"/>
        </w:rPr>
        <w:t xml:space="preserve"> </w:t>
      </w:r>
      <w:r w:rsidRPr="00645878">
        <w:rPr>
          <w:rFonts w:ascii="Times New Roman" w:hAnsi="Times New Roman"/>
        </w:rPr>
        <w:t>to</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2064C" w:rsidRPr="00645878">
        <w:rPr>
          <w:rFonts w:ascii="Times New Roman" w:hAnsi="Times New Roman"/>
        </w:rPr>
        <w:t>International Organization of Supreme Audit Institutions’</w:t>
      </w:r>
      <w:r w:rsidR="00900061" w:rsidRPr="00645878">
        <w:rPr>
          <w:rFonts w:ascii="Times New Roman" w:hAnsi="Times New Roman"/>
        </w:rPr>
        <w:t xml:space="preserve"> </w:t>
      </w:r>
      <w:r w:rsidRPr="00645878">
        <w:rPr>
          <w:rFonts w:ascii="Times New Roman" w:hAnsi="Times New Roman"/>
        </w:rPr>
        <w:t>International</w:t>
      </w:r>
      <w:r w:rsidR="00900061" w:rsidRPr="00645878">
        <w:rPr>
          <w:rFonts w:ascii="Times New Roman" w:hAnsi="Times New Roman"/>
        </w:rPr>
        <w:t xml:space="preserve"> </w:t>
      </w:r>
      <w:r w:rsidRPr="00645878">
        <w:rPr>
          <w:rFonts w:ascii="Times New Roman" w:hAnsi="Times New Roman"/>
        </w:rPr>
        <w:t>Standards</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Supreme</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Institutions.</w:t>
      </w:r>
      <w:r w:rsidR="00900061" w:rsidRPr="00645878">
        <w:rPr>
          <w:rFonts w:ascii="Times New Roman" w:hAnsi="Times New Roman"/>
        </w:rPr>
        <w:t xml:space="preserve"> </w:t>
      </w:r>
      <w:r w:rsidRPr="00645878">
        <w:rPr>
          <w:rFonts w:ascii="Times New Roman" w:hAnsi="Times New Roman"/>
          <w:lang w:val="en-GB"/>
        </w:rPr>
        <w:t>The</w:t>
      </w:r>
      <w:r w:rsidR="00900061" w:rsidRPr="00645878">
        <w:rPr>
          <w:rFonts w:ascii="Times New Roman" w:hAnsi="Times New Roman"/>
          <w:lang w:val="en-GB"/>
        </w:rPr>
        <w:t xml:space="preserve"> </w:t>
      </w:r>
      <w:r w:rsidRPr="00645878">
        <w:rPr>
          <w:rFonts w:ascii="Times New Roman" w:hAnsi="Times New Roman"/>
          <w:lang w:val="en-GB"/>
        </w:rPr>
        <w:t>institution</w:t>
      </w:r>
      <w:r w:rsidR="00900061" w:rsidRPr="00645878">
        <w:rPr>
          <w:rFonts w:ascii="Times New Roman" w:hAnsi="Times New Roman"/>
          <w:lang w:val="en-GB"/>
        </w:rPr>
        <w:t xml:space="preserve"> </w:t>
      </w:r>
      <w:r w:rsidRPr="00645878">
        <w:rPr>
          <w:rFonts w:ascii="Times New Roman" w:hAnsi="Times New Roman"/>
          <w:lang w:val="en-GB"/>
        </w:rPr>
        <w:t>conducted</w:t>
      </w:r>
      <w:r w:rsidR="00900061" w:rsidRPr="00645878">
        <w:rPr>
          <w:rFonts w:ascii="Times New Roman" w:hAnsi="Times New Roman"/>
          <w:lang w:val="en-GB"/>
        </w:rPr>
        <w:t xml:space="preserve"> </w:t>
      </w:r>
      <w:r w:rsidRPr="00645878">
        <w:rPr>
          <w:rFonts w:ascii="Times New Roman" w:hAnsi="Times New Roman"/>
          <w:lang w:val="en-GB"/>
        </w:rPr>
        <w:t>its</w:t>
      </w:r>
      <w:r w:rsidR="00900061" w:rsidRPr="00645878">
        <w:rPr>
          <w:rFonts w:ascii="Times New Roman" w:hAnsi="Times New Roman"/>
          <w:lang w:val="en-GB"/>
        </w:rPr>
        <w:t xml:space="preserve"> </w:t>
      </w:r>
      <w:r w:rsidRPr="00645878">
        <w:rPr>
          <w:rFonts w:ascii="Times New Roman" w:hAnsi="Times New Roman"/>
          <w:lang w:val="en-GB"/>
        </w:rPr>
        <w:t>first</w:t>
      </w:r>
      <w:r w:rsidR="00900061" w:rsidRPr="00645878">
        <w:rPr>
          <w:rFonts w:ascii="Times New Roman" w:hAnsi="Times New Roman"/>
          <w:lang w:val="en-GB"/>
        </w:rPr>
        <w:t xml:space="preserve"> </w:t>
      </w:r>
      <w:r w:rsidRPr="00645878">
        <w:rPr>
          <w:rFonts w:ascii="Times New Roman" w:hAnsi="Times New Roman"/>
          <w:lang w:val="en-GB"/>
        </w:rPr>
        <w:t>performance</w:t>
      </w:r>
      <w:r w:rsidR="00900061" w:rsidRPr="00645878">
        <w:rPr>
          <w:rFonts w:ascii="Times New Roman" w:hAnsi="Times New Roman"/>
          <w:lang w:val="en-GB"/>
        </w:rPr>
        <w:t xml:space="preserve"> </w:t>
      </w:r>
      <w:r w:rsidRPr="00645878">
        <w:rPr>
          <w:rFonts w:ascii="Times New Roman" w:hAnsi="Times New Roman"/>
          <w:lang w:val="en-GB"/>
        </w:rPr>
        <w:t>audit</w:t>
      </w:r>
      <w:r w:rsidR="00900061" w:rsidRPr="00645878">
        <w:rPr>
          <w:rFonts w:ascii="Times New Roman" w:hAnsi="Times New Roman"/>
          <w:lang w:val="en-GB"/>
        </w:rPr>
        <w:t xml:space="preserve"> </w:t>
      </w:r>
      <w:r w:rsidRPr="00645878">
        <w:rPr>
          <w:rFonts w:ascii="Times New Roman" w:hAnsi="Times New Roman"/>
          <w:lang w:val="en-GB"/>
        </w:rPr>
        <w:t>in</w:t>
      </w:r>
      <w:r w:rsidR="00900061" w:rsidRPr="00645878">
        <w:rPr>
          <w:rFonts w:ascii="Times New Roman" w:hAnsi="Times New Roman"/>
          <w:lang w:val="en-GB"/>
        </w:rPr>
        <w:t xml:space="preserve"> </w:t>
      </w:r>
      <w:r w:rsidRPr="00645878">
        <w:rPr>
          <w:rFonts w:ascii="Times New Roman" w:hAnsi="Times New Roman"/>
          <w:lang w:val="en-GB"/>
        </w:rPr>
        <w:t>2013</w:t>
      </w:r>
      <w:r w:rsidR="00900061" w:rsidRPr="00645878">
        <w:rPr>
          <w:rFonts w:ascii="Times New Roman" w:hAnsi="Times New Roman"/>
          <w:lang w:val="en-GB"/>
        </w:rPr>
        <w:t xml:space="preserve"> </w:t>
      </w:r>
      <w:r w:rsidRPr="00645878">
        <w:rPr>
          <w:rFonts w:ascii="Times New Roman" w:hAnsi="Times New Roman"/>
          <w:lang w:val="en-GB"/>
        </w:rPr>
        <w:t>and</w:t>
      </w:r>
      <w:r w:rsidR="00900061" w:rsidRPr="00645878">
        <w:rPr>
          <w:rFonts w:ascii="Times New Roman" w:hAnsi="Times New Roman"/>
          <w:lang w:val="en-GB"/>
        </w:rPr>
        <w:t xml:space="preserve"> </w:t>
      </w:r>
      <w:r w:rsidRPr="00645878">
        <w:rPr>
          <w:rFonts w:ascii="Times New Roman" w:hAnsi="Times New Roman"/>
          <w:lang w:val="en-GB"/>
        </w:rPr>
        <w:t>the</w:t>
      </w:r>
      <w:r w:rsidR="00900061" w:rsidRPr="00645878">
        <w:rPr>
          <w:rFonts w:ascii="Times New Roman" w:hAnsi="Times New Roman"/>
          <w:lang w:val="en-GB"/>
        </w:rPr>
        <w:t xml:space="preserve"> </w:t>
      </w:r>
      <w:r w:rsidRPr="00645878">
        <w:rPr>
          <w:rFonts w:ascii="Times New Roman" w:hAnsi="Times New Roman"/>
          <w:lang w:val="en-GB"/>
        </w:rPr>
        <w:t>most</w:t>
      </w:r>
      <w:r w:rsidR="00900061" w:rsidRPr="00645878">
        <w:rPr>
          <w:rFonts w:ascii="Times New Roman" w:hAnsi="Times New Roman"/>
          <w:lang w:val="en-GB"/>
        </w:rPr>
        <w:t xml:space="preserve"> </w:t>
      </w:r>
      <w:r w:rsidRPr="00645878">
        <w:rPr>
          <w:rFonts w:ascii="Times New Roman" w:hAnsi="Times New Roman"/>
          <w:lang w:val="en-GB"/>
        </w:rPr>
        <w:t>recent</w:t>
      </w:r>
      <w:r w:rsidR="00900061" w:rsidRPr="00645878">
        <w:rPr>
          <w:rFonts w:ascii="Times New Roman" w:hAnsi="Times New Roman"/>
          <w:lang w:val="en-GB"/>
        </w:rPr>
        <w:t xml:space="preserve"> </w:t>
      </w:r>
      <w:r w:rsidRPr="00645878">
        <w:rPr>
          <w:rFonts w:ascii="Times New Roman" w:hAnsi="Times New Roman"/>
          <w:lang w:val="en-GB"/>
        </w:rPr>
        <w:t>development</w:t>
      </w:r>
      <w:r w:rsidR="00900061" w:rsidRPr="00645878">
        <w:rPr>
          <w:rFonts w:ascii="Times New Roman" w:hAnsi="Times New Roman"/>
          <w:lang w:val="en-GB"/>
        </w:rPr>
        <w:t xml:space="preserve"> </w:t>
      </w:r>
      <w:r w:rsidRPr="00645878">
        <w:rPr>
          <w:rFonts w:ascii="Times New Roman" w:hAnsi="Times New Roman"/>
          <w:lang w:val="en-GB"/>
        </w:rPr>
        <w:t>relates</w:t>
      </w:r>
      <w:r w:rsidR="00900061" w:rsidRPr="00645878">
        <w:rPr>
          <w:rFonts w:ascii="Times New Roman" w:hAnsi="Times New Roman"/>
          <w:lang w:val="en-GB"/>
        </w:rPr>
        <w:t xml:space="preserve"> </w:t>
      </w:r>
      <w:r w:rsidRPr="00645878">
        <w:rPr>
          <w:rFonts w:ascii="Times New Roman" w:hAnsi="Times New Roman"/>
          <w:lang w:val="en-GB"/>
        </w:rPr>
        <w:t>to</w:t>
      </w:r>
      <w:r w:rsidR="00900061" w:rsidRPr="00645878">
        <w:rPr>
          <w:rFonts w:ascii="Times New Roman" w:hAnsi="Times New Roman"/>
          <w:lang w:val="en-GB"/>
        </w:rPr>
        <w:t xml:space="preserve"> </w:t>
      </w:r>
      <w:r w:rsidRPr="00645878">
        <w:rPr>
          <w:rFonts w:ascii="Times New Roman" w:hAnsi="Times New Roman"/>
          <w:lang w:val="en-GB"/>
        </w:rPr>
        <w:t>establishing</w:t>
      </w:r>
      <w:r w:rsidR="00900061" w:rsidRPr="00645878">
        <w:rPr>
          <w:rFonts w:ascii="Times New Roman" w:hAnsi="Times New Roman"/>
          <w:lang w:val="en-GB"/>
        </w:rPr>
        <w:t xml:space="preserve"> </w:t>
      </w:r>
      <w:r w:rsidRPr="00645878">
        <w:rPr>
          <w:rFonts w:ascii="Times New Roman" w:hAnsi="Times New Roman"/>
          <w:lang w:val="en-GB"/>
        </w:rPr>
        <w:t>quality</w:t>
      </w:r>
      <w:r w:rsidR="00900061" w:rsidRPr="00645878">
        <w:rPr>
          <w:rFonts w:ascii="Times New Roman" w:hAnsi="Times New Roman"/>
          <w:lang w:val="en-GB"/>
        </w:rPr>
        <w:t xml:space="preserve"> </w:t>
      </w:r>
      <w:r w:rsidRPr="00645878">
        <w:rPr>
          <w:rFonts w:ascii="Times New Roman" w:hAnsi="Times New Roman"/>
          <w:lang w:val="en-GB"/>
        </w:rPr>
        <w:t>control</w:t>
      </w:r>
      <w:r w:rsidR="00900061" w:rsidRPr="00645878">
        <w:rPr>
          <w:rFonts w:ascii="Times New Roman" w:hAnsi="Times New Roman"/>
          <w:lang w:val="en-GB"/>
        </w:rPr>
        <w:t xml:space="preserve"> </w:t>
      </w:r>
      <w:r w:rsidRPr="00645878">
        <w:rPr>
          <w:rFonts w:ascii="Times New Roman" w:hAnsi="Times New Roman"/>
          <w:lang w:val="en-GB"/>
        </w:rPr>
        <w:t>department</w:t>
      </w:r>
      <w:r w:rsidR="00900061" w:rsidRPr="00645878">
        <w:rPr>
          <w:rFonts w:ascii="Times New Roman" w:hAnsi="Times New Roman"/>
          <w:lang w:val="en-GB"/>
        </w:rPr>
        <w:t xml:space="preserve"> </w:t>
      </w:r>
      <w:r w:rsidRPr="00645878">
        <w:rPr>
          <w:rFonts w:ascii="Times New Roman" w:hAnsi="Times New Roman"/>
          <w:lang w:val="en-GB"/>
        </w:rPr>
        <w:t>within</w:t>
      </w:r>
      <w:r w:rsidR="00900061" w:rsidRPr="00645878">
        <w:rPr>
          <w:rFonts w:ascii="Times New Roman" w:hAnsi="Times New Roman"/>
          <w:lang w:val="en-GB"/>
        </w:rPr>
        <w:t xml:space="preserve"> </w:t>
      </w:r>
      <w:r w:rsidRPr="00645878">
        <w:rPr>
          <w:rFonts w:ascii="Times New Roman" w:hAnsi="Times New Roman"/>
          <w:lang w:val="en-GB"/>
        </w:rPr>
        <w:t>the</w:t>
      </w:r>
      <w:r w:rsidR="00900061" w:rsidRPr="00645878">
        <w:rPr>
          <w:rFonts w:ascii="Times New Roman" w:hAnsi="Times New Roman"/>
          <w:lang w:val="en-GB"/>
        </w:rPr>
        <w:t xml:space="preserve"> </w:t>
      </w:r>
      <w:r w:rsidRPr="00645878">
        <w:rPr>
          <w:rFonts w:ascii="Times New Roman" w:hAnsi="Times New Roman"/>
          <w:lang w:val="en-GB"/>
        </w:rPr>
        <w:t>institution.</w:t>
      </w:r>
      <w:r w:rsidR="00900061" w:rsidRPr="00645878">
        <w:rPr>
          <w:rFonts w:ascii="Times New Roman" w:hAnsi="Times New Roman"/>
          <w:lang w:val="en-GB"/>
        </w:rPr>
        <w:t xml:space="preserve"> </w:t>
      </w:r>
      <w:r w:rsidRPr="00645878">
        <w:rPr>
          <w:rFonts w:ascii="Times New Roman" w:hAnsi="Times New Roman"/>
        </w:rPr>
        <w:t>Manuals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audits,</w:t>
      </w:r>
      <w:r w:rsidR="00900061" w:rsidRPr="00645878">
        <w:rPr>
          <w:rFonts w:ascii="Times New Roman" w:hAnsi="Times New Roman"/>
        </w:rPr>
        <w:t xml:space="preserve"> </w:t>
      </w:r>
      <w:r w:rsidRPr="00645878">
        <w:rPr>
          <w:rFonts w:ascii="Times New Roman" w:hAnsi="Times New Roman"/>
        </w:rPr>
        <w:t>performance</w:t>
      </w:r>
      <w:r w:rsidR="00900061" w:rsidRPr="00645878">
        <w:rPr>
          <w:rFonts w:ascii="Times New Roman" w:hAnsi="Times New Roman"/>
        </w:rPr>
        <w:t xml:space="preserve"> </w:t>
      </w:r>
      <w:r w:rsidRPr="00645878">
        <w:rPr>
          <w:rFonts w:ascii="Times New Roman" w:hAnsi="Times New Roman"/>
        </w:rPr>
        <w:t>audits</w:t>
      </w:r>
      <w:r w:rsidR="002E4A5C"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quality</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formally</w:t>
      </w:r>
      <w:r w:rsidR="00900061" w:rsidRPr="00645878">
        <w:rPr>
          <w:rFonts w:ascii="Times New Roman" w:hAnsi="Times New Roman"/>
        </w:rPr>
        <w:t xml:space="preserve"> </w:t>
      </w:r>
      <w:r w:rsidRPr="00645878">
        <w:rPr>
          <w:rFonts w:ascii="Times New Roman" w:hAnsi="Times New Roman"/>
        </w:rPr>
        <w:t>approved</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April</w:t>
      </w:r>
      <w:r w:rsidR="00900061" w:rsidRPr="00645878">
        <w:rPr>
          <w:rFonts w:ascii="Times New Roman" w:hAnsi="Times New Roman"/>
        </w:rPr>
        <w:t xml:space="preserve"> </w:t>
      </w:r>
      <w:r w:rsidRPr="00645878">
        <w:rPr>
          <w:rFonts w:ascii="Times New Roman" w:hAnsi="Times New Roman"/>
        </w:rPr>
        <w:t>2015.</w:t>
      </w:r>
      <w:r w:rsidR="00900061" w:rsidRPr="00645878">
        <w:rPr>
          <w:rFonts w:ascii="Times New Roman" w:hAnsi="Times New Roman"/>
        </w:rPr>
        <w:t xml:space="preserve"> </w:t>
      </w:r>
      <w:r w:rsidRPr="00645878">
        <w:rPr>
          <w:rFonts w:ascii="Times New Roman" w:hAnsi="Times New Roman"/>
        </w:rPr>
        <w:t>As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part</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audits,</w:t>
      </w:r>
      <w:r w:rsidR="00900061" w:rsidRPr="00645878">
        <w:rPr>
          <w:rFonts w:ascii="Times New Roman" w:hAnsi="Times New Roman"/>
        </w:rPr>
        <w:t xml:space="preserve"> </w:t>
      </w:r>
      <w:r w:rsidRPr="00645878">
        <w:rPr>
          <w:rFonts w:ascii="Times New Roman" w:hAnsi="Times New Roman"/>
        </w:rPr>
        <w:t>apart</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Pr="00645878">
        <w:rPr>
          <w:rFonts w:ascii="Times New Roman" w:hAnsi="Times New Roman"/>
        </w:rPr>
        <w:t>accuracy</w:t>
      </w:r>
      <w:r w:rsidR="00900061" w:rsidRPr="00645878">
        <w:rPr>
          <w:rFonts w:ascii="Times New Roman" w:hAnsi="Times New Roman"/>
        </w:rPr>
        <w:t xml:space="preserve"> </w:t>
      </w:r>
      <w:r w:rsidRPr="00645878">
        <w:rPr>
          <w:rFonts w:ascii="Times New Roman" w:hAnsi="Times New Roman"/>
        </w:rPr>
        <w:t>of</w:t>
      </w:r>
      <w:r w:rsidR="00900061" w:rsidRPr="00645878">
        <w:rPr>
          <w:rFonts w:ascii="Times New Roman" w:hAnsi="Times New Roman"/>
        </w:rPr>
        <w:t xml:space="preserve"> </w:t>
      </w:r>
      <w:r w:rsidRPr="00645878">
        <w:rPr>
          <w:rFonts w:ascii="Times New Roman" w:hAnsi="Times New Roman"/>
        </w:rPr>
        <w:t>financial</w:t>
      </w:r>
      <w:r w:rsidR="00900061" w:rsidRPr="00645878">
        <w:rPr>
          <w:rFonts w:ascii="Times New Roman" w:hAnsi="Times New Roman"/>
        </w:rPr>
        <w:t xml:space="preserve"> </w:t>
      </w:r>
      <w:r w:rsidRPr="00645878">
        <w:rPr>
          <w:rFonts w:ascii="Times New Roman" w:hAnsi="Times New Roman"/>
        </w:rPr>
        <w:t>statements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compliance</w:t>
      </w:r>
      <w:r w:rsidR="00900061" w:rsidRPr="00645878">
        <w:rPr>
          <w:rFonts w:ascii="Times New Roman" w:hAnsi="Times New Roman"/>
        </w:rPr>
        <w:t xml:space="preserve"> </w:t>
      </w:r>
      <w:r w:rsidRPr="00645878">
        <w:rPr>
          <w:rFonts w:ascii="Times New Roman" w:hAnsi="Times New Roman"/>
        </w:rPr>
        <w:t>with</w:t>
      </w:r>
      <w:r w:rsidR="00900061" w:rsidRPr="00645878">
        <w:rPr>
          <w:rFonts w:ascii="Times New Roman" w:hAnsi="Times New Roman"/>
        </w:rPr>
        <w:t xml:space="preserve"> </w:t>
      </w:r>
      <w:r w:rsidRPr="00645878">
        <w:rPr>
          <w:rFonts w:ascii="Times New Roman" w:hAnsi="Times New Roman"/>
        </w:rPr>
        <w:t>laws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regulations,</w:t>
      </w:r>
      <w:r w:rsidR="00900061" w:rsidRPr="00645878">
        <w:rPr>
          <w:rFonts w:ascii="Times New Roman" w:hAnsi="Times New Roman"/>
        </w:rPr>
        <w:t xml:space="preserve"> </w:t>
      </w:r>
      <w:r w:rsidR="007675C6"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also</w:t>
      </w:r>
      <w:r w:rsidR="00900061" w:rsidRPr="00645878">
        <w:rPr>
          <w:rFonts w:ascii="Times New Roman" w:hAnsi="Times New Roman"/>
        </w:rPr>
        <w:t xml:space="preserve"> </w:t>
      </w:r>
      <w:r w:rsidRPr="00645878">
        <w:rPr>
          <w:rFonts w:ascii="Times New Roman" w:hAnsi="Times New Roman"/>
        </w:rPr>
        <w:t>examines</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FMC</w:t>
      </w:r>
      <w:r w:rsidR="00900061" w:rsidRPr="00645878">
        <w:rPr>
          <w:rFonts w:ascii="Times New Roman" w:hAnsi="Times New Roman"/>
        </w:rPr>
        <w:t xml:space="preserve"> </w:t>
      </w:r>
      <w:r w:rsidRPr="00645878">
        <w:rPr>
          <w:rFonts w:ascii="Times New Roman" w:hAnsi="Times New Roman"/>
        </w:rPr>
        <w:t>systems</w:t>
      </w:r>
      <w:r w:rsidR="00900061" w:rsidRPr="00645878">
        <w:rPr>
          <w:rFonts w:ascii="Times New Roman" w:hAnsi="Times New Roman"/>
        </w:rPr>
        <w:t xml:space="preserve"> </w:t>
      </w:r>
      <w:r w:rsidRPr="00645878">
        <w:rPr>
          <w:rFonts w:ascii="Times New Roman" w:hAnsi="Times New Roman"/>
        </w:rPr>
        <w:t>(including</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systems)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001E15EA" w:rsidRPr="00645878">
        <w:rPr>
          <w:rFonts w:ascii="Times New Roman" w:hAnsi="Times New Roman"/>
        </w:rPr>
        <w:t>internal audit</w:t>
      </w:r>
      <w:r w:rsidRPr="00645878">
        <w:rPr>
          <w:rFonts w:ascii="Times New Roman" w:hAnsi="Times New Roman"/>
        </w:rPr>
        <w:t>.</w:t>
      </w:r>
    </w:p>
    <w:p w14:paraId="723A8170" w14:textId="24B2707C" w:rsidR="00F065BD" w:rsidRPr="00645878" w:rsidRDefault="00D446FB"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 xml:space="preserve">The </w:t>
      </w:r>
      <w:r w:rsidR="00B03657" w:rsidRPr="00645878">
        <w:rPr>
          <w:rFonts w:ascii="Times New Roman" w:hAnsi="Times New Roman"/>
          <w:b/>
        </w:rPr>
        <w:t>SAI</w:t>
      </w:r>
      <w:r w:rsidR="00900061" w:rsidRPr="00645878">
        <w:rPr>
          <w:rFonts w:ascii="Times New Roman" w:hAnsi="Times New Roman"/>
          <w:b/>
        </w:rPr>
        <w:t xml:space="preserve"> </w:t>
      </w:r>
      <w:r w:rsidR="00B03657" w:rsidRPr="00645878">
        <w:rPr>
          <w:rFonts w:ascii="Times New Roman" w:hAnsi="Times New Roman"/>
          <w:b/>
        </w:rPr>
        <w:t>independence,</w:t>
      </w:r>
      <w:r w:rsidR="00900061" w:rsidRPr="00645878">
        <w:rPr>
          <w:rFonts w:ascii="Times New Roman" w:hAnsi="Times New Roman"/>
          <w:b/>
        </w:rPr>
        <w:t xml:space="preserve"> </w:t>
      </w:r>
      <w:r w:rsidR="00B03657" w:rsidRPr="00645878">
        <w:rPr>
          <w:rFonts w:ascii="Times New Roman" w:hAnsi="Times New Roman"/>
          <w:b/>
        </w:rPr>
        <w:t>mandate</w:t>
      </w:r>
      <w:r w:rsidR="00D85DBB" w:rsidRPr="00645878">
        <w:rPr>
          <w:rFonts w:ascii="Times New Roman" w:hAnsi="Times New Roman"/>
          <w:b/>
        </w:rPr>
        <w:t>,</w:t>
      </w:r>
      <w:r w:rsidR="00900061" w:rsidRPr="00645878">
        <w:rPr>
          <w:rFonts w:ascii="Times New Roman" w:hAnsi="Times New Roman"/>
          <w:b/>
        </w:rPr>
        <w:t xml:space="preserve"> </w:t>
      </w:r>
      <w:r w:rsidR="00B03657" w:rsidRPr="00645878">
        <w:rPr>
          <w:rFonts w:ascii="Times New Roman" w:hAnsi="Times New Roman"/>
          <w:b/>
        </w:rPr>
        <w:t>and</w:t>
      </w:r>
      <w:r w:rsidR="00900061" w:rsidRPr="00645878">
        <w:rPr>
          <w:rFonts w:ascii="Times New Roman" w:hAnsi="Times New Roman"/>
          <w:b/>
        </w:rPr>
        <w:t xml:space="preserve"> </w:t>
      </w:r>
      <w:r w:rsidR="00B03657" w:rsidRPr="00645878">
        <w:rPr>
          <w:rFonts w:ascii="Times New Roman" w:hAnsi="Times New Roman"/>
          <w:b/>
        </w:rPr>
        <w:t>organization</w:t>
      </w:r>
      <w:r w:rsidR="00900061" w:rsidRPr="00645878">
        <w:rPr>
          <w:rFonts w:ascii="Times New Roman" w:hAnsi="Times New Roman"/>
          <w:b/>
        </w:rPr>
        <w:t xml:space="preserve"> </w:t>
      </w:r>
      <w:r w:rsidR="00B03657" w:rsidRPr="00645878">
        <w:rPr>
          <w:rFonts w:ascii="Times New Roman" w:hAnsi="Times New Roman"/>
          <w:b/>
        </w:rPr>
        <w:t>are</w:t>
      </w:r>
      <w:r w:rsidR="00900061" w:rsidRPr="00645878">
        <w:rPr>
          <w:rFonts w:ascii="Times New Roman" w:hAnsi="Times New Roman"/>
          <w:b/>
        </w:rPr>
        <w:t xml:space="preserve"> </w:t>
      </w:r>
      <w:r w:rsidR="00B03657" w:rsidRPr="00645878">
        <w:rPr>
          <w:rFonts w:ascii="Times New Roman" w:hAnsi="Times New Roman"/>
          <w:b/>
        </w:rPr>
        <w:t>established</w:t>
      </w:r>
      <w:r w:rsidR="00900061" w:rsidRPr="00645878">
        <w:rPr>
          <w:rFonts w:ascii="Times New Roman" w:hAnsi="Times New Roman"/>
          <w:b/>
        </w:rPr>
        <w:t xml:space="preserve"> </w:t>
      </w:r>
      <w:r w:rsidR="00B03657" w:rsidRPr="00645878">
        <w:rPr>
          <w:rFonts w:ascii="Times New Roman" w:hAnsi="Times New Roman"/>
          <w:b/>
        </w:rPr>
        <w:t>and</w:t>
      </w:r>
      <w:r w:rsidR="00900061" w:rsidRPr="00645878">
        <w:rPr>
          <w:rFonts w:ascii="Times New Roman" w:hAnsi="Times New Roman"/>
          <w:b/>
        </w:rPr>
        <w:t xml:space="preserve"> </w:t>
      </w:r>
      <w:r w:rsidR="00B03657" w:rsidRPr="00645878">
        <w:rPr>
          <w:rFonts w:ascii="Times New Roman" w:hAnsi="Times New Roman"/>
          <w:b/>
        </w:rPr>
        <w:t>protected</w:t>
      </w:r>
      <w:r w:rsidR="00900061" w:rsidRPr="00645878">
        <w:rPr>
          <w:rFonts w:ascii="Times New Roman" w:hAnsi="Times New Roman"/>
          <w:b/>
        </w:rPr>
        <w:t xml:space="preserve"> </w:t>
      </w:r>
      <w:r w:rsidR="00B03657" w:rsidRPr="00645878">
        <w:rPr>
          <w:rFonts w:ascii="Times New Roman" w:hAnsi="Times New Roman"/>
          <w:b/>
        </w:rPr>
        <w:t>by</w:t>
      </w:r>
      <w:r w:rsidR="00900061" w:rsidRPr="00645878">
        <w:rPr>
          <w:rFonts w:ascii="Times New Roman" w:hAnsi="Times New Roman"/>
          <w:b/>
        </w:rPr>
        <w:t xml:space="preserve"> </w:t>
      </w:r>
      <w:r w:rsidR="00B03657" w:rsidRPr="00645878">
        <w:rPr>
          <w:rFonts w:ascii="Times New Roman" w:hAnsi="Times New Roman"/>
          <w:b/>
        </w:rPr>
        <w:t>the</w:t>
      </w:r>
      <w:r w:rsidR="00900061" w:rsidRPr="00645878">
        <w:rPr>
          <w:rFonts w:ascii="Times New Roman" w:hAnsi="Times New Roman"/>
          <w:b/>
        </w:rPr>
        <w:t xml:space="preserve"> </w:t>
      </w:r>
      <w:r w:rsidR="001B3FD0" w:rsidRPr="00645878">
        <w:rPr>
          <w:rFonts w:ascii="Times New Roman" w:hAnsi="Times New Roman"/>
          <w:b/>
        </w:rPr>
        <w:t>C</w:t>
      </w:r>
      <w:r w:rsidR="00B03657" w:rsidRPr="00645878">
        <w:rPr>
          <w:rFonts w:ascii="Times New Roman" w:hAnsi="Times New Roman"/>
          <w:b/>
        </w:rPr>
        <w:t>onstitutional</w:t>
      </w:r>
      <w:r w:rsidR="00900061" w:rsidRPr="00645878">
        <w:rPr>
          <w:rFonts w:ascii="Times New Roman" w:hAnsi="Times New Roman"/>
          <w:b/>
        </w:rPr>
        <w:t xml:space="preserve"> </w:t>
      </w:r>
      <w:r w:rsidR="00B03657" w:rsidRPr="00645878">
        <w:rPr>
          <w:rFonts w:ascii="Times New Roman" w:hAnsi="Times New Roman"/>
          <w:b/>
        </w:rPr>
        <w:t>and</w:t>
      </w:r>
      <w:r w:rsidR="00900061" w:rsidRPr="00645878">
        <w:rPr>
          <w:rFonts w:ascii="Times New Roman" w:hAnsi="Times New Roman"/>
          <w:b/>
        </w:rPr>
        <w:t xml:space="preserve"> </w:t>
      </w:r>
      <w:r w:rsidR="001B3FD0" w:rsidRPr="00645878">
        <w:rPr>
          <w:rFonts w:ascii="Times New Roman" w:hAnsi="Times New Roman"/>
          <w:b/>
        </w:rPr>
        <w:t>L</w:t>
      </w:r>
      <w:r w:rsidR="00B03657" w:rsidRPr="00645878">
        <w:rPr>
          <w:rFonts w:ascii="Times New Roman" w:hAnsi="Times New Roman"/>
          <w:b/>
        </w:rPr>
        <w:t>egal</w:t>
      </w:r>
      <w:r w:rsidR="00900061" w:rsidRPr="00645878">
        <w:rPr>
          <w:rFonts w:ascii="Times New Roman" w:hAnsi="Times New Roman"/>
          <w:b/>
        </w:rPr>
        <w:t xml:space="preserve"> </w:t>
      </w:r>
      <w:r w:rsidR="001B3FD0" w:rsidRPr="00645878">
        <w:rPr>
          <w:rFonts w:ascii="Times New Roman" w:hAnsi="Times New Roman"/>
          <w:b/>
        </w:rPr>
        <w:t>F</w:t>
      </w:r>
      <w:r w:rsidR="00B03657" w:rsidRPr="00645878">
        <w:rPr>
          <w:rFonts w:ascii="Times New Roman" w:hAnsi="Times New Roman"/>
          <w:b/>
        </w:rPr>
        <w:t>ramework</w:t>
      </w:r>
      <w:r w:rsidRPr="00645878">
        <w:rPr>
          <w:rFonts w:ascii="Times New Roman" w:hAnsi="Times New Roman"/>
          <w:b/>
        </w:rPr>
        <w:t>,</w:t>
      </w:r>
      <w:r w:rsidR="00900061" w:rsidRPr="00645878">
        <w:rPr>
          <w:rFonts w:ascii="Times New Roman" w:hAnsi="Times New Roman"/>
          <w:b/>
        </w:rPr>
        <w:t xml:space="preserve"> </w:t>
      </w:r>
      <w:r w:rsidR="00B03657" w:rsidRPr="00645878">
        <w:rPr>
          <w:rFonts w:ascii="Times New Roman" w:hAnsi="Times New Roman"/>
          <w:b/>
        </w:rPr>
        <w:t>which</w:t>
      </w:r>
      <w:r w:rsidR="00900061" w:rsidRPr="00645878">
        <w:rPr>
          <w:rFonts w:ascii="Times New Roman" w:hAnsi="Times New Roman"/>
          <w:b/>
        </w:rPr>
        <w:t xml:space="preserve"> </w:t>
      </w:r>
      <w:r w:rsidR="00B03657" w:rsidRPr="00645878">
        <w:rPr>
          <w:rFonts w:ascii="Times New Roman" w:hAnsi="Times New Roman"/>
          <w:b/>
        </w:rPr>
        <w:t>is</w:t>
      </w:r>
      <w:r w:rsidR="00900061" w:rsidRPr="00645878">
        <w:rPr>
          <w:rFonts w:ascii="Times New Roman" w:hAnsi="Times New Roman"/>
          <w:b/>
        </w:rPr>
        <w:t xml:space="preserve"> </w:t>
      </w:r>
      <w:r w:rsidR="00B03657" w:rsidRPr="00645878">
        <w:rPr>
          <w:rFonts w:ascii="Times New Roman" w:hAnsi="Times New Roman"/>
          <w:b/>
        </w:rPr>
        <w:t>respected</w:t>
      </w:r>
      <w:r w:rsidR="00900061" w:rsidRPr="00645878">
        <w:rPr>
          <w:rFonts w:ascii="Times New Roman" w:hAnsi="Times New Roman"/>
          <w:b/>
        </w:rPr>
        <w:t xml:space="preserve"> </w:t>
      </w:r>
      <w:r w:rsidR="00B03657" w:rsidRPr="00645878">
        <w:rPr>
          <w:rFonts w:ascii="Times New Roman" w:hAnsi="Times New Roman"/>
          <w:b/>
        </w:rPr>
        <w:t>in</w:t>
      </w:r>
      <w:r w:rsidR="00900061" w:rsidRPr="00645878">
        <w:rPr>
          <w:rFonts w:ascii="Times New Roman" w:hAnsi="Times New Roman"/>
          <w:b/>
        </w:rPr>
        <w:t xml:space="preserve"> </w:t>
      </w:r>
      <w:r w:rsidR="00B03657" w:rsidRPr="00645878">
        <w:rPr>
          <w:rFonts w:ascii="Times New Roman" w:hAnsi="Times New Roman"/>
          <w:b/>
        </w:rPr>
        <w:t>practice</w:t>
      </w:r>
      <w:r w:rsidR="00B03657"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accountable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NA.</w:t>
      </w:r>
      <w:r w:rsidR="00900061" w:rsidRPr="00645878">
        <w:rPr>
          <w:rFonts w:ascii="Times New Roman" w:hAnsi="Times New Roman"/>
        </w:rPr>
        <w:t xml:space="preserve"> </w:t>
      </w:r>
      <w:r w:rsidR="00B23550" w:rsidRPr="00645878">
        <w:rPr>
          <w:rFonts w:ascii="Times New Roman" w:hAnsi="Times New Roman"/>
        </w:rPr>
        <w:t>The p</w:t>
      </w:r>
      <w:r w:rsidR="00B03657" w:rsidRPr="00645878">
        <w:rPr>
          <w:rFonts w:ascii="Times New Roman" w:hAnsi="Times New Roman"/>
        </w:rPr>
        <w:t>arliamentary</w:t>
      </w:r>
      <w:r w:rsidR="00900061" w:rsidRPr="00645878">
        <w:rPr>
          <w:rFonts w:ascii="Times New Roman" w:hAnsi="Times New Roman"/>
        </w:rPr>
        <w:t xml:space="preserve"> </w:t>
      </w:r>
      <w:r w:rsidR="00B03657" w:rsidRPr="00645878">
        <w:rPr>
          <w:rFonts w:ascii="Times New Roman" w:hAnsi="Times New Roman"/>
        </w:rPr>
        <w:t>Committee</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Finance,</w:t>
      </w:r>
      <w:r w:rsidR="00900061" w:rsidRPr="00645878">
        <w:rPr>
          <w:rFonts w:ascii="Times New Roman" w:hAnsi="Times New Roman"/>
        </w:rPr>
        <w:t xml:space="preserve"> </w:t>
      </w:r>
      <w:r w:rsidR="00B03657" w:rsidRPr="00645878">
        <w:rPr>
          <w:rFonts w:ascii="Times New Roman" w:hAnsi="Times New Roman"/>
        </w:rPr>
        <w:t>State</w:t>
      </w:r>
      <w:r w:rsidR="00900061" w:rsidRPr="00645878">
        <w:rPr>
          <w:rFonts w:ascii="Times New Roman" w:hAnsi="Times New Roman"/>
        </w:rPr>
        <w:t xml:space="preserve"> </w:t>
      </w:r>
      <w:r w:rsidR="00B03657" w:rsidRPr="00645878">
        <w:rPr>
          <w:rFonts w:ascii="Times New Roman" w:hAnsi="Times New Roman"/>
        </w:rPr>
        <w:t>Budget</w:t>
      </w:r>
      <w:r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Control</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Public</w:t>
      </w:r>
      <w:r w:rsidR="00900061" w:rsidRPr="00645878">
        <w:rPr>
          <w:rFonts w:ascii="Times New Roman" w:hAnsi="Times New Roman"/>
        </w:rPr>
        <w:t xml:space="preserve"> </w:t>
      </w:r>
      <w:r w:rsidR="00B03657" w:rsidRPr="00645878">
        <w:rPr>
          <w:rFonts w:ascii="Times New Roman" w:hAnsi="Times New Roman"/>
        </w:rPr>
        <w:t>Spending</w:t>
      </w:r>
      <w:r w:rsidR="00900061" w:rsidRPr="00645878">
        <w:rPr>
          <w:rFonts w:ascii="Times New Roman" w:hAnsi="Times New Roman"/>
        </w:rPr>
        <w:t xml:space="preserve"> </w:t>
      </w:r>
      <w:r w:rsidR="00B03657" w:rsidRPr="00645878">
        <w:rPr>
          <w:rFonts w:ascii="Times New Roman" w:hAnsi="Times New Roman"/>
        </w:rPr>
        <w:t>established</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subcommittee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consider</w:t>
      </w:r>
      <w:r w:rsidR="00900061" w:rsidRPr="00645878">
        <w:rPr>
          <w:rFonts w:ascii="Times New Roman" w:hAnsi="Times New Roman"/>
        </w:rPr>
        <w:t xml:space="preserve"> </w:t>
      </w:r>
      <w:r w:rsidR="002D64A7" w:rsidRPr="00645878">
        <w:rPr>
          <w:rFonts w:ascii="Times New Roman" w:hAnsi="Times New Roman"/>
        </w:rPr>
        <w:t xml:space="preserve">the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reports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2015</w:t>
      </w:r>
      <w:r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thereby</w:t>
      </w:r>
      <w:r w:rsidR="00900061" w:rsidRPr="00645878">
        <w:rPr>
          <w:rFonts w:ascii="Times New Roman" w:hAnsi="Times New Roman"/>
        </w:rPr>
        <w:t xml:space="preserve"> </w:t>
      </w:r>
      <w:r w:rsidR="00B03657" w:rsidRPr="00645878">
        <w:rPr>
          <w:rFonts w:ascii="Times New Roman" w:hAnsi="Times New Roman"/>
        </w:rPr>
        <w:t>increasing</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capacity</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legislative</w:t>
      </w:r>
      <w:r w:rsidR="00900061" w:rsidRPr="00645878">
        <w:rPr>
          <w:rFonts w:ascii="Times New Roman" w:hAnsi="Times New Roman"/>
        </w:rPr>
        <w:t xml:space="preserve"> </w:t>
      </w:r>
      <w:r w:rsidR="00B03657" w:rsidRPr="00645878">
        <w:rPr>
          <w:rFonts w:ascii="Times New Roman" w:hAnsi="Times New Roman"/>
        </w:rPr>
        <w:t>scrutiny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reports.</w:t>
      </w:r>
      <w:r w:rsidR="00900061" w:rsidRPr="00645878">
        <w:rPr>
          <w:rFonts w:ascii="Times New Roman" w:hAnsi="Times New Roman"/>
        </w:rPr>
        <w:t xml:space="preserve"> </w:t>
      </w:r>
      <w:r w:rsidR="00B03657" w:rsidRPr="00645878">
        <w:rPr>
          <w:rFonts w:ascii="Times New Roman" w:hAnsi="Times New Roman"/>
        </w:rPr>
        <w:t>Management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supporting</w:t>
      </w:r>
      <w:r w:rsidR="00900061" w:rsidRPr="00645878">
        <w:rPr>
          <w:rFonts w:ascii="Times New Roman" w:hAnsi="Times New Roman"/>
        </w:rPr>
        <w:t xml:space="preserve"> </w:t>
      </w:r>
      <w:r w:rsidR="00B03657" w:rsidRPr="00645878">
        <w:rPr>
          <w:rFonts w:ascii="Times New Roman" w:hAnsi="Times New Roman"/>
        </w:rPr>
        <w:t>structures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allow</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discharge</w:t>
      </w:r>
      <w:r w:rsidR="00900061" w:rsidRPr="00645878">
        <w:rPr>
          <w:rFonts w:ascii="Times New Roman" w:hAnsi="Times New Roman"/>
        </w:rPr>
        <w:t xml:space="preserve"> </w:t>
      </w:r>
      <w:r w:rsidR="00B03657" w:rsidRPr="00645878">
        <w:rPr>
          <w:rFonts w:ascii="Times New Roman" w:hAnsi="Times New Roman"/>
        </w:rPr>
        <w:t>its</w:t>
      </w:r>
      <w:r w:rsidR="00900061" w:rsidRPr="00645878">
        <w:rPr>
          <w:rFonts w:ascii="Times New Roman" w:hAnsi="Times New Roman"/>
        </w:rPr>
        <w:t xml:space="preserve"> </w:t>
      </w:r>
      <w:r w:rsidR="00B03657" w:rsidRPr="00645878">
        <w:rPr>
          <w:rFonts w:ascii="Times New Roman" w:hAnsi="Times New Roman"/>
        </w:rPr>
        <w:t>mandate</w:t>
      </w:r>
      <w:r w:rsidR="00900061" w:rsidRPr="00645878">
        <w:rPr>
          <w:rFonts w:ascii="Times New Roman" w:hAnsi="Times New Roman"/>
        </w:rPr>
        <w:t xml:space="preserve"> </w:t>
      </w:r>
      <w:r w:rsidR="00B03657" w:rsidRPr="00645878">
        <w:rPr>
          <w:rFonts w:ascii="Times New Roman" w:hAnsi="Times New Roman"/>
        </w:rPr>
        <w:t>are</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place.</w:t>
      </w:r>
      <w:r w:rsidR="00900061" w:rsidRPr="00645878">
        <w:rPr>
          <w:rFonts w:ascii="Times New Roman" w:hAnsi="Times New Roman"/>
        </w:rPr>
        <w:t xml:space="preserve"> </w:t>
      </w:r>
      <w:r w:rsidR="00B03657" w:rsidRPr="00645878">
        <w:rPr>
          <w:rFonts w:ascii="Times New Roman" w:hAnsi="Times New Roman"/>
        </w:rPr>
        <w:t>There</w:t>
      </w:r>
      <w:r w:rsidR="00900061" w:rsidRPr="00645878">
        <w:rPr>
          <w:rFonts w:ascii="Times New Roman" w:hAnsi="Times New Roman"/>
        </w:rPr>
        <w:t xml:space="preserve"> </w:t>
      </w:r>
      <w:r w:rsidR="00B03657" w:rsidRPr="00645878">
        <w:rPr>
          <w:rFonts w:ascii="Times New Roman" w:hAnsi="Times New Roman"/>
        </w:rPr>
        <w:t>was</w:t>
      </w:r>
      <w:r w:rsidR="00900061" w:rsidRPr="00645878">
        <w:rPr>
          <w:rFonts w:ascii="Times New Roman" w:hAnsi="Times New Roman"/>
        </w:rPr>
        <w:t xml:space="preserve"> </w:t>
      </w:r>
      <w:r w:rsidR="00B03657" w:rsidRPr="00645878">
        <w:rPr>
          <w:rFonts w:ascii="Times New Roman" w:hAnsi="Times New Roman"/>
        </w:rPr>
        <w:t>significant</w:t>
      </w:r>
      <w:r w:rsidR="00900061" w:rsidRPr="00645878">
        <w:rPr>
          <w:rFonts w:ascii="Times New Roman" w:hAnsi="Times New Roman"/>
        </w:rPr>
        <w:t xml:space="preserve"> </w:t>
      </w:r>
      <w:r w:rsidR="00B03657" w:rsidRPr="00645878">
        <w:rPr>
          <w:rFonts w:ascii="Times New Roman" w:hAnsi="Times New Roman"/>
        </w:rPr>
        <w:t>strengthening</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capacity</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over</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past</w:t>
      </w:r>
      <w:r w:rsidR="00900061" w:rsidRPr="00645878">
        <w:rPr>
          <w:rFonts w:ascii="Times New Roman" w:hAnsi="Times New Roman"/>
        </w:rPr>
        <w:t xml:space="preserve"> </w:t>
      </w:r>
      <w:r w:rsidR="00B03657" w:rsidRPr="00645878">
        <w:rPr>
          <w:rFonts w:ascii="Times New Roman" w:hAnsi="Times New Roman"/>
        </w:rPr>
        <w:t>years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terms</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4E225E" w:rsidRPr="00645878">
        <w:rPr>
          <w:rFonts w:ascii="Times New Roman" w:hAnsi="Times New Roman"/>
        </w:rPr>
        <w:t xml:space="preserve">the </w:t>
      </w:r>
      <w:r w:rsidR="00B03657" w:rsidRPr="00645878">
        <w:rPr>
          <w:rFonts w:ascii="Times New Roman" w:hAnsi="Times New Roman"/>
        </w:rPr>
        <w:t>number</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staff,</w:t>
      </w:r>
      <w:r w:rsidR="00900061" w:rsidRPr="00645878">
        <w:rPr>
          <w:rFonts w:ascii="Times New Roman" w:hAnsi="Times New Roman"/>
        </w:rPr>
        <w:t xml:space="preserve"> </w:t>
      </w:r>
      <w:r w:rsidR="00B03657" w:rsidRPr="00645878">
        <w:rPr>
          <w:rFonts w:ascii="Times New Roman" w:hAnsi="Times New Roman"/>
        </w:rPr>
        <w:t>organizational</w:t>
      </w:r>
      <w:r w:rsidR="00900061" w:rsidRPr="00645878">
        <w:rPr>
          <w:rFonts w:ascii="Times New Roman" w:hAnsi="Times New Roman"/>
        </w:rPr>
        <w:t xml:space="preserve"> </w:t>
      </w:r>
      <w:r w:rsidR="00B03657" w:rsidRPr="00645878">
        <w:rPr>
          <w:rFonts w:ascii="Times New Roman" w:hAnsi="Times New Roman"/>
        </w:rPr>
        <w:t>structure</w:t>
      </w:r>
      <w:r w:rsidR="003B2930"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development</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an</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methodology.</w:t>
      </w:r>
      <w:r w:rsidR="00900061" w:rsidRPr="00645878">
        <w:rPr>
          <w:rFonts w:ascii="Times New Roman" w:hAnsi="Times New Roman"/>
        </w:rPr>
        <w:t xml:space="preserve"> </w:t>
      </w:r>
      <w:r w:rsidR="00B03657" w:rsidRPr="00645878">
        <w:rPr>
          <w:rFonts w:ascii="Times New Roman" w:hAnsi="Times New Roman"/>
        </w:rPr>
        <w:t>Significantly</w:t>
      </w:r>
      <w:r w:rsidR="00900061" w:rsidRPr="00645878">
        <w:rPr>
          <w:rFonts w:ascii="Times New Roman" w:hAnsi="Times New Roman"/>
        </w:rPr>
        <w:t xml:space="preserve"> </w:t>
      </w:r>
      <w:r w:rsidR="00B03657" w:rsidRPr="00645878">
        <w:rPr>
          <w:rFonts w:ascii="Times New Roman" w:hAnsi="Times New Roman"/>
        </w:rPr>
        <w:t>higher</w:t>
      </w:r>
      <w:r w:rsidR="00900061" w:rsidRPr="00645878">
        <w:rPr>
          <w:rFonts w:ascii="Times New Roman" w:hAnsi="Times New Roman"/>
        </w:rPr>
        <w:t xml:space="preserve"> </w:t>
      </w:r>
      <w:r w:rsidR="00B03657" w:rsidRPr="00645878">
        <w:rPr>
          <w:rFonts w:ascii="Times New Roman" w:hAnsi="Times New Roman"/>
        </w:rPr>
        <w:t>resources</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extensive</w:t>
      </w:r>
      <w:r w:rsidR="00900061" w:rsidRPr="00645878">
        <w:rPr>
          <w:rFonts w:ascii="Times New Roman" w:hAnsi="Times New Roman"/>
        </w:rPr>
        <w:t xml:space="preserve"> </w:t>
      </w:r>
      <w:r w:rsidR="00B03657" w:rsidRPr="00645878">
        <w:rPr>
          <w:rFonts w:ascii="Times New Roman" w:hAnsi="Times New Roman"/>
        </w:rPr>
        <w:t>technical</w:t>
      </w:r>
      <w:r w:rsidR="00900061" w:rsidRPr="00645878">
        <w:rPr>
          <w:rFonts w:ascii="Times New Roman" w:hAnsi="Times New Roman"/>
        </w:rPr>
        <w:t xml:space="preserve"> </w:t>
      </w:r>
      <w:r w:rsidR="00B03657" w:rsidRPr="00645878">
        <w:rPr>
          <w:rFonts w:ascii="Times New Roman" w:hAnsi="Times New Roman"/>
        </w:rPr>
        <w:t>support</w:t>
      </w:r>
      <w:r w:rsidR="00900061" w:rsidRPr="00645878">
        <w:rPr>
          <w:rFonts w:ascii="Times New Roman" w:hAnsi="Times New Roman"/>
        </w:rPr>
        <w:t xml:space="preserve"> </w:t>
      </w:r>
      <w:r w:rsidR="00B03657" w:rsidRPr="00645878">
        <w:rPr>
          <w:rFonts w:ascii="Times New Roman" w:hAnsi="Times New Roman"/>
        </w:rPr>
        <w:t>provided</w:t>
      </w:r>
      <w:r w:rsidR="00900061" w:rsidRPr="00645878">
        <w:rPr>
          <w:rFonts w:ascii="Times New Roman" w:hAnsi="Times New Roman"/>
        </w:rPr>
        <w:t xml:space="preserve"> </w:t>
      </w:r>
      <w:r w:rsidR="00B03657" w:rsidRPr="00645878">
        <w:rPr>
          <w:rFonts w:ascii="Times New Roman" w:hAnsi="Times New Roman"/>
        </w:rPr>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twinning</w:t>
      </w:r>
      <w:r w:rsidR="00900061" w:rsidRPr="00645878">
        <w:rPr>
          <w:rFonts w:ascii="Times New Roman" w:hAnsi="Times New Roman"/>
        </w:rPr>
        <w:t xml:space="preserve"> </w:t>
      </w:r>
      <w:r w:rsidR="00B03657" w:rsidRPr="00645878">
        <w:rPr>
          <w:rFonts w:ascii="Times New Roman" w:hAnsi="Times New Roman"/>
        </w:rPr>
        <w:t>project</w:t>
      </w:r>
      <w:r w:rsidR="00900061" w:rsidRPr="00645878">
        <w:rPr>
          <w:rFonts w:ascii="Times New Roman" w:hAnsi="Times New Roman"/>
        </w:rPr>
        <w:t xml:space="preserve"> </w:t>
      </w:r>
      <w:r w:rsidR="00B03657" w:rsidRPr="00645878">
        <w:rPr>
          <w:rFonts w:ascii="Times New Roman" w:hAnsi="Times New Roman"/>
        </w:rPr>
        <w:t>have</w:t>
      </w:r>
      <w:r w:rsidR="00900061" w:rsidRPr="00645878">
        <w:rPr>
          <w:rFonts w:ascii="Times New Roman" w:hAnsi="Times New Roman"/>
        </w:rPr>
        <w:t xml:space="preserve"> </w:t>
      </w:r>
      <w:r w:rsidR="00B03657" w:rsidRPr="00645878">
        <w:rPr>
          <w:rFonts w:ascii="Times New Roman" w:hAnsi="Times New Roman"/>
        </w:rPr>
        <w:t>helped</w:t>
      </w:r>
      <w:r w:rsidR="00900061" w:rsidRPr="00645878">
        <w:rPr>
          <w:rFonts w:ascii="Times New Roman" w:hAnsi="Times New Roman"/>
        </w:rPr>
        <w:t xml:space="preserve"> </w:t>
      </w:r>
      <w:r w:rsidR="00B03657" w:rsidRPr="00645878">
        <w:rPr>
          <w:rFonts w:ascii="Times New Roman" w:hAnsi="Times New Roman"/>
        </w:rPr>
        <w:t>increase</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coverage</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quality.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institution</w:t>
      </w:r>
      <w:r w:rsidR="00900061" w:rsidRPr="00645878">
        <w:rPr>
          <w:rFonts w:ascii="Times New Roman" w:hAnsi="Times New Roman"/>
        </w:rPr>
        <w:t xml:space="preserve"> </w:t>
      </w:r>
      <w:r w:rsidR="00B03657" w:rsidRPr="00645878">
        <w:rPr>
          <w:rFonts w:ascii="Times New Roman" w:hAnsi="Times New Roman"/>
        </w:rPr>
        <w:t>conducted</w:t>
      </w:r>
      <w:r w:rsidR="00900061" w:rsidRPr="00645878">
        <w:rPr>
          <w:rFonts w:ascii="Times New Roman" w:hAnsi="Times New Roman"/>
        </w:rPr>
        <w:t xml:space="preserve"> </w:t>
      </w:r>
      <w:r w:rsidR="00B03657" w:rsidRPr="00645878">
        <w:rPr>
          <w:rFonts w:ascii="Times New Roman" w:hAnsi="Times New Roman"/>
        </w:rPr>
        <w:t>its</w:t>
      </w:r>
      <w:r w:rsidR="00900061" w:rsidRPr="00645878">
        <w:rPr>
          <w:rFonts w:ascii="Times New Roman" w:hAnsi="Times New Roman"/>
        </w:rPr>
        <w:t xml:space="preserve"> </w:t>
      </w:r>
      <w:r w:rsidR="00B03657" w:rsidRPr="00645878">
        <w:rPr>
          <w:rFonts w:ascii="Times New Roman" w:hAnsi="Times New Roman"/>
        </w:rPr>
        <w:t>first</w:t>
      </w:r>
      <w:r w:rsidR="00900061" w:rsidRPr="00645878">
        <w:rPr>
          <w:rFonts w:ascii="Times New Roman" w:hAnsi="Times New Roman"/>
        </w:rPr>
        <w:t xml:space="preserve"> </w:t>
      </w:r>
      <w:r w:rsidR="00B03657" w:rsidRPr="00645878">
        <w:rPr>
          <w:rFonts w:ascii="Times New Roman" w:hAnsi="Times New Roman"/>
        </w:rPr>
        <w:t>performance</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2013</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most</w:t>
      </w:r>
      <w:r w:rsidR="00900061" w:rsidRPr="00645878">
        <w:rPr>
          <w:rFonts w:ascii="Times New Roman" w:hAnsi="Times New Roman"/>
        </w:rPr>
        <w:t xml:space="preserve"> </w:t>
      </w:r>
      <w:r w:rsidR="00B03657" w:rsidRPr="00645878">
        <w:rPr>
          <w:rFonts w:ascii="Times New Roman" w:hAnsi="Times New Roman"/>
        </w:rPr>
        <w:t>recent</w:t>
      </w:r>
      <w:r w:rsidR="00900061" w:rsidRPr="00645878">
        <w:rPr>
          <w:rFonts w:ascii="Times New Roman" w:hAnsi="Times New Roman"/>
        </w:rPr>
        <w:t xml:space="preserve"> </w:t>
      </w:r>
      <w:r w:rsidR="00B03657" w:rsidRPr="00645878">
        <w:rPr>
          <w:rFonts w:ascii="Times New Roman" w:hAnsi="Times New Roman"/>
        </w:rPr>
        <w:t>development</w:t>
      </w:r>
      <w:r w:rsidR="00900061" w:rsidRPr="00645878">
        <w:rPr>
          <w:rFonts w:ascii="Times New Roman" w:hAnsi="Times New Roman"/>
        </w:rPr>
        <w:t xml:space="preserve"> </w:t>
      </w:r>
      <w:r w:rsidR="00B03657" w:rsidRPr="00645878">
        <w:rPr>
          <w:rFonts w:ascii="Times New Roman" w:hAnsi="Times New Roman"/>
        </w:rPr>
        <w:t>relates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establishing</w:t>
      </w:r>
      <w:r w:rsidR="00900061" w:rsidRPr="00645878">
        <w:rPr>
          <w:rFonts w:ascii="Times New Roman" w:hAnsi="Times New Roman"/>
        </w:rPr>
        <w:t xml:space="preserve"> </w:t>
      </w:r>
      <w:r w:rsidRPr="00645878">
        <w:rPr>
          <w:rFonts w:ascii="Times New Roman" w:hAnsi="Times New Roman"/>
        </w:rPr>
        <w:t xml:space="preserve">a </w:t>
      </w:r>
      <w:r w:rsidR="00B03657" w:rsidRPr="00645878">
        <w:rPr>
          <w:rFonts w:ascii="Times New Roman" w:hAnsi="Times New Roman"/>
        </w:rPr>
        <w:t>quality</w:t>
      </w:r>
      <w:r w:rsidR="00900061" w:rsidRPr="00645878">
        <w:rPr>
          <w:rFonts w:ascii="Times New Roman" w:hAnsi="Times New Roman"/>
        </w:rPr>
        <w:t xml:space="preserve"> </w:t>
      </w:r>
      <w:r w:rsidR="00B03657" w:rsidRPr="00645878">
        <w:rPr>
          <w:rFonts w:ascii="Times New Roman" w:hAnsi="Times New Roman"/>
        </w:rPr>
        <w:t>control</w:t>
      </w:r>
      <w:r w:rsidR="00900061" w:rsidRPr="00645878">
        <w:rPr>
          <w:rFonts w:ascii="Times New Roman" w:hAnsi="Times New Roman"/>
        </w:rPr>
        <w:t xml:space="preserve"> </w:t>
      </w:r>
      <w:r w:rsidR="00B03657" w:rsidRPr="00645878">
        <w:rPr>
          <w:rFonts w:ascii="Times New Roman" w:hAnsi="Times New Roman"/>
        </w:rPr>
        <w:t>department</w:t>
      </w:r>
      <w:r w:rsidR="00900061" w:rsidRPr="00645878">
        <w:rPr>
          <w:rFonts w:ascii="Times New Roman" w:hAnsi="Times New Roman"/>
        </w:rPr>
        <w:t xml:space="preserve"> </w:t>
      </w:r>
      <w:r w:rsidR="00B03657" w:rsidRPr="00645878">
        <w:rPr>
          <w:rFonts w:ascii="Times New Roman" w:hAnsi="Times New Roman"/>
        </w:rPr>
        <w:t>within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institution.</w:t>
      </w:r>
    </w:p>
    <w:p w14:paraId="49849555" w14:textId="136ACAB1" w:rsidR="00F31B90" w:rsidRPr="00645878" w:rsidRDefault="00F31B90" w:rsidP="00645878">
      <w:pPr>
        <w:pStyle w:val="ListParagraph"/>
        <w:numPr>
          <w:ilvl w:val="0"/>
          <w:numId w:val="9"/>
        </w:numPr>
        <w:ind w:left="0" w:firstLine="0"/>
        <w:contextualSpacing w:val="0"/>
        <w:rPr>
          <w:rFonts w:ascii="Times New Roman" w:hAnsi="Times New Roman"/>
        </w:rPr>
      </w:pPr>
      <w:r w:rsidRPr="00645878">
        <w:rPr>
          <w:rFonts w:ascii="Times New Roman" w:hAnsi="Times New Roman"/>
          <w:b/>
        </w:rPr>
        <w:t>All</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entities</w:t>
      </w:r>
      <w:r w:rsidR="00900061" w:rsidRPr="00645878">
        <w:rPr>
          <w:rFonts w:ascii="Times New Roman" w:hAnsi="Times New Roman"/>
          <w:b/>
        </w:rPr>
        <w:t xml:space="preserve"> </w:t>
      </w:r>
      <w:r w:rsidRPr="00645878">
        <w:rPr>
          <w:rFonts w:ascii="Times New Roman" w:hAnsi="Times New Roman"/>
          <w:b/>
        </w:rPr>
        <w:t>participating</w:t>
      </w:r>
      <w:r w:rsidR="00900061" w:rsidRPr="00645878">
        <w:rPr>
          <w:rFonts w:ascii="Times New Roman" w:hAnsi="Times New Roman"/>
          <w:b/>
        </w:rPr>
        <w:t xml:space="preserve"> </w:t>
      </w:r>
      <w:r w:rsidRPr="00645878">
        <w:rPr>
          <w:rFonts w:ascii="Times New Roman" w:hAnsi="Times New Roman"/>
          <w:b/>
        </w:rPr>
        <w:t>in</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001B78A4" w:rsidRPr="00645878">
        <w:rPr>
          <w:rFonts w:ascii="Times New Roman" w:hAnsi="Times New Roman"/>
          <w:b/>
        </w:rPr>
        <w:t>Program</w:t>
      </w:r>
      <w:r w:rsidR="00900061" w:rsidRPr="00645878">
        <w:rPr>
          <w:rFonts w:ascii="Times New Roman" w:hAnsi="Times New Roman"/>
          <w:b/>
        </w:rPr>
        <w:t xml:space="preserve"> </w:t>
      </w:r>
      <w:r w:rsidRPr="00645878">
        <w:rPr>
          <w:rFonts w:ascii="Times New Roman" w:hAnsi="Times New Roman"/>
          <w:b/>
        </w:rPr>
        <w:t>are</w:t>
      </w:r>
      <w:r w:rsidR="00900061" w:rsidRPr="00645878">
        <w:rPr>
          <w:rFonts w:ascii="Times New Roman" w:hAnsi="Times New Roman"/>
          <w:b/>
        </w:rPr>
        <w:t xml:space="preserve"> </w:t>
      </w:r>
      <w:r w:rsidRPr="00645878">
        <w:rPr>
          <w:rFonts w:ascii="Times New Roman" w:hAnsi="Times New Roman"/>
          <w:b/>
        </w:rPr>
        <w:t>under</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scope</w:t>
      </w:r>
      <w:r w:rsidR="00900061" w:rsidRPr="00645878">
        <w:rPr>
          <w:rFonts w:ascii="Times New Roman" w:hAnsi="Times New Roman"/>
          <w:b/>
        </w:rPr>
        <w:t xml:space="preserve"> </w:t>
      </w:r>
      <w:r w:rsidRPr="00645878">
        <w:rPr>
          <w:rFonts w:ascii="Times New Roman" w:hAnsi="Times New Roman"/>
          <w:b/>
        </w:rPr>
        <w:t>of</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external</w:t>
      </w:r>
      <w:r w:rsidR="00900061" w:rsidRPr="00645878">
        <w:rPr>
          <w:rFonts w:ascii="Times New Roman" w:hAnsi="Times New Roman"/>
          <w:b/>
        </w:rPr>
        <w:t xml:space="preserve"> </w:t>
      </w:r>
      <w:r w:rsidRPr="00645878">
        <w:rPr>
          <w:rFonts w:ascii="Times New Roman" w:hAnsi="Times New Roman"/>
          <w:b/>
        </w:rPr>
        <w:t>audit</w:t>
      </w:r>
      <w:r w:rsidR="00900061" w:rsidRPr="00645878">
        <w:rPr>
          <w:rFonts w:ascii="Times New Roman" w:hAnsi="Times New Roman"/>
          <w:b/>
        </w:rPr>
        <w:t xml:space="preserve"> </w:t>
      </w:r>
      <w:r w:rsidRPr="00645878">
        <w:rPr>
          <w:rFonts w:ascii="Times New Roman" w:hAnsi="Times New Roman"/>
          <w:b/>
        </w:rPr>
        <w:t>(financial,</w:t>
      </w:r>
      <w:r w:rsidR="00900061" w:rsidRPr="00645878">
        <w:rPr>
          <w:rFonts w:ascii="Times New Roman" w:hAnsi="Times New Roman"/>
          <w:b/>
        </w:rPr>
        <w:t xml:space="preserve"> </w:t>
      </w:r>
      <w:r w:rsidRPr="00645878">
        <w:rPr>
          <w:rFonts w:ascii="Times New Roman" w:hAnsi="Times New Roman"/>
          <w:b/>
        </w:rPr>
        <w:t>compliance,</w:t>
      </w:r>
      <w:r w:rsidR="00900061" w:rsidRPr="00645878">
        <w:rPr>
          <w:rFonts w:ascii="Times New Roman" w:hAnsi="Times New Roman"/>
          <w:b/>
        </w:rPr>
        <w:t xml:space="preserve"> </w:t>
      </w:r>
      <w:r w:rsidRPr="00645878">
        <w:rPr>
          <w:rFonts w:ascii="Times New Roman" w:hAnsi="Times New Roman"/>
          <w:b/>
        </w:rPr>
        <w:t>performance)</w:t>
      </w:r>
      <w:r w:rsidR="00900061" w:rsidRPr="00645878">
        <w:rPr>
          <w:rFonts w:ascii="Times New Roman" w:hAnsi="Times New Roman"/>
          <w:b/>
        </w:rPr>
        <w:t xml:space="preserve"> </w:t>
      </w:r>
      <w:r w:rsidRPr="00645878">
        <w:rPr>
          <w:rFonts w:ascii="Times New Roman" w:hAnsi="Times New Roman"/>
          <w:b/>
        </w:rPr>
        <w:t>carried</w:t>
      </w:r>
      <w:r w:rsidR="00900061" w:rsidRPr="00645878">
        <w:rPr>
          <w:rFonts w:ascii="Times New Roman" w:hAnsi="Times New Roman"/>
          <w:b/>
        </w:rPr>
        <w:t xml:space="preserve"> </w:t>
      </w:r>
      <w:r w:rsidRPr="00645878">
        <w:rPr>
          <w:rFonts w:ascii="Times New Roman" w:hAnsi="Times New Roman"/>
          <w:b/>
        </w:rPr>
        <w:t>out</w:t>
      </w:r>
      <w:r w:rsidR="00900061" w:rsidRPr="00645878">
        <w:rPr>
          <w:rFonts w:ascii="Times New Roman" w:hAnsi="Times New Roman"/>
          <w:b/>
        </w:rPr>
        <w:t xml:space="preserve"> </w:t>
      </w:r>
      <w:r w:rsidRPr="00645878">
        <w:rPr>
          <w:rFonts w:ascii="Times New Roman" w:hAnsi="Times New Roman"/>
          <w:b/>
        </w:rPr>
        <w:t>by</w:t>
      </w:r>
      <w:r w:rsidR="00900061" w:rsidRPr="00645878">
        <w:rPr>
          <w:rFonts w:ascii="Times New Roman" w:hAnsi="Times New Roman"/>
          <w:b/>
        </w:rPr>
        <w:t xml:space="preserve"> </w:t>
      </w:r>
      <w:r w:rsidRPr="00645878">
        <w:rPr>
          <w:rFonts w:ascii="Times New Roman" w:hAnsi="Times New Roman"/>
          <w:b/>
        </w:rPr>
        <w:t>the</w:t>
      </w:r>
      <w:r w:rsidR="00900061" w:rsidRPr="00645878">
        <w:rPr>
          <w:rFonts w:ascii="Times New Roman" w:hAnsi="Times New Roman"/>
          <w:b/>
        </w:rPr>
        <w:t xml:space="preserve"> </w:t>
      </w:r>
      <w:r w:rsidRPr="00645878">
        <w:rPr>
          <w:rFonts w:ascii="Times New Roman" w:hAnsi="Times New Roman"/>
          <w:b/>
        </w:rPr>
        <w:t>SAI.</w:t>
      </w:r>
      <w:r w:rsidR="00900061" w:rsidRPr="00645878">
        <w:rPr>
          <w:rFonts w:ascii="Times New Roman" w:hAnsi="Times New Roman"/>
        </w:rPr>
        <w:t xml:space="preserve"> </w:t>
      </w:r>
      <w:r w:rsidR="002E33CD" w:rsidRPr="00645878">
        <w:rPr>
          <w:rFonts w:ascii="Times New Roman" w:hAnsi="Times New Roman"/>
        </w:rPr>
        <w:t>Apart</w:t>
      </w:r>
      <w:r w:rsidR="00900061" w:rsidRPr="00645878">
        <w:rPr>
          <w:rFonts w:ascii="Times New Roman" w:hAnsi="Times New Roman"/>
        </w:rPr>
        <w:t xml:space="preserve"> </w:t>
      </w:r>
      <w:r w:rsidR="002E33CD" w:rsidRPr="00645878">
        <w:rPr>
          <w:rFonts w:ascii="Times New Roman" w:hAnsi="Times New Roman"/>
        </w:rPr>
        <w:t>from</w:t>
      </w:r>
      <w:r w:rsidR="00900061" w:rsidRPr="00645878">
        <w:rPr>
          <w:rFonts w:ascii="Times New Roman" w:hAnsi="Times New Roman"/>
        </w:rPr>
        <w:t xml:space="preserve"> </w:t>
      </w:r>
      <w:r w:rsidR="002E33CD" w:rsidRPr="00645878">
        <w:rPr>
          <w:rFonts w:ascii="Times New Roman" w:hAnsi="Times New Roman"/>
        </w:rPr>
        <w:t>being</w:t>
      </w:r>
      <w:r w:rsidR="00900061" w:rsidRPr="00645878">
        <w:rPr>
          <w:rFonts w:ascii="Times New Roman" w:hAnsi="Times New Roman"/>
        </w:rPr>
        <w:t xml:space="preserve"> </w:t>
      </w:r>
      <w:r w:rsidR="002E33CD" w:rsidRPr="00645878">
        <w:rPr>
          <w:rFonts w:ascii="Times New Roman" w:hAnsi="Times New Roman"/>
        </w:rPr>
        <w:t>part</w:t>
      </w:r>
      <w:r w:rsidR="00900061" w:rsidRPr="00645878">
        <w:rPr>
          <w:rFonts w:ascii="Times New Roman" w:hAnsi="Times New Roman"/>
        </w:rPr>
        <w:t xml:space="preserve"> </w:t>
      </w:r>
      <w:r w:rsidR="002E33CD" w:rsidRPr="00645878">
        <w:rPr>
          <w:rFonts w:ascii="Times New Roman" w:hAnsi="Times New Roman"/>
        </w:rPr>
        <w:t>of</w:t>
      </w:r>
      <w:r w:rsidR="00900061" w:rsidRPr="00645878">
        <w:rPr>
          <w:rFonts w:ascii="Times New Roman" w:hAnsi="Times New Roman"/>
        </w:rPr>
        <w:t xml:space="preserve"> </w:t>
      </w:r>
      <w:r w:rsidR="002E33CD" w:rsidRPr="00645878">
        <w:rPr>
          <w:rFonts w:ascii="Times New Roman" w:hAnsi="Times New Roman"/>
        </w:rPr>
        <w:t>the</w:t>
      </w:r>
      <w:r w:rsidR="00900061" w:rsidRPr="00645878">
        <w:rPr>
          <w:rFonts w:ascii="Times New Roman" w:hAnsi="Times New Roman"/>
        </w:rPr>
        <w:t xml:space="preserve"> </w:t>
      </w:r>
      <w:r w:rsidR="002E33CD" w:rsidRPr="00645878">
        <w:rPr>
          <w:rFonts w:ascii="Times New Roman" w:hAnsi="Times New Roman"/>
        </w:rPr>
        <w:t>final</w:t>
      </w:r>
      <w:r w:rsidR="00900061" w:rsidRPr="00645878">
        <w:rPr>
          <w:rFonts w:ascii="Times New Roman" w:hAnsi="Times New Roman"/>
        </w:rPr>
        <w:t xml:space="preserve"> </w:t>
      </w:r>
      <w:r w:rsidR="002E33CD" w:rsidRPr="00645878">
        <w:rPr>
          <w:rFonts w:ascii="Times New Roman" w:hAnsi="Times New Roman"/>
        </w:rPr>
        <w:t>account,</w:t>
      </w:r>
      <w:r w:rsidR="00900061" w:rsidRPr="00645878">
        <w:rPr>
          <w:rFonts w:ascii="Times New Roman" w:hAnsi="Times New Roman"/>
        </w:rPr>
        <w:t xml:space="preserve"> </w:t>
      </w:r>
      <w:r w:rsidR="002E33CD" w:rsidRPr="00645878">
        <w:rPr>
          <w:rFonts w:ascii="Times New Roman" w:hAnsi="Times New Roman"/>
        </w:rPr>
        <w:t>sep</w:t>
      </w:r>
      <w:r w:rsidR="00D446FB" w:rsidRPr="00645878">
        <w:rPr>
          <w:rFonts w:ascii="Times New Roman" w:hAnsi="Times New Roman"/>
        </w:rPr>
        <w:t>a</w:t>
      </w:r>
      <w:r w:rsidR="002E33CD" w:rsidRPr="00645878">
        <w:rPr>
          <w:rFonts w:ascii="Times New Roman" w:hAnsi="Times New Roman"/>
        </w:rPr>
        <w:t>rate</w:t>
      </w:r>
      <w:r w:rsidR="00900061" w:rsidRPr="00645878">
        <w:rPr>
          <w:rFonts w:ascii="Times New Roman" w:hAnsi="Times New Roman"/>
        </w:rPr>
        <w:t xml:space="preserve"> </w:t>
      </w:r>
      <w:r w:rsidR="002E33CD" w:rsidRPr="00645878">
        <w:rPr>
          <w:rFonts w:ascii="Times New Roman" w:hAnsi="Times New Roman"/>
        </w:rPr>
        <w:t>financial</w:t>
      </w:r>
      <w:r w:rsidR="00900061" w:rsidRPr="00645878">
        <w:rPr>
          <w:rFonts w:ascii="Times New Roman" w:hAnsi="Times New Roman"/>
        </w:rPr>
        <w:t xml:space="preserve"> </w:t>
      </w:r>
      <w:r w:rsidR="002E33CD" w:rsidRPr="00645878">
        <w:rPr>
          <w:rFonts w:ascii="Times New Roman" w:hAnsi="Times New Roman"/>
        </w:rPr>
        <w:t>statemen</w:t>
      </w:r>
      <w:r w:rsidR="008B2299" w:rsidRPr="00645878">
        <w:rPr>
          <w:rFonts w:ascii="Times New Roman" w:hAnsi="Times New Roman"/>
        </w:rPr>
        <w:t>t</w:t>
      </w:r>
      <w:r w:rsidR="002E33CD" w:rsidRPr="00645878">
        <w:rPr>
          <w:rFonts w:ascii="Times New Roman" w:hAnsi="Times New Roman"/>
        </w:rPr>
        <w:t>s</w:t>
      </w:r>
      <w:r w:rsidR="00900061" w:rsidRPr="00645878">
        <w:rPr>
          <w:rFonts w:ascii="Times New Roman" w:hAnsi="Times New Roman"/>
        </w:rPr>
        <w:t xml:space="preserve"> </w:t>
      </w:r>
      <w:r w:rsidR="00D446FB" w:rsidRPr="00645878">
        <w:rPr>
          <w:rFonts w:ascii="Times New Roman" w:hAnsi="Times New Roman"/>
        </w:rPr>
        <w:t xml:space="preserve">for </w:t>
      </w:r>
      <w:r w:rsidRPr="00645878">
        <w:rPr>
          <w:rFonts w:ascii="Times New Roman" w:hAnsi="Times New Roman"/>
        </w:rPr>
        <w:t>entities</w:t>
      </w:r>
      <w:r w:rsidR="00900061" w:rsidRPr="00645878">
        <w:rPr>
          <w:rFonts w:ascii="Times New Roman" w:hAnsi="Times New Roman"/>
        </w:rPr>
        <w:t xml:space="preserve"> </w:t>
      </w:r>
      <w:r w:rsidRPr="00645878">
        <w:rPr>
          <w:rFonts w:ascii="Times New Roman" w:hAnsi="Times New Roman"/>
        </w:rPr>
        <w:t>involved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not</w:t>
      </w:r>
      <w:r w:rsidR="00900061" w:rsidRPr="00645878">
        <w:rPr>
          <w:rFonts w:ascii="Times New Roman" w:hAnsi="Times New Roman"/>
        </w:rPr>
        <w:t xml:space="preserve"> </w:t>
      </w:r>
      <w:r w:rsidRPr="00645878">
        <w:rPr>
          <w:rFonts w:ascii="Times New Roman" w:hAnsi="Times New Roman"/>
        </w:rPr>
        <w:t>been</w:t>
      </w:r>
      <w:r w:rsidR="00900061" w:rsidRPr="00645878">
        <w:rPr>
          <w:rFonts w:ascii="Times New Roman" w:hAnsi="Times New Roman"/>
        </w:rPr>
        <w:t xml:space="preserve"> </w:t>
      </w:r>
      <w:r w:rsidRPr="00645878">
        <w:rPr>
          <w:rFonts w:ascii="Times New Roman" w:hAnsi="Times New Roman"/>
        </w:rPr>
        <w:t>included</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risk-based</w:t>
      </w:r>
      <w:r w:rsidR="00900061" w:rsidRPr="00645878">
        <w:rPr>
          <w:rFonts w:ascii="Times New Roman" w:hAnsi="Times New Roman"/>
        </w:rPr>
        <w:t xml:space="preserve"> </w:t>
      </w:r>
      <w:r w:rsidRPr="00645878">
        <w:rPr>
          <w:rFonts w:ascii="Times New Roman" w:hAnsi="Times New Roman"/>
        </w:rPr>
        <w:t>Annual</w:t>
      </w:r>
      <w:r w:rsidR="00900061" w:rsidRPr="00645878">
        <w:rPr>
          <w:rFonts w:ascii="Times New Roman" w:hAnsi="Times New Roman"/>
        </w:rPr>
        <w:t xml:space="preserve"> </w:t>
      </w:r>
      <w:r w:rsidRPr="00645878">
        <w:rPr>
          <w:rFonts w:ascii="Times New Roman" w:hAnsi="Times New Roman"/>
        </w:rPr>
        <w:t>Audit</w:t>
      </w:r>
      <w:r w:rsidR="00900061" w:rsidRPr="00645878">
        <w:rPr>
          <w:rFonts w:ascii="Times New Roman" w:hAnsi="Times New Roman"/>
        </w:rPr>
        <w:t xml:space="preserve"> </w:t>
      </w:r>
      <w:r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2014</w:t>
      </w:r>
      <w:r w:rsidR="00900061" w:rsidRPr="00645878">
        <w:rPr>
          <w:rFonts w:ascii="Times New Roman" w:hAnsi="Times New Roman"/>
        </w:rPr>
        <w:t xml:space="preserve"> </w:t>
      </w:r>
      <w:r w:rsidR="002E33CD" w:rsidRPr="00645878">
        <w:rPr>
          <w:rFonts w:ascii="Times New Roman" w:hAnsi="Times New Roman"/>
        </w:rPr>
        <w:t>and</w:t>
      </w:r>
      <w:r w:rsidR="00900061" w:rsidRPr="00645878">
        <w:rPr>
          <w:rFonts w:ascii="Times New Roman" w:hAnsi="Times New Roman"/>
        </w:rPr>
        <w:t xml:space="preserve"> </w:t>
      </w:r>
      <w:r w:rsidR="002E33CD" w:rsidRPr="00645878">
        <w:rPr>
          <w:rFonts w:ascii="Times New Roman" w:hAnsi="Times New Roman"/>
        </w:rPr>
        <w:t>audits</w:t>
      </w:r>
      <w:r w:rsidR="00900061" w:rsidRPr="00645878">
        <w:rPr>
          <w:rFonts w:ascii="Times New Roman" w:hAnsi="Times New Roman"/>
        </w:rPr>
        <w:t xml:space="preserve"> </w:t>
      </w:r>
      <w:r w:rsidR="002E33CD" w:rsidRPr="00645878">
        <w:rPr>
          <w:rFonts w:ascii="Times New Roman" w:hAnsi="Times New Roman"/>
        </w:rPr>
        <w:t>of</w:t>
      </w:r>
      <w:r w:rsidR="00900061" w:rsidRPr="00645878">
        <w:rPr>
          <w:rFonts w:ascii="Times New Roman" w:hAnsi="Times New Roman"/>
        </w:rPr>
        <w:t xml:space="preserve"> </w:t>
      </w:r>
      <w:r w:rsidR="002E33CD" w:rsidRPr="00645878">
        <w:rPr>
          <w:rFonts w:ascii="Times New Roman" w:hAnsi="Times New Roman"/>
        </w:rPr>
        <w:t>2013</w:t>
      </w:r>
      <w:r w:rsidR="00900061" w:rsidRPr="00645878">
        <w:rPr>
          <w:rFonts w:ascii="Times New Roman" w:hAnsi="Times New Roman"/>
        </w:rPr>
        <w:t xml:space="preserve"> </w:t>
      </w:r>
      <w:r w:rsidR="002E33CD" w:rsidRPr="00645878">
        <w:rPr>
          <w:rFonts w:ascii="Times New Roman" w:hAnsi="Times New Roman"/>
        </w:rPr>
        <w:t>financial</w:t>
      </w:r>
      <w:r w:rsidR="00900061" w:rsidRPr="00645878">
        <w:rPr>
          <w:rFonts w:ascii="Times New Roman" w:hAnsi="Times New Roman"/>
        </w:rPr>
        <w:t xml:space="preserve"> </w:t>
      </w:r>
      <w:r w:rsidR="002E33CD" w:rsidRPr="00645878">
        <w:rPr>
          <w:rFonts w:ascii="Times New Roman" w:hAnsi="Times New Roman"/>
        </w:rPr>
        <w:t>statements</w:t>
      </w:r>
      <w:r w:rsidRPr="00645878">
        <w:rPr>
          <w:rFonts w:ascii="Times New Roman" w:hAnsi="Times New Roman"/>
        </w:rPr>
        <w:t>.</w:t>
      </w:r>
      <w:r w:rsidR="00900061" w:rsidRPr="00645878">
        <w:rPr>
          <w:rFonts w:ascii="Times New Roman" w:hAnsi="Times New Roman"/>
        </w:rPr>
        <w:t xml:space="preserve"> </w:t>
      </w:r>
      <w:r w:rsidRPr="00645878">
        <w:rPr>
          <w:rFonts w:ascii="Times New Roman" w:hAnsi="Times New Roman"/>
        </w:rPr>
        <w:t>However,</w:t>
      </w:r>
      <w:r w:rsidR="00900061" w:rsidRPr="00645878">
        <w:rPr>
          <w:rFonts w:ascii="Times New Roman" w:hAnsi="Times New Roman"/>
        </w:rPr>
        <w:t xml:space="preserve"> </w:t>
      </w:r>
      <w:r w:rsidRPr="00645878">
        <w:rPr>
          <w:rFonts w:ascii="Times New Roman" w:hAnsi="Times New Roman"/>
        </w:rPr>
        <w:t>information</w:t>
      </w:r>
      <w:r w:rsidR="00900061" w:rsidRPr="00645878">
        <w:rPr>
          <w:rFonts w:ascii="Times New Roman" w:hAnsi="Times New Roman"/>
        </w:rPr>
        <w:t xml:space="preserve"> </w:t>
      </w:r>
      <w:r w:rsidRPr="00645878">
        <w:rPr>
          <w:rFonts w:ascii="Times New Roman" w:hAnsi="Times New Roman"/>
        </w:rPr>
        <w:t>available</w:t>
      </w:r>
      <w:r w:rsidR="00900061" w:rsidRPr="00645878">
        <w:rPr>
          <w:rFonts w:ascii="Times New Roman" w:hAnsi="Times New Roman"/>
        </w:rPr>
        <w:t xml:space="preserve"> </w:t>
      </w:r>
      <w:r w:rsidRPr="00645878">
        <w:rPr>
          <w:rFonts w:ascii="Times New Roman" w:hAnsi="Times New Roman"/>
        </w:rPr>
        <w:t>from</w:t>
      </w:r>
      <w:r w:rsidR="00900061" w:rsidRPr="00645878">
        <w:rPr>
          <w:rFonts w:ascii="Times New Roman" w:hAnsi="Times New Roman"/>
        </w:rPr>
        <w:t xml:space="preserve"> </w:t>
      </w:r>
      <w:r w:rsidR="008B2299" w:rsidRPr="00645878">
        <w:rPr>
          <w:rFonts w:ascii="Times New Roman" w:hAnsi="Times New Roman"/>
        </w:rPr>
        <w:t xml:space="preserve">the </w:t>
      </w:r>
      <w:r w:rsidRPr="00645878">
        <w:rPr>
          <w:rFonts w:ascii="Times New Roman" w:hAnsi="Times New Roman"/>
        </w:rPr>
        <w:t>SAI</w:t>
      </w:r>
      <w:r w:rsidR="00900061" w:rsidRPr="00645878">
        <w:rPr>
          <w:rFonts w:ascii="Times New Roman" w:hAnsi="Times New Roman"/>
        </w:rPr>
        <w:t xml:space="preserve"> </w:t>
      </w:r>
      <w:r w:rsidRPr="00645878">
        <w:rPr>
          <w:rFonts w:ascii="Times New Roman" w:hAnsi="Times New Roman"/>
        </w:rPr>
        <w:t>reports</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earlier</w:t>
      </w:r>
      <w:r w:rsidR="00900061" w:rsidRPr="00645878">
        <w:rPr>
          <w:rFonts w:ascii="Times New Roman" w:hAnsi="Times New Roman"/>
        </w:rPr>
        <w:t xml:space="preserve"> </w:t>
      </w:r>
      <w:r w:rsidRPr="00645878">
        <w:rPr>
          <w:rFonts w:ascii="Times New Roman" w:hAnsi="Times New Roman"/>
        </w:rPr>
        <w:t>years</w:t>
      </w:r>
      <w:r w:rsidR="00900061" w:rsidRPr="00645878">
        <w:rPr>
          <w:rFonts w:ascii="Times New Roman" w:hAnsi="Times New Roman"/>
        </w:rPr>
        <w:t xml:space="preserve"> </w:t>
      </w:r>
      <w:r w:rsidRPr="00645878">
        <w:rPr>
          <w:rFonts w:ascii="Times New Roman" w:hAnsi="Times New Roman"/>
        </w:rPr>
        <w:t>for</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Pr="00645878">
        <w:rPr>
          <w:rFonts w:ascii="Times New Roman" w:hAnsi="Times New Roman"/>
        </w:rPr>
        <w:t>participating</w:t>
      </w:r>
      <w:r w:rsidR="00900061" w:rsidRPr="00645878">
        <w:rPr>
          <w:rFonts w:ascii="Times New Roman" w:hAnsi="Times New Roman"/>
        </w:rPr>
        <w:t xml:space="preserve"> </w:t>
      </w:r>
      <w:r w:rsidRPr="00645878">
        <w:rPr>
          <w:rFonts w:ascii="Times New Roman" w:hAnsi="Times New Roman"/>
        </w:rPr>
        <w:t>institutions</w:t>
      </w:r>
      <w:r w:rsidR="00900061" w:rsidRPr="00645878">
        <w:rPr>
          <w:rFonts w:ascii="Times New Roman" w:hAnsi="Times New Roman"/>
        </w:rPr>
        <w:t xml:space="preserve"> </w:t>
      </w:r>
      <w:r w:rsidRPr="00645878">
        <w:rPr>
          <w:rFonts w:ascii="Times New Roman" w:hAnsi="Times New Roman"/>
        </w:rPr>
        <w:t>leaves</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general</w:t>
      </w:r>
      <w:r w:rsidR="00900061" w:rsidRPr="00645878">
        <w:rPr>
          <w:rFonts w:ascii="Times New Roman" w:hAnsi="Times New Roman"/>
        </w:rPr>
        <w:t xml:space="preserve"> </w:t>
      </w:r>
      <w:r w:rsidRPr="00645878">
        <w:rPr>
          <w:rFonts w:ascii="Times New Roman" w:hAnsi="Times New Roman"/>
        </w:rPr>
        <w:t>perception</w:t>
      </w:r>
      <w:r w:rsidR="00900061" w:rsidRPr="00645878">
        <w:rPr>
          <w:rFonts w:ascii="Times New Roman" w:hAnsi="Times New Roman"/>
        </w:rPr>
        <w:t xml:space="preserve"> </w:t>
      </w:r>
      <w:r w:rsidRPr="00645878">
        <w:rPr>
          <w:rFonts w:ascii="Times New Roman" w:hAnsi="Times New Roman"/>
        </w:rPr>
        <w:t>that</w:t>
      </w:r>
      <w:r w:rsidR="00900061" w:rsidRPr="00645878">
        <w:rPr>
          <w:rFonts w:ascii="Times New Roman" w:hAnsi="Times New Roman"/>
        </w:rPr>
        <w:t xml:space="preserve"> </w:t>
      </w:r>
      <w:r w:rsidRPr="00645878">
        <w:rPr>
          <w:rFonts w:ascii="Times New Roman" w:hAnsi="Times New Roman"/>
        </w:rPr>
        <w:t>they</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a</w:t>
      </w:r>
      <w:r w:rsidR="00900061" w:rsidRPr="00645878">
        <w:rPr>
          <w:rFonts w:ascii="Times New Roman" w:hAnsi="Times New Roman"/>
        </w:rPr>
        <w:t xml:space="preserve"> </w:t>
      </w:r>
      <w:r w:rsidRPr="00645878">
        <w:rPr>
          <w:rFonts w:ascii="Times New Roman" w:hAnsi="Times New Roman"/>
        </w:rPr>
        <w:t>substantial</w:t>
      </w:r>
      <w:r w:rsidR="00900061" w:rsidRPr="00645878">
        <w:rPr>
          <w:rFonts w:ascii="Times New Roman" w:hAnsi="Times New Roman"/>
        </w:rPr>
        <w:t xml:space="preserve"> </w:t>
      </w:r>
      <w:r w:rsidRPr="00645878">
        <w:rPr>
          <w:rFonts w:ascii="Times New Roman" w:hAnsi="Times New Roman"/>
        </w:rPr>
        <w:t>capacity</w:t>
      </w:r>
      <w:r w:rsidR="00900061" w:rsidRPr="00645878">
        <w:rPr>
          <w:rFonts w:ascii="Times New Roman" w:hAnsi="Times New Roman"/>
        </w:rPr>
        <w:t xml:space="preserve"> </w:t>
      </w:r>
      <w:r w:rsidRPr="00645878">
        <w:rPr>
          <w:rFonts w:ascii="Times New Roman" w:hAnsi="Times New Roman"/>
        </w:rPr>
        <w:t>in</w:t>
      </w:r>
      <w:r w:rsidR="00900061" w:rsidRPr="00645878">
        <w:rPr>
          <w:rFonts w:ascii="Times New Roman" w:hAnsi="Times New Roman"/>
        </w:rPr>
        <w:t xml:space="preserve"> </w:t>
      </w:r>
      <w:r w:rsidRPr="00645878">
        <w:rPr>
          <w:rFonts w:ascii="Times New Roman" w:hAnsi="Times New Roman"/>
        </w:rPr>
        <w:t>internal</w:t>
      </w:r>
      <w:r w:rsidR="00900061" w:rsidRPr="00645878">
        <w:rPr>
          <w:rFonts w:ascii="Times New Roman" w:hAnsi="Times New Roman"/>
        </w:rPr>
        <w:t xml:space="preserve"> </w:t>
      </w:r>
      <w:r w:rsidRPr="00645878">
        <w:rPr>
          <w:rFonts w:ascii="Times New Roman" w:hAnsi="Times New Roman"/>
        </w:rPr>
        <w:t>controls</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public</w:t>
      </w:r>
      <w:r w:rsidR="00900061" w:rsidRPr="00645878">
        <w:rPr>
          <w:rFonts w:ascii="Times New Roman" w:hAnsi="Times New Roman"/>
        </w:rPr>
        <w:t xml:space="preserve"> </w:t>
      </w:r>
      <w:r w:rsidRPr="00645878">
        <w:rPr>
          <w:rFonts w:ascii="Times New Roman" w:hAnsi="Times New Roman"/>
        </w:rPr>
        <w:t>procurement.</w:t>
      </w:r>
      <w:r w:rsidR="00900061" w:rsidRPr="00645878">
        <w:rPr>
          <w:rFonts w:ascii="Times New Roman" w:hAnsi="Times New Roman"/>
        </w:rPr>
        <w:t xml:space="preserve"> </w:t>
      </w:r>
      <w:r w:rsidRPr="00645878">
        <w:rPr>
          <w:rFonts w:ascii="Times New Roman" w:hAnsi="Times New Roman"/>
        </w:rPr>
        <w:t>The</w:t>
      </w:r>
      <w:r w:rsidR="00900061" w:rsidRPr="00645878">
        <w:rPr>
          <w:rFonts w:ascii="Times New Roman" w:hAnsi="Times New Roman"/>
        </w:rPr>
        <w:t xml:space="preserve"> </w:t>
      </w:r>
      <w:r w:rsidR="001B78A4" w:rsidRPr="00645878">
        <w:rPr>
          <w:rFonts w:ascii="Times New Roman" w:hAnsi="Times New Roman"/>
        </w:rPr>
        <w:t>Program</w:t>
      </w:r>
      <w:r w:rsidR="00900061" w:rsidRPr="00645878">
        <w:rPr>
          <w:rFonts w:ascii="Times New Roman" w:hAnsi="Times New Roman"/>
        </w:rPr>
        <w:t xml:space="preserve"> </w:t>
      </w:r>
      <w:r w:rsidRPr="00645878">
        <w:rPr>
          <w:rFonts w:ascii="Times New Roman" w:hAnsi="Times New Roman"/>
        </w:rPr>
        <w:t>will</w:t>
      </w:r>
      <w:r w:rsidR="00900061" w:rsidRPr="00645878">
        <w:rPr>
          <w:rFonts w:ascii="Times New Roman" w:hAnsi="Times New Roman"/>
        </w:rPr>
        <w:t xml:space="preserve"> </w:t>
      </w:r>
      <w:r w:rsidRPr="00645878">
        <w:rPr>
          <w:rFonts w:ascii="Times New Roman" w:hAnsi="Times New Roman"/>
        </w:rPr>
        <w:t>have</w:t>
      </w:r>
      <w:r w:rsidR="00900061" w:rsidRPr="00645878">
        <w:rPr>
          <w:rFonts w:ascii="Times New Roman" w:hAnsi="Times New Roman"/>
        </w:rPr>
        <w:t xml:space="preserve"> </w:t>
      </w:r>
      <w:r w:rsidRPr="00645878">
        <w:rPr>
          <w:rFonts w:ascii="Times New Roman" w:hAnsi="Times New Roman"/>
        </w:rPr>
        <w:t>impact</w:t>
      </w:r>
      <w:r w:rsidR="00900061" w:rsidRPr="00645878">
        <w:rPr>
          <w:rFonts w:ascii="Times New Roman" w:hAnsi="Times New Roman"/>
        </w:rPr>
        <w:t xml:space="preserve"> </w:t>
      </w:r>
      <w:r w:rsidRPr="00645878">
        <w:rPr>
          <w:rFonts w:ascii="Times New Roman" w:hAnsi="Times New Roman"/>
        </w:rPr>
        <w:t>by</w:t>
      </w:r>
      <w:r w:rsidR="00900061" w:rsidRPr="00645878">
        <w:rPr>
          <w:rFonts w:ascii="Times New Roman" w:hAnsi="Times New Roman"/>
        </w:rPr>
        <w:t xml:space="preserve"> </w:t>
      </w:r>
      <w:r w:rsidRPr="00645878">
        <w:rPr>
          <w:rFonts w:ascii="Times New Roman" w:hAnsi="Times New Roman"/>
        </w:rPr>
        <w:t>promoting</w:t>
      </w:r>
      <w:r w:rsidR="00900061" w:rsidRPr="00645878">
        <w:rPr>
          <w:rFonts w:ascii="Times New Roman" w:hAnsi="Times New Roman"/>
        </w:rPr>
        <w:t xml:space="preserve"> </w:t>
      </w:r>
      <w:r w:rsidRPr="00645878">
        <w:rPr>
          <w:rFonts w:ascii="Times New Roman" w:hAnsi="Times New Roman"/>
        </w:rPr>
        <w:t>sound</w:t>
      </w:r>
      <w:r w:rsidR="00900061" w:rsidRPr="00645878">
        <w:rPr>
          <w:rFonts w:ascii="Times New Roman" w:hAnsi="Times New Roman"/>
        </w:rPr>
        <w:t xml:space="preserve"> </w:t>
      </w:r>
      <w:r w:rsidRPr="00645878">
        <w:rPr>
          <w:rFonts w:ascii="Times New Roman" w:hAnsi="Times New Roman"/>
        </w:rPr>
        <w:t>management</w:t>
      </w:r>
      <w:r w:rsidR="00900061" w:rsidRPr="00645878">
        <w:rPr>
          <w:rFonts w:ascii="Times New Roman" w:hAnsi="Times New Roman"/>
        </w:rPr>
        <w:t xml:space="preserve"> </w:t>
      </w:r>
      <w:r w:rsidRPr="00645878">
        <w:rPr>
          <w:rFonts w:ascii="Times New Roman" w:hAnsi="Times New Roman"/>
        </w:rPr>
        <w:t>and</w:t>
      </w:r>
      <w:r w:rsidR="00900061" w:rsidRPr="00645878">
        <w:rPr>
          <w:rFonts w:ascii="Times New Roman" w:hAnsi="Times New Roman"/>
        </w:rPr>
        <w:t xml:space="preserve"> </w:t>
      </w:r>
      <w:r w:rsidRPr="00645878">
        <w:rPr>
          <w:rFonts w:ascii="Times New Roman" w:hAnsi="Times New Roman"/>
        </w:rPr>
        <w:t>control</w:t>
      </w:r>
      <w:r w:rsidR="00900061" w:rsidRPr="00645878">
        <w:rPr>
          <w:rFonts w:ascii="Times New Roman" w:hAnsi="Times New Roman"/>
        </w:rPr>
        <w:t xml:space="preserve"> </w:t>
      </w:r>
      <w:r w:rsidRPr="00645878">
        <w:rPr>
          <w:rFonts w:ascii="Times New Roman" w:hAnsi="Times New Roman"/>
        </w:rPr>
        <w:t>practices.</w:t>
      </w:r>
    </w:p>
    <w:p w14:paraId="7E61AA3A" w14:textId="2F01DAB8" w:rsidR="00F065BD" w:rsidRPr="00645878" w:rsidRDefault="00796501" w:rsidP="00645878">
      <w:pPr>
        <w:pStyle w:val="ListParagraph"/>
        <w:numPr>
          <w:ilvl w:val="0"/>
          <w:numId w:val="9"/>
        </w:numPr>
        <w:ind w:left="0" w:firstLine="0"/>
        <w:contextualSpacing w:val="0"/>
        <w:rPr>
          <w:rFonts w:ascii="Times New Roman" w:hAnsi="Times New Roman"/>
        </w:rPr>
      </w:pPr>
      <w:r w:rsidRPr="004F5154">
        <w:rPr>
          <w:rFonts w:ascii="Times New Roman" w:hAnsi="Times New Roman"/>
          <w:b/>
        </w:rPr>
        <w:t>The</w:t>
      </w:r>
      <w:r w:rsidR="00900061" w:rsidRPr="004F5154">
        <w:rPr>
          <w:rFonts w:ascii="Times New Roman" w:hAnsi="Times New Roman"/>
          <w:b/>
        </w:rPr>
        <w:t xml:space="preserve"> </w:t>
      </w:r>
      <w:r w:rsidR="00B03657" w:rsidRPr="00645878">
        <w:rPr>
          <w:rFonts w:ascii="Times New Roman" w:hAnsi="Times New Roman"/>
          <w:b/>
        </w:rPr>
        <w:t>SAI</w:t>
      </w:r>
      <w:r w:rsidR="00900061" w:rsidRPr="00645878">
        <w:rPr>
          <w:rFonts w:ascii="Times New Roman" w:hAnsi="Times New Roman"/>
          <w:b/>
        </w:rPr>
        <w:t xml:space="preserve"> </w:t>
      </w:r>
      <w:r w:rsidR="00B03657" w:rsidRPr="00645878">
        <w:rPr>
          <w:rFonts w:ascii="Times New Roman" w:hAnsi="Times New Roman"/>
          <w:b/>
        </w:rPr>
        <w:t>system</w:t>
      </w:r>
      <w:r w:rsidR="00900061" w:rsidRPr="00645878">
        <w:rPr>
          <w:rFonts w:ascii="Times New Roman" w:hAnsi="Times New Roman"/>
          <w:b/>
        </w:rPr>
        <w:t xml:space="preserve"> </w:t>
      </w:r>
      <w:r w:rsidR="00B03657" w:rsidRPr="00645878">
        <w:rPr>
          <w:rFonts w:ascii="Times New Roman" w:hAnsi="Times New Roman"/>
          <w:b/>
        </w:rPr>
        <w:t>for</w:t>
      </w:r>
      <w:r w:rsidR="00900061" w:rsidRPr="00645878">
        <w:rPr>
          <w:rFonts w:ascii="Times New Roman" w:hAnsi="Times New Roman"/>
          <w:b/>
        </w:rPr>
        <w:t xml:space="preserve"> </w:t>
      </w:r>
      <w:r w:rsidR="00B03657" w:rsidRPr="00645878">
        <w:rPr>
          <w:rFonts w:ascii="Times New Roman" w:hAnsi="Times New Roman"/>
          <w:b/>
        </w:rPr>
        <w:t>follow-up</w:t>
      </w:r>
      <w:r w:rsidR="00900061" w:rsidRPr="00645878">
        <w:rPr>
          <w:rFonts w:ascii="Times New Roman" w:hAnsi="Times New Roman"/>
          <w:b/>
        </w:rPr>
        <w:t xml:space="preserve"> </w:t>
      </w:r>
      <w:r w:rsidR="00B03657" w:rsidRPr="00645878">
        <w:rPr>
          <w:rFonts w:ascii="Times New Roman" w:hAnsi="Times New Roman"/>
          <w:b/>
        </w:rPr>
        <w:t>on</w:t>
      </w:r>
      <w:r w:rsidR="00900061" w:rsidRPr="00645878">
        <w:rPr>
          <w:rFonts w:ascii="Times New Roman" w:hAnsi="Times New Roman"/>
          <w:b/>
        </w:rPr>
        <w:t xml:space="preserve"> </w:t>
      </w:r>
      <w:r w:rsidR="00B03657" w:rsidRPr="00645878">
        <w:rPr>
          <w:rFonts w:ascii="Times New Roman" w:hAnsi="Times New Roman"/>
          <w:b/>
        </w:rPr>
        <w:t>implementation</w:t>
      </w:r>
      <w:r w:rsidR="00900061" w:rsidRPr="00645878">
        <w:rPr>
          <w:rFonts w:ascii="Times New Roman" w:hAnsi="Times New Roman"/>
          <w:b/>
        </w:rPr>
        <w:t xml:space="preserve"> </w:t>
      </w:r>
      <w:r w:rsidR="00B03657" w:rsidRPr="00645878">
        <w:rPr>
          <w:rFonts w:ascii="Times New Roman" w:hAnsi="Times New Roman"/>
          <w:b/>
        </w:rPr>
        <w:t>of</w:t>
      </w:r>
      <w:r w:rsidR="00900061" w:rsidRPr="00645878">
        <w:rPr>
          <w:rFonts w:ascii="Times New Roman" w:hAnsi="Times New Roman"/>
          <w:b/>
        </w:rPr>
        <w:t xml:space="preserve"> </w:t>
      </w:r>
      <w:r w:rsidR="00B03657" w:rsidRPr="00645878">
        <w:rPr>
          <w:rFonts w:ascii="Times New Roman" w:hAnsi="Times New Roman"/>
          <w:b/>
        </w:rPr>
        <w:t>audit</w:t>
      </w:r>
      <w:r w:rsidR="00900061" w:rsidRPr="00645878">
        <w:rPr>
          <w:rFonts w:ascii="Times New Roman" w:hAnsi="Times New Roman"/>
          <w:b/>
        </w:rPr>
        <w:t xml:space="preserve"> </w:t>
      </w:r>
      <w:r w:rsidR="00B03657" w:rsidRPr="00645878">
        <w:rPr>
          <w:rFonts w:ascii="Times New Roman" w:hAnsi="Times New Roman"/>
          <w:b/>
        </w:rPr>
        <w:t>recommendations</w:t>
      </w:r>
      <w:r w:rsidR="00900061" w:rsidRPr="00645878">
        <w:rPr>
          <w:rFonts w:ascii="Times New Roman" w:hAnsi="Times New Roman"/>
          <w:b/>
        </w:rPr>
        <w:t xml:space="preserve"> </w:t>
      </w:r>
      <w:r w:rsidR="00B03657" w:rsidRPr="00645878">
        <w:rPr>
          <w:rFonts w:ascii="Times New Roman" w:hAnsi="Times New Roman"/>
          <w:b/>
        </w:rPr>
        <w:t>is</w:t>
      </w:r>
      <w:r w:rsidR="00900061" w:rsidRPr="00645878">
        <w:rPr>
          <w:rFonts w:ascii="Times New Roman" w:hAnsi="Times New Roman"/>
          <w:b/>
        </w:rPr>
        <w:t xml:space="preserve"> </w:t>
      </w:r>
      <w:r w:rsidR="00B03657" w:rsidRPr="00645878">
        <w:rPr>
          <w:rFonts w:ascii="Times New Roman" w:hAnsi="Times New Roman"/>
          <w:b/>
        </w:rPr>
        <w:t>effective.</w:t>
      </w:r>
      <w:r w:rsidR="00900061" w:rsidRPr="00645878">
        <w:rPr>
          <w:rFonts w:ascii="Times New Roman" w:hAnsi="Times New Roman"/>
        </w:rPr>
        <w:t xml:space="preserve"> </w:t>
      </w:r>
      <w:r w:rsidR="00D446FB"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follow-up,</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Law</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requires</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auditee</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report</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163F84" w:rsidRPr="00645878">
        <w:rPr>
          <w:rFonts w:ascii="Times New Roman" w:hAnsi="Times New Roman"/>
        </w:rPr>
        <w:t xml:space="preserve">on </w:t>
      </w:r>
      <w:r w:rsidR="00B03657" w:rsidRPr="00645878">
        <w:rPr>
          <w:rFonts w:ascii="Times New Roman" w:hAnsi="Times New Roman"/>
        </w:rPr>
        <w:t>how</w:t>
      </w:r>
      <w:r w:rsidR="00900061" w:rsidRPr="00645878">
        <w:rPr>
          <w:rFonts w:ascii="Times New Roman" w:hAnsi="Times New Roman"/>
        </w:rPr>
        <w:t xml:space="preserve"> </w:t>
      </w:r>
      <w:r w:rsidR="00B03657" w:rsidRPr="00645878">
        <w:rPr>
          <w:rFonts w:ascii="Times New Roman" w:hAnsi="Times New Roman"/>
        </w:rPr>
        <w:t>it</w:t>
      </w:r>
      <w:r w:rsidR="00900061" w:rsidRPr="00645878">
        <w:rPr>
          <w:rFonts w:ascii="Times New Roman" w:hAnsi="Times New Roman"/>
        </w:rPr>
        <w:t xml:space="preserve"> </w:t>
      </w:r>
      <w:r w:rsidR="00B03657" w:rsidRPr="00645878">
        <w:rPr>
          <w:rFonts w:ascii="Times New Roman" w:hAnsi="Times New Roman"/>
        </w:rPr>
        <w:t>has</w:t>
      </w:r>
      <w:r w:rsidR="00900061" w:rsidRPr="00645878">
        <w:rPr>
          <w:rFonts w:ascii="Times New Roman" w:hAnsi="Times New Roman"/>
        </w:rPr>
        <w:t xml:space="preserve"> </w:t>
      </w:r>
      <w:r w:rsidR="00B03657" w:rsidRPr="00645878">
        <w:rPr>
          <w:rFonts w:ascii="Times New Roman" w:hAnsi="Times New Roman"/>
        </w:rPr>
        <w:t>addressed</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detected</w:t>
      </w:r>
      <w:r w:rsidR="00900061" w:rsidRPr="00645878">
        <w:rPr>
          <w:rFonts w:ascii="Times New Roman" w:hAnsi="Times New Roman"/>
        </w:rPr>
        <w:t xml:space="preserve"> </w:t>
      </w:r>
      <w:r w:rsidR="00B03657" w:rsidRPr="00645878">
        <w:rPr>
          <w:rFonts w:ascii="Times New Roman" w:hAnsi="Times New Roman"/>
        </w:rPr>
        <w:t>irregularities</w:t>
      </w:r>
      <w:r w:rsidR="00900061" w:rsidRPr="00645878">
        <w:rPr>
          <w:rFonts w:ascii="Times New Roman" w:hAnsi="Times New Roman"/>
        </w:rPr>
        <w:t xml:space="preserve"> </w:t>
      </w:r>
      <w:r w:rsidR="00B03657" w:rsidRPr="00645878">
        <w:rPr>
          <w:rFonts w:ascii="Times New Roman" w:hAnsi="Times New Roman"/>
        </w:rPr>
        <w:t>or</w:t>
      </w:r>
      <w:r w:rsidR="00900061" w:rsidRPr="00645878">
        <w:rPr>
          <w:rFonts w:ascii="Times New Roman" w:hAnsi="Times New Roman"/>
        </w:rPr>
        <w:t xml:space="preserve"> </w:t>
      </w:r>
      <w:r w:rsidR="00B03657" w:rsidRPr="00645878">
        <w:rPr>
          <w:rFonts w:ascii="Times New Roman" w:hAnsi="Times New Roman"/>
        </w:rPr>
        <w:t>deficiencies</w:t>
      </w:r>
      <w:r w:rsidR="00900061" w:rsidRPr="00645878">
        <w:rPr>
          <w:rFonts w:ascii="Times New Roman" w:hAnsi="Times New Roman"/>
        </w:rPr>
        <w:t xml:space="preserve"> </w:t>
      </w:r>
      <w:r w:rsidR="00B03657" w:rsidRPr="00645878">
        <w:rPr>
          <w:rFonts w:ascii="Times New Roman" w:hAnsi="Times New Roman"/>
        </w:rPr>
        <w:t>that</w:t>
      </w:r>
      <w:r w:rsidR="00900061" w:rsidRPr="00645878">
        <w:rPr>
          <w:rFonts w:ascii="Times New Roman" w:hAnsi="Times New Roman"/>
        </w:rPr>
        <w:t xml:space="preserve"> </w:t>
      </w:r>
      <w:r w:rsidR="00B03657" w:rsidRPr="00645878">
        <w:rPr>
          <w:rFonts w:ascii="Times New Roman" w:hAnsi="Times New Roman"/>
        </w:rPr>
        <w:t>had</w:t>
      </w:r>
      <w:r w:rsidR="00900061" w:rsidRPr="00645878">
        <w:rPr>
          <w:rFonts w:ascii="Times New Roman" w:hAnsi="Times New Roman"/>
        </w:rPr>
        <w:t xml:space="preserve"> </w:t>
      </w:r>
      <w:r w:rsidR="00B03657" w:rsidRPr="00645878">
        <w:rPr>
          <w:rFonts w:ascii="Times New Roman" w:hAnsi="Times New Roman"/>
        </w:rPr>
        <w:t>not</w:t>
      </w:r>
      <w:r w:rsidR="00900061" w:rsidRPr="00645878">
        <w:rPr>
          <w:rFonts w:ascii="Times New Roman" w:hAnsi="Times New Roman"/>
        </w:rPr>
        <w:t xml:space="preserve"> </w:t>
      </w:r>
      <w:r w:rsidR="00B03657" w:rsidRPr="00645878">
        <w:rPr>
          <w:rFonts w:ascii="Times New Roman" w:hAnsi="Times New Roman"/>
        </w:rPr>
        <w:t>been</w:t>
      </w:r>
      <w:r w:rsidR="00900061" w:rsidRPr="00645878">
        <w:rPr>
          <w:rFonts w:ascii="Times New Roman" w:hAnsi="Times New Roman"/>
        </w:rPr>
        <w:t xml:space="preserve"> </w:t>
      </w:r>
      <w:r w:rsidR="00B03657" w:rsidRPr="00645878">
        <w:rPr>
          <w:rFonts w:ascii="Times New Roman" w:hAnsi="Times New Roman"/>
        </w:rPr>
        <w:t>addressed</w:t>
      </w:r>
      <w:r w:rsidR="00900061" w:rsidRPr="00645878">
        <w:rPr>
          <w:rFonts w:ascii="Times New Roman" w:hAnsi="Times New Roman"/>
        </w:rPr>
        <w:t xml:space="preserve"> </w:t>
      </w:r>
      <w:r w:rsidR="00B03657" w:rsidRPr="00645878">
        <w:rPr>
          <w:rFonts w:ascii="Times New Roman" w:hAnsi="Times New Roman"/>
        </w:rPr>
        <w:t>during</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course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is</w:t>
      </w:r>
      <w:r w:rsidR="00900061" w:rsidRPr="00645878">
        <w:rPr>
          <w:rFonts w:ascii="Times New Roman" w:hAnsi="Times New Roman"/>
        </w:rPr>
        <w:t xml:space="preserve"> </w:t>
      </w:r>
      <w:r w:rsidR="00B03657" w:rsidRPr="00645878">
        <w:rPr>
          <w:rFonts w:ascii="Times New Roman" w:hAnsi="Times New Roman"/>
        </w:rPr>
        <w:t>managing</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database</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all</w:t>
      </w:r>
      <w:r w:rsidR="00900061" w:rsidRPr="00645878">
        <w:rPr>
          <w:rFonts w:ascii="Times New Roman" w:hAnsi="Times New Roman"/>
        </w:rPr>
        <w:t xml:space="preserve"> </w:t>
      </w:r>
      <w:r w:rsidR="00B03657" w:rsidRPr="00645878">
        <w:rPr>
          <w:rFonts w:ascii="Times New Roman" w:hAnsi="Times New Roman"/>
        </w:rPr>
        <w:t>issued</w:t>
      </w:r>
      <w:r w:rsidR="00900061" w:rsidRPr="00645878">
        <w:rPr>
          <w:rFonts w:ascii="Times New Roman" w:hAnsi="Times New Roman"/>
        </w:rPr>
        <w:t xml:space="preserve"> </w:t>
      </w:r>
      <w:r w:rsidR="00B03657" w:rsidRPr="00645878">
        <w:rPr>
          <w:rFonts w:ascii="Times New Roman" w:hAnsi="Times New Roman"/>
        </w:rPr>
        <w:t>recommendations,</w:t>
      </w:r>
      <w:r w:rsidR="00900061" w:rsidRPr="00645878">
        <w:rPr>
          <w:rFonts w:ascii="Times New Roman" w:hAnsi="Times New Roman"/>
        </w:rPr>
        <w:t xml:space="preserve"> </w:t>
      </w:r>
      <w:r w:rsidR="00B03657" w:rsidRPr="00645878">
        <w:rPr>
          <w:rFonts w:ascii="Times New Roman" w:hAnsi="Times New Roman"/>
        </w:rPr>
        <w:t>including</w:t>
      </w:r>
      <w:r w:rsidR="00900061" w:rsidRPr="00645878">
        <w:rPr>
          <w:rFonts w:ascii="Times New Roman" w:hAnsi="Times New Roman"/>
        </w:rPr>
        <w:t xml:space="preserve"> </w:t>
      </w:r>
      <w:r w:rsidR="00B03657" w:rsidRPr="00645878">
        <w:rPr>
          <w:rFonts w:ascii="Times New Roman" w:hAnsi="Times New Roman"/>
        </w:rPr>
        <w:t>their</w:t>
      </w:r>
      <w:r w:rsidR="00900061" w:rsidRPr="00645878">
        <w:rPr>
          <w:rFonts w:ascii="Times New Roman" w:hAnsi="Times New Roman"/>
        </w:rPr>
        <w:t xml:space="preserve"> </w:t>
      </w:r>
      <w:r w:rsidR="00B03657" w:rsidRPr="00645878">
        <w:rPr>
          <w:rFonts w:ascii="Times New Roman" w:hAnsi="Times New Roman"/>
        </w:rPr>
        <w:t>status,</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reports</w:t>
      </w:r>
      <w:r w:rsidR="00900061" w:rsidRPr="00645878">
        <w:rPr>
          <w:rFonts w:ascii="Times New Roman" w:hAnsi="Times New Roman"/>
        </w:rPr>
        <w:t xml:space="preserve"> </w:t>
      </w:r>
      <w:r w:rsidR="00B03657" w:rsidRPr="00645878">
        <w:rPr>
          <w:rFonts w:ascii="Times New Roman" w:hAnsi="Times New Roman"/>
        </w:rPr>
        <w:t>to</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NA</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status</w:t>
      </w:r>
      <w:r w:rsidR="00900061" w:rsidRPr="00645878">
        <w:rPr>
          <w:rFonts w:ascii="Times New Roman" w:hAnsi="Times New Roman"/>
        </w:rPr>
        <w:t xml:space="preserve"> </w:t>
      </w:r>
      <w:r w:rsidR="00B03657" w:rsidRPr="00645878">
        <w:rPr>
          <w:rFonts w:ascii="Times New Roman" w:hAnsi="Times New Roman"/>
        </w:rPr>
        <w:t>through</w:t>
      </w:r>
      <w:r w:rsidR="00900061" w:rsidRPr="00645878">
        <w:rPr>
          <w:rFonts w:ascii="Times New Roman" w:hAnsi="Times New Roman"/>
        </w:rPr>
        <w:t xml:space="preserve"> </w:t>
      </w:r>
      <w:r w:rsidR="00B03657" w:rsidRPr="00645878">
        <w:rPr>
          <w:rFonts w:ascii="Times New Roman" w:hAnsi="Times New Roman"/>
        </w:rPr>
        <w:t>its</w:t>
      </w:r>
      <w:r w:rsidR="00900061" w:rsidRPr="00645878">
        <w:rPr>
          <w:rFonts w:ascii="Times New Roman" w:hAnsi="Times New Roman"/>
        </w:rPr>
        <w:t xml:space="preserve"> </w:t>
      </w:r>
      <w:r w:rsidR="00B03657" w:rsidRPr="00645878">
        <w:rPr>
          <w:rFonts w:ascii="Times New Roman" w:hAnsi="Times New Roman"/>
        </w:rPr>
        <w:t>annual</w:t>
      </w:r>
      <w:r w:rsidR="00900061" w:rsidRPr="00645878">
        <w:rPr>
          <w:rFonts w:ascii="Times New Roman" w:hAnsi="Times New Roman"/>
        </w:rPr>
        <w:t xml:space="preserve"> </w:t>
      </w:r>
      <w:r w:rsidR="00673511" w:rsidRPr="00645878">
        <w:rPr>
          <w:rFonts w:ascii="Times New Roman" w:hAnsi="Times New Roman"/>
        </w:rPr>
        <w:t>a</w:t>
      </w:r>
      <w:r w:rsidR="00B03657" w:rsidRPr="00645878">
        <w:rPr>
          <w:rFonts w:ascii="Times New Roman" w:hAnsi="Times New Roman"/>
        </w:rPr>
        <w:t>eport</w:t>
      </w:r>
      <w:r w:rsidR="00900061" w:rsidRPr="00645878">
        <w:rPr>
          <w:rFonts w:ascii="Times New Roman" w:hAnsi="Times New Roman"/>
        </w:rPr>
        <w:t xml:space="preserve"> </w:t>
      </w:r>
      <w:r w:rsidR="00B03657" w:rsidRPr="00645878">
        <w:rPr>
          <w:rFonts w:ascii="Times New Roman" w:hAnsi="Times New Roman"/>
        </w:rPr>
        <w:t>on</w:t>
      </w:r>
      <w:r w:rsidR="00900061" w:rsidRPr="00645878">
        <w:rPr>
          <w:rFonts w:ascii="Times New Roman" w:hAnsi="Times New Roman"/>
        </w:rPr>
        <w:t xml:space="preserve"> </w:t>
      </w:r>
      <w:r w:rsidR="00673511" w:rsidRPr="00645878">
        <w:rPr>
          <w:rFonts w:ascii="Times New Roman" w:hAnsi="Times New Roman"/>
        </w:rPr>
        <w:t>a</w:t>
      </w:r>
      <w:r w:rsidR="00B03657" w:rsidRPr="00645878">
        <w:rPr>
          <w:rFonts w:ascii="Times New Roman" w:hAnsi="Times New Roman"/>
        </w:rPr>
        <w:t>ctivities.</w:t>
      </w:r>
      <w:r w:rsidR="00900061" w:rsidRPr="00645878">
        <w:rPr>
          <w:rFonts w:ascii="Times New Roman" w:hAnsi="Times New Roman"/>
        </w:rPr>
        <w:t xml:space="preserve"> </w:t>
      </w:r>
      <w:r w:rsidR="00C74DA8" w:rsidRPr="00645878">
        <w:rPr>
          <w:rFonts w:ascii="Times New Roman" w:hAnsi="Times New Roman"/>
        </w:rPr>
        <w:t xml:space="preserve">The </w:t>
      </w:r>
      <w:r w:rsidR="00B03657" w:rsidRPr="00645878">
        <w:rPr>
          <w:rFonts w:ascii="Times New Roman" w:hAnsi="Times New Roman"/>
        </w:rPr>
        <w:t>SAI</w:t>
      </w:r>
      <w:r w:rsidR="00900061" w:rsidRPr="00645878">
        <w:rPr>
          <w:rFonts w:ascii="Times New Roman" w:hAnsi="Times New Roman"/>
        </w:rPr>
        <w:t xml:space="preserve"> </w:t>
      </w:r>
      <w:r w:rsidR="00B03657" w:rsidRPr="00645878">
        <w:rPr>
          <w:rFonts w:ascii="Times New Roman" w:hAnsi="Times New Roman"/>
        </w:rPr>
        <w:t>Annual</w:t>
      </w:r>
      <w:r w:rsidR="00900061" w:rsidRPr="00645878">
        <w:rPr>
          <w:rFonts w:ascii="Times New Roman" w:hAnsi="Times New Roman"/>
        </w:rPr>
        <w:t xml:space="preserve"> </w:t>
      </w:r>
      <w:r w:rsidR="00B03657" w:rsidRPr="00645878">
        <w:rPr>
          <w:rFonts w:ascii="Times New Roman" w:hAnsi="Times New Roman"/>
        </w:rPr>
        <w:t>Activity</w:t>
      </w:r>
      <w:r w:rsidR="00900061" w:rsidRPr="00645878">
        <w:rPr>
          <w:rFonts w:ascii="Times New Roman" w:hAnsi="Times New Roman"/>
        </w:rPr>
        <w:t xml:space="preserve"> </w:t>
      </w:r>
      <w:r w:rsidR="00B03657" w:rsidRPr="00645878">
        <w:rPr>
          <w:rFonts w:ascii="Times New Roman" w:hAnsi="Times New Roman"/>
        </w:rPr>
        <w:t>Report</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2014</w:t>
      </w:r>
      <w:r w:rsidR="00900061" w:rsidRPr="00645878">
        <w:rPr>
          <w:rFonts w:ascii="Times New Roman" w:hAnsi="Times New Roman"/>
        </w:rPr>
        <w:t xml:space="preserve"> </w:t>
      </w:r>
      <w:r w:rsidR="00B03657" w:rsidRPr="00645878">
        <w:rPr>
          <w:rFonts w:ascii="Times New Roman" w:hAnsi="Times New Roman"/>
        </w:rPr>
        <w:t>identifies</w:t>
      </w:r>
      <w:r w:rsidR="00900061" w:rsidRPr="00645878">
        <w:rPr>
          <w:rFonts w:ascii="Times New Roman" w:hAnsi="Times New Roman"/>
        </w:rPr>
        <w:t xml:space="preserve"> </w:t>
      </w:r>
      <w:r w:rsidR="00B03657" w:rsidRPr="00645878">
        <w:rPr>
          <w:rFonts w:ascii="Times New Roman" w:hAnsi="Times New Roman"/>
        </w:rPr>
        <w:t>no</w:t>
      </w:r>
      <w:r w:rsidR="00900061" w:rsidRPr="00645878">
        <w:rPr>
          <w:rFonts w:ascii="Times New Roman" w:hAnsi="Times New Roman"/>
        </w:rPr>
        <w:t xml:space="preserve"> </w:t>
      </w:r>
      <w:r w:rsidR="00B03657" w:rsidRPr="00645878">
        <w:rPr>
          <w:rFonts w:ascii="Times New Roman" w:hAnsi="Times New Roman"/>
        </w:rPr>
        <w:t>outstanding</w:t>
      </w:r>
      <w:r w:rsidR="00900061" w:rsidRPr="00645878">
        <w:rPr>
          <w:rFonts w:ascii="Times New Roman" w:hAnsi="Times New Roman"/>
        </w:rPr>
        <w:t xml:space="preserve"> </w:t>
      </w:r>
      <w:r w:rsidR="00B03657" w:rsidRPr="00645878">
        <w:rPr>
          <w:rFonts w:ascii="Times New Roman" w:hAnsi="Times New Roman"/>
        </w:rPr>
        <w:t>recommendations</w:t>
      </w:r>
      <w:r w:rsidR="00900061" w:rsidRPr="00645878">
        <w:rPr>
          <w:rFonts w:ascii="Times New Roman" w:hAnsi="Times New Roman"/>
        </w:rPr>
        <w:t xml:space="preserve"> </w:t>
      </w:r>
      <w:r w:rsidR="00B03657" w:rsidRPr="00645878">
        <w:rPr>
          <w:rFonts w:ascii="Times New Roman" w:hAnsi="Times New Roman"/>
        </w:rPr>
        <w:t>issued</w:t>
      </w:r>
      <w:r w:rsidR="00900061" w:rsidRPr="00645878">
        <w:rPr>
          <w:rFonts w:ascii="Times New Roman" w:hAnsi="Times New Roman"/>
        </w:rPr>
        <w:t xml:space="preserve"> </w:t>
      </w:r>
      <w:r w:rsidR="00B03657" w:rsidRPr="00645878">
        <w:rPr>
          <w:rFonts w:ascii="Times New Roman" w:hAnsi="Times New Roman"/>
        </w:rPr>
        <w:t>in</w:t>
      </w:r>
      <w:r w:rsidR="00900061" w:rsidRPr="00645878">
        <w:rPr>
          <w:rFonts w:ascii="Times New Roman" w:hAnsi="Times New Roman"/>
        </w:rPr>
        <w:t xml:space="preserve"> </w:t>
      </w:r>
      <w:r w:rsidR="00B03657" w:rsidRPr="00645878">
        <w:rPr>
          <w:rFonts w:ascii="Times New Roman" w:hAnsi="Times New Roman"/>
        </w:rPr>
        <w:t>FY2013</w:t>
      </w:r>
      <w:r w:rsidR="00900061" w:rsidRPr="00645878">
        <w:rPr>
          <w:rFonts w:ascii="Times New Roman" w:hAnsi="Times New Roman"/>
        </w:rPr>
        <w:t xml:space="preserve"> </w:t>
      </w:r>
      <w:r w:rsidR="00B03657" w:rsidRPr="00645878">
        <w:rPr>
          <w:rFonts w:ascii="Times New Roman" w:hAnsi="Times New Roman"/>
        </w:rPr>
        <w:lastRenderedPageBreak/>
        <w:t>by</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Sector</w:t>
      </w:r>
      <w:r w:rsidR="00900061" w:rsidRPr="00645878">
        <w:rPr>
          <w:rFonts w:ascii="Times New Roman" w:hAnsi="Times New Roman"/>
        </w:rPr>
        <w:t xml:space="preserve"> </w:t>
      </w:r>
      <w:r w:rsidR="00B03657" w:rsidRPr="00645878">
        <w:rPr>
          <w:rFonts w:ascii="Times New Roman" w:hAnsi="Times New Roman"/>
        </w:rPr>
        <w:t>for</w:t>
      </w:r>
      <w:r w:rsidR="00900061" w:rsidRPr="00645878">
        <w:rPr>
          <w:rFonts w:ascii="Times New Roman" w:hAnsi="Times New Roman"/>
        </w:rPr>
        <w:t xml:space="preserve"> </w:t>
      </w:r>
      <w:r w:rsidR="00B03657" w:rsidRPr="00645878">
        <w:rPr>
          <w:rFonts w:ascii="Times New Roman" w:hAnsi="Times New Roman"/>
        </w:rPr>
        <w:t>Audit</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Budget</w:t>
      </w:r>
      <w:r w:rsidR="00900061" w:rsidRPr="00645878">
        <w:rPr>
          <w:rFonts w:ascii="Times New Roman" w:hAnsi="Times New Roman"/>
        </w:rPr>
        <w:t xml:space="preserve"> </w:t>
      </w:r>
      <w:r w:rsidR="00B03657" w:rsidRPr="00645878">
        <w:rPr>
          <w:rFonts w:ascii="Times New Roman" w:hAnsi="Times New Roman"/>
        </w:rPr>
        <w:t>Funds</w:t>
      </w:r>
      <w:r w:rsidR="00D446FB" w:rsidRPr="00645878">
        <w:rPr>
          <w:rFonts w:ascii="Times New Roman" w:hAnsi="Times New Roman"/>
        </w:rPr>
        <w:t>,</w:t>
      </w:r>
      <w:r w:rsidR="00900061" w:rsidRPr="00645878">
        <w:rPr>
          <w:rFonts w:ascii="Times New Roman" w:hAnsi="Times New Roman"/>
        </w:rPr>
        <w:t xml:space="preserve"> </w:t>
      </w:r>
      <w:r w:rsidR="00B03657" w:rsidRPr="00645878">
        <w:rPr>
          <w:rFonts w:ascii="Times New Roman" w:hAnsi="Times New Roman"/>
        </w:rPr>
        <w:t>with</w:t>
      </w:r>
      <w:r w:rsidR="00900061" w:rsidRPr="00645878">
        <w:rPr>
          <w:rFonts w:ascii="Times New Roman" w:hAnsi="Times New Roman"/>
        </w:rPr>
        <w:t xml:space="preserve"> </w:t>
      </w:r>
      <w:r w:rsidR="00B03657" w:rsidRPr="00645878">
        <w:rPr>
          <w:rFonts w:ascii="Times New Roman" w:hAnsi="Times New Roman"/>
        </w:rPr>
        <w:t>a</w:t>
      </w:r>
      <w:r w:rsidR="00900061" w:rsidRPr="00645878">
        <w:rPr>
          <w:rFonts w:ascii="Times New Roman" w:hAnsi="Times New Roman"/>
        </w:rPr>
        <w:t xml:space="preserve"> </w:t>
      </w:r>
      <w:r w:rsidR="00B03657" w:rsidRPr="00645878">
        <w:rPr>
          <w:rFonts w:ascii="Times New Roman" w:hAnsi="Times New Roman"/>
        </w:rPr>
        <w:t>total</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142</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229</w:t>
      </w:r>
      <w:r w:rsidR="00900061" w:rsidRPr="00645878">
        <w:rPr>
          <w:rFonts w:ascii="Times New Roman" w:hAnsi="Times New Roman"/>
        </w:rPr>
        <w:t xml:space="preserve"> </w:t>
      </w:r>
      <w:r w:rsidR="00B03657" w:rsidRPr="00645878">
        <w:rPr>
          <w:rFonts w:ascii="Times New Roman" w:hAnsi="Times New Roman"/>
        </w:rPr>
        <w:t>recommendations</w:t>
      </w:r>
      <w:r w:rsidR="00900061" w:rsidRPr="00645878">
        <w:rPr>
          <w:rFonts w:ascii="Times New Roman" w:hAnsi="Times New Roman"/>
        </w:rPr>
        <w:t xml:space="preserve"> </w:t>
      </w:r>
      <w:r w:rsidR="00B03657" w:rsidRPr="00645878">
        <w:rPr>
          <w:rFonts w:ascii="Times New Roman" w:hAnsi="Times New Roman"/>
        </w:rPr>
        <w:t>fully</w:t>
      </w:r>
      <w:r w:rsidR="00900061" w:rsidRPr="00645878">
        <w:rPr>
          <w:rFonts w:ascii="Times New Roman" w:hAnsi="Times New Roman"/>
        </w:rPr>
        <w:t xml:space="preserve"> </w:t>
      </w:r>
      <w:r w:rsidR="00B03657" w:rsidRPr="00645878">
        <w:rPr>
          <w:rFonts w:ascii="Times New Roman" w:hAnsi="Times New Roman"/>
        </w:rPr>
        <w:t>implemented</w:t>
      </w:r>
      <w:r w:rsidR="00900061" w:rsidRPr="00645878">
        <w:rPr>
          <w:rFonts w:ascii="Times New Roman" w:hAnsi="Times New Roman"/>
        </w:rPr>
        <w:t xml:space="preserve"> </w:t>
      </w:r>
      <w:r w:rsidR="00B03657" w:rsidRPr="00645878">
        <w:rPr>
          <w:rFonts w:ascii="Times New Roman" w:hAnsi="Times New Roman"/>
        </w:rPr>
        <w:t>and</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implementation</w:t>
      </w:r>
      <w:r w:rsidR="00900061" w:rsidRPr="00645878">
        <w:rPr>
          <w:rFonts w:ascii="Times New Roman" w:hAnsi="Times New Roman"/>
        </w:rPr>
        <w:t xml:space="preserve"> </w:t>
      </w:r>
      <w:r w:rsidR="00B03657" w:rsidRPr="00645878">
        <w:rPr>
          <w:rFonts w:ascii="Times New Roman" w:hAnsi="Times New Roman"/>
        </w:rPr>
        <w:t>of</w:t>
      </w:r>
      <w:r w:rsidR="00900061" w:rsidRPr="00645878">
        <w:rPr>
          <w:rFonts w:ascii="Times New Roman" w:hAnsi="Times New Roman"/>
        </w:rPr>
        <w:t xml:space="preserve"> </w:t>
      </w:r>
      <w:r w:rsidR="00B03657" w:rsidRPr="00645878">
        <w:rPr>
          <w:rFonts w:ascii="Times New Roman" w:hAnsi="Times New Roman"/>
        </w:rPr>
        <w:t>the</w:t>
      </w:r>
      <w:r w:rsidR="00900061" w:rsidRPr="00645878">
        <w:rPr>
          <w:rFonts w:ascii="Times New Roman" w:hAnsi="Times New Roman"/>
        </w:rPr>
        <w:t xml:space="preserve"> </w:t>
      </w:r>
      <w:r w:rsidR="00B03657" w:rsidRPr="00645878">
        <w:rPr>
          <w:rFonts w:ascii="Times New Roman" w:hAnsi="Times New Roman"/>
        </w:rPr>
        <w:t>balance</w:t>
      </w:r>
      <w:r w:rsidR="00900061" w:rsidRPr="00645878">
        <w:rPr>
          <w:rFonts w:ascii="Times New Roman" w:hAnsi="Times New Roman"/>
        </w:rPr>
        <w:t xml:space="preserve"> </w:t>
      </w:r>
      <w:r w:rsidR="00B03657" w:rsidRPr="00645878">
        <w:rPr>
          <w:rFonts w:ascii="Times New Roman" w:hAnsi="Times New Roman"/>
        </w:rPr>
        <w:t>underway.</w:t>
      </w:r>
      <w:r w:rsidR="00900061" w:rsidRPr="00645878">
        <w:rPr>
          <w:rFonts w:ascii="Times New Roman" w:hAnsi="Times New Roman"/>
        </w:rPr>
        <w:t xml:space="preserve"> </w:t>
      </w:r>
    </w:p>
    <w:p w14:paraId="03CC76CC" w14:textId="77777777" w:rsidR="000D6531" w:rsidRPr="00A90FD9" w:rsidRDefault="000D6531" w:rsidP="004D1AB0">
      <w:pPr>
        <w:pStyle w:val="Caption"/>
        <w:rPr>
          <w:rFonts w:ascii="Times New Roman" w:hAnsi="Times New Roman"/>
          <w:lang w:val="en-US"/>
        </w:rPr>
      </w:pPr>
      <w:bookmarkStart w:id="9" w:name="_Toc442384168"/>
      <w:r w:rsidRPr="00A90FD9">
        <w:rPr>
          <w:rFonts w:ascii="Times New Roman" w:hAnsi="Times New Roman"/>
          <w:lang w:val="en-US"/>
        </w:rPr>
        <w:t xml:space="preserve">Table </w:t>
      </w:r>
      <w:r w:rsidRPr="00A90FD9">
        <w:rPr>
          <w:rFonts w:ascii="Times New Roman" w:hAnsi="Times New Roman"/>
          <w:lang w:val="en-US"/>
        </w:rPr>
        <w:fldChar w:fldCharType="begin"/>
      </w:r>
      <w:r w:rsidRPr="00A90FD9">
        <w:rPr>
          <w:rFonts w:ascii="Times New Roman" w:hAnsi="Times New Roman"/>
          <w:lang w:val="en-US"/>
        </w:rPr>
        <w:instrText xml:space="preserve"> SEQ Table \* ARABIC </w:instrText>
      </w:r>
      <w:r w:rsidRPr="00A90FD9">
        <w:rPr>
          <w:rFonts w:ascii="Times New Roman" w:hAnsi="Times New Roman"/>
          <w:lang w:val="en-US"/>
        </w:rPr>
        <w:fldChar w:fldCharType="separate"/>
      </w:r>
      <w:r w:rsidR="00FF4790" w:rsidRPr="00A90FD9">
        <w:rPr>
          <w:rFonts w:ascii="Times New Roman" w:hAnsi="Times New Roman"/>
          <w:lang w:val="en-US"/>
        </w:rPr>
        <w:t>1</w:t>
      </w:r>
      <w:r w:rsidRPr="00A90FD9">
        <w:rPr>
          <w:rFonts w:ascii="Times New Roman" w:hAnsi="Times New Roman"/>
          <w:lang w:val="en-US"/>
        </w:rPr>
        <w:fldChar w:fldCharType="end"/>
      </w:r>
      <w:r w:rsidRPr="00A90FD9">
        <w:rPr>
          <w:rFonts w:ascii="Times New Roman" w:hAnsi="Times New Roman"/>
          <w:lang w:val="en-US"/>
        </w:rPr>
        <w:t>. Summary of Key FM Risks and Mitigation Measures</w:t>
      </w:r>
      <w:bookmarkEnd w:id="9"/>
    </w:p>
    <w:tbl>
      <w:tblPr>
        <w:tblStyle w:val="TableGrid"/>
        <w:tblW w:w="5000" w:type="pct"/>
        <w:tblLook w:val="04A0" w:firstRow="1" w:lastRow="0" w:firstColumn="1" w:lastColumn="0" w:noHBand="0" w:noVBand="1"/>
      </w:tblPr>
      <w:tblGrid>
        <w:gridCol w:w="2411"/>
        <w:gridCol w:w="2986"/>
        <w:gridCol w:w="3953"/>
      </w:tblGrid>
      <w:tr w:rsidR="004550AA" w:rsidRPr="00E168A1" w14:paraId="567FBF98" w14:textId="77777777" w:rsidTr="003751E5">
        <w:trPr>
          <w:tblHeader/>
        </w:trPr>
        <w:tc>
          <w:tcPr>
            <w:tcW w:w="1289" w:type="pct"/>
            <w:shd w:val="clear" w:color="auto" w:fill="000000" w:themeFill="text1"/>
            <w:vAlign w:val="center"/>
          </w:tcPr>
          <w:p w14:paraId="55F6302C" w14:textId="77777777" w:rsidR="004550AA" w:rsidRPr="00E168A1" w:rsidRDefault="004550AA" w:rsidP="004D1AB0">
            <w:pPr>
              <w:keepNext/>
              <w:tabs>
                <w:tab w:val="left" w:pos="0"/>
              </w:tabs>
              <w:ind w:left="49"/>
              <w:jc w:val="center"/>
              <w:rPr>
                <w:rFonts w:ascii="Times New Roman" w:hAnsi="Times New Roman"/>
                <w:b/>
                <w:color w:val="FFFFFF" w:themeColor="background1"/>
                <w:sz w:val="20"/>
                <w:szCs w:val="20"/>
              </w:rPr>
            </w:pPr>
            <w:r w:rsidRPr="00E168A1">
              <w:rPr>
                <w:rFonts w:ascii="Times New Roman" w:hAnsi="Times New Roman"/>
                <w:b/>
                <w:color w:val="FFFFFF" w:themeColor="background1"/>
                <w:sz w:val="20"/>
                <w:szCs w:val="20"/>
              </w:rPr>
              <w:t>Primary</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Risks</w:t>
            </w:r>
          </w:p>
        </w:tc>
        <w:tc>
          <w:tcPr>
            <w:tcW w:w="1597" w:type="pct"/>
            <w:shd w:val="clear" w:color="auto" w:fill="000000" w:themeFill="text1"/>
            <w:vAlign w:val="center"/>
          </w:tcPr>
          <w:p w14:paraId="60A2ED70" w14:textId="77777777" w:rsidR="004550AA" w:rsidRPr="00E168A1" w:rsidRDefault="004550AA" w:rsidP="004D1AB0">
            <w:pPr>
              <w:keepNext/>
              <w:tabs>
                <w:tab w:val="left" w:pos="0"/>
              </w:tabs>
              <w:jc w:val="center"/>
              <w:rPr>
                <w:rFonts w:ascii="Times New Roman" w:hAnsi="Times New Roman"/>
                <w:b/>
                <w:color w:val="FFFFFF" w:themeColor="background1"/>
                <w:sz w:val="20"/>
                <w:szCs w:val="20"/>
              </w:rPr>
            </w:pPr>
            <w:r w:rsidRPr="00E168A1">
              <w:rPr>
                <w:rFonts w:ascii="Times New Roman" w:hAnsi="Times New Roman"/>
                <w:b/>
                <w:color w:val="FFFFFF" w:themeColor="background1"/>
                <w:sz w:val="20"/>
                <w:szCs w:val="20"/>
              </w:rPr>
              <w:t>Potential</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Impact</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on</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Program</w:t>
            </w:r>
          </w:p>
        </w:tc>
        <w:tc>
          <w:tcPr>
            <w:tcW w:w="2114" w:type="pct"/>
            <w:shd w:val="clear" w:color="auto" w:fill="000000" w:themeFill="text1"/>
            <w:vAlign w:val="center"/>
          </w:tcPr>
          <w:p w14:paraId="657BB947" w14:textId="77777777" w:rsidR="004550AA" w:rsidRPr="00E168A1" w:rsidRDefault="004550AA" w:rsidP="004D1AB0">
            <w:pPr>
              <w:keepNext/>
              <w:tabs>
                <w:tab w:val="left" w:pos="0"/>
              </w:tabs>
              <w:jc w:val="center"/>
              <w:rPr>
                <w:rFonts w:ascii="Times New Roman" w:hAnsi="Times New Roman"/>
                <w:b/>
                <w:color w:val="FFFFFF" w:themeColor="background1"/>
                <w:sz w:val="20"/>
                <w:szCs w:val="20"/>
              </w:rPr>
            </w:pPr>
            <w:r w:rsidRPr="00E168A1">
              <w:rPr>
                <w:rFonts w:ascii="Times New Roman" w:hAnsi="Times New Roman"/>
                <w:b/>
                <w:color w:val="FFFFFF" w:themeColor="background1"/>
                <w:sz w:val="20"/>
                <w:szCs w:val="20"/>
              </w:rPr>
              <w:t>Key</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Mitigation</w:t>
            </w:r>
            <w:r w:rsidR="00900061" w:rsidRPr="00E168A1">
              <w:rPr>
                <w:rFonts w:ascii="Times New Roman" w:hAnsi="Times New Roman"/>
                <w:b/>
                <w:color w:val="FFFFFF" w:themeColor="background1"/>
                <w:sz w:val="20"/>
                <w:szCs w:val="20"/>
              </w:rPr>
              <w:t xml:space="preserve"> </w:t>
            </w:r>
            <w:r w:rsidRPr="00E168A1">
              <w:rPr>
                <w:rFonts w:ascii="Times New Roman" w:hAnsi="Times New Roman"/>
                <w:b/>
                <w:color w:val="FFFFFF" w:themeColor="background1"/>
                <w:sz w:val="20"/>
                <w:szCs w:val="20"/>
              </w:rPr>
              <w:t>Measures</w:t>
            </w:r>
          </w:p>
        </w:tc>
      </w:tr>
      <w:tr w:rsidR="004550AA" w:rsidRPr="00E168A1" w14:paraId="7D6CF727" w14:textId="77777777" w:rsidTr="003751E5">
        <w:tc>
          <w:tcPr>
            <w:tcW w:w="5000" w:type="pct"/>
            <w:gridSpan w:val="3"/>
            <w:shd w:val="clear" w:color="auto" w:fill="auto"/>
            <w:vAlign w:val="center"/>
          </w:tcPr>
          <w:p w14:paraId="7DE60C26" w14:textId="77777777" w:rsidR="004550AA" w:rsidRPr="00A90FD9" w:rsidRDefault="004550AA" w:rsidP="004D1AB0">
            <w:pPr>
              <w:keepNext/>
              <w:tabs>
                <w:tab w:val="left" w:pos="0"/>
              </w:tabs>
              <w:rPr>
                <w:rFonts w:ascii="Times New Roman" w:hAnsi="Times New Roman"/>
                <w:b/>
                <w:color w:val="000000"/>
                <w:sz w:val="20"/>
                <w:szCs w:val="20"/>
              </w:rPr>
            </w:pPr>
            <w:r w:rsidRPr="00E168A1">
              <w:rPr>
                <w:rFonts w:ascii="Times New Roman" w:hAnsi="Times New Roman"/>
                <w:b/>
                <w:sz w:val="20"/>
                <w:szCs w:val="20"/>
              </w:rPr>
              <w:t>Planning</w:t>
            </w:r>
            <w:r w:rsidR="00900061" w:rsidRPr="00A90FD9">
              <w:rPr>
                <w:rFonts w:ascii="Times New Roman" w:hAnsi="Times New Roman"/>
                <w:b/>
                <w:sz w:val="20"/>
                <w:szCs w:val="20"/>
              </w:rPr>
              <w:t xml:space="preserve"> </w:t>
            </w:r>
            <w:r w:rsidRPr="00A90FD9">
              <w:rPr>
                <w:rFonts w:ascii="Times New Roman" w:hAnsi="Times New Roman"/>
                <w:b/>
                <w:sz w:val="20"/>
                <w:szCs w:val="20"/>
              </w:rPr>
              <w:t>and</w:t>
            </w:r>
            <w:r w:rsidR="00900061" w:rsidRPr="00A90FD9">
              <w:rPr>
                <w:rFonts w:ascii="Times New Roman" w:hAnsi="Times New Roman"/>
                <w:b/>
                <w:sz w:val="20"/>
                <w:szCs w:val="20"/>
              </w:rPr>
              <w:t xml:space="preserve"> </w:t>
            </w:r>
            <w:r w:rsidRPr="00A90FD9">
              <w:rPr>
                <w:rFonts w:ascii="Times New Roman" w:hAnsi="Times New Roman"/>
                <w:b/>
                <w:sz w:val="20"/>
                <w:szCs w:val="20"/>
              </w:rPr>
              <w:t>Budgeting</w:t>
            </w:r>
          </w:p>
        </w:tc>
      </w:tr>
      <w:tr w:rsidR="004550AA" w:rsidRPr="00E168A1" w14:paraId="67B56D12" w14:textId="77777777" w:rsidTr="00D446FB">
        <w:tc>
          <w:tcPr>
            <w:tcW w:w="1289" w:type="pct"/>
            <w:shd w:val="clear" w:color="auto" w:fill="auto"/>
          </w:tcPr>
          <w:p w14:paraId="58527BFE" w14:textId="77777777" w:rsidR="004550AA" w:rsidRPr="00E168A1" w:rsidRDefault="004550AA" w:rsidP="00D446FB">
            <w:pPr>
              <w:tabs>
                <w:tab w:val="left" w:pos="0"/>
              </w:tabs>
              <w:ind w:left="49"/>
              <w:rPr>
                <w:rFonts w:ascii="Times New Roman" w:hAnsi="Times New Roman"/>
                <w:sz w:val="20"/>
                <w:szCs w:val="20"/>
              </w:rPr>
            </w:pPr>
            <w:r w:rsidRPr="00E168A1">
              <w:rPr>
                <w:rFonts w:ascii="Times New Roman" w:hAnsi="Times New Roman"/>
                <w:color w:val="000000"/>
                <w:sz w:val="20"/>
                <w:szCs w:val="20"/>
              </w:rPr>
              <w:t>Unreliable</w:t>
            </w:r>
            <w:r w:rsidR="00900061" w:rsidRPr="00A90FD9">
              <w:rPr>
                <w:rFonts w:ascii="Times New Roman" w:hAnsi="Times New Roman"/>
                <w:color w:val="000000"/>
                <w:sz w:val="20"/>
                <w:szCs w:val="20"/>
              </w:rPr>
              <w:t xml:space="preserve"> </w:t>
            </w:r>
            <w:r w:rsidRPr="00A90FD9">
              <w:rPr>
                <w:rFonts w:ascii="Times New Roman" w:hAnsi="Times New Roman"/>
                <w:color w:val="000000"/>
                <w:sz w:val="20"/>
                <w:szCs w:val="20"/>
              </w:rPr>
              <w:t>medium-term</w:t>
            </w:r>
            <w:r w:rsidR="00900061" w:rsidRPr="00A90FD9">
              <w:rPr>
                <w:rFonts w:ascii="Times New Roman" w:hAnsi="Times New Roman"/>
                <w:color w:val="000000"/>
                <w:sz w:val="20"/>
                <w:szCs w:val="20"/>
              </w:rPr>
              <w:t xml:space="preserve"> </w:t>
            </w:r>
            <w:r w:rsidRPr="00E168A1">
              <w:rPr>
                <w:rFonts w:ascii="Times New Roman" w:hAnsi="Times New Roman"/>
                <w:color w:val="000000"/>
                <w:sz w:val="20"/>
                <w:szCs w:val="20"/>
              </w:rPr>
              <w:t>expenditure</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ceilings</w:t>
            </w:r>
          </w:p>
          <w:p w14:paraId="6F6B9D9B" w14:textId="77777777" w:rsidR="004550AA" w:rsidRPr="00E168A1" w:rsidRDefault="004550AA" w:rsidP="00D446FB">
            <w:pPr>
              <w:tabs>
                <w:tab w:val="left" w:pos="0"/>
              </w:tabs>
              <w:ind w:left="49"/>
              <w:rPr>
                <w:rFonts w:ascii="Times New Roman" w:hAnsi="Times New Roman"/>
                <w:color w:val="000000"/>
                <w:sz w:val="20"/>
                <w:szCs w:val="20"/>
              </w:rPr>
            </w:pPr>
          </w:p>
        </w:tc>
        <w:tc>
          <w:tcPr>
            <w:tcW w:w="1597" w:type="pct"/>
            <w:shd w:val="clear" w:color="auto" w:fill="auto"/>
          </w:tcPr>
          <w:p w14:paraId="0E8A3773" w14:textId="60DAC412" w:rsidR="004550AA" w:rsidRPr="00E168A1" w:rsidRDefault="004550AA" w:rsidP="00D446FB">
            <w:pPr>
              <w:tabs>
                <w:tab w:val="left" w:pos="0"/>
              </w:tabs>
              <w:rPr>
                <w:rFonts w:ascii="Times New Roman" w:hAnsi="Times New Roman"/>
                <w:color w:val="000000"/>
                <w:sz w:val="20"/>
                <w:szCs w:val="20"/>
              </w:rPr>
            </w:pPr>
            <w:r w:rsidRPr="00E168A1">
              <w:rPr>
                <w:rFonts w:ascii="Times New Roman" w:hAnsi="Times New Roman"/>
                <w:color w:val="000000"/>
                <w:sz w:val="20"/>
                <w:szCs w:val="20"/>
              </w:rPr>
              <w:t>Programs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included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the</w:t>
            </w:r>
            <w:r w:rsidR="00900061" w:rsidRPr="00E168A1">
              <w:rPr>
                <w:rFonts w:ascii="Times New Roman" w:hAnsi="Times New Roman"/>
                <w:color w:val="000000"/>
                <w:sz w:val="20"/>
                <w:szCs w:val="20"/>
              </w:rPr>
              <w:t xml:space="preserve"> </w:t>
            </w:r>
            <w:r w:rsidR="005956F9" w:rsidRPr="00E168A1">
              <w:rPr>
                <w:rFonts w:ascii="Times New Roman" w:hAnsi="Times New Roman"/>
                <w:color w:val="000000"/>
                <w:sz w:val="20"/>
                <w:szCs w:val="20"/>
              </w:rPr>
              <w:t>E</w:t>
            </w:r>
            <w:r w:rsidRPr="00E168A1">
              <w:rPr>
                <w:rFonts w:ascii="Times New Roman" w:hAnsi="Times New Roman"/>
                <w:color w:val="000000"/>
                <w:sz w:val="20"/>
                <w:szCs w:val="20"/>
              </w:rPr>
              <w:t>xpenditure</w:t>
            </w:r>
            <w:r w:rsidR="00900061" w:rsidRPr="00E168A1">
              <w:rPr>
                <w:rFonts w:ascii="Times New Roman" w:hAnsi="Times New Roman"/>
                <w:color w:val="000000"/>
                <w:sz w:val="20"/>
                <w:szCs w:val="20"/>
              </w:rPr>
              <w:t xml:space="preserve"> </w:t>
            </w:r>
            <w:r w:rsidR="005956F9" w:rsidRPr="00E168A1">
              <w:rPr>
                <w:rFonts w:ascii="Times New Roman" w:hAnsi="Times New Roman"/>
                <w:color w:val="000000"/>
                <w:sz w:val="20"/>
                <w:szCs w:val="20"/>
              </w:rPr>
              <w:t>F</w:t>
            </w:r>
            <w:r w:rsidRPr="00E168A1">
              <w:rPr>
                <w:rFonts w:ascii="Times New Roman" w:hAnsi="Times New Roman"/>
                <w:color w:val="000000"/>
                <w:sz w:val="20"/>
                <w:szCs w:val="20"/>
              </w:rPr>
              <w:t>ramework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not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executed;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risk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to</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achievement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DLIs</w:t>
            </w:r>
            <w:r w:rsidR="00900061" w:rsidRPr="00E168A1">
              <w:rPr>
                <w:rFonts w:ascii="Times New Roman" w:hAnsi="Times New Roman"/>
                <w:color w:val="000000"/>
                <w:sz w:val="20"/>
                <w:szCs w:val="20"/>
              </w:rPr>
              <w:t xml:space="preserve"> </w:t>
            </w:r>
          </w:p>
        </w:tc>
        <w:tc>
          <w:tcPr>
            <w:tcW w:w="2114" w:type="pct"/>
            <w:shd w:val="clear" w:color="auto" w:fill="auto"/>
          </w:tcPr>
          <w:p w14:paraId="677DFF3B" w14:textId="63BAFEE3" w:rsidR="004550AA" w:rsidRPr="00E168A1" w:rsidRDefault="004550AA" w:rsidP="00D446FB">
            <w:pPr>
              <w:tabs>
                <w:tab w:val="left" w:pos="0"/>
              </w:tabs>
              <w:rPr>
                <w:rFonts w:ascii="Times New Roman" w:hAnsi="Times New Roman"/>
                <w:color w:val="000000"/>
                <w:sz w:val="20"/>
                <w:szCs w:val="20"/>
              </w:rPr>
            </w:pPr>
            <w:r w:rsidRPr="00E168A1">
              <w:rPr>
                <w:rFonts w:ascii="Times New Roman" w:hAnsi="Times New Roman"/>
                <w:color w:val="000000"/>
                <w:sz w:val="20"/>
                <w:szCs w:val="20"/>
              </w:rPr>
              <w:t>Focus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on</w:t>
            </w:r>
            <w:r w:rsidR="00900061" w:rsidRPr="00E168A1">
              <w:rPr>
                <w:rFonts w:ascii="Times New Roman" w:hAnsi="Times New Roman"/>
                <w:color w:val="000000"/>
                <w:sz w:val="20"/>
                <w:szCs w:val="20"/>
              </w:rPr>
              <w:t xml:space="preserve"> </w:t>
            </w:r>
            <w:r w:rsidRPr="00E168A1">
              <w:rPr>
                <w:rFonts w:ascii="Times New Roman" w:hAnsi="Times New Roman"/>
                <w:sz w:val="20"/>
                <w:szCs w:val="20"/>
              </w:rPr>
              <w:t>key</w:t>
            </w:r>
            <w:r w:rsidR="00900061" w:rsidRPr="00E168A1">
              <w:rPr>
                <w:rFonts w:ascii="Times New Roman" w:hAnsi="Times New Roman"/>
                <w:sz w:val="20"/>
                <w:szCs w:val="20"/>
              </w:rPr>
              <w:t xml:space="preserve"> </w:t>
            </w:r>
            <w:r w:rsidR="005638AA" w:rsidRPr="00E168A1">
              <w:rPr>
                <w:rFonts w:ascii="Times New Roman" w:hAnsi="Times New Roman"/>
                <w:sz w:val="20"/>
                <w:szCs w:val="20"/>
              </w:rPr>
              <w:t>P</w:t>
            </w:r>
            <w:r w:rsidRPr="00E168A1">
              <w:rPr>
                <w:rFonts w:ascii="Times New Roman" w:hAnsi="Times New Roman"/>
                <w:sz w:val="20"/>
                <w:szCs w:val="20"/>
              </w:rPr>
              <w:t>rograms/</w:t>
            </w:r>
            <w:r w:rsidR="005638AA" w:rsidRPr="00E168A1">
              <w:rPr>
                <w:rFonts w:ascii="Times New Roman" w:hAnsi="Times New Roman"/>
                <w:sz w:val="20"/>
                <w:szCs w:val="20"/>
              </w:rPr>
              <w:t>P</w:t>
            </w:r>
            <w:r w:rsidRPr="00E168A1">
              <w:rPr>
                <w:rFonts w:ascii="Times New Roman" w:hAnsi="Times New Roman"/>
                <w:sz w:val="20"/>
                <w:szCs w:val="20"/>
              </w:rPr>
              <w:t>rogram</w:t>
            </w:r>
            <w:r w:rsidR="00900061" w:rsidRPr="00E168A1">
              <w:rPr>
                <w:rFonts w:ascii="Times New Roman" w:hAnsi="Times New Roman"/>
                <w:sz w:val="20"/>
                <w:szCs w:val="20"/>
              </w:rPr>
              <w:t xml:space="preserve"> </w:t>
            </w:r>
            <w:r w:rsidRPr="00E168A1">
              <w:rPr>
                <w:rFonts w:ascii="Times New Roman" w:hAnsi="Times New Roman"/>
                <w:sz w:val="20"/>
                <w:szCs w:val="20"/>
              </w:rPr>
              <w:t>activities/projects</w:t>
            </w:r>
            <w:r w:rsidR="00900061" w:rsidRPr="00E168A1">
              <w:rPr>
                <w:rFonts w:ascii="Times New Roman" w:hAnsi="Times New Roman"/>
                <w:sz w:val="20"/>
                <w:szCs w:val="20"/>
              </w:rPr>
              <w:t xml:space="preserve"> </w:t>
            </w:r>
            <w:r w:rsidRPr="00E168A1">
              <w:rPr>
                <w:rFonts w:ascii="Times New Roman" w:hAnsi="Times New Roman"/>
                <w:sz w:val="20"/>
                <w:szCs w:val="20"/>
              </w:rPr>
              <w:t>as</w:t>
            </w:r>
            <w:r w:rsidR="00900061" w:rsidRPr="00E168A1">
              <w:rPr>
                <w:rFonts w:ascii="Times New Roman" w:hAnsi="Times New Roman"/>
                <w:sz w:val="20"/>
                <w:szCs w:val="20"/>
              </w:rPr>
              <w:t xml:space="preserve"> </w:t>
            </w:r>
            <w:r w:rsidRPr="00E168A1">
              <w:rPr>
                <w:rFonts w:ascii="Times New Roman" w:hAnsi="Times New Roman"/>
                <w:sz w:val="20"/>
                <w:szCs w:val="20"/>
              </w:rPr>
              <w:t>indicated</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5638AA" w:rsidRPr="00E168A1">
              <w:rPr>
                <w:rFonts w:ascii="Times New Roman" w:hAnsi="Times New Roman"/>
                <w:sz w:val="20"/>
                <w:szCs w:val="20"/>
              </w:rPr>
              <w:t>E</w:t>
            </w:r>
            <w:r w:rsidRPr="00E168A1">
              <w:rPr>
                <w:rFonts w:ascii="Times New Roman" w:hAnsi="Times New Roman"/>
                <w:sz w:val="20"/>
                <w:szCs w:val="20"/>
              </w:rPr>
              <w:t>xpenditure</w:t>
            </w:r>
            <w:r w:rsidR="00900061" w:rsidRPr="00E168A1">
              <w:rPr>
                <w:rFonts w:ascii="Times New Roman" w:hAnsi="Times New Roman"/>
                <w:sz w:val="20"/>
                <w:szCs w:val="20"/>
              </w:rPr>
              <w:t xml:space="preserve"> </w:t>
            </w:r>
            <w:r w:rsidR="005638AA" w:rsidRPr="00E168A1">
              <w:rPr>
                <w:rFonts w:ascii="Times New Roman" w:hAnsi="Times New Roman"/>
                <w:sz w:val="20"/>
                <w:szCs w:val="20"/>
              </w:rPr>
              <w:t>F</w:t>
            </w:r>
            <w:r w:rsidRPr="00E168A1">
              <w:rPr>
                <w:rFonts w:ascii="Times New Roman" w:hAnsi="Times New Roman"/>
                <w:sz w:val="20"/>
                <w:szCs w:val="20"/>
              </w:rPr>
              <w:t>ramework</w:t>
            </w:r>
            <w:r w:rsidR="00900061" w:rsidRPr="00E168A1">
              <w:rPr>
                <w:rFonts w:ascii="Times New Roman" w:hAnsi="Times New Roman"/>
                <w:sz w:val="20"/>
                <w:szCs w:val="20"/>
              </w:rPr>
              <w:t xml:space="preserve"> </w:t>
            </w:r>
            <w:r w:rsidRPr="00E168A1">
              <w:rPr>
                <w:rFonts w:ascii="Times New Roman" w:hAnsi="Times New Roman"/>
                <w:sz w:val="20"/>
                <w:szCs w:val="20"/>
              </w:rPr>
              <w:t>with</w:t>
            </w:r>
            <w:r w:rsidR="00900061" w:rsidRPr="00E168A1">
              <w:rPr>
                <w:rFonts w:ascii="Times New Roman" w:hAnsi="Times New Roman"/>
                <w:sz w:val="20"/>
                <w:szCs w:val="20"/>
              </w:rPr>
              <w:t xml:space="preserve"> </w:t>
            </w:r>
            <w:r w:rsidRPr="00E168A1">
              <w:rPr>
                <w:rFonts w:ascii="Times New Roman" w:hAnsi="Times New Roman"/>
                <w:sz w:val="20"/>
                <w:szCs w:val="20"/>
              </w:rPr>
              <w:t>relatively</w:t>
            </w:r>
            <w:r w:rsidR="00900061" w:rsidRPr="00E168A1">
              <w:rPr>
                <w:rFonts w:ascii="Times New Roman" w:hAnsi="Times New Roman"/>
                <w:sz w:val="20"/>
                <w:szCs w:val="20"/>
              </w:rPr>
              <w:t xml:space="preserve"> </w:t>
            </w:r>
            <w:r w:rsidRPr="00E168A1">
              <w:rPr>
                <w:rFonts w:ascii="Times New Roman" w:hAnsi="Times New Roman"/>
                <w:sz w:val="20"/>
                <w:szCs w:val="20"/>
              </w:rPr>
              <w:t>high</w:t>
            </w:r>
            <w:r w:rsidR="00900061" w:rsidRPr="00E168A1">
              <w:rPr>
                <w:rFonts w:ascii="Times New Roman" w:hAnsi="Times New Roman"/>
                <w:sz w:val="20"/>
                <w:szCs w:val="20"/>
              </w:rPr>
              <w:t xml:space="preserve"> </w:t>
            </w:r>
            <w:r w:rsidRPr="00E168A1">
              <w:rPr>
                <w:rFonts w:ascii="Times New Roman" w:hAnsi="Times New Roman"/>
                <w:sz w:val="20"/>
                <w:szCs w:val="20"/>
              </w:rPr>
              <w:t>certainty</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being</w:t>
            </w:r>
            <w:r w:rsidR="00900061" w:rsidRPr="00E168A1">
              <w:rPr>
                <w:rFonts w:ascii="Times New Roman" w:hAnsi="Times New Roman"/>
                <w:sz w:val="20"/>
                <w:szCs w:val="20"/>
              </w:rPr>
              <w:t xml:space="preserve"> </w:t>
            </w:r>
            <w:r w:rsidRPr="00E168A1">
              <w:rPr>
                <w:rFonts w:ascii="Times New Roman" w:hAnsi="Times New Roman"/>
                <w:sz w:val="20"/>
                <w:szCs w:val="20"/>
              </w:rPr>
              <w:t>included</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budget</w:t>
            </w:r>
            <w:r w:rsidR="00900061" w:rsidRPr="00E168A1">
              <w:rPr>
                <w:rFonts w:ascii="Times New Roman" w:hAnsi="Times New Roman"/>
                <w:sz w:val="20"/>
                <w:szCs w:val="20"/>
              </w:rPr>
              <w:t xml:space="preserve"> </w:t>
            </w:r>
            <w:r w:rsidRPr="00E168A1">
              <w:rPr>
                <w:rFonts w:ascii="Times New Roman" w:hAnsi="Times New Roman"/>
                <w:sz w:val="20"/>
                <w:szCs w:val="20"/>
              </w:rPr>
              <w:t>over</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implementation</w:t>
            </w:r>
            <w:r w:rsidR="00900061" w:rsidRPr="00E168A1">
              <w:rPr>
                <w:rFonts w:ascii="Times New Roman" w:hAnsi="Times New Roman"/>
                <w:sz w:val="20"/>
                <w:szCs w:val="20"/>
              </w:rPr>
              <w:t xml:space="preserve"> </w:t>
            </w:r>
            <w:r w:rsidRPr="00E168A1">
              <w:rPr>
                <w:rFonts w:ascii="Times New Roman" w:hAnsi="Times New Roman"/>
                <w:sz w:val="20"/>
                <w:szCs w:val="20"/>
              </w:rPr>
              <w:t>period</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with</w:t>
            </w:r>
            <w:r w:rsidR="00900061" w:rsidRPr="00E168A1">
              <w:rPr>
                <w:rFonts w:ascii="Times New Roman" w:hAnsi="Times New Roman"/>
                <w:sz w:val="20"/>
                <w:szCs w:val="20"/>
              </w:rPr>
              <w:t xml:space="preserve"> </w:t>
            </w:r>
            <w:r w:rsidRPr="00E168A1">
              <w:rPr>
                <w:rFonts w:ascii="Times New Roman" w:hAnsi="Times New Roman"/>
                <w:sz w:val="20"/>
                <w:szCs w:val="20"/>
              </w:rPr>
              <w:t>realistic</w:t>
            </w:r>
            <w:r w:rsidR="00900061" w:rsidRPr="00E168A1">
              <w:rPr>
                <w:rFonts w:ascii="Times New Roman" w:hAnsi="Times New Roman"/>
                <w:sz w:val="20"/>
                <w:szCs w:val="20"/>
              </w:rPr>
              <w:t xml:space="preserve"> </w:t>
            </w:r>
            <w:r w:rsidRPr="00E168A1">
              <w:rPr>
                <w:rFonts w:ascii="Times New Roman" w:hAnsi="Times New Roman"/>
                <w:sz w:val="20"/>
                <w:szCs w:val="20"/>
              </w:rPr>
              <w:t>cost</w:t>
            </w:r>
            <w:r w:rsidR="00900061" w:rsidRPr="00E168A1">
              <w:rPr>
                <w:rFonts w:ascii="Times New Roman" w:hAnsi="Times New Roman"/>
                <w:sz w:val="20"/>
                <w:szCs w:val="20"/>
              </w:rPr>
              <w:t xml:space="preserve"> </w:t>
            </w:r>
            <w:r w:rsidRPr="00E168A1">
              <w:rPr>
                <w:rFonts w:ascii="Times New Roman" w:hAnsi="Times New Roman"/>
                <w:sz w:val="20"/>
                <w:szCs w:val="20"/>
              </w:rPr>
              <w:t>estimates.</w:t>
            </w:r>
          </w:p>
        </w:tc>
      </w:tr>
      <w:tr w:rsidR="004550AA" w:rsidRPr="00E168A1" w14:paraId="437A0019" w14:textId="77777777" w:rsidTr="00D446FB">
        <w:tc>
          <w:tcPr>
            <w:tcW w:w="1289" w:type="pct"/>
            <w:shd w:val="clear" w:color="auto" w:fill="auto"/>
          </w:tcPr>
          <w:p w14:paraId="3626484C" w14:textId="77777777" w:rsidR="004550AA" w:rsidRPr="00E168A1" w:rsidRDefault="004550AA" w:rsidP="00D446FB">
            <w:pPr>
              <w:tabs>
                <w:tab w:val="left" w:pos="0"/>
              </w:tabs>
              <w:ind w:left="49"/>
              <w:rPr>
                <w:rFonts w:ascii="Times New Roman" w:hAnsi="Times New Roman"/>
                <w:color w:val="000000"/>
                <w:sz w:val="20"/>
                <w:szCs w:val="20"/>
              </w:rPr>
            </w:pPr>
            <w:r w:rsidRPr="00E168A1">
              <w:rPr>
                <w:rFonts w:ascii="Times New Roman" w:hAnsi="Times New Roman"/>
                <w:sz w:val="20"/>
                <w:szCs w:val="20"/>
              </w:rPr>
              <w:t>Inadequate</w:t>
            </w:r>
            <w:r w:rsidR="00900061" w:rsidRPr="00A90FD9">
              <w:rPr>
                <w:rFonts w:ascii="Times New Roman" w:hAnsi="Times New Roman"/>
                <w:sz w:val="20"/>
                <w:szCs w:val="20"/>
              </w:rPr>
              <w:t xml:space="preserve"> </w:t>
            </w:r>
            <w:r w:rsidRPr="00A90FD9">
              <w:rPr>
                <w:rFonts w:ascii="Times New Roman" w:hAnsi="Times New Roman"/>
                <w:sz w:val="20"/>
                <w:szCs w:val="20"/>
              </w:rPr>
              <w:t>budgetary</w:t>
            </w:r>
            <w:r w:rsidR="00900061" w:rsidRPr="00A90FD9">
              <w:rPr>
                <w:rFonts w:ascii="Times New Roman" w:hAnsi="Times New Roman"/>
                <w:sz w:val="20"/>
                <w:szCs w:val="20"/>
              </w:rPr>
              <w:t xml:space="preserve"> </w:t>
            </w:r>
            <w:r w:rsidRPr="00E168A1">
              <w:rPr>
                <w:rFonts w:ascii="Times New Roman" w:hAnsi="Times New Roman"/>
                <w:sz w:val="20"/>
                <w:szCs w:val="20"/>
              </w:rPr>
              <w:t>allocation</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activities</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907465" w:rsidRPr="00E168A1">
              <w:rPr>
                <w:rFonts w:ascii="Times New Roman" w:hAnsi="Times New Roman"/>
                <w:sz w:val="20"/>
                <w:szCs w:val="20"/>
              </w:rPr>
              <w:t>g</w:t>
            </w:r>
            <w:r w:rsidRPr="00E168A1">
              <w:rPr>
                <w:rFonts w:ascii="Times New Roman" w:hAnsi="Times New Roman"/>
                <w:sz w:val="20"/>
                <w:szCs w:val="20"/>
              </w:rPr>
              <w:t>overnment</w:t>
            </w:r>
          </w:p>
        </w:tc>
        <w:tc>
          <w:tcPr>
            <w:tcW w:w="1597" w:type="pct"/>
            <w:shd w:val="clear" w:color="auto" w:fill="auto"/>
          </w:tcPr>
          <w:p w14:paraId="75B04FA4" w14:textId="4F7B7E36" w:rsidR="004550AA" w:rsidRPr="00E168A1" w:rsidRDefault="004550AA" w:rsidP="00D446FB">
            <w:pPr>
              <w:tabs>
                <w:tab w:val="left" w:pos="0"/>
              </w:tabs>
              <w:rPr>
                <w:rFonts w:ascii="Times New Roman" w:hAnsi="Times New Roman"/>
                <w:sz w:val="20"/>
                <w:szCs w:val="20"/>
              </w:rPr>
            </w:pPr>
            <w:r w:rsidRPr="00E168A1">
              <w:rPr>
                <w:rFonts w:ascii="Times New Roman" w:hAnsi="Times New Roman"/>
                <w:color w:val="000000"/>
                <w:sz w:val="20"/>
                <w:szCs w:val="20"/>
              </w:rPr>
              <w:t>Programs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included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the</w:t>
            </w:r>
            <w:r w:rsidR="00900061" w:rsidRPr="00E168A1">
              <w:rPr>
                <w:rFonts w:ascii="Times New Roman" w:hAnsi="Times New Roman"/>
                <w:color w:val="000000"/>
                <w:sz w:val="20"/>
                <w:szCs w:val="20"/>
              </w:rPr>
              <w:t xml:space="preserve"> </w:t>
            </w:r>
            <w:r w:rsidR="00DA23B6" w:rsidRPr="00E168A1">
              <w:rPr>
                <w:rFonts w:ascii="Times New Roman" w:hAnsi="Times New Roman"/>
                <w:color w:val="000000"/>
                <w:sz w:val="20"/>
                <w:szCs w:val="20"/>
              </w:rPr>
              <w:t>E</w:t>
            </w:r>
            <w:r w:rsidRPr="00E168A1">
              <w:rPr>
                <w:rFonts w:ascii="Times New Roman" w:hAnsi="Times New Roman"/>
                <w:color w:val="000000"/>
                <w:sz w:val="20"/>
                <w:szCs w:val="20"/>
              </w:rPr>
              <w:t>xpenditure</w:t>
            </w:r>
            <w:r w:rsidR="00900061" w:rsidRPr="00E168A1">
              <w:rPr>
                <w:rFonts w:ascii="Times New Roman" w:hAnsi="Times New Roman"/>
                <w:color w:val="000000"/>
                <w:sz w:val="20"/>
                <w:szCs w:val="20"/>
              </w:rPr>
              <w:t xml:space="preserve"> </w:t>
            </w:r>
            <w:r w:rsidR="00DA23B6" w:rsidRPr="00E168A1">
              <w:rPr>
                <w:rFonts w:ascii="Times New Roman" w:hAnsi="Times New Roman"/>
                <w:color w:val="000000"/>
                <w:sz w:val="20"/>
                <w:szCs w:val="20"/>
              </w:rPr>
              <w:t>F</w:t>
            </w:r>
            <w:r w:rsidRPr="00E168A1">
              <w:rPr>
                <w:rFonts w:ascii="Times New Roman" w:hAnsi="Times New Roman"/>
                <w:color w:val="000000"/>
                <w:sz w:val="20"/>
                <w:szCs w:val="20"/>
              </w:rPr>
              <w:t>ramework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not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executed;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risk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to</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achievement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DLIs</w:t>
            </w:r>
            <w:r w:rsidR="00900061" w:rsidRPr="00E168A1">
              <w:rPr>
                <w:rFonts w:ascii="Times New Roman" w:hAnsi="Times New Roman"/>
                <w:color w:val="000000"/>
                <w:sz w:val="20"/>
                <w:szCs w:val="20"/>
              </w:rPr>
              <w:t xml:space="preserve"> </w:t>
            </w:r>
          </w:p>
        </w:tc>
        <w:tc>
          <w:tcPr>
            <w:tcW w:w="2114" w:type="pct"/>
            <w:shd w:val="clear" w:color="auto" w:fill="auto"/>
          </w:tcPr>
          <w:p w14:paraId="07EC4416" w14:textId="4FA5BFFF" w:rsidR="004550AA" w:rsidRPr="00E168A1" w:rsidRDefault="004550AA" w:rsidP="00D446FB">
            <w:pPr>
              <w:tabs>
                <w:tab w:val="left" w:pos="0"/>
              </w:tabs>
              <w:rPr>
                <w:rFonts w:ascii="Times New Roman" w:hAnsi="Times New Roman"/>
                <w:color w:val="000000"/>
                <w:sz w:val="20"/>
                <w:szCs w:val="20"/>
              </w:rPr>
            </w:pPr>
            <w:r w:rsidRPr="00E168A1">
              <w:rPr>
                <w:rFonts w:ascii="Times New Roman" w:hAnsi="Times New Roman"/>
                <w:color w:val="000000"/>
                <w:sz w:val="20"/>
                <w:szCs w:val="20"/>
              </w:rPr>
              <w:t>Funds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safeguarded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the</w:t>
            </w:r>
            <w:r w:rsidR="00900061" w:rsidRPr="00E168A1">
              <w:rPr>
                <w:rFonts w:ascii="Times New Roman" w:hAnsi="Times New Roman"/>
                <w:color w:val="000000"/>
                <w:sz w:val="20"/>
                <w:szCs w:val="20"/>
              </w:rPr>
              <w:t xml:space="preserve"> </w:t>
            </w:r>
            <w:r w:rsidR="00F35FCD" w:rsidRPr="00E168A1">
              <w:rPr>
                <w:rFonts w:ascii="Times New Roman" w:hAnsi="Times New Roman"/>
                <w:color w:val="000000"/>
                <w:sz w:val="20"/>
                <w:szCs w:val="20"/>
              </w:rPr>
              <w:t>P</w:t>
            </w:r>
            <w:r w:rsidRPr="00E168A1">
              <w:rPr>
                <w:rFonts w:ascii="Times New Roman" w:hAnsi="Times New Roman"/>
                <w:color w:val="000000"/>
                <w:sz w:val="20"/>
                <w:szCs w:val="20"/>
              </w:rPr>
              <w:t>rogram</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design</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ensures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achievement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DLIs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prerequisite</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for</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funding</w:t>
            </w:r>
          </w:p>
          <w:p w14:paraId="0DFCBD10" w14:textId="77777777" w:rsidR="004550AA" w:rsidRPr="00E168A1" w:rsidRDefault="004550AA" w:rsidP="00D446FB">
            <w:pPr>
              <w:tabs>
                <w:tab w:val="left" w:pos="0"/>
              </w:tabs>
              <w:rPr>
                <w:rFonts w:ascii="Times New Roman" w:hAnsi="Times New Roman"/>
                <w:color w:val="000000"/>
                <w:sz w:val="20"/>
                <w:szCs w:val="20"/>
              </w:rPr>
            </w:pPr>
          </w:p>
          <w:p w14:paraId="33EDC3B7" w14:textId="0527F001" w:rsidR="004550AA" w:rsidRPr="00E168A1" w:rsidRDefault="004550AA" w:rsidP="00D446FB">
            <w:pPr>
              <w:tabs>
                <w:tab w:val="left" w:pos="0"/>
              </w:tabs>
              <w:rPr>
                <w:rFonts w:ascii="Times New Roman" w:hAnsi="Times New Roman"/>
                <w:sz w:val="20"/>
                <w:szCs w:val="20"/>
              </w:rPr>
            </w:pPr>
            <w:r w:rsidRPr="00E168A1">
              <w:rPr>
                <w:rFonts w:ascii="Times New Roman" w:hAnsi="Times New Roman"/>
                <w:color w:val="000000"/>
                <w:sz w:val="20"/>
                <w:szCs w:val="20"/>
              </w:rPr>
              <w:t>Risk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to</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implementation</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mitigated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by</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focus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on</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including</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vital</w:t>
            </w:r>
            <w:r w:rsidR="00900061" w:rsidRPr="00E168A1">
              <w:rPr>
                <w:rFonts w:ascii="Times New Roman" w:hAnsi="Times New Roman"/>
                <w:color w:val="000000"/>
                <w:sz w:val="20"/>
                <w:szCs w:val="20"/>
              </w:rPr>
              <w:t xml:space="preserve"> </w:t>
            </w:r>
            <w:r w:rsidR="009329A9" w:rsidRPr="00E168A1">
              <w:rPr>
                <w:rFonts w:ascii="Times New Roman" w:hAnsi="Times New Roman"/>
                <w:color w:val="000000"/>
                <w:sz w:val="20"/>
                <w:szCs w:val="20"/>
              </w:rPr>
              <w:t>P</w:t>
            </w:r>
            <w:r w:rsidRPr="00E168A1">
              <w:rPr>
                <w:rFonts w:ascii="Times New Roman" w:hAnsi="Times New Roman"/>
                <w:color w:val="000000"/>
                <w:sz w:val="20"/>
                <w:szCs w:val="20"/>
              </w:rPr>
              <w:t>rograms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and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activities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w:t>
            </w:r>
            <w:r w:rsidR="002C02C1" w:rsidRPr="00E168A1">
              <w:rPr>
                <w:rFonts w:ascii="Times New Roman" w:hAnsi="Times New Roman"/>
                <w:color w:val="000000"/>
                <w:sz w:val="20"/>
                <w:szCs w:val="20"/>
              </w:rPr>
              <w:t xml:space="preserve"> the</w:t>
            </w:r>
            <w:r w:rsidR="00900061" w:rsidRPr="00E168A1">
              <w:rPr>
                <w:rFonts w:ascii="Times New Roman" w:hAnsi="Times New Roman"/>
                <w:color w:val="000000"/>
                <w:sz w:val="20"/>
                <w:szCs w:val="20"/>
              </w:rPr>
              <w:t xml:space="preserve"> </w:t>
            </w:r>
            <w:r w:rsidR="00DE373F" w:rsidRPr="00E168A1">
              <w:rPr>
                <w:rFonts w:ascii="Times New Roman" w:hAnsi="Times New Roman"/>
                <w:color w:val="000000"/>
                <w:sz w:val="20"/>
                <w:szCs w:val="20"/>
              </w:rPr>
              <w:t>E</w:t>
            </w:r>
            <w:r w:rsidRPr="00E168A1">
              <w:rPr>
                <w:rFonts w:ascii="Times New Roman" w:hAnsi="Times New Roman"/>
                <w:color w:val="000000"/>
                <w:sz w:val="20"/>
                <w:szCs w:val="20"/>
              </w:rPr>
              <w:t>xpenditure</w:t>
            </w:r>
            <w:r w:rsidR="00900061" w:rsidRPr="00E168A1">
              <w:rPr>
                <w:rFonts w:ascii="Times New Roman" w:hAnsi="Times New Roman"/>
                <w:color w:val="000000"/>
                <w:sz w:val="20"/>
                <w:szCs w:val="20"/>
              </w:rPr>
              <w:t xml:space="preserve"> </w:t>
            </w:r>
            <w:r w:rsidR="00DE373F" w:rsidRPr="00E168A1">
              <w:rPr>
                <w:rFonts w:ascii="Times New Roman" w:hAnsi="Times New Roman"/>
                <w:color w:val="000000"/>
                <w:sz w:val="20"/>
                <w:szCs w:val="20"/>
              </w:rPr>
              <w:t>F</w:t>
            </w:r>
            <w:r w:rsidRPr="00E168A1">
              <w:rPr>
                <w:rFonts w:ascii="Times New Roman" w:hAnsi="Times New Roman"/>
                <w:color w:val="000000"/>
                <w:sz w:val="20"/>
                <w:szCs w:val="20"/>
              </w:rPr>
              <w:t>ramework</w:t>
            </w:r>
          </w:p>
        </w:tc>
      </w:tr>
      <w:tr w:rsidR="004550AA" w:rsidRPr="00E168A1" w14:paraId="7343CAE5" w14:textId="77777777" w:rsidTr="003751E5">
        <w:tc>
          <w:tcPr>
            <w:tcW w:w="5000" w:type="pct"/>
            <w:gridSpan w:val="3"/>
            <w:shd w:val="clear" w:color="auto" w:fill="auto"/>
            <w:vAlign w:val="center"/>
          </w:tcPr>
          <w:p w14:paraId="3A6296E6" w14:textId="77777777" w:rsidR="004550AA" w:rsidRPr="00E67C6B" w:rsidRDefault="004550AA" w:rsidP="003751E5">
            <w:pPr>
              <w:tabs>
                <w:tab w:val="left" w:pos="0"/>
              </w:tabs>
              <w:rPr>
                <w:rFonts w:ascii="Times New Roman" w:hAnsi="Times New Roman"/>
                <w:sz w:val="20"/>
                <w:szCs w:val="20"/>
              </w:rPr>
            </w:pPr>
            <w:r w:rsidRPr="00E168A1">
              <w:rPr>
                <w:rFonts w:ascii="Times New Roman" w:hAnsi="Times New Roman"/>
                <w:b/>
                <w:sz w:val="20"/>
                <w:szCs w:val="20"/>
              </w:rPr>
              <w:t>Accounting</w:t>
            </w:r>
            <w:r w:rsidR="00900061" w:rsidRPr="00A90FD9">
              <w:rPr>
                <w:rFonts w:ascii="Times New Roman" w:hAnsi="Times New Roman"/>
                <w:b/>
                <w:sz w:val="20"/>
                <w:szCs w:val="20"/>
              </w:rPr>
              <w:t xml:space="preserve"> </w:t>
            </w:r>
            <w:r w:rsidRPr="00A90FD9">
              <w:rPr>
                <w:rFonts w:ascii="Times New Roman" w:hAnsi="Times New Roman"/>
                <w:b/>
                <w:sz w:val="20"/>
                <w:szCs w:val="20"/>
              </w:rPr>
              <w:t>and</w:t>
            </w:r>
            <w:r w:rsidR="00900061" w:rsidRPr="00A90FD9">
              <w:rPr>
                <w:rFonts w:ascii="Times New Roman" w:hAnsi="Times New Roman"/>
                <w:b/>
                <w:sz w:val="20"/>
                <w:szCs w:val="20"/>
              </w:rPr>
              <w:t xml:space="preserve"> </w:t>
            </w:r>
            <w:r w:rsidRPr="00A90FD9">
              <w:rPr>
                <w:rFonts w:ascii="Times New Roman" w:hAnsi="Times New Roman"/>
                <w:b/>
                <w:sz w:val="20"/>
                <w:szCs w:val="20"/>
              </w:rPr>
              <w:t>Financial</w:t>
            </w:r>
            <w:r w:rsidR="00900061" w:rsidRPr="00A90FD9">
              <w:rPr>
                <w:rFonts w:ascii="Times New Roman" w:hAnsi="Times New Roman"/>
                <w:b/>
                <w:sz w:val="20"/>
                <w:szCs w:val="20"/>
              </w:rPr>
              <w:t xml:space="preserve"> </w:t>
            </w:r>
            <w:r w:rsidRPr="00A90FD9">
              <w:rPr>
                <w:rFonts w:ascii="Times New Roman" w:hAnsi="Times New Roman"/>
                <w:b/>
                <w:sz w:val="20"/>
                <w:szCs w:val="20"/>
              </w:rPr>
              <w:t>Reporting</w:t>
            </w:r>
          </w:p>
        </w:tc>
      </w:tr>
      <w:tr w:rsidR="004550AA" w:rsidRPr="00E168A1" w14:paraId="691C9CCB" w14:textId="77777777" w:rsidTr="00D446FB">
        <w:tc>
          <w:tcPr>
            <w:tcW w:w="1289" w:type="pct"/>
            <w:shd w:val="clear" w:color="auto" w:fill="auto"/>
          </w:tcPr>
          <w:p w14:paraId="0ACBAF20" w14:textId="77777777" w:rsidR="004550AA" w:rsidRPr="00E168A1" w:rsidRDefault="004550AA" w:rsidP="00D446FB">
            <w:pPr>
              <w:tabs>
                <w:tab w:val="left" w:pos="0"/>
              </w:tabs>
              <w:ind w:left="49"/>
              <w:rPr>
                <w:rFonts w:ascii="Times New Roman" w:hAnsi="Times New Roman"/>
                <w:sz w:val="20"/>
                <w:szCs w:val="20"/>
              </w:rPr>
            </w:pPr>
            <w:r w:rsidRPr="00E168A1">
              <w:rPr>
                <w:rFonts w:ascii="Times New Roman" w:hAnsi="Times New Roman"/>
                <w:sz w:val="20"/>
                <w:szCs w:val="20"/>
              </w:rPr>
              <w:t>In-year</w:t>
            </w:r>
            <w:r w:rsidR="00900061" w:rsidRPr="00A90FD9">
              <w:rPr>
                <w:rFonts w:ascii="Times New Roman" w:hAnsi="Times New Roman"/>
                <w:sz w:val="20"/>
                <w:szCs w:val="20"/>
              </w:rPr>
              <w:t xml:space="preserve"> </w:t>
            </w:r>
            <w:r w:rsidRPr="00A90FD9">
              <w:rPr>
                <w:rFonts w:ascii="Times New Roman" w:hAnsi="Times New Roman"/>
                <w:sz w:val="20"/>
                <w:szCs w:val="20"/>
              </w:rPr>
              <w:t>reports</w:t>
            </w:r>
            <w:r w:rsidR="00900061" w:rsidRPr="00A90FD9">
              <w:rPr>
                <w:rFonts w:ascii="Times New Roman" w:hAnsi="Times New Roman"/>
                <w:sz w:val="20"/>
                <w:szCs w:val="20"/>
              </w:rPr>
              <w:t xml:space="preserve"> </w:t>
            </w:r>
            <w:r w:rsidRPr="00A90FD9">
              <w:rPr>
                <w:rFonts w:ascii="Times New Roman" w:hAnsi="Times New Roman"/>
                <w:sz w:val="20"/>
                <w:szCs w:val="20"/>
              </w:rPr>
              <w:t>with</w:t>
            </w:r>
            <w:r w:rsidR="00900061" w:rsidRPr="00A90FD9">
              <w:rPr>
                <w:rFonts w:ascii="Times New Roman" w:hAnsi="Times New Roman"/>
                <w:sz w:val="20"/>
                <w:szCs w:val="20"/>
              </w:rPr>
              <w:t xml:space="preserve"> </w:t>
            </w:r>
            <w:r w:rsidRPr="00E168A1">
              <w:rPr>
                <w:rFonts w:ascii="Times New Roman" w:hAnsi="Times New Roman"/>
                <w:sz w:val="20"/>
                <w:szCs w:val="20"/>
              </w:rPr>
              <w:t>varying</w:t>
            </w:r>
            <w:r w:rsidR="00900061" w:rsidRPr="00E168A1">
              <w:rPr>
                <w:rFonts w:ascii="Times New Roman" w:hAnsi="Times New Roman"/>
                <w:sz w:val="20"/>
                <w:szCs w:val="20"/>
              </w:rPr>
              <w:t xml:space="preserve"> </w:t>
            </w:r>
            <w:r w:rsidRPr="00E168A1">
              <w:rPr>
                <w:rFonts w:ascii="Times New Roman" w:hAnsi="Times New Roman"/>
                <w:sz w:val="20"/>
                <w:szCs w:val="20"/>
              </w:rPr>
              <w:t>scope</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level</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aggregation</w:t>
            </w:r>
            <w:r w:rsidR="00900061" w:rsidRPr="00E168A1">
              <w:rPr>
                <w:rFonts w:ascii="Times New Roman" w:hAnsi="Times New Roman"/>
                <w:sz w:val="20"/>
                <w:szCs w:val="20"/>
              </w:rPr>
              <w:t xml:space="preserve"> </w:t>
            </w:r>
          </w:p>
        </w:tc>
        <w:tc>
          <w:tcPr>
            <w:tcW w:w="1597" w:type="pct"/>
            <w:shd w:val="clear" w:color="auto" w:fill="auto"/>
          </w:tcPr>
          <w:p w14:paraId="430A22E3" w14:textId="70964365"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May</w:t>
            </w:r>
            <w:r w:rsidR="00900061" w:rsidRPr="00E168A1">
              <w:rPr>
                <w:rFonts w:ascii="Times New Roman" w:hAnsi="Times New Roman"/>
                <w:sz w:val="20"/>
                <w:szCs w:val="20"/>
              </w:rPr>
              <w:t xml:space="preserve"> </w:t>
            </w:r>
            <w:r w:rsidRPr="00E168A1">
              <w:rPr>
                <w:rFonts w:ascii="Times New Roman" w:hAnsi="Times New Roman"/>
                <w:sz w:val="20"/>
                <w:szCs w:val="20"/>
              </w:rPr>
              <w:t>restrict</w:t>
            </w:r>
            <w:r w:rsidR="00900061" w:rsidRPr="00E168A1">
              <w:rPr>
                <w:rFonts w:ascii="Times New Roman" w:hAnsi="Times New Roman"/>
                <w:sz w:val="20"/>
                <w:szCs w:val="20"/>
              </w:rPr>
              <w:t xml:space="preserve"> </w:t>
            </w:r>
            <w:r w:rsidRPr="00E168A1">
              <w:rPr>
                <w:rFonts w:ascii="Times New Roman" w:hAnsi="Times New Roman"/>
                <w:sz w:val="20"/>
                <w:szCs w:val="20"/>
              </w:rPr>
              <w:t>monitoring</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determining</w:t>
            </w:r>
            <w:r w:rsidR="00900061" w:rsidRPr="00E168A1">
              <w:rPr>
                <w:rFonts w:ascii="Times New Roman" w:hAnsi="Times New Roman"/>
                <w:sz w:val="20"/>
                <w:szCs w:val="20"/>
              </w:rPr>
              <w:t xml:space="preserve"> </w:t>
            </w:r>
            <w:r w:rsidRPr="00E168A1">
              <w:rPr>
                <w:rFonts w:ascii="Times New Roman" w:hAnsi="Times New Roman"/>
                <w:sz w:val="20"/>
                <w:szCs w:val="20"/>
              </w:rPr>
              <w:t>amount</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00307D8A" w:rsidRPr="00E168A1">
              <w:rPr>
                <w:rFonts w:ascii="Times New Roman" w:hAnsi="Times New Roman"/>
                <w:sz w:val="20"/>
                <w:szCs w:val="20"/>
              </w:rPr>
              <w:t>P</w:t>
            </w:r>
            <w:r w:rsidRPr="00E168A1">
              <w:rPr>
                <w:rFonts w:ascii="Times New Roman" w:hAnsi="Times New Roman"/>
                <w:sz w:val="20"/>
                <w:szCs w:val="20"/>
              </w:rPr>
              <w:t>rogram</w:t>
            </w:r>
            <w:r w:rsidR="00900061" w:rsidRPr="00E168A1">
              <w:rPr>
                <w:rFonts w:ascii="Times New Roman" w:hAnsi="Times New Roman"/>
                <w:sz w:val="20"/>
                <w:szCs w:val="20"/>
              </w:rPr>
              <w:t xml:space="preserve"> </w:t>
            </w:r>
            <w:r w:rsidRPr="00E168A1">
              <w:rPr>
                <w:rFonts w:ascii="Times New Roman" w:hAnsi="Times New Roman"/>
                <w:sz w:val="20"/>
                <w:szCs w:val="20"/>
              </w:rPr>
              <w:t>related</w:t>
            </w:r>
            <w:r w:rsidR="00900061" w:rsidRPr="00E168A1">
              <w:rPr>
                <w:rFonts w:ascii="Times New Roman" w:hAnsi="Times New Roman"/>
                <w:sz w:val="20"/>
                <w:szCs w:val="20"/>
              </w:rPr>
              <w:t xml:space="preserve"> </w:t>
            </w:r>
            <w:r w:rsidRPr="00E168A1">
              <w:rPr>
                <w:rFonts w:ascii="Times New Roman" w:hAnsi="Times New Roman"/>
                <w:sz w:val="20"/>
                <w:szCs w:val="20"/>
              </w:rPr>
              <w:t>expenditures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affect</w:t>
            </w:r>
            <w:r w:rsidR="00900061" w:rsidRPr="00E168A1">
              <w:rPr>
                <w:rFonts w:ascii="Times New Roman" w:hAnsi="Times New Roman"/>
                <w:sz w:val="20"/>
                <w:szCs w:val="20"/>
              </w:rPr>
              <w:t xml:space="preserve"> </w:t>
            </w:r>
            <w:r w:rsidRPr="00E168A1">
              <w:rPr>
                <w:rFonts w:ascii="Times New Roman" w:hAnsi="Times New Roman"/>
                <w:sz w:val="20"/>
                <w:szCs w:val="20"/>
              </w:rPr>
              <w:t>disbursement</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decision</w:t>
            </w:r>
            <w:r w:rsidR="00D446FB" w:rsidRPr="00E168A1">
              <w:rPr>
                <w:rFonts w:ascii="Times New Roman" w:hAnsi="Times New Roman"/>
                <w:sz w:val="20"/>
                <w:szCs w:val="20"/>
              </w:rPr>
              <w:t xml:space="preserve"> </w:t>
            </w:r>
            <w:r w:rsidRPr="00E168A1">
              <w:rPr>
                <w:rFonts w:ascii="Times New Roman" w:hAnsi="Times New Roman"/>
                <w:sz w:val="20"/>
                <w:szCs w:val="20"/>
              </w:rPr>
              <w:t>making</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sound</w:t>
            </w:r>
            <w:r w:rsidR="00900061" w:rsidRPr="00E168A1">
              <w:rPr>
                <w:rFonts w:ascii="Times New Roman" w:hAnsi="Times New Roman"/>
                <w:sz w:val="20"/>
                <w:szCs w:val="20"/>
              </w:rPr>
              <w:t xml:space="preserve"> </w:t>
            </w:r>
            <w:r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implementation</w:t>
            </w:r>
            <w:r w:rsidR="00900061" w:rsidRPr="00E168A1">
              <w:rPr>
                <w:rFonts w:ascii="Times New Roman" w:hAnsi="Times New Roman"/>
                <w:sz w:val="20"/>
                <w:szCs w:val="20"/>
              </w:rPr>
              <w:t xml:space="preserve"> </w:t>
            </w:r>
          </w:p>
        </w:tc>
        <w:tc>
          <w:tcPr>
            <w:tcW w:w="2114" w:type="pct"/>
            <w:shd w:val="clear" w:color="auto" w:fill="auto"/>
          </w:tcPr>
          <w:p w14:paraId="76E92425"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Specify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frequency,</w:t>
            </w:r>
            <w:r w:rsidR="00900061" w:rsidRPr="00E168A1">
              <w:rPr>
                <w:rFonts w:ascii="Times New Roman" w:hAnsi="Times New Roman"/>
                <w:sz w:val="20"/>
                <w:szCs w:val="20"/>
              </w:rPr>
              <w:t xml:space="preserve"> </w:t>
            </w:r>
            <w:r w:rsidRPr="00E168A1">
              <w:rPr>
                <w:rFonts w:ascii="Times New Roman" w:hAnsi="Times New Roman"/>
                <w:sz w:val="20"/>
                <w:szCs w:val="20"/>
              </w:rPr>
              <w:t>scope</w:t>
            </w:r>
            <w:r w:rsidR="005A376F" w:rsidRPr="00E168A1">
              <w:rPr>
                <w:rFonts w:ascii="Times New Roman" w:hAnsi="Times New Roman"/>
                <w:sz w:val="20"/>
                <w:szCs w:val="20"/>
              </w:rPr>
              <w:t>,</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level</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detail</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reporting</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participating</w:t>
            </w:r>
            <w:r w:rsidR="00900061" w:rsidRPr="00E168A1">
              <w:rPr>
                <w:rFonts w:ascii="Times New Roman" w:hAnsi="Times New Roman"/>
                <w:sz w:val="20"/>
                <w:szCs w:val="20"/>
              </w:rPr>
              <w:t xml:space="preserve"> </w:t>
            </w:r>
            <w:r w:rsidRPr="00E168A1">
              <w:rPr>
                <w:rFonts w:ascii="Times New Roman" w:hAnsi="Times New Roman"/>
                <w:sz w:val="20"/>
                <w:szCs w:val="20"/>
              </w:rPr>
              <w:t>institutions</w:t>
            </w:r>
            <w:r w:rsidR="00900061" w:rsidRPr="00E168A1">
              <w:rPr>
                <w:rFonts w:ascii="Times New Roman" w:hAnsi="Times New Roman"/>
                <w:sz w:val="20"/>
                <w:szCs w:val="20"/>
              </w:rPr>
              <w:t xml:space="preserve"> </w:t>
            </w:r>
          </w:p>
        </w:tc>
      </w:tr>
      <w:tr w:rsidR="004550AA" w:rsidRPr="00E168A1" w14:paraId="1D72C79B" w14:textId="77777777" w:rsidTr="00D446FB">
        <w:tc>
          <w:tcPr>
            <w:tcW w:w="1289" w:type="pct"/>
            <w:shd w:val="clear" w:color="auto" w:fill="auto"/>
          </w:tcPr>
          <w:p w14:paraId="09B8139B" w14:textId="77777777" w:rsidR="004550AA" w:rsidRPr="00E168A1" w:rsidRDefault="004550AA" w:rsidP="00D446FB">
            <w:pPr>
              <w:tabs>
                <w:tab w:val="left" w:pos="0"/>
              </w:tabs>
              <w:ind w:left="49"/>
              <w:rPr>
                <w:rFonts w:ascii="Times New Roman" w:hAnsi="Times New Roman"/>
                <w:sz w:val="20"/>
                <w:szCs w:val="20"/>
              </w:rPr>
            </w:pPr>
            <w:r w:rsidRPr="00E168A1">
              <w:rPr>
                <w:rFonts w:ascii="Times New Roman" w:hAnsi="Times New Roman"/>
                <w:sz w:val="20"/>
                <w:szCs w:val="20"/>
              </w:rPr>
              <w:t>Poor</w:t>
            </w:r>
            <w:r w:rsidR="00900061" w:rsidRPr="00A90FD9">
              <w:rPr>
                <w:rFonts w:ascii="Times New Roman" w:hAnsi="Times New Roman"/>
                <w:sz w:val="20"/>
                <w:szCs w:val="20"/>
              </w:rPr>
              <w:t xml:space="preserve"> </w:t>
            </w:r>
            <w:r w:rsidRPr="00A90FD9">
              <w:rPr>
                <w:rFonts w:ascii="Times New Roman" w:hAnsi="Times New Roman"/>
                <w:sz w:val="20"/>
                <w:szCs w:val="20"/>
              </w:rPr>
              <w:t>quality</w:t>
            </w:r>
            <w:r w:rsidR="00900061" w:rsidRPr="00E67C6B">
              <w:rPr>
                <w:rFonts w:ascii="Times New Roman" w:hAnsi="Times New Roman"/>
                <w:sz w:val="20"/>
                <w:szCs w:val="20"/>
              </w:rPr>
              <w:t xml:space="preserve"> </w:t>
            </w:r>
            <w:r w:rsidRPr="002C47D7">
              <w:rPr>
                <w:rFonts w:ascii="Times New Roman" w:hAnsi="Times New Roman"/>
                <w:sz w:val="20"/>
                <w:szCs w:val="20"/>
              </w:rPr>
              <w:t>annual</w:t>
            </w:r>
            <w:r w:rsidR="00900061" w:rsidRPr="005769EE">
              <w:rPr>
                <w:rFonts w:ascii="Times New Roman" w:hAnsi="Times New Roman"/>
                <w:sz w:val="20"/>
                <w:szCs w:val="20"/>
              </w:rPr>
              <w:t xml:space="preserve"> </w:t>
            </w:r>
            <w:r w:rsidRPr="00E168A1">
              <w:rPr>
                <w:rFonts w:ascii="Times New Roman" w:hAnsi="Times New Roman"/>
                <w:sz w:val="20"/>
                <w:szCs w:val="20"/>
              </w:rPr>
              <w:t>financial</w:t>
            </w:r>
            <w:r w:rsidR="00900061" w:rsidRPr="00E168A1">
              <w:rPr>
                <w:rFonts w:ascii="Times New Roman" w:hAnsi="Times New Roman"/>
                <w:sz w:val="20"/>
                <w:szCs w:val="20"/>
              </w:rPr>
              <w:t xml:space="preserve"> </w:t>
            </w:r>
            <w:r w:rsidRPr="00E168A1">
              <w:rPr>
                <w:rFonts w:ascii="Times New Roman" w:hAnsi="Times New Roman"/>
                <w:sz w:val="20"/>
                <w:szCs w:val="20"/>
              </w:rPr>
              <w:t>statements</w:t>
            </w:r>
            <w:r w:rsidR="00900061" w:rsidRPr="00E168A1">
              <w:rPr>
                <w:rFonts w:ascii="Times New Roman" w:hAnsi="Times New Roman"/>
                <w:sz w:val="20"/>
                <w:szCs w:val="20"/>
              </w:rPr>
              <w:t xml:space="preserve"> </w:t>
            </w:r>
          </w:p>
        </w:tc>
        <w:tc>
          <w:tcPr>
            <w:tcW w:w="1597" w:type="pct"/>
            <w:shd w:val="clear" w:color="auto" w:fill="auto"/>
          </w:tcPr>
          <w:p w14:paraId="75D4DE72" w14:textId="4FA4680F"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Poor</w:t>
            </w:r>
            <w:r w:rsidR="00900061" w:rsidRPr="00E168A1">
              <w:rPr>
                <w:rFonts w:ascii="Times New Roman" w:hAnsi="Times New Roman"/>
                <w:sz w:val="20"/>
                <w:szCs w:val="20"/>
              </w:rPr>
              <w:t xml:space="preserve"> </w:t>
            </w:r>
            <w:r w:rsidRPr="00E168A1">
              <w:rPr>
                <w:rFonts w:ascii="Times New Roman" w:hAnsi="Times New Roman"/>
                <w:sz w:val="20"/>
                <w:szCs w:val="20"/>
              </w:rPr>
              <w:t>quality</w:t>
            </w:r>
            <w:r w:rsidR="00900061" w:rsidRPr="00E168A1">
              <w:rPr>
                <w:rFonts w:ascii="Times New Roman" w:hAnsi="Times New Roman"/>
                <w:sz w:val="20"/>
                <w:szCs w:val="20"/>
              </w:rPr>
              <w:t xml:space="preserve"> </w:t>
            </w:r>
            <w:r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financial</w:t>
            </w:r>
            <w:r w:rsidR="00900061" w:rsidRPr="00E168A1">
              <w:rPr>
                <w:rFonts w:ascii="Times New Roman" w:hAnsi="Times New Roman"/>
                <w:sz w:val="20"/>
                <w:szCs w:val="20"/>
              </w:rPr>
              <w:t xml:space="preserve"> </w:t>
            </w:r>
            <w:r w:rsidRPr="00E168A1">
              <w:rPr>
                <w:rFonts w:ascii="Times New Roman" w:hAnsi="Times New Roman"/>
                <w:sz w:val="20"/>
                <w:szCs w:val="20"/>
              </w:rPr>
              <w:t>statements</w:t>
            </w:r>
            <w:r w:rsidR="00900061" w:rsidRPr="00E168A1">
              <w:rPr>
                <w:rFonts w:ascii="Times New Roman" w:hAnsi="Times New Roman"/>
                <w:sz w:val="20"/>
                <w:szCs w:val="20"/>
              </w:rPr>
              <w:t xml:space="preserve"> </w:t>
            </w:r>
            <w:r w:rsidRPr="00E168A1">
              <w:rPr>
                <w:rFonts w:ascii="Times New Roman" w:hAnsi="Times New Roman"/>
                <w:sz w:val="20"/>
                <w:szCs w:val="20"/>
              </w:rPr>
              <w:t>could</w:t>
            </w:r>
            <w:r w:rsidR="00900061" w:rsidRPr="00E168A1">
              <w:rPr>
                <w:rFonts w:ascii="Times New Roman" w:hAnsi="Times New Roman"/>
                <w:sz w:val="20"/>
                <w:szCs w:val="20"/>
              </w:rPr>
              <w:t xml:space="preserve"> </w:t>
            </w:r>
            <w:r w:rsidRPr="00E168A1">
              <w:rPr>
                <w:rFonts w:ascii="Times New Roman" w:hAnsi="Times New Roman"/>
                <w:sz w:val="20"/>
                <w:szCs w:val="20"/>
              </w:rPr>
              <w:t>affect</w:t>
            </w:r>
            <w:r w:rsidR="00900061" w:rsidRPr="00E168A1">
              <w:rPr>
                <w:rFonts w:ascii="Times New Roman" w:hAnsi="Times New Roman"/>
                <w:sz w:val="20"/>
                <w:szCs w:val="20"/>
              </w:rPr>
              <w:t xml:space="preserve"> </w:t>
            </w:r>
            <w:r w:rsidR="00AF6F0A" w:rsidRPr="00E168A1">
              <w:rPr>
                <w:rFonts w:ascii="Times New Roman" w:hAnsi="Times New Roman"/>
                <w:sz w:val="20"/>
                <w:szCs w:val="20"/>
              </w:rPr>
              <w:t>P</w:t>
            </w:r>
            <w:r w:rsidRPr="00E168A1">
              <w:rPr>
                <w:rFonts w:ascii="Times New Roman" w:hAnsi="Times New Roman"/>
                <w:sz w:val="20"/>
                <w:szCs w:val="20"/>
              </w:rPr>
              <w:t>rogram</w:t>
            </w:r>
            <w:r w:rsidR="00900061" w:rsidRPr="00E168A1">
              <w:rPr>
                <w:rFonts w:ascii="Times New Roman" w:hAnsi="Times New Roman"/>
                <w:sz w:val="20"/>
                <w:szCs w:val="20"/>
              </w:rPr>
              <w:t xml:space="preserve"> </w:t>
            </w:r>
            <w:r w:rsidRPr="00E168A1">
              <w:rPr>
                <w:rFonts w:ascii="Times New Roman" w:hAnsi="Times New Roman"/>
                <w:sz w:val="20"/>
                <w:szCs w:val="20"/>
              </w:rPr>
              <w:t>monitoring</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decision</w:t>
            </w:r>
            <w:r w:rsidR="00900061" w:rsidRPr="00E168A1">
              <w:rPr>
                <w:rFonts w:ascii="Times New Roman" w:hAnsi="Times New Roman"/>
                <w:sz w:val="20"/>
                <w:szCs w:val="20"/>
              </w:rPr>
              <w:t xml:space="preserve"> </w:t>
            </w:r>
            <w:r w:rsidRPr="00E168A1">
              <w:rPr>
                <w:rFonts w:ascii="Times New Roman" w:hAnsi="Times New Roman"/>
                <w:sz w:val="20"/>
                <w:szCs w:val="20"/>
              </w:rPr>
              <w:t>making</w:t>
            </w:r>
          </w:p>
        </w:tc>
        <w:tc>
          <w:tcPr>
            <w:tcW w:w="2114" w:type="pct"/>
            <w:shd w:val="clear" w:color="auto" w:fill="auto"/>
          </w:tcPr>
          <w:p w14:paraId="0266C403"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Specify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frequency,</w:t>
            </w:r>
            <w:r w:rsidR="00900061" w:rsidRPr="00E168A1">
              <w:rPr>
                <w:rFonts w:ascii="Times New Roman" w:hAnsi="Times New Roman"/>
                <w:sz w:val="20"/>
                <w:szCs w:val="20"/>
              </w:rPr>
              <w:t xml:space="preserve"> </w:t>
            </w:r>
            <w:r w:rsidRPr="00E168A1">
              <w:rPr>
                <w:rFonts w:ascii="Times New Roman" w:hAnsi="Times New Roman"/>
                <w:sz w:val="20"/>
                <w:szCs w:val="20"/>
              </w:rPr>
              <w:t>scope</w:t>
            </w:r>
            <w:r w:rsidR="00BA2737" w:rsidRPr="00E168A1">
              <w:rPr>
                <w:rFonts w:ascii="Times New Roman" w:hAnsi="Times New Roman"/>
                <w:sz w:val="20"/>
                <w:szCs w:val="20"/>
              </w:rPr>
              <w:t>,</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level</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detail</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reporting</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participating</w:t>
            </w:r>
            <w:r w:rsidR="00900061" w:rsidRPr="00E168A1">
              <w:rPr>
                <w:rFonts w:ascii="Times New Roman" w:hAnsi="Times New Roman"/>
                <w:sz w:val="20"/>
                <w:szCs w:val="20"/>
              </w:rPr>
              <w:t xml:space="preserve"> </w:t>
            </w:r>
            <w:r w:rsidRPr="00E168A1">
              <w:rPr>
                <w:rFonts w:ascii="Times New Roman" w:hAnsi="Times New Roman"/>
                <w:sz w:val="20"/>
                <w:szCs w:val="20"/>
              </w:rPr>
              <w:t>institutions</w:t>
            </w:r>
            <w:r w:rsidR="00900061" w:rsidRPr="00E168A1">
              <w:rPr>
                <w:rFonts w:ascii="Times New Roman" w:hAnsi="Times New Roman"/>
                <w:sz w:val="20"/>
                <w:szCs w:val="20"/>
              </w:rPr>
              <w:t xml:space="preserve"> </w:t>
            </w:r>
          </w:p>
          <w:p w14:paraId="3B7A5FA9" w14:textId="77777777" w:rsidR="00CA575C" w:rsidRPr="00E168A1" w:rsidRDefault="00CA575C" w:rsidP="00D446FB">
            <w:pPr>
              <w:tabs>
                <w:tab w:val="left" w:pos="0"/>
              </w:tabs>
              <w:rPr>
                <w:rFonts w:ascii="Times New Roman" w:hAnsi="Times New Roman"/>
                <w:sz w:val="20"/>
                <w:szCs w:val="20"/>
              </w:rPr>
            </w:pPr>
          </w:p>
          <w:p w14:paraId="60B4B58E" w14:textId="18599DCC"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Reporting</w:t>
            </w:r>
            <w:r w:rsidR="00900061" w:rsidRPr="00E168A1">
              <w:rPr>
                <w:rFonts w:ascii="Times New Roman" w:hAnsi="Times New Roman"/>
                <w:sz w:val="20"/>
                <w:szCs w:val="20"/>
              </w:rPr>
              <w:t xml:space="preserve"> </w:t>
            </w:r>
            <w:r w:rsidRPr="00E168A1">
              <w:rPr>
                <w:rFonts w:ascii="Times New Roman" w:hAnsi="Times New Roman"/>
                <w:sz w:val="20"/>
                <w:szCs w:val="20"/>
              </w:rPr>
              <w:t>system</w:t>
            </w:r>
            <w:r w:rsidR="00900061" w:rsidRPr="00E168A1">
              <w:rPr>
                <w:rFonts w:ascii="Times New Roman" w:hAnsi="Times New Roman"/>
                <w:sz w:val="20"/>
                <w:szCs w:val="20"/>
              </w:rPr>
              <w:t xml:space="preserve"> </w:t>
            </w:r>
            <w:r w:rsidRPr="00E168A1">
              <w:rPr>
                <w:rFonts w:ascii="Times New Roman" w:hAnsi="Times New Roman"/>
                <w:sz w:val="20"/>
                <w:szCs w:val="20"/>
              </w:rPr>
              <w:t>entails</w:t>
            </w:r>
            <w:r w:rsidR="00900061" w:rsidRPr="00E168A1">
              <w:rPr>
                <w:rFonts w:ascii="Times New Roman" w:hAnsi="Times New Roman"/>
                <w:sz w:val="20"/>
                <w:szCs w:val="20"/>
              </w:rPr>
              <w:t xml:space="preserve"> </w:t>
            </w:r>
            <w:r w:rsidRPr="00E168A1">
              <w:rPr>
                <w:rFonts w:ascii="Times New Roman" w:hAnsi="Times New Roman"/>
                <w:sz w:val="20"/>
                <w:szCs w:val="20"/>
              </w:rPr>
              <w:t>reconciliation</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implementing</w:t>
            </w:r>
            <w:r w:rsidR="00900061" w:rsidRPr="00E168A1">
              <w:rPr>
                <w:rFonts w:ascii="Times New Roman" w:hAnsi="Times New Roman"/>
                <w:sz w:val="20"/>
                <w:szCs w:val="20"/>
              </w:rPr>
              <w:t xml:space="preserve"> </w:t>
            </w:r>
            <w:r w:rsidRPr="00E168A1">
              <w:rPr>
                <w:rFonts w:ascii="Times New Roman" w:hAnsi="Times New Roman"/>
                <w:sz w:val="20"/>
                <w:szCs w:val="20"/>
              </w:rPr>
              <w:t>entities’</w:t>
            </w:r>
            <w:r w:rsidR="00900061" w:rsidRPr="00E168A1">
              <w:rPr>
                <w:rFonts w:ascii="Times New Roman" w:hAnsi="Times New Roman"/>
                <w:sz w:val="20"/>
                <w:szCs w:val="20"/>
              </w:rPr>
              <w:t xml:space="preserve"> </w:t>
            </w:r>
            <w:r w:rsidRPr="00E168A1">
              <w:rPr>
                <w:rFonts w:ascii="Times New Roman" w:hAnsi="Times New Roman"/>
                <w:sz w:val="20"/>
                <w:szCs w:val="20"/>
              </w:rPr>
              <w:t>accounting</w:t>
            </w:r>
            <w:r w:rsidR="00900061" w:rsidRPr="00E168A1">
              <w:rPr>
                <w:rFonts w:ascii="Times New Roman" w:hAnsi="Times New Roman"/>
                <w:sz w:val="20"/>
                <w:szCs w:val="20"/>
              </w:rPr>
              <w:t xml:space="preserve"> </w:t>
            </w:r>
            <w:r w:rsidRPr="00E168A1">
              <w:rPr>
                <w:rFonts w:ascii="Times New Roman" w:hAnsi="Times New Roman"/>
                <w:sz w:val="20"/>
                <w:szCs w:val="20"/>
              </w:rPr>
              <w:t>records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00CA575C" w:rsidRPr="00E168A1">
              <w:rPr>
                <w:rFonts w:ascii="Times New Roman" w:hAnsi="Times New Roman"/>
                <w:sz w:val="20"/>
                <w:szCs w:val="20"/>
              </w:rPr>
              <w:t>the TML</w:t>
            </w:r>
            <w:r w:rsidRPr="00E168A1">
              <w:rPr>
                <w:rFonts w:ascii="Times New Roman" w:hAnsi="Times New Roman"/>
                <w:sz w:val="20"/>
                <w:szCs w:val="20"/>
              </w:rPr>
              <w:t>,</w:t>
            </w:r>
            <w:r w:rsidR="00900061" w:rsidRPr="00E168A1">
              <w:rPr>
                <w:rFonts w:ascii="Times New Roman" w:hAnsi="Times New Roman"/>
                <w:sz w:val="20"/>
                <w:szCs w:val="20"/>
              </w:rPr>
              <w:t xml:space="preserve"> </w:t>
            </w:r>
            <w:r w:rsidRPr="00E168A1">
              <w:rPr>
                <w:rFonts w:ascii="Times New Roman" w:hAnsi="Times New Roman"/>
                <w:sz w:val="20"/>
                <w:szCs w:val="20"/>
              </w:rPr>
              <w:t>constituting</w:t>
            </w:r>
            <w:r w:rsidR="00900061" w:rsidRPr="00E168A1">
              <w:rPr>
                <w:rFonts w:ascii="Times New Roman" w:hAnsi="Times New Roman"/>
                <w:sz w:val="20"/>
                <w:szCs w:val="20"/>
              </w:rPr>
              <w:t xml:space="preserve"> </w:t>
            </w:r>
            <w:r w:rsidR="00D446FB" w:rsidRPr="00E168A1">
              <w:rPr>
                <w:rFonts w:ascii="Times New Roman" w:hAnsi="Times New Roman"/>
                <w:sz w:val="20"/>
                <w:szCs w:val="20"/>
              </w:rPr>
              <w:t xml:space="preserve">a </w:t>
            </w:r>
            <w:r w:rsidRPr="00E168A1">
              <w:rPr>
                <w:rFonts w:ascii="Times New Roman" w:hAnsi="Times New Roman"/>
                <w:sz w:val="20"/>
                <w:szCs w:val="20"/>
              </w:rPr>
              <w:t>double</w:t>
            </w:r>
            <w:r w:rsidR="00900061" w:rsidRPr="00E168A1">
              <w:rPr>
                <w:rFonts w:ascii="Times New Roman" w:hAnsi="Times New Roman"/>
                <w:sz w:val="20"/>
                <w:szCs w:val="20"/>
              </w:rPr>
              <w:t xml:space="preserve"> </w:t>
            </w:r>
            <w:r w:rsidRPr="00E168A1">
              <w:rPr>
                <w:rFonts w:ascii="Times New Roman" w:hAnsi="Times New Roman"/>
                <w:sz w:val="20"/>
                <w:szCs w:val="20"/>
              </w:rPr>
              <w:t>layer</w:t>
            </w:r>
            <w:r w:rsidR="00900061" w:rsidRPr="00E168A1">
              <w:rPr>
                <w:rFonts w:ascii="Times New Roman" w:hAnsi="Times New Roman"/>
                <w:sz w:val="20"/>
                <w:szCs w:val="20"/>
              </w:rPr>
              <w:t xml:space="preserve"> </w:t>
            </w:r>
            <w:r w:rsidRPr="00E168A1">
              <w:rPr>
                <w:rFonts w:ascii="Times New Roman" w:hAnsi="Times New Roman"/>
                <w:sz w:val="20"/>
                <w:szCs w:val="20"/>
              </w:rPr>
              <w:t>reporting</w:t>
            </w:r>
            <w:r w:rsidR="00900061" w:rsidRPr="00E168A1">
              <w:rPr>
                <w:rFonts w:ascii="Times New Roman" w:hAnsi="Times New Roman"/>
                <w:sz w:val="20"/>
                <w:szCs w:val="20"/>
              </w:rPr>
              <w:t xml:space="preserve"> </w:t>
            </w:r>
            <w:r w:rsidRPr="00E168A1">
              <w:rPr>
                <w:rFonts w:ascii="Times New Roman" w:hAnsi="Times New Roman"/>
                <w:sz w:val="20"/>
                <w:szCs w:val="20"/>
              </w:rPr>
              <w:t>mechanism</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system</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controls</w:t>
            </w:r>
          </w:p>
          <w:p w14:paraId="0FA5ED4B" w14:textId="77777777" w:rsidR="00324243" w:rsidRPr="00E168A1" w:rsidRDefault="00324243" w:rsidP="00D446FB">
            <w:pPr>
              <w:tabs>
                <w:tab w:val="left" w:pos="0"/>
              </w:tabs>
              <w:rPr>
                <w:rFonts w:ascii="Times New Roman" w:hAnsi="Times New Roman"/>
                <w:sz w:val="20"/>
                <w:szCs w:val="20"/>
              </w:rPr>
            </w:pPr>
          </w:p>
          <w:p w14:paraId="6B8D0E84"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financial</w:t>
            </w:r>
            <w:r w:rsidR="00900061" w:rsidRPr="00E168A1">
              <w:rPr>
                <w:rFonts w:ascii="Times New Roman" w:hAnsi="Times New Roman"/>
                <w:sz w:val="20"/>
                <w:szCs w:val="20"/>
              </w:rPr>
              <w:t xml:space="preserve"> </w:t>
            </w:r>
            <w:r w:rsidRPr="00E168A1">
              <w:rPr>
                <w:rFonts w:ascii="Times New Roman" w:hAnsi="Times New Roman"/>
                <w:sz w:val="20"/>
                <w:szCs w:val="20"/>
              </w:rPr>
              <w:t>statements</w:t>
            </w:r>
            <w:r w:rsidR="00900061" w:rsidRPr="00E168A1">
              <w:rPr>
                <w:rFonts w:ascii="Times New Roman" w:hAnsi="Times New Roman"/>
                <w:sz w:val="20"/>
                <w:szCs w:val="20"/>
              </w:rPr>
              <w:t xml:space="preserve"> </w:t>
            </w:r>
            <w:r w:rsidRPr="00E168A1">
              <w:rPr>
                <w:rFonts w:ascii="Times New Roman" w:hAnsi="Times New Roman"/>
                <w:sz w:val="20"/>
                <w:szCs w:val="20"/>
              </w:rPr>
              <w:t>audited</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SAI</w:t>
            </w:r>
          </w:p>
        </w:tc>
      </w:tr>
      <w:tr w:rsidR="004550AA" w:rsidRPr="00E168A1" w14:paraId="221BC0EF" w14:textId="77777777" w:rsidTr="003751E5">
        <w:tc>
          <w:tcPr>
            <w:tcW w:w="5000" w:type="pct"/>
            <w:gridSpan w:val="3"/>
            <w:shd w:val="clear" w:color="auto" w:fill="auto"/>
            <w:vAlign w:val="center"/>
          </w:tcPr>
          <w:p w14:paraId="57603D47" w14:textId="77777777" w:rsidR="004550AA" w:rsidRPr="00E168A1" w:rsidRDefault="004550AA" w:rsidP="003751E5">
            <w:pPr>
              <w:tabs>
                <w:tab w:val="left" w:pos="0"/>
                <w:tab w:val="left" w:pos="1144"/>
              </w:tabs>
              <w:rPr>
                <w:rFonts w:ascii="Times New Roman" w:hAnsi="Times New Roman"/>
                <w:sz w:val="20"/>
                <w:szCs w:val="20"/>
              </w:rPr>
            </w:pPr>
            <w:r w:rsidRPr="00E168A1">
              <w:rPr>
                <w:rFonts w:ascii="Times New Roman" w:hAnsi="Times New Roman"/>
                <w:b/>
                <w:sz w:val="20"/>
                <w:szCs w:val="20"/>
              </w:rPr>
              <w:t>Treasury</w:t>
            </w:r>
            <w:r w:rsidR="00900061" w:rsidRPr="00A90FD9">
              <w:rPr>
                <w:rFonts w:ascii="Times New Roman" w:hAnsi="Times New Roman"/>
                <w:b/>
                <w:sz w:val="20"/>
                <w:szCs w:val="20"/>
              </w:rPr>
              <w:t xml:space="preserve"> </w:t>
            </w:r>
            <w:r w:rsidRPr="00A90FD9">
              <w:rPr>
                <w:rFonts w:ascii="Times New Roman" w:hAnsi="Times New Roman"/>
                <w:b/>
                <w:sz w:val="20"/>
                <w:szCs w:val="20"/>
              </w:rPr>
              <w:t>Management</w:t>
            </w:r>
            <w:r w:rsidR="00900061" w:rsidRPr="00E67C6B">
              <w:rPr>
                <w:rFonts w:ascii="Times New Roman" w:hAnsi="Times New Roman"/>
                <w:b/>
                <w:sz w:val="20"/>
                <w:szCs w:val="20"/>
              </w:rPr>
              <w:t xml:space="preserve"> </w:t>
            </w:r>
            <w:r w:rsidRPr="002C47D7">
              <w:rPr>
                <w:rFonts w:ascii="Times New Roman" w:hAnsi="Times New Roman"/>
                <w:b/>
                <w:sz w:val="20"/>
                <w:szCs w:val="20"/>
              </w:rPr>
              <w:t>and</w:t>
            </w:r>
            <w:r w:rsidR="00900061" w:rsidRPr="005769EE">
              <w:rPr>
                <w:rFonts w:ascii="Times New Roman" w:hAnsi="Times New Roman"/>
                <w:b/>
                <w:sz w:val="20"/>
                <w:szCs w:val="20"/>
              </w:rPr>
              <w:t xml:space="preserve"> </w:t>
            </w:r>
            <w:r w:rsidRPr="00E168A1">
              <w:rPr>
                <w:rFonts w:ascii="Times New Roman" w:hAnsi="Times New Roman"/>
                <w:b/>
                <w:sz w:val="20"/>
                <w:szCs w:val="20"/>
              </w:rPr>
              <w:t>Funds</w:t>
            </w:r>
            <w:r w:rsidR="00900061" w:rsidRPr="00E168A1">
              <w:rPr>
                <w:rFonts w:ascii="Times New Roman" w:hAnsi="Times New Roman"/>
                <w:b/>
                <w:sz w:val="20"/>
                <w:szCs w:val="20"/>
              </w:rPr>
              <w:t xml:space="preserve"> </w:t>
            </w:r>
            <w:r w:rsidRPr="00E168A1">
              <w:rPr>
                <w:rFonts w:ascii="Times New Roman" w:hAnsi="Times New Roman"/>
                <w:b/>
                <w:sz w:val="20"/>
                <w:szCs w:val="20"/>
              </w:rPr>
              <w:t>Flow</w:t>
            </w:r>
          </w:p>
        </w:tc>
      </w:tr>
      <w:tr w:rsidR="004550AA" w:rsidRPr="00E168A1" w14:paraId="04B9D17A" w14:textId="77777777" w:rsidTr="00D446FB">
        <w:tc>
          <w:tcPr>
            <w:tcW w:w="1289" w:type="pct"/>
            <w:shd w:val="clear" w:color="auto" w:fill="auto"/>
          </w:tcPr>
          <w:p w14:paraId="1DC55922" w14:textId="41075D7F" w:rsidR="004550AA" w:rsidRPr="00E168A1" w:rsidRDefault="004550AA" w:rsidP="00D446FB">
            <w:pPr>
              <w:tabs>
                <w:tab w:val="left" w:pos="0"/>
              </w:tabs>
              <w:ind w:left="49"/>
              <w:rPr>
                <w:rFonts w:ascii="Times New Roman" w:hAnsi="Times New Roman"/>
                <w:sz w:val="20"/>
                <w:szCs w:val="20"/>
              </w:rPr>
            </w:pPr>
            <w:r w:rsidRPr="00E168A1">
              <w:rPr>
                <w:rFonts w:ascii="Times New Roman" w:hAnsi="Times New Roman"/>
                <w:sz w:val="20"/>
                <w:szCs w:val="20"/>
              </w:rPr>
              <w:t>Delays</w:t>
            </w:r>
            <w:r w:rsidR="00900061" w:rsidRPr="00A90FD9">
              <w:rPr>
                <w:rFonts w:ascii="Times New Roman" w:hAnsi="Times New Roman"/>
                <w:sz w:val="20"/>
                <w:szCs w:val="20"/>
              </w:rPr>
              <w:t xml:space="preserve"> </w:t>
            </w:r>
            <w:r w:rsidRPr="00A90FD9">
              <w:rPr>
                <w:rFonts w:ascii="Times New Roman" w:hAnsi="Times New Roman"/>
                <w:sz w:val="20"/>
                <w:szCs w:val="20"/>
              </w:rPr>
              <w:t>in</w:t>
            </w:r>
            <w:r w:rsidR="00900061" w:rsidRPr="00E67C6B">
              <w:rPr>
                <w:rFonts w:ascii="Times New Roman" w:hAnsi="Times New Roman"/>
                <w:sz w:val="20"/>
                <w:szCs w:val="20"/>
              </w:rPr>
              <w:t xml:space="preserve"> </w:t>
            </w:r>
            <w:r w:rsidRPr="002C47D7">
              <w:rPr>
                <w:rFonts w:ascii="Times New Roman" w:hAnsi="Times New Roman"/>
                <w:sz w:val="20"/>
                <w:szCs w:val="20"/>
              </w:rPr>
              <w:t>releasing</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insufficient</w:t>
            </w:r>
            <w:r w:rsidR="00900061" w:rsidRPr="00E168A1">
              <w:rPr>
                <w:rFonts w:ascii="Times New Roman" w:hAnsi="Times New Roman"/>
                <w:sz w:val="20"/>
                <w:szCs w:val="20"/>
              </w:rPr>
              <w:t xml:space="preserve"> </w:t>
            </w:r>
            <w:r w:rsidR="00907465" w:rsidRPr="00E168A1">
              <w:rPr>
                <w:rFonts w:ascii="Times New Roman" w:hAnsi="Times New Roman"/>
                <w:sz w:val="20"/>
                <w:szCs w:val="20"/>
              </w:rPr>
              <w:t>g</w:t>
            </w:r>
            <w:r w:rsidRPr="00E168A1">
              <w:rPr>
                <w:rFonts w:ascii="Times New Roman" w:hAnsi="Times New Roman"/>
                <w:sz w:val="20"/>
                <w:szCs w:val="20"/>
              </w:rPr>
              <w:t>overnment</w:t>
            </w:r>
            <w:r w:rsidR="00900061" w:rsidRPr="00E168A1">
              <w:rPr>
                <w:rFonts w:ascii="Times New Roman" w:hAnsi="Times New Roman"/>
                <w:sz w:val="20"/>
                <w:szCs w:val="20"/>
              </w:rPr>
              <w:t xml:space="preserve"> </w:t>
            </w:r>
            <w:r w:rsidRPr="00E168A1">
              <w:rPr>
                <w:rFonts w:ascii="Times New Roman" w:hAnsi="Times New Roman"/>
                <w:sz w:val="20"/>
                <w:szCs w:val="20"/>
              </w:rPr>
              <w:t>funds</w:t>
            </w:r>
          </w:p>
        </w:tc>
        <w:tc>
          <w:tcPr>
            <w:tcW w:w="1597" w:type="pct"/>
            <w:shd w:val="clear" w:color="auto" w:fill="auto"/>
          </w:tcPr>
          <w:p w14:paraId="36F92BB1"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Insufficient</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available</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implementation</w:t>
            </w:r>
          </w:p>
        </w:tc>
        <w:tc>
          <w:tcPr>
            <w:tcW w:w="2114" w:type="pct"/>
            <w:shd w:val="clear" w:color="auto" w:fill="auto"/>
          </w:tcPr>
          <w:p w14:paraId="100E03F0" w14:textId="2EAB4CE2"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Commitment</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2A33C2" w:rsidRPr="00E168A1">
              <w:rPr>
                <w:rFonts w:ascii="Times New Roman" w:hAnsi="Times New Roman"/>
                <w:sz w:val="20"/>
                <w:szCs w:val="20"/>
              </w:rPr>
              <w:t>g</w:t>
            </w:r>
            <w:r w:rsidRPr="00E168A1">
              <w:rPr>
                <w:rFonts w:ascii="Times New Roman" w:hAnsi="Times New Roman"/>
                <w:sz w:val="20"/>
                <w:szCs w:val="20"/>
              </w:rPr>
              <w:t>overnment</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ensure</w:t>
            </w:r>
            <w:r w:rsidR="00900061" w:rsidRPr="00E168A1">
              <w:rPr>
                <w:rFonts w:ascii="Times New Roman" w:hAnsi="Times New Roman"/>
                <w:sz w:val="20"/>
                <w:szCs w:val="20"/>
              </w:rPr>
              <w:t xml:space="preserve"> </w:t>
            </w:r>
            <w:r w:rsidRPr="00E168A1">
              <w:rPr>
                <w:rFonts w:ascii="Times New Roman" w:hAnsi="Times New Roman"/>
                <w:sz w:val="20"/>
                <w:szCs w:val="20"/>
              </w:rPr>
              <w:t>adequate</w:t>
            </w:r>
            <w:r w:rsidR="00900061" w:rsidRPr="00E168A1">
              <w:rPr>
                <w:rFonts w:ascii="Times New Roman" w:hAnsi="Times New Roman"/>
                <w:sz w:val="20"/>
                <w:szCs w:val="20"/>
              </w:rPr>
              <w:t xml:space="preserve"> </w:t>
            </w:r>
            <w:r w:rsidRPr="00E168A1">
              <w:rPr>
                <w:rFonts w:ascii="Times New Roman" w:hAnsi="Times New Roman"/>
                <w:sz w:val="20"/>
                <w:szCs w:val="20"/>
              </w:rPr>
              <w:t>funding</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improvements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commitment</w:t>
            </w:r>
            <w:r w:rsidR="00900061" w:rsidRPr="00E168A1">
              <w:rPr>
                <w:rFonts w:ascii="Times New Roman" w:hAnsi="Times New Roman"/>
                <w:sz w:val="20"/>
                <w:szCs w:val="20"/>
              </w:rPr>
              <w:t xml:space="preserve"> </w:t>
            </w:r>
            <w:r w:rsidRPr="00E168A1">
              <w:rPr>
                <w:rFonts w:ascii="Times New Roman" w:hAnsi="Times New Roman"/>
                <w:sz w:val="20"/>
                <w:szCs w:val="20"/>
              </w:rPr>
              <w:t>control</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cash</w:t>
            </w:r>
            <w:r w:rsidR="00900061" w:rsidRPr="00E168A1">
              <w:rPr>
                <w:rFonts w:ascii="Times New Roman" w:hAnsi="Times New Roman"/>
                <w:sz w:val="20"/>
                <w:szCs w:val="20"/>
              </w:rPr>
              <w:t xml:space="preserve"> </w:t>
            </w:r>
            <w:r w:rsidRPr="00E168A1">
              <w:rPr>
                <w:rFonts w:ascii="Times New Roman" w:hAnsi="Times New Roman"/>
                <w:sz w:val="20"/>
                <w:szCs w:val="20"/>
              </w:rPr>
              <w:t>management</w:t>
            </w:r>
            <w:r w:rsidR="00900061" w:rsidRPr="00E168A1">
              <w:rPr>
                <w:rFonts w:ascii="Times New Roman" w:hAnsi="Times New Roman"/>
                <w:sz w:val="20"/>
                <w:szCs w:val="20"/>
              </w:rPr>
              <w:t xml:space="preserve"> </w:t>
            </w:r>
            <w:r w:rsidRPr="00E168A1">
              <w:rPr>
                <w:rFonts w:ascii="Times New Roman" w:hAnsi="Times New Roman"/>
                <w:sz w:val="20"/>
                <w:szCs w:val="20"/>
              </w:rPr>
              <w:t>through</w:t>
            </w:r>
            <w:r w:rsidR="00900061" w:rsidRPr="00E168A1">
              <w:rPr>
                <w:rFonts w:ascii="Times New Roman" w:hAnsi="Times New Roman"/>
                <w:sz w:val="20"/>
                <w:szCs w:val="20"/>
              </w:rPr>
              <w:t xml:space="preserve"> </w:t>
            </w:r>
            <w:r w:rsidRPr="00E168A1">
              <w:rPr>
                <w:rFonts w:ascii="Times New Roman" w:hAnsi="Times New Roman"/>
                <w:sz w:val="20"/>
                <w:szCs w:val="20"/>
              </w:rPr>
              <w:t>technical</w:t>
            </w:r>
            <w:r w:rsidR="00900061" w:rsidRPr="00E168A1">
              <w:rPr>
                <w:rFonts w:ascii="Times New Roman" w:hAnsi="Times New Roman"/>
                <w:sz w:val="20"/>
                <w:szCs w:val="20"/>
              </w:rPr>
              <w:t xml:space="preserve"> </w:t>
            </w:r>
            <w:r w:rsidRPr="00E168A1">
              <w:rPr>
                <w:rFonts w:ascii="Times New Roman" w:hAnsi="Times New Roman"/>
                <w:sz w:val="20"/>
                <w:szCs w:val="20"/>
              </w:rPr>
              <w:t>part</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B00FFC" w:rsidRPr="00E168A1">
              <w:rPr>
                <w:rFonts w:ascii="Times New Roman" w:hAnsi="Times New Roman"/>
                <w:sz w:val="20"/>
                <w:szCs w:val="20"/>
              </w:rPr>
              <w:t>P</w:t>
            </w:r>
            <w:r w:rsidRPr="00E168A1">
              <w:rPr>
                <w:rFonts w:ascii="Times New Roman" w:hAnsi="Times New Roman"/>
                <w:sz w:val="20"/>
                <w:szCs w:val="20"/>
              </w:rPr>
              <w:t>rogram</w:t>
            </w:r>
          </w:p>
        </w:tc>
      </w:tr>
      <w:tr w:rsidR="004550AA" w:rsidRPr="00E168A1" w14:paraId="63876447" w14:textId="77777777" w:rsidTr="003751E5">
        <w:tc>
          <w:tcPr>
            <w:tcW w:w="5000" w:type="pct"/>
            <w:gridSpan w:val="3"/>
            <w:shd w:val="clear" w:color="auto" w:fill="auto"/>
            <w:vAlign w:val="center"/>
          </w:tcPr>
          <w:p w14:paraId="67A5ED24" w14:textId="77777777" w:rsidR="004550AA" w:rsidRPr="00E168A1" w:rsidRDefault="004550AA" w:rsidP="003751E5">
            <w:pPr>
              <w:tabs>
                <w:tab w:val="left" w:pos="0"/>
              </w:tabs>
              <w:rPr>
                <w:rFonts w:ascii="Times New Roman" w:hAnsi="Times New Roman"/>
                <w:sz w:val="20"/>
                <w:szCs w:val="20"/>
              </w:rPr>
            </w:pPr>
            <w:r w:rsidRPr="00E168A1">
              <w:rPr>
                <w:rFonts w:ascii="Times New Roman" w:hAnsi="Times New Roman"/>
                <w:b/>
                <w:sz w:val="20"/>
                <w:szCs w:val="20"/>
              </w:rPr>
              <w:t>Internal</w:t>
            </w:r>
            <w:r w:rsidR="00900061" w:rsidRPr="00A90FD9">
              <w:rPr>
                <w:rFonts w:ascii="Times New Roman" w:hAnsi="Times New Roman"/>
                <w:b/>
                <w:sz w:val="20"/>
                <w:szCs w:val="20"/>
              </w:rPr>
              <w:t xml:space="preserve"> </w:t>
            </w:r>
            <w:r w:rsidRPr="00A90FD9">
              <w:rPr>
                <w:rFonts w:ascii="Times New Roman" w:hAnsi="Times New Roman"/>
                <w:b/>
                <w:sz w:val="20"/>
                <w:szCs w:val="20"/>
              </w:rPr>
              <w:t>Controls</w:t>
            </w:r>
            <w:r w:rsidR="00900061" w:rsidRPr="00E67C6B">
              <w:rPr>
                <w:rFonts w:ascii="Times New Roman" w:hAnsi="Times New Roman"/>
                <w:b/>
                <w:sz w:val="20"/>
                <w:szCs w:val="20"/>
              </w:rPr>
              <w:t xml:space="preserve"> </w:t>
            </w:r>
            <w:r w:rsidRPr="002C47D7">
              <w:rPr>
                <w:rFonts w:ascii="Times New Roman" w:hAnsi="Times New Roman"/>
                <w:b/>
                <w:sz w:val="20"/>
                <w:szCs w:val="20"/>
              </w:rPr>
              <w:t>and</w:t>
            </w:r>
            <w:r w:rsidR="00900061" w:rsidRPr="005769EE">
              <w:rPr>
                <w:rFonts w:ascii="Times New Roman" w:hAnsi="Times New Roman"/>
                <w:b/>
                <w:sz w:val="20"/>
                <w:szCs w:val="20"/>
              </w:rPr>
              <w:t xml:space="preserve"> </w:t>
            </w:r>
            <w:r w:rsidRPr="00E168A1">
              <w:rPr>
                <w:rFonts w:ascii="Times New Roman" w:hAnsi="Times New Roman"/>
                <w:b/>
                <w:sz w:val="20"/>
                <w:szCs w:val="20"/>
              </w:rPr>
              <w:t>Internal</w:t>
            </w:r>
            <w:r w:rsidR="00900061" w:rsidRPr="00E168A1">
              <w:rPr>
                <w:rFonts w:ascii="Times New Roman" w:hAnsi="Times New Roman"/>
                <w:b/>
                <w:sz w:val="20"/>
                <w:szCs w:val="20"/>
              </w:rPr>
              <w:t xml:space="preserve"> </w:t>
            </w:r>
            <w:r w:rsidRPr="00E168A1">
              <w:rPr>
                <w:rFonts w:ascii="Times New Roman" w:hAnsi="Times New Roman"/>
                <w:b/>
                <w:sz w:val="20"/>
                <w:szCs w:val="20"/>
              </w:rPr>
              <w:t>Audit</w:t>
            </w:r>
          </w:p>
        </w:tc>
      </w:tr>
      <w:tr w:rsidR="004550AA" w:rsidRPr="00E168A1" w14:paraId="20F067AF" w14:textId="77777777" w:rsidTr="00D446FB">
        <w:tc>
          <w:tcPr>
            <w:tcW w:w="1289" w:type="pct"/>
            <w:shd w:val="clear" w:color="auto" w:fill="auto"/>
          </w:tcPr>
          <w:p w14:paraId="5C1EEEB4" w14:textId="77777777" w:rsidR="004550AA" w:rsidRPr="00E168A1" w:rsidRDefault="004550AA" w:rsidP="00D446FB">
            <w:pPr>
              <w:tabs>
                <w:tab w:val="left" w:pos="0"/>
              </w:tabs>
              <w:ind w:left="49"/>
              <w:rPr>
                <w:rFonts w:ascii="Times New Roman" w:hAnsi="Times New Roman"/>
                <w:sz w:val="20"/>
                <w:szCs w:val="20"/>
              </w:rPr>
            </w:pPr>
            <w:r w:rsidRPr="00E168A1">
              <w:rPr>
                <w:rFonts w:ascii="Times New Roman" w:hAnsi="Times New Roman"/>
                <w:color w:val="000000"/>
                <w:sz w:val="20"/>
                <w:szCs w:val="20"/>
              </w:rPr>
              <w:t>Weaknesses</w:t>
            </w:r>
            <w:r w:rsidR="00900061" w:rsidRPr="00A90FD9">
              <w:rPr>
                <w:rFonts w:ascii="Times New Roman" w:hAnsi="Times New Roman"/>
                <w:color w:val="000000"/>
                <w:sz w:val="20"/>
                <w:szCs w:val="20"/>
              </w:rPr>
              <w:t xml:space="preserve"> </w:t>
            </w:r>
            <w:r w:rsidRPr="00A90FD9">
              <w:rPr>
                <w:rFonts w:ascii="Times New Roman" w:hAnsi="Times New Roman"/>
                <w:color w:val="000000"/>
                <w:sz w:val="20"/>
                <w:szCs w:val="20"/>
              </w:rPr>
              <w:t>in</w:t>
            </w:r>
            <w:r w:rsidR="00900061" w:rsidRPr="00E67C6B">
              <w:rPr>
                <w:rFonts w:ascii="Times New Roman" w:hAnsi="Times New Roman"/>
                <w:color w:val="000000"/>
                <w:sz w:val="20"/>
                <w:szCs w:val="20"/>
              </w:rPr>
              <w:t xml:space="preserve"> </w:t>
            </w:r>
            <w:r w:rsidRPr="002C47D7">
              <w:rPr>
                <w:rFonts w:ascii="Times New Roman" w:hAnsi="Times New Roman"/>
                <w:color w:val="000000"/>
                <w:sz w:val="20"/>
                <w:szCs w:val="20"/>
              </w:rPr>
              <w:t>internal</w:t>
            </w:r>
            <w:r w:rsidR="00900061" w:rsidRPr="005769EE">
              <w:rPr>
                <w:rFonts w:ascii="Times New Roman" w:hAnsi="Times New Roman"/>
                <w:color w:val="000000"/>
                <w:sz w:val="20"/>
                <w:szCs w:val="20"/>
              </w:rPr>
              <w:t xml:space="preserve"> </w:t>
            </w:r>
            <w:r w:rsidRPr="00E168A1">
              <w:rPr>
                <w:rFonts w:ascii="Times New Roman" w:hAnsi="Times New Roman"/>
                <w:color w:val="000000"/>
                <w:sz w:val="20"/>
                <w:szCs w:val="20"/>
              </w:rPr>
              <w:t>control</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systems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and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cases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accountability</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funds</w:t>
            </w:r>
            <w:r w:rsidR="00900061" w:rsidRPr="00E168A1">
              <w:rPr>
                <w:rFonts w:ascii="Times New Roman" w:hAnsi="Times New Roman"/>
                <w:color w:val="000000"/>
                <w:sz w:val="20"/>
                <w:szCs w:val="20"/>
              </w:rPr>
              <w:t xml:space="preserve"> </w:t>
            </w:r>
          </w:p>
        </w:tc>
        <w:tc>
          <w:tcPr>
            <w:tcW w:w="1597" w:type="pct"/>
            <w:shd w:val="clear" w:color="auto" w:fill="auto"/>
          </w:tcPr>
          <w:p w14:paraId="29B85359" w14:textId="7CB13B96"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Risk</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not</w:t>
            </w:r>
            <w:r w:rsidR="00900061" w:rsidRPr="00E168A1">
              <w:rPr>
                <w:rFonts w:ascii="Times New Roman" w:hAnsi="Times New Roman"/>
                <w:sz w:val="20"/>
                <w:szCs w:val="20"/>
              </w:rPr>
              <w:t xml:space="preserve"> </w:t>
            </w:r>
            <w:r w:rsidRPr="00E168A1">
              <w:rPr>
                <w:rFonts w:ascii="Times New Roman" w:hAnsi="Times New Roman"/>
                <w:sz w:val="20"/>
                <w:szCs w:val="20"/>
              </w:rPr>
              <w:t>being</w:t>
            </w:r>
            <w:r w:rsidR="00900061" w:rsidRPr="00E168A1">
              <w:rPr>
                <w:rFonts w:ascii="Times New Roman" w:hAnsi="Times New Roman"/>
                <w:sz w:val="20"/>
                <w:szCs w:val="20"/>
              </w:rPr>
              <w:t xml:space="preserve"> </w:t>
            </w:r>
            <w:r w:rsidRPr="00E168A1">
              <w:rPr>
                <w:rFonts w:ascii="Times New Roman" w:hAnsi="Times New Roman"/>
                <w:sz w:val="20"/>
                <w:szCs w:val="20"/>
              </w:rPr>
              <w:t>used</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intended</w:t>
            </w:r>
            <w:r w:rsidR="00900061" w:rsidRPr="00E168A1">
              <w:rPr>
                <w:rFonts w:ascii="Times New Roman" w:hAnsi="Times New Roman"/>
                <w:sz w:val="20"/>
                <w:szCs w:val="20"/>
              </w:rPr>
              <w:t xml:space="preserve"> </w:t>
            </w:r>
            <w:r w:rsidRPr="00E168A1">
              <w:rPr>
                <w:rFonts w:ascii="Times New Roman" w:hAnsi="Times New Roman"/>
                <w:sz w:val="20"/>
                <w:szCs w:val="20"/>
              </w:rPr>
              <w:t>purposes</w:t>
            </w:r>
          </w:p>
        </w:tc>
        <w:tc>
          <w:tcPr>
            <w:tcW w:w="2114" w:type="pct"/>
            <w:shd w:val="clear" w:color="auto" w:fill="auto"/>
          </w:tcPr>
          <w:p w14:paraId="1F623CA6" w14:textId="5894CC6B"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risk-based</w:t>
            </w:r>
            <w:r w:rsidR="00900061" w:rsidRPr="00E168A1">
              <w:rPr>
                <w:rFonts w:ascii="Times New Roman" w:hAnsi="Times New Roman"/>
                <w:sz w:val="20"/>
                <w:szCs w:val="20"/>
              </w:rPr>
              <w:t xml:space="preserve"> </w:t>
            </w:r>
            <w:r w:rsidRPr="00E168A1">
              <w:rPr>
                <w:rFonts w:ascii="Times New Roman" w:hAnsi="Times New Roman"/>
                <w:sz w:val="20"/>
                <w:szCs w:val="20"/>
              </w:rPr>
              <w:t>fiduciary</w:t>
            </w:r>
            <w:r w:rsidR="00900061" w:rsidRPr="00E168A1">
              <w:rPr>
                <w:rFonts w:ascii="Times New Roman" w:hAnsi="Times New Roman"/>
                <w:sz w:val="20"/>
                <w:szCs w:val="20"/>
              </w:rPr>
              <w:t xml:space="preserve"> </w:t>
            </w:r>
            <w:r w:rsidRPr="00E168A1">
              <w:rPr>
                <w:rFonts w:ascii="Times New Roman" w:hAnsi="Times New Roman"/>
                <w:sz w:val="20"/>
                <w:szCs w:val="20"/>
              </w:rPr>
              <w:t>reviews/supervision</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be</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verify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use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intended</w:t>
            </w:r>
            <w:r w:rsidR="00900061" w:rsidRPr="00E168A1">
              <w:rPr>
                <w:rFonts w:ascii="Times New Roman" w:hAnsi="Times New Roman"/>
                <w:sz w:val="20"/>
                <w:szCs w:val="20"/>
              </w:rPr>
              <w:t xml:space="preserve"> </w:t>
            </w:r>
            <w:r w:rsidRPr="00E168A1">
              <w:rPr>
                <w:rFonts w:ascii="Times New Roman" w:hAnsi="Times New Roman"/>
                <w:sz w:val="20"/>
                <w:szCs w:val="20"/>
              </w:rPr>
              <w:t>purposes</w:t>
            </w:r>
          </w:p>
          <w:p w14:paraId="16BD7271" w14:textId="77777777" w:rsidR="004550AA" w:rsidRPr="00E168A1" w:rsidRDefault="004550AA" w:rsidP="00D446FB">
            <w:pPr>
              <w:tabs>
                <w:tab w:val="left" w:pos="0"/>
              </w:tabs>
              <w:rPr>
                <w:rFonts w:ascii="Times New Roman" w:hAnsi="Times New Roman"/>
                <w:sz w:val="20"/>
                <w:szCs w:val="20"/>
              </w:rPr>
            </w:pPr>
          </w:p>
          <w:p w14:paraId="7CDC0D1F"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External</w:t>
            </w:r>
            <w:r w:rsidR="00900061" w:rsidRPr="00E168A1">
              <w:rPr>
                <w:rFonts w:ascii="Times New Roman" w:hAnsi="Times New Roman"/>
                <w:sz w:val="20"/>
                <w:szCs w:val="20"/>
              </w:rPr>
              <w:t xml:space="preserve"> </w:t>
            </w:r>
            <w:r w:rsidRPr="00E168A1">
              <w:rPr>
                <w:rFonts w:ascii="Times New Roman" w:hAnsi="Times New Roman"/>
                <w:sz w:val="20"/>
                <w:szCs w:val="20"/>
              </w:rPr>
              <w:t>audit</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SAI</w:t>
            </w:r>
            <w:r w:rsidR="00900061" w:rsidRPr="00E168A1">
              <w:rPr>
                <w:rFonts w:ascii="Times New Roman" w:hAnsi="Times New Roman"/>
                <w:sz w:val="20"/>
                <w:szCs w:val="20"/>
              </w:rPr>
              <w:t xml:space="preserve"> </w:t>
            </w:r>
          </w:p>
        </w:tc>
      </w:tr>
      <w:tr w:rsidR="004550AA" w:rsidRPr="00E168A1" w14:paraId="39EB3492" w14:textId="77777777" w:rsidTr="00D446FB">
        <w:tc>
          <w:tcPr>
            <w:tcW w:w="1289" w:type="pct"/>
            <w:shd w:val="clear" w:color="auto" w:fill="auto"/>
          </w:tcPr>
          <w:p w14:paraId="41C65D25" w14:textId="58AB7FC4" w:rsidR="004550AA" w:rsidRPr="00E168A1" w:rsidRDefault="004550AA" w:rsidP="00D446FB">
            <w:pPr>
              <w:tabs>
                <w:tab w:val="left" w:pos="0"/>
              </w:tabs>
              <w:ind w:left="49"/>
              <w:rPr>
                <w:rFonts w:ascii="Times New Roman" w:hAnsi="Times New Roman"/>
                <w:color w:val="000000"/>
                <w:sz w:val="20"/>
                <w:szCs w:val="20"/>
              </w:rPr>
            </w:pPr>
            <w:r w:rsidRPr="00E168A1">
              <w:rPr>
                <w:rFonts w:ascii="Times New Roman" w:hAnsi="Times New Roman"/>
                <w:color w:val="000000"/>
                <w:sz w:val="20"/>
                <w:szCs w:val="20"/>
              </w:rPr>
              <w:t>Weak</w:t>
            </w:r>
            <w:r w:rsidR="00900061" w:rsidRPr="00A90FD9">
              <w:rPr>
                <w:rFonts w:ascii="Times New Roman" w:hAnsi="Times New Roman"/>
                <w:color w:val="000000"/>
                <w:sz w:val="20"/>
                <w:szCs w:val="20"/>
              </w:rPr>
              <w:t xml:space="preserve"> </w:t>
            </w:r>
            <w:r w:rsidRPr="00A90FD9">
              <w:rPr>
                <w:rFonts w:ascii="Times New Roman" w:hAnsi="Times New Roman"/>
                <w:color w:val="000000"/>
                <w:sz w:val="20"/>
                <w:szCs w:val="20"/>
              </w:rPr>
              <w:t>capacity</w:t>
            </w:r>
            <w:r w:rsidR="00900061" w:rsidRPr="00E67C6B">
              <w:rPr>
                <w:rFonts w:ascii="Times New Roman" w:hAnsi="Times New Roman"/>
                <w:color w:val="000000"/>
                <w:sz w:val="20"/>
                <w:szCs w:val="20"/>
              </w:rPr>
              <w:t xml:space="preserve"> </w:t>
            </w:r>
            <w:r w:rsidRPr="002C47D7">
              <w:rPr>
                <w:rFonts w:ascii="Times New Roman" w:hAnsi="Times New Roman"/>
                <w:color w:val="000000"/>
                <w:sz w:val="20"/>
                <w:szCs w:val="20"/>
              </w:rPr>
              <w:t>of</w:t>
            </w:r>
            <w:r w:rsidR="00900061" w:rsidRPr="005769EE">
              <w:rPr>
                <w:rFonts w:ascii="Times New Roman" w:hAnsi="Times New Roman"/>
                <w:color w:val="000000"/>
                <w:sz w:val="20"/>
                <w:szCs w:val="20"/>
              </w:rPr>
              <w:t xml:space="preserve"> </w:t>
            </w:r>
            <w:r w:rsidRPr="00E168A1">
              <w:rPr>
                <w:rFonts w:ascii="Times New Roman" w:hAnsi="Times New Roman"/>
                <w:color w:val="000000"/>
                <w:sz w:val="20"/>
                <w:szCs w:val="20"/>
              </w:rPr>
              <w:t>internal</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audit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function</w:t>
            </w:r>
            <w:r w:rsidR="00900061" w:rsidRPr="00E168A1">
              <w:rPr>
                <w:rFonts w:ascii="Times New Roman" w:hAnsi="Times New Roman"/>
                <w:color w:val="000000"/>
                <w:sz w:val="20"/>
                <w:szCs w:val="20"/>
              </w:rPr>
              <w:t xml:space="preserve"> </w:t>
            </w:r>
            <w:r w:rsidR="00D446FB" w:rsidRPr="00E168A1">
              <w:rPr>
                <w:rFonts w:ascii="Times New Roman" w:hAnsi="Times New Roman"/>
                <w:color w:val="000000"/>
                <w:sz w:val="20"/>
                <w:szCs w:val="20"/>
              </w:rPr>
              <w:t>for</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staff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numbers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and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skills</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and</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lack</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functional</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independence</w:t>
            </w:r>
          </w:p>
        </w:tc>
        <w:tc>
          <w:tcPr>
            <w:tcW w:w="1597" w:type="pct"/>
            <w:shd w:val="clear" w:color="auto" w:fill="auto"/>
          </w:tcPr>
          <w:p w14:paraId="71F03399" w14:textId="4651627C"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Inadequate</w:t>
            </w:r>
            <w:r w:rsidR="00900061" w:rsidRPr="00E168A1">
              <w:rPr>
                <w:rFonts w:ascii="Times New Roman" w:hAnsi="Times New Roman"/>
                <w:sz w:val="20"/>
                <w:szCs w:val="20"/>
              </w:rPr>
              <w:t xml:space="preserve"> </w:t>
            </w:r>
            <w:r w:rsidRPr="00E168A1">
              <w:rPr>
                <w:rFonts w:ascii="Times New Roman" w:hAnsi="Times New Roman"/>
                <w:sz w:val="20"/>
                <w:szCs w:val="20"/>
              </w:rPr>
              <w:t>internal</w:t>
            </w:r>
            <w:r w:rsidR="00900061" w:rsidRPr="00E168A1">
              <w:rPr>
                <w:rFonts w:ascii="Times New Roman" w:hAnsi="Times New Roman"/>
                <w:sz w:val="20"/>
                <w:szCs w:val="20"/>
              </w:rPr>
              <w:t xml:space="preserve"> </w:t>
            </w:r>
            <w:r w:rsidRPr="00E168A1">
              <w:rPr>
                <w:rFonts w:ascii="Times New Roman" w:hAnsi="Times New Roman"/>
                <w:sz w:val="20"/>
                <w:szCs w:val="20"/>
              </w:rPr>
              <w:t>audit</w:t>
            </w:r>
            <w:r w:rsidR="00900061" w:rsidRPr="00E168A1">
              <w:rPr>
                <w:rFonts w:ascii="Times New Roman" w:hAnsi="Times New Roman"/>
                <w:sz w:val="20"/>
                <w:szCs w:val="20"/>
              </w:rPr>
              <w:t xml:space="preserve"> </w:t>
            </w:r>
            <w:r w:rsidRPr="00E168A1">
              <w:rPr>
                <w:rFonts w:ascii="Times New Roman" w:hAnsi="Times New Roman"/>
                <w:sz w:val="20"/>
                <w:szCs w:val="20"/>
              </w:rPr>
              <w:t>coverage</w:t>
            </w:r>
          </w:p>
        </w:tc>
        <w:tc>
          <w:tcPr>
            <w:tcW w:w="2114" w:type="pct"/>
            <w:shd w:val="clear" w:color="auto" w:fill="auto"/>
          </w:tcPr>
          <w:p w14:paraId="26F868A6" w14:textId="0DB13A6A"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risk-based</w:t>
            </w:r>
            <w:r w:rsidR="00900061" w:rsidRPr="00E168A1">
              <w:rPr>
                <w:rFonts w:ascii="Times New Roman" w:hAnsi="Times New Roman"/>
                <w:sz w:val="20"/>
                <w:szCs w:val="20"/>
              </w:rPr>
              <w:t xml:space="preserve"> </w:t>
            </w:r>
            <w:r w:rsidRPr="00E168A1">
              <w:rPr>
                <w:rFonts w:ascii="Times New Roman" w:hAnsi="Times New Roman"/>
                <w:sz w:val="20"/>
                <w:szCs w:val="20"/>
              </w:rPr>
              <w:t>fiduciary</w:t>
            </w:r>
            <w:r w:rsidR="00900061" w:rsidRPr="00E168A1">
              <w:rPr>
                <w:rFonts w:ascii="Times New Roman" w:hAnsi="Times New Roman"/>
                <w:sz w:val="20"/>
                <w:szCs w:val="20"/>
              </w:rPr>
              <w:t xml:space="preserve"> </w:t>
            </w:r>
            <w:r w:rsidRPr="00E168A1">
              <w:rPr>
                <w:rFonts w:ascii="Times New Roman" w:hAnsi="Times New Roman"/>
                <w:sz w:val="20"/>
                <w:szCs w:val="20"/>
              </w:rPr>
              <w:t>reviews/supervision</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be</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1B78A4" w:rsidRPr="00E168A1">
              <w:rPr>
                <w:rFonts w:ascii="Times New Roman" w:hAnsi="Times New Roman"/>
                <w:sz w:val="20"/>
                <w:szCs w:val="20"/>
              </w:rPr>
              <w:t xml:space="preserve">Program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verify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use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intended</w:t>
            </w:r>
            <w:r w:rsidR="00900061" w:rsidRPr="00E168A1">
              <w:rPr>
                <w:rFonts w:ascii="Times New Roman" w:hAnsi="Times New Roman"/>
                <w:sz w:val="20"/>
                <w:szCs w:val="20"/>
              </w:rPr>
              <w:t xml:space="preserve"> </w:t>
            </w:r>
            <w:r w:rsidRPr="00E168A1">
              <w:rPr>
                <w:rFonts w:ascii="Times New Roman" w:hAnsi="Times New Roman"/>
                <w:sz w:val="20"/>
                <w:szCs w:val="20"/>
              </w:rPr>
              <w:t>purposes</w:t>
            </w:r>
          </w:p>
          <w:p w14:paraId="22D369B8" w14:textId="77777777" w:rsidR="004550AA" w:rsidRPr="00E168A1" w:rsidRDefault="004550AA" w:rsidP="00D446FB">
            <w:pPr>
              <w:tabs>
                <w:tab w:val="left" w:pos="0"/>
              </w:tabs>
              <w:rPr>
                <w:rFonts w:ascii="Times New Roman" w:hAnsi="Times New Roman"/>
                <w:sz w:val="20"/>
                <w:szCs w:val="20"/>
              </w:rPr>
            </w:pPr>
          </w:p>
          <w:p w14:paraId="238B8147"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lastRenderedPageBreak/>
              <w:t>External</w:t>
            </w:r>
            <w:r w:rsidR="00900061" w:rsidRPr="00E168A1">
              <w:rPr>
                <w:rFonts w:ascii="Times New Roman" w:hAnsi="Times New Roman"/>
                <w:sz w:val="20"/>
                <w:szCs w:val="20"/>
              </w:rPr>
              <w:t xml:space="preserve"> </w:t>
            </w:r>
            <w:r w:rsidRPr="00E168A1">
              <w:rPr>
                <w:rFonts w:ascii="Times New Roman" w:hAnsi="Times New Roman"/>
                <w:sz w:val="20"/>
                <w:szCs w:val="20"/>
              </w:rPr>
              <w:t>audit</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SAI</w:t>
            </w:r>
            <w:r w:rsidR="00900061" w:rsidRPr="00E168A1">
              <w:rPr>
                <w:rFonts w:ascii="Times New Roman" w:hAnsi="Times New Roman"/>
                <w:sz w:val="20"/>
                <w:szCs w:val="20"/>
              </w:rPr>
              <w:t xml:space="preserve"> </w:t>
            </w:r>
          </w:p>
        </w:tc>
      </w:tr>
      <w:tr w:rsidR="004550AA" w:rsidRPr="00E168A1" w14:paraId="7E6F3399" w14:textId="77777777" w:rsidTr="00D446FB">
        <w:tc>
          <w:tcPr>
            <w:tcW w:w="1289" w:type="pct"/>
            <w:shd w:val="clear" w:color="auto" w:fill="auto"/>
          </w:tcPr>
          <w:p w14:paraId="0F4C8C39" w14:textId="39C836B2" w:rsidR="004550AA" w:rsidRPr="00E168A1" w:rsidRDefault="004550AA" w:rsidP="00D446FB">
            <w:pPr>
              <w:tabs>
                <w:tab w:val="left" w:pos="0"/>
              </w:tabs>
              <w:ind w:left="49"/>
              <w:rPr>
                <w:rFonts w:ascii="Times New Roman" w:hAnsi="Times New Roman"/>
                <w:color w:val="000000"/>
                <w:sz w:val="20"/>
                <w:szCs w:val="20"/>
              </w:rPr>
            </w:pPr>
            <w:r w:rsidRPr="00E168A1">
              <w:rPr>
                <w:rFonts w:ascii="Times New Roman" w:hAnsi="Times New Roman"/>
                <w:color w:val="000000"/>
                <w:sz w:val="20"/>
                <w:szCs w:val="20"/>
              </w:rPr>
              <w:lastRenderedPageBreak/>
              <w:t>Insufficient</w:t>
            </w:r>
            <w:r w:rsidR="00900061" w:rsidRPr="00A90FD9">
              <w:rPr>
                <w:rFonts w:ascii="Times New Roman" w:hAnsi="Times New Roman"/>
                <w:color w:val="000000"/>
                <w:sz w:val="20"/>
                <w:szCs w:val="20"/>
              </w:rPr>
              <w:t xml:space="preserve"> </w:t>
            </w:r>
            <w:r w:rsidRPr="00A90FD9">
              <w:rPr>
                <w:rFonts w:ascii="Times New Roman" w:hAnsi="Times New Roman"/>
                <w:color w:val="000000"/>
                <w:sz w:val="20"/>
                <w:szCs w:val="20"/>
              </w:rPr>
              <w:t>capacity</w:t>
            </w:r>
            <w:r w:rsidR="00900061" w:rsidRPr="00E67C6B">
              <w:rPr>
                <w:rFonts w:ascii="Times New Roman" w:hAnsi="Times New Roman"/>
                <w:color w:val="000000"/>
                <w:sz w:val="20"/>
                <w:szCs w:val="20"/>
              </w:rPr>
              <w:t xml:space="preserve"> </w:t>
            </w:r>
            <w:r w:rsidRPr="002C47D7">
              <w:rPr>
                <w:rFonts w:ascii="Times New Roman" w:hAnsi="Times New Roman"/>
                <w:color w:val="000000"/>
                <w:sz w:val="20"/>
                <w:szCs w:val="20"/>
              </w:rPr>
              <w:t>of</w:t>
            </w:r>
            <w:r w:rsidR="00900061" w:rsidRPr="005769EE">
              <w:rPr>
                <w:rFonts w:ascii="Times New Roman" w:hAnsi="Times New Roman"/>
                <w:color w:val="000000"/>
                <w:sz w:val="20"/>
                <w:szCs w:val="20"/>
              </w:rPr>
              <w:t xml:space="preserve"> </w:t>
            </w:r>
            <w:r w:rsidRPr="00E168A1">
              <w:rPr>
                <w:rFonts w:ascii="Times New Roman" w:hAnsi="Times New Roman"/>
                <w:color w:val="000000"/>
                <w:sz w:val="20"/>
                <w:szCs w:val="20"/>
              </w:rPr>
              <w:t>the</w:t>
            </w:r>
            <w:r w:rsidR="00900061" w:rsidRPr="00E168A1">
              <w:rPr>
                <w:rFonts w:ascii="Times New Roman" w:hAnsi="Times New Roman"/>
                <w:color w:val="000000"/>
                <w:sz w:val="20"/>
                <w:szCs w:val="20"/>
              </w:rPr>
              <w:t xml:space="preserve"> </w:t>
            </w:r>
            <w:r w:rsidR="007F376C" w:rsidRPr="00E168A1">
              <w:rPr>
                <w:rFonts w:ascii="Times New Roman" w:hAnsi="Times New Roman"/>
                <w:color w:val="000000"/>
                <w:sz w:val="20"/>
                <w:szCs w:val="20"/>
              </w:rPr>
              <w:t>B</w:t>
            </w:r>
            <w:r w:rsidRPr="00E168A1">
              <w:rPr>
                <w:rFonts w:ascii="Times New Roman" w:hAnsi="Times New Roman"/>
                <w:color w:val="000000"/>
                <w:sz w:val="20"/>
                <w:szCs w:val="20"/>
              </w:rPr>
              <w:t>udget</w:t>
            </w:r>
            <w:r w:rsidR="00900061" w:rsidRPr="00E168A1">
              <w:rPr>
                <w:rFonts w:ascii="Times New Roman" w:hAnsi="Times New Roman"/>
                <w:color w:val="000000"/>
                <w:sz w:val="20"/>
                <w:szCs w:val="20"/>
              </w:rPr>
              <w:t xml:space="preserve"> </w:t>
            </w:r>
            <w:r w:rsidR="007F376C" w:rsidRPr="00E168A1">
              <w:rPr>
                <w:rFonts w:ascii="Times New Roman" w:hAnsi="Times New Roman"/>
                <w:color w:val="000000"/>
                <w:sz w:val="20"/>
                <w:szCs w:val="20"/>
              </w:rPr>
              <w:t>I</w:t>
            </w:r>
            <w:r w:rsidRPr="00E168A1">
              <w:rPr>
                <w:rFonts w:ascii="Times New Roman" w:hAnsi="Times New Roman"/>
                <w:color w:val="000000"/>
                <w:sz w:val="20"/>
                <w:szCs w:val="20"/>
              </w:rPr>
              <w:t>nspection</w:t>
            </w:r>
            <w:r w:rsidR="00900061" w:rsidRPr="00E168A1">
              <w:rPr>
                <w:rFonts w:ascii="Times New Roman" w:hAnsi="Times New Roman"/>
                <w:color w:val="000000"/>
                <w:sz w:val="20"/>
                <w:szCs w:val="20"/>
              </w:rPr>
              <w:t xml:space="preserve"> </w:t>
            </w:r>
            <w:r w:rsidR="007F376C" w:rsidRPr="00E168A1">
              <w:rPr>
                <w:rFonts w:ascii="Times New Roman" w:hAnsi="Times New Roman"/>
                <w:color w:val="000000"/>
                <w:sz w:val="20"/>
                <w:szCs w:val="20"/>
              </w:rPr>
              <w:t xml:space="preserve">Unit </w:t>
            </w:r>
            <w:r w:rsidRPr="00E168A1">
              <w:rPr>
                <w:rFonts w:ascii="Times New Roman" w:hAnsi="Times New Roman"/>
                <w:color w:val="000000"/>
                <w:sz w:val="20"/>
                <w:szCs w:val="20"/>
              </w:rPr>
              <w:t>to</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cover</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all</w:t>
            </w:r>
            <w:r w:rsidR="00900061" w:rsidRPr="00E168A1">
              <w:rPr>
                <w:rFonts w:ascii="Times New Roman" w:hAnsi="Times New Roman"/>
                <w:color w:val="000000"/>
                <w:sz w:val="20"/>
                <w:szCs w:val="20"/>
              </w:rPr>
              <w:t xml:space="preserve"> </w:t>
            </w:r>
            <w:r w:rsidR="00BA3A23" w:rsidRPr="00E168A1">
              <w:rPr>
                <w:rFonts w:ascii="Times New Roman" w:hAnsi="Times New Roman"/>
                <w:color w:val="000000"/>
                <w:sz w:val="20"/>
                <w:szCs w:val="20"/>
              </w:rPr>
              <w:t>P</w:t>
            </w:r>
            <w:r w:rsidRPr="00E168A1">
              <w:rPr>
                <w:rFonts w:ascii="Times New Roman" w:hAnsi="Times New Roman"/>
                <w:color w:val="000000"/>
                <w:sz w:val="20"/>
                <w:szCs w:val="20"/>
              </w:rPr>
              <w:t>rogram</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expenditures</w:t>
            </w:r>
            <w:r w:rsidR="00900061" w:rsidRPr="00E168A1">
              <w:rPr>
                <w:rFonts w:ascii="Times New Roman" w:hAnsi="Times New Roman"/>
                <w:color w:val="000000"/>
                <w:sz w:val="20"/>
                <w:szCs w:val="20"/>
              </w:rPr>
              <w:t xml:space="preserve"> </w:t>
            </w:r>
          </w:p>
        </w:tc>
        <w:tc>
          <w:tcPr>
            <w:tcW w:w="1597" w:type="pct"/>
            <w:shd w:val="clear" w:color="auto" w:fill="auto"/>
          </w:tcPr>
          <w:p w14:paraId="06AC2F9E" w14:textId="50E721F4"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Risk</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not</w:t>
            </w:r>
            <w:r w:rsidR="00900061" w:rsidRPr="00E168A1">
              <w:rPr>
                <w:rFonts w:ascii="Times New Roman" w:hAnsi="Times New Roman"/>
                <w:sz w:val="20"/>
                <w:szCs w:val="20"/>
              </w:rPr>
              <w:t xml:space="preserve"> </w:t>
            </w:r>
            <w:r w:rsidRPr="00E168A1">
              <w:rPr>
                <w:rFonts w:ascii="Times New Roman" w:hAnsi="Times New Roman"/>
                <w:sz w:val="20"/>
                <w:szCs w:val="20"/>
              </w:rPr>
              <w:t>being</w:t>
            </w:r>
            <w:r w:rsidR="00900061" w:rsidRPr="00E168A1">
              <w:rPr>
                <w:rFonts w:ascii="Times New Roman" w:hAnsi="Times New Roman"/>
                <w:sz w:val="20"/>
                <w:szCs w:val="20"/>
              </w:rPr>
              <w:t xml:space="preserve"> </w:t>
            </w:r>
            <w:r w:rsidRPr="00E168A1">
              <w:rPr>
                <w:rFonts w:ascii="Times New Roman" w:hAnsi="Times New Roman"/>
                <w:sz w:val="20"/>
                <w:szCs w:val="20"/>
              </w:rPr>
              <w:t>used</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intended</w:t>
            </w:r>
            <w:r w:rsidR="00900061" w:rsidRPr="00E168A1">
              <w:rPr>
                <w:rFonts w:ascii="Times New Roman" w:hAnsi="Times New Roman"/>
                <w:sz w:val="20"/>
                <w:szCs w:val="20"/>
              </w:rPr>
              <w:t xml:space="preserve"> </w:t>
            </w:r>
            <w:r w:rsidRPr="00E168A1">
              <w:rPr>
                <w:rFonts w:ascii="Times New Roman" w:hAnsi="Times New Roman"/>
                <w:sz w:val="20"/>
                <w:szCs w:val="20"/>
              </w:rPr>
              <w:t>purposes</w:t>
            </w:r>
          </w:p>
        </w:tc>
        <w:tc>
          <w:tcPr>
            <w:tcW w:w="2114" w:type="pct"/>
            <w:shd w:val="clear" w:color="auto" w:fill="auto"/>
          </w:tcPr>
          <w:p w14:paraId="16AB69C3" w14:textId="4A51E39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risk-based</w:t>
            </w:r>
            <w:r w:rsidR="00900061" w:rsidRPr="00E168A1">
              <w:rPr>
                <w:rFonts w:ascii="Times New Roman" w:hAnsi="Times New Roman"/>
                <w:sz w:val="20"/>
                <w:szCs w:val="20"/>
              </w:rPr>
              <w:t xml:space="preserve"> </w:t>
            </w:r>
            <w:r w:rsidRPr="00E168A1">
              <w:rPr>
                <w:rFonts w:ascii="Times New Roman" w:hAnsi="Times New Roman"/>
                <w:sz w:val="20"/>
                <w:szCs w:val="20"/>
              </w:rPr>
              <w:t>fiduciary</w:t>
            </w:r>
            <w:r w:rsidR="00900061" w:rsidRPr="00E168A1">
              <w:rPr>
                <w:rFonts w:ascii="Times New Roman" w:hAnsi="Times New Roman"/>
                <w:sz w:val="20"/>
                <w:szCs w:val="20"/>
              </w:rPr>
              <w:t xml:space="preserve"> </w:t>
            </w:r>
            <w:r w:rsidRPr="00E168A1">
              <w:rPr>
                <w:rFonts w:ascii="Times New Roman" w:hAnsi="Times New Roman"/>
                <w:sz w:val="20"/>
                <w:szCs w:val="20"/>
              </w:rPr>
              <w:t>reviews/supervision</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be</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verify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use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intended</w:t>
            </w:r>
            <w:r w:rsidR="00900061" w:rsidRPr="00E168A1">
              <w:rPr>
                <w:rFonts w:ascii="Times New Roman" w:hAnsi="Times New Roman"/>
                <w:sz w:val="20"/>
                <w:szCs w:val="20"/>
              </w:rPr>
              <w:t xml:space="preserve"> </w:t>
            </w:r>
            <w:r w:rsidRPr="00E168A1">
              <w:rPr>
                <w:rFonts w:ascii="Times New Roman" w:hAnsi="Times New Roman"/>
                <w:sz w:val="20"/>
                <w:szCs w:val="20"/>
              </w:rPr>
              <w:t>purposes</w:t>
            </w:r>
          </w:p>
          <w:p w14:paraId="49051B81" w14:textId="77777777" w:rsidR="004550AA" w:rsidRPr="00E168A1" w:rsidRDefault="004550AA" w:rsidP="00D446FB">
            <w:pPr>
              <w:tabs>
                <w:tab w:val="left" w:pos="0"/>
              </w:tabs>
              <w:rPr>
                <w:rFonts w:ascii="Times New Roman" w:hAnsi="Times New Roman"/>
                <w:sz w:val="20"/>
                <w:szCs w:val="20"/>
              </w:rPr>
            </w:pPr>
          </w:p>
          <w:p w14:paraId="63FD1082" w14:textId="77777777" w:rsidR="00324243"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External</w:t>
            </w:r>
            <w:r w:rsidR="00900061" w:rsidRPr="00E168A1">
              <w:rPr>
                <w:rFonts w:ascii="Times New Roman" w:hAnsi="Times New Roman"/>
                <w:sz w:val="20"/>
                <w:szCs w:val="20"/>
              </w:rPr>
              <w:t xml:space="preserve"> </w:t>
            </w:r>
            <w:r w:rsidRPr="00E168A1">
              <w:rPr>
                <w:rFonts w:ascii="Times New Roman" w:hAnsi="Times New Roman"/>
                <w:sz w:val="20"/>
                <w:szCs w:val="20"/>
              </w:rPr>
              <w:t>audit</w:t>
            </w:r>
            <w:r w:rsidR="00900061" w:rsidRPr="00E168A1">
              <w:rPr>
                <w:rFonts w:ascii="Times New Roman" w:hAnsi="Times New Roman"/>
                <w:sz w:val="20"/>
                <w:szCs w:val="20"/>
              </w:rPr>
              <w:t xml:space="preserve"> </w:t>
            </w:r>
            <w:r w:rsidRPr="00E168A1">
              <w:rPr>
                <w:rFonts w:ascii="Times New Roman" w:hAnsi="Times New Roman"/>
                <w:sz w:val="20"/>
                <w:szCs w:val="20"/>
              </w:rPr>
              <w:t>conducted</w:t>
            </w:r>
            <w:r w:rsidR="00900061" w:rsidRPr="00E168A1">
              <w:rPr>
                <w:rFonts w:ascii="Times New Roman" w:hAnsi="Times New Roman"/>
                <w:sz w:val="20"/>
                <w:szCs w:val="20"/>
              </w:rPr>
              <w:t xml:space="preserve"> </w:t>
            </w:r>
            <w:r w:rsidRPr="00E168A1">
              <w:rPr>
                <w:rFonts w:ascii="Times New Roman" w:hAnsi="Times New Roman"/>
                <w:sz w:val="20"/>
                <w:szCs w:val="20"/>
              </w:rPr>
              <w:t>by</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SAI</w:t>
            </w:r>
            <w:r w:rsidR="00900061" w:rsidRPr="00E168A1">
              <w:rPr>
                <w:rFonts w:ascii="Times New Roman" w:hAnsi="Times New Roman"/>
                <w:sz w:val="20"/>
                <w:szCs w:val="20"/>
              </w:rPr>
              <w:t xml:space="preserve"> </w:t>
            </w:r>
          </w:p>
        </w:tc>
      </w:tr>
      <w:tr w:rsidR="000C6743" w:rsidRPr="00E168A1" w14:paraId="37817303" w14:textId="77777777" w:rsidTr="003751E5">
        <w:tc>
          <w:tcPr>
            <w:tcW w:w="5000" w:type="pct"/>
            <w:gridSpan w:val="3"/>
            <w:shd w:val="clear" w:color="auto" w:fill="auto"/>
            <w:vAlign w:val="center"/>
          </w:tcPr>
          <w:p w14:paraId="0B1B75C3" w14:textId="77777777" w:rsidR="000C6743" w:rsidRPr="00A90FD9" w:rsidRDefault="000C6743" w:rsidP="003751E5">
            <w:pPr>
              <w:tabs>
                <w:tab w:val="left" w:pos="0"/>
              </w:tabs>
              <w:rPr>
                <w:rFonts w:ascii="Times New Roman" w:hAnsi="Times New Roman"/>
                <w:sz w:val="20"/>
                <w:szCs w:val="20"/>
              </w:rPr>
            </w:pPr>
            <w:r w:rsidRPr="00E168A1">
              <w:rPr>
                <w:rFonts w:ascii="Times New Roman" w:hAnsi="Times New Roman"/>
                <w:b/>
                <w:sz w:val="20"/>
                <w:szCs w:val="20"/>
              </w:rPr>
              <w:t>External Audit and Oversight</w:t>
            </w:r>
          </w:p>
        </w:tc>
      </w:tr>
      <w:tr w:rsidR="004550AA" w:rsidRPr="00E168A1" w14:paraId="665CF4BD" w14:textId="77777777" w:rsidTr="00D446FB">
        <w:tc>
          <w:tcPr>
            <w:tcW w:w="1289" w:type="pct"/>
            <w:shd w:val="clear" w:color="auto" w:fill="auto"/>
          </w:tcPr>
          <w:p w14:paraId="7C260444" w14:textId="429503AD" w:rsidR="004550AA" w:rsidRPr="00E168A1" w:rsidRDefault="007936E0" w:rsidP="00D446FB">
            <w:pPr>
              <w:tabs>
                <w:tab w:val="left" w:pos="0"/>
              </w:tabs>
              <w:ind w:left="49"/>
              <w:rPr>
                <w:rFonts w:ascii="Times New Roman" w:hAnsi="Times New Roman"/>
                <w:color w:val="000000"/>
                <w:sz w:val="20"/>
                <w:szCs w:val="20"/>
              </w:rPr>
            </w:pPr>
            <w:r w:rsidRPr="00E168A1">
              <w:rPr>
                <w:rFonts w:ascii="Times New Roman" w:hAnsi="Times New Roman"/>
                <w:color w:val="000000"/>
                <w:sz w:val="20"/>
                <w:szCs w:val="20"/>
              </w:rPr>
              <w:t xml:space="preserve">The </w:t>
            </w:r>
            <w:r w:rsidR="004550AA" w:rsidRPr="00A90FD9">
              <w:rPr>
                <w:rFonts w:ascii="Times New Roman" w:hAnsi="Times New Roman"/>
                <w:color w:val="000000"/>
                <w:sz w:val="20"/>
                <w:szCs w:val="20"/>
              </w:rPr>
              <w:t>SAI</w:t>
            </w:r>
            <w:r w:rsidR="00900061" w:rsidRPr="00A90FD9">
              <w:rPr>
                <w:rFonts w:ascii="Times New Roman" w:hAnsi="Times New Roman"/>
                <w:color w:val="000000"/>
                <w:sz w:val="20"/>
                <w:szCs w:val="20"/>
              </w:rPr>
              <w:t xml:space="preserve"> </w:t>
            </w:r>
            <w:r w:rsidR="004550AA" w:rsidRPr="00E67C6B">
              <w:rPr>
                <w:rFonts w:ascii="Times New Roman" w:hAnsi="Times New Roman"/>
                <w:color w:val="000000"/>
                <w:sz w:val="20"/>
                <w:szCs w:val="20"/>
              </w:rPr>
              <w:t>coverage</w:t>
            </w:r>
            <w:r w:rsidR="00900061" w:rsidRPr="002C47D7">
              <w:rPr>
                <w:rFonts w:ascii="Times New Roman" w:hAnsi="Times New Roman"/>
                <w:color w:val="000000"/>
                <w:sz w:val="20"/>
                <w:szCs w:val="20"/>
              </w:rPr>
              <w:t xml:space="preserve"> </w:t>
            </w:r>
            <w:r w:rsidR="004550AA" w:rsidRPr="005769EE">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000C6743" w:rsidRPr="00E168A1">
              <w:rPr>
                <w:rFonts w:ascii="Times New Roman" w:hAnsi="Times New Roman"/>
                <w:color w:val="000000"/>
                <w:sz w:val="20"/>
                <w:szCs w:val="20"/>
              </w:rPr>
              <w:t>P</w:t>
            </w:r>
            <w:r w:rsidR="004550AA" w:rsidRPr="00E168A1">
              <w:rPr>
                <w:rFonts w:ascii="Times New Roman" w:hAnsi="Times New Roman"/>
                <w:color w:val="000000"/>
                <w:sz w:val="20"/>
                <w:szCs w:val="20"/>
              </w:rPr>
              <w:t>rogram</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expenditures</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during</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audit</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of</w:t>
            </w:r>
            <w:r w:rsidR="00900061" w:rsidRPr="00E168A1">
              <w:rPr>
                <w:rFonts w:ascii="Times New Roman" w:hAnsi="Times New Roman"/>
                <w:color w:val="000000"/>
                <w:sz w:val="20"/>
                <w:szCs w:val="20"/>
              </w:rPr>
              <w:t xml:space="preserve"> </w:t>
            </w:r>
            <w:r w:rsidR="00662C2B" w:rsidRPr="00E168A1">
              <w:rPr>
                <w:rFonts w:ascii="Times New Roman" w:hAnsi="Times New Roman"/>
                <w:color w:val="000000"/>
                <w:sz w:val="20"/>
                <w:szCs w:val="20"/>
              </w:rPr>
              <w:t xml:space="preserve">the </w:t>
            </w:r>
            <w:r w:rsidR="004550AA" w:rsidRPr="00E168A1">
              <w:rPr>
                <w:rFonts w:ascii="Times New Roman" w:hAnsi="Times New Roman"/>
                <w:color w:val="000000"/>
                <w:sz w:val="20"/>
                <w:szCs w:val="20"/>
              </w:rPr>
              <w:t>government’s</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annual</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financial</w:t>
            </w:r>
            <w:r w:rsidR="00900061" w:rsidRPr="00E168A1">
              <w:rPr>
                <w:rFonts w:ascii="Times New Roman" w:hAnsi="Times New Roman"/>
                <w:color w:val="000000"/>
                <w:sz w:val="20"/>
                <w:szCs w:val="20"/>
              </w:rPr>
              <w:t xml:space="preserve"> </w:t>
            </w:r>
            <w:r w:rsidR="004550AA" w:rsidRPr="00E168A1">
              <w:rPr>
                <w:rFonts w:ascii="Times New Roman" w:hAnsi="Times New Roman"/>
                <w:color w:val="000000"/>
                <w:sz w:val="20"/>
                <w:szCs w:val="20"/>
              </w:rPr>
              <w:t>statements</w:t>
            </w:r>
            <w:r w:rsidR="00900061" w:rsidRPr="00E168A1">
              <w:rPr>
                <w:rFonts w:ascii="Times New Roman" w:hAnsi="Times New Roman"/>
                <w:color w:val="000000"/>
                <w:sz w:val="20"/>
                <w:szCs w:val="20"/>
              </w:rPr>
              <w:t xml:space="preserve"> </w:t>
            </w:r>
          </w:p>
        </w:tc>
        <w:tc>
          <w:tcPr>
            <w:tcW w:w="1597" w:type="pct"/>
            <w:shd w:val="clear" w:color="auto" w:fill="auto"/>
          </w:tcPr>
          <w:p w14:paraId="597E9E29" w14:textId="69BAEC4C"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Affect</w:t>
            </w:r>
            <w:r w:rsidR="00686B95" w:rsidRPr="00E168A1">
              <w:rPr>
                <w:rFonts w:ascii="Times New Roman" w:hAnsi="Times New Roman"/>
                <w:sz w:val="20"/>
                <w:szCs w:val="20"/>
              </w:rPr>
              <w:t>s</w:t>
            </w:r>
            <w:r w:rsidR="00900061" w:rsidRPr="00E168A1">
              <w:rPr>
                <w:rFonts w:ascii="Times New Roman" w:hAnsi="Times New Roman"/>
                <w:sz w:val="20"/>
                <w:szCs w:val="20"/>
              </w:rPr>
              <w:t xml:space="preserve"> </w:t>
            </w:r>
            <w:r w:rsidRPr="00E168A1">
              <w:rPr>
                <w:rFonts w:ascii="Times New Roman" w:hAnsi="Times New Roman"/>
                <w:sz w:val="20"/>
                <w:szCs w:val="20"/>
              </w:rPr>
              <w:t>timeliness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quality</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001B78A4" w:rsidRPr="00E168A1">
              <w:rPr>
                <w:rFonts w:ascii="Times New Roman" w:hAnsi="Times New Roman"/>
                <w:sz w:val="20"/>
                <w:szCs w:val="20"/>
              </w:rPr>
              <w:t>Program</w:t>
            </w:r>
            <w:r w:rsidR="00900061" w:rsidRPr="00E168A1">
              <w:rPr>
                <w:rFonts w:ascii="Times New Roman" w:hAnsi="Times New Roman"/>
                <w:sz w:val="20"/>
                <w:szCs w:val="20"/>
              </w:rPr>
              <w:t xml:space="preserve"> </w:t>
            </w:r>
            <w:r w:rsidRPr="00E168A1">
              <w:rPr>
                <w:rFonts w:ascii="Times New Roman" w:hAnsi="Times New Roman"/>
                <w:sz w:val="20"/>
                <w:szCs w:val="20"/>
              </w:rPr>
              <w:t>audits</w:t>
            </w:r>
            <w:r w:rsidR="00900061" w:rsidRPr="00E168A1">
              <w:rPr>
                <w:rFonts w:ascii="Times New Roman" w:hAnsi="Times New Roman"/>
                <w:sz w:val="20"/>
                <w:szCs w:val="20"/>
              </w:rPr>
              <w:t xml:space="preserve"> </w:t>
            </w:r>
          </w:p>
        </w:tc>
        <w:tc>
          <w:tcPr>
            <w:tcW w:w="2114" w:type="pct"/>
            <w:shd w:val="clear" w:color="auto" w:fill="auto"/>
          </w:tcPr>
          <w:p w14:paraId="698675AA" w14:textId="00700C8E"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Official</w:t>
            </w:r>
            <w:r w:rsidR="00900061" w:rsidRPr="00E168A1">
              <w:rPr>
                <w:rFonts w:ascii="Times New Roman" w:hAnsi="Times New Roman"/>
                <w:sz w:val="20"/>
                <w:szCs w:val="20"/>
              </w:rPr>
              <w:t xml:space="preserve"> </w:t>
            </w:r>
            <w:r w:rsidRPr="00E168A1">
              <w:rPr>
                <w:rFonts w:ascii="Times New Roman" w:hAnsi="Times New Roman"/>
                <w:sz w:val="20"/>
                <w:szCs w:val="20"/>
              </w:rPr>
              <w:t>letter</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SAI</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agree</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00662C2B" w:rsidRPr="00E168A1">
              <w:rPr>
                <w:rFonts w:ascii="Times New Roman" w:hAnsi="Times New Roman"/>
                <w:sz w:val="20"/>
                <w:szCs w:val="20"/>
              </w:rPr>
              <w:t xml:space="preserve">audit, </w:t>
            </w:r>
            <w:r w:rsidRPr="00E168A1">
              <w:rPr>
                <w:rFonts w:ascii="Times New Roman" w:hAnsi="Times New Roman"/>
                <w:sz w:val="20"/>
                <w:szCs w:val="20"/>
              </w:rPr>
              <w:t>including</w:t>
            </w:r>
            <w:r w:rsidR="00900061" w:rsidRPr="00E168A1">
              <w:rPr>
                <w:rFonts w:ascii="Times New Roman" w:hAnsi="Times New Roman"/>
                <w:sz w:val="20"/>
                <w:szCs w:val="20"/>
              </w:rPr>
              <w:t xml:space="preserve"> </w:t>
            </w:r>
            <w:r w:rsidRPr="00E168A1">
              <w:rPr>
                <w:rFonts w:ascii="Times New Roman" w:hAnsi="Times New Roman"/>
                <w:sz w:val="20"/>
                <w:szCs w:val="20"/>
              </w:rPr>
              <w:t>additional</w:t>
            </w:r>
            <w:r w:rsidR="00900061" w:rsidRPr="00E168A1">
              <w:rPr>
                <w:rFonts w:ascii="Times New Roman" w:hAnsi="Times New Roman"/>
                <w:sz w:val="20"/>
                <w:szCs w:val="20"/>
              </w:rPr>
              <w:t xml:space="preserve"> </w:t>
            </w:r>
            <w:r w:rsidRPr="00E168A1">
              <w:rPr>
                <w:rFonts w:ascii="Times New Roman" w:hAnsi="Times New Roman"/>
                <w:sz w:val="20"/>
                <w:szCs w:val="20"/>
              </w:rPr>
              <w:t>explanatory</w:t>
            </w:r>
            <w:r w:rsidR="00900061" w:rsidRPr="00E168A1">
              <w:rPr>
                <w:rFonts w:ascii="Times New Roman" w:hAnsi="Times New Roman"/>
                <w:sz w:val="20"/>
                <w:szCs w:val="20"/>
              </w:rPr>
              <w:t xml:space="preserve"> </w:t>
            </w:r>
            <w:r w:rsidRPr="00E168A1">
              <w:rPr>
                <w:rFonts w:ascii="Times New Roman" w:hAnsi="Times New Roman"/>
                <w:sz w:val="20"/>
                <w:szCs w:val="20"/>
              </w:rPr>
              <w:t>note</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audit</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final</w:t>
            </w:r>
            <w:r w:rsidR="00900061" w:rsidRPr="00E168A1">
              <w:rPr>
                <w:rFonts w:ascii="Times New Roman" w:hAnsi="Times New Roman"/>
                <w:sz w:val="20"/>
                <w:szCs w:val="20"/>
              </w:rPr>
              <w:t xml:space="preserve"> </w:t>
            </w:r>
            <w:r w:rsidRPr="00E168A1">
              <w:rPr>
                <w:rFonts w:ascii="Times New Roman" w:hAnsi="Times New Roman"/>
                <w:sz w:val="20"/>
                <w:szCs w:val="20"/>
              </w:rPr>
              <w:t>account,</w:t>
            </w:r>
            <w:r w:rsidR="00900061" w:rsidRPr="00E168A1">
              <w:rPr>
                <w:rFonts w:ascii="Times New Roman" w:hAnsi="Times New Roman"/>
                <w:sz w:val="20"/>
                <w:szCs w:val="20"/>
              </w:rPr>
              <w:t xml:space="preserve"> </w:t>
            </w:r>
            <w:r w:rsidRPr="00E168A1">
              <w:rPr>
                <w:rFonts w:ascii="Times New Roman" w:hAnsi="Times New Roman"/>
                <w:sz w:val="20"/>
                <w:szCs w:val="20"/>
              </w:rPr>
              <w:t>which</w:t>
            </w:r>
            <w:r w:rsidR="00900061" w:rsidRPr="00E168A1">
              <w:rPr>
                <w:rFonts w:ascii="Times New Roman" w:hAnsi="Times New Roman"/>
                <w:sz w:val="20"/>
                <w:szCs w:val="20"/>
              </w:rPr>
              <w:t xml:space="preserve"> </w:t>
            </w:r>
            <w:r w:rsidRPr="00E168A1">
              <w:rPr>
                <w:rFonts w:ascii="Times New Roman" w:hAnsi="Times New Roman"/>
                <w:sz w:val="20"/>
                <w:szCs w:val="20"/>
              </w:rPr>
              <w:t>would</w:t>
            </w:r>
            <w:r w:rsidR="00900061" w:rsidRPr="00E168A1">
              <w:rPr>
                <w:rFonts w:ascii="Times New Roman" w:hAnsi="Times New Roman"/>
                <w:sz w:val="20"/>
                <w:szCs w:val="20"/>
              </w:rPr>
              <w:t xml:space="preserve"> </w:t>
            </w:r>
            <w:r w:rsidRPr="00E168A1">
              <w:rPr>
                <w:rFonts w:ascii="Times New Roman" w:hAnsi="Times New Roman"/>
                <w:sz w:val="20"/>
                <w:szCs w:val="20"/>
              </w:rPr>
              <w:t>detail</w:t>
            </w:r>
            <w:r w:rsidR="00900061" w:rsidRPr="00E168A1">
              <w:rPr>
                <w:rFonts w:ascii="Times New Roman" w:hAnsi="Times New Roman"/>
                <w:sz w:val="20"/>
                <w:szCs w:val="20"/>
              </w:rPr>
              <w:t xml:space="preserve"> </w:t>
            </w:r>
            <w:r w:rsidR="00D370E6" w:rsidRPr="00E168A1">
              <w:rPr>
                <w:rFonts w:ascii="Times New Roman" w:hAnsi="Times New Roman"/>
                <w:sz w:val="20"/>
                <w:szCs w:val="20"/>
              </w:rPr>
              <w:t>P</w:t>
            </w:r>
            <w:r w:rsidRPr="00E168A1">
              <w:rPr>
                <w:rFonts w:ascii="Times New Roman" w:hAnsi="Times New Roman"/>
                <w:sz w:val="20"/>
                <w:szCs w:val="20"/>
              </w:rPr>
              <w:t>rogram</w:t>
            </w:r>
            <w:r w:rsidR="00900061" w:rsidRPr="00E168A1">
              <w:rPr>
                <w:rFonts w:ascii="Times New Roman" w:hAnsi="Times New Roman"/>
                <w:sz w:val="20"/>
                <w:szCs w:val="20"/>
              </w:rPr>
              <w:t xml:space="preserve"> </w:t>
            </w:r>
            <w:r w:rsidRPr="00E168A1">
              <w:rPr>
                <w:rFonts w:ascii="Times New Roman" w:hAnsi="Times New Roman"/>
                <w:sz w:val="20"/>
                <w:szCs w:val="20"/>
              </w:rPr>
              <w:t>expenditures</w:t>
            </w:r>
          </w:p>
        </w:tc>
      </w:tr>
      <w:tr w:rsidR="004550AA" w:rsidRPr="00E168A1" w14:paraId="79C94182" w14:textId="77777777" w:rsidTr="00D446FB">
        <w:tc>
          <w:tcPr>
            <w:tcW w:w="1289" w:type="pct"/>
            <w:shd w:val="clear" w:color="auto" w:fill="auto"/>
          </w:tcPr>
          <w:p w14:paraId="1725EBC7" w14:textId="77777777" w:rsidR="004550AA" w:rsidRPr="00E168A1" w:rsidRDefault="004550AA" w:rsidP="00D446FB">
            <w:pPr>
              <w:tabs>
                <w:tab w:val="left" w:pos="0"/>
              </w:tabs>
              <w:ind w:left="49"/>
              <w:rPr>
                <w:rFonts w:ascii="Times New Roman" w:hAnsi="Times New Roman"/>
                <w:color w:val="000000"/>
                <w:sz w:val="20"/>
                <w:szCs w:val="20"/>
              </w:rPr>
            </w:pPr>
            <w:r w:rsidRPr="00E168A1">
              <w:rPr>
                <w:rFonts w:ascii="Times New Roman" w:hAnsi="Times New Roman"/>
                <w:color w:val="000000"/>
                <w:sz w:val="20"/>
                <w:szCs w:val="20"/>
              </w:rPr>
              <w:t>High</w:t>
            </w:r>
            <w:r w:rsidR="00900061" w:rsidRPr="00A90FD9">
              <w:rPr>
                <w:rFonts w:ascii="Times New Roman" w:hAnsi="Times New Roman"/>
                <w:color w:val="000000"/>
                <w:sz w:val="20"/>
                <w:szCs w:val="20"/>
              </w:rPr>
              <w:t xml:space="preserve"> </w:t>
            </w:r>
            <w:r w:rsidRPr="00A90FD9">
              <w:rPr>
                <w:rFonts w:ascii="Times New Roman" w:hAnsi="Times New Roman"/>
                <w:color w:val="000000"/>
                <w:sz w:val="20"/>
                <w:szCs w:val="20"/>
              </w:rPr>
              <w:t>incidence</w:t>
            </w:r>
            <w:r w:rsidR="00900061" w:rsidRPr="00E67C6B">
              <w:rPr>
                <w:rFonts w:ascii="Times New Roman" w:hAnsi="Times New Roman"/>
                <w:color w:val="000000"/>
                <w:sz w:val="20"/>
                <w:szCs w:val="20"/>
              </w:rPr>
              <w:t xml:space="preserve"> </w:t>
            </w:r>
            <w:r w:rsidRPr="002C47D7">
              <w:rPr>
                <w:rFonts w:ascii="Times New Roman" w:hAnsi="Times New Roman"/>
                <w:color w:val="000000"/>
                <w:sz w:val="20"/>
                <w:szCs w:val="20"/>
              </w:rPr>
              <w:t>of</w:t>
            </w:r>
            <w:r w:rsidR="00900061" w:rsidRPr="005769EE">
              <w:rPr>
                <w:rFonts w:ascii="Times New Roman" w:hAnsi="Times New Roman"/>
                <w:color w:val="000000"/>
                <w:sz w:val="20"/>
                <w:szCs w:val="20"/>
              </w:rPr>
              <w:t xml:space="preserve"> </w:t>
            </w:r>
            <w:r w:rsidRPr="00E168A1">
              <w:rPr>
                <w:rFonts w:ascii="Times New Roman" w:hAnsi="Times New Roman"/>
                <w:color w:val="000000"/>
                <w:sz w:val="20"/>
                <w:szCs w:val="20"/>
              </w:rPr>
              <w:t>audit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report</w:t>
            </w:r>
            <w:r w:rsidR="00900061" w:rsidRPr="00E168A1">
              <w:rPr>
                <w:rFonts w:ascii="Times New Roman" w:hAnsi="Times New Roman"/>
                <w:color w:val="000000"/>
                <w:sz w:val="20"/>
                <w:szCs w:val="20"/>
              </w:rPr>
              <w:t xml:space="preserve"> </w:t>
            </w:r>
            <w:r w:rsidRPr="00E168A1">
              <w:rPr>
                <w:rFonts w:ascii="Times New Roman" w:hAnsi="Times New Roman"/>
                <w:color w:val="000000"/>
                <w:sz w:val="20"/>
                <w:szCs w:val="20"/>
              </w:rPr>
              <w:t>qualifications</w:t>
            </w:r>
          </w:p>
        </w:tc>
        <w:tc>
          <w:tcPr>
            <w:tcW w:w="1597" w:type="pct"/>
            <w:shd w:val="clear" w:color="auto" w:fill="auto"/>
          </w:tcPr>
          <w:p w14:paraId="24D2E119" w14:textId="77777777"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Indication</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noncompliance</w:t>
            </w:r>
            <w:r w:rsidR="00900061" w:rsidRPr="00E168A1">
              <w:rPr>
                <w:rFonts w:ascii="Times New Roman" w:hAnsi="Times New Roman"/>
                <w:sz w:val="20"/>
                <w:szCs w:val="20"/>
              </w:rPr>
              <w:t xml:space="preserve"> </w:t>
            </w:r>
            <w:r w:rsidRPr="00E168A1">
              <w:rPr>
                <w:rFonts w:ascii="Times New Roman" w:hAnsi="Times New Roman"/>
                <w:sz w:val="20"/>
                <w:szCs w:val="20"/>
              </w:rPr>
              <w:t>with</w:t>
            </w:r>
            <w:r w:rsidR="00900061" w:rsidRPr="00E168A1">
              <w:rPr>
                <w:rFonts w:ascii="Times New Roman" w:hAnsi="Times New Roman"/>
                <w:sz w:val="20"/>
                <w:szCs w:val="20"/>
              </w:rPr>
              <w:t xml:space="preserve"> </w:t>
            </w:r>
            <w:r w:rsidRPr="00E168A1">
              <w:rPr>
                <w:rFonts w:ascii="Times New Roman" w:hAnsi="Times New Roman"/>
                <w:sz w:val="20"/>
                <w:szCs w:val="20"/>
              </w:rPr>
              <w:t>FM</w:t>
            </w:r>
            <w:r w:rsidR="00900061" w:rsidRPr="00E168A1">
              <w:rPr>
                <w:rFonts w:ascii="Times New Roman" w:hAnsi="Times New Roman"/>
                <w:sz w:val="20"/>
                <w:szCs w:val="20"/>
              </w:rPr>
              <w:t xml:space="preserve"> </w:t>
            </w:r>
            <w:r w:rsidRPr="00E168A1">
              <w:rPr>
                <w:rFonts w:ascii="Times New Roman" w:hAnsi="Times New Roman"/>
                <w:sz w:val="20"/>
                <w:szCs w:val="20"/>
              </w:rPr>
              <w:t>procedures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possible</w:t>
            </w:r>
            <w:r w:rsidR="00900061" w:rsidRPr="00E168A1">
              <w:rPr>
                <w:rFonts w:ascii="Times New Roman" w:hAnsi="Times New Roman"/>
                <w:sz w:val="20"/>
                <w:szCs w:val="20"/>
              </w:rPr>
              <w:t xml:space="preserve"> </w:t>
            </w:r>
            <w:r w:rsidRPr="00E168A1">
              <w:rPr>
                <w:rFonts w:ascii="Times New Roman" w:hAnsi="Times New Roman"/>
                <w:sz w:val="20"/>
                <w:szCs w:val="20"/>
              </w:rPr>
              <w:t>misuse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funds</w:t>
            </w:r>
          </w:p>
        </w:tc>
        <w:tc>
          <w:tcPr>
            <w:tcW w:w="2114" w:type="pct"/>
            <w:shd w:val="clear" w:color="auto" w:fill="auto"/>
          </w:tcPr>
          <w:p w14:paraId="5ED057E8" w14:textId="0CF9DFC9" w:rsidR="004550AA" w:rsidRPr="00E168A1" w:rsidRDefault="004550AA" w:rsidP="00D446FB">
            <w:pPr>
              <w:tabs>
                <w:tab w:val="left" w:pos="0"/>
              </w:tabs>
              <w:rPr>
                <w:rFonts w:ascii="Times New Roman" w:hAnsi="Times New Roman"/>
                <w:sz w:val="20"/>
                <w:szCs w:val="20"/>
              </w:rPr>
            </w:pPr>
            <w:r w:rsidRPr="00E168A1">
              <w:rPr>
                <w:rFonts w:ascii="Times New Roman" w:hAnsi="Times New Roman"/>
                <w:sz w:val="20"/>
                <w:szCs w:val="20"/>
              </w:rPr>
              <w:t>Preparing</w:t>
            </w:r>
            <w:r w:rsidR="00900061" w:rsidRPr="00E168A1">
              <w:rPr>
                <w:rFonts w:ascii="Times New Roman" w:hAnsi="Times New Roman"/>
                <w:sz w:val="20"/>
                <w:szCs w:val="20"/>
              </w:rPr>
              <w:t xml:space="preserve"> </w:t>
            </w:r>
            <w:r w:rsidRPr="00E168A1">
              <w:rPr>
                <w:rFonts w:ascii="Times New Roman" w:hAnsi="Times New Roman"/>
                <w:sz w:val="20"/>
                <w:szCs w:val="20"/>
              </w:rPr>
              <w:t>action</w:t>
            </w:r>
            <w:r w:rsidR="00900061" w:rsidRPr="00E168A1">
              <w:rPr>
                <w:rFonts w:ascii="Times New Roman" w:hAnsi="Times New Roman"/>
                <w:sz w:val="20"/>
                <w:szCs w:val="20"/>
              </w:rPr>
              <w:t xml:space="preserve"> </w:t>
            </w:r>
            <w:r w:rsidRPr="00E168A1">
              <w:rPr>
                <w:rFonts w:ascii="Times New Roman" w:hAnsi="Times New Roman"/>
                <w:sz w:val="20"/>
                <w:szCs w:val="20"/>
              </w:rPr>
              <w:t>plans</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address</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identified</w:t>
            </w:r>
            <w:r w:rsidR="00900061" w:rsidRPr="00E168A1">
              <w:rPr>
                <w:rFonts w:ascii="Times New Roman" w:hAnsi="Times New Roman"/>
                <w:sz w:val="20"/>
                <w:szCs w:val="20"/>
              </w:rPr>
              <w:t xml:space="preserve"> </w:t>
            </w:r>
            <w:r w:rsidRPr="00E168A1">
              <w:rPr>
                <w:rFonts w:ascii="Times New Roman" w:hAnsi="Times New Roman"/>
                <w:sz w:val="20"/>
                <w:szCs w:val="20"/>
              </w:rPr>
              <w:t>issues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Bank’s</w:t>
            </w:r>
            <w:r w:rsidR="00900061" w:rsidRPr="00E168A1">
              <w:rPr>
                <w:rFonts w:ascii="Times New Roman" w:hAnsi="Times New Roman"/>
                <w:sz w:val="20"/>
                <w:szCs w:val="20"/>
              </w:rPr>
              <w:t xml:space="preserve"> </w:t>
            </w:r>
            <w:r w:rsidRPr="00E168A1">
              <w:rPr>
                <w:rFonts w:ascii="Times New Roman" w:hAnsi="Times New Roman"/>
                <w:sz w:val="20"/>
                <w:szCs w:val="20"/>
              </w:rPr>
              <w:t>follow</w:t>
            </w:r>
            <w:r w:rsidR="00662C2B" w:rsidRPr="00E168A1">
              <w:rPr>
                <w:rFonts w:ascii="Times New Roman" w:hAnsi="Times New Roman"/>
                <w:sz w:val="20"/>
                <w:szCs w:val="20"/>
              </w:rPr>
              <w:t>-</w:t>
            </w:r>
            <w:r w:rsidRPr="00E168A1">
              <w:rPr>
                <w:rFonts w:ascii="Times New Roman" w:hAnsi="Times New Roman"/>
                <w:sz w:val="20"/>
                <w:szCs w:val="20"/>
              </w:rPr>
              <w:t>up</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monitoring</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implementation</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actions</w:t>
            </w:r>
          </w:p>
        </w:tc>
      </w:tr>
    </w:tbl>
    <w:p w14:paraId="38E31D73" w14:textId="77777777" w:rsidR="00E75350" w:rsidRPr="00E168A1" w:rsidRDefault="00E75350" w:rsidP="006134B0">
      <w:pPr>
        <w:spacing w:after="0" w:line="0" w:lineRule="atLeast"/>
        <w:rPr>
          <w:rFonts w:ascii="Times New Roman" w:hAnsi="Times New Roman"/>
          <w:b/>
          <w:lang w:eastAsia="en-US"/>
        </w:rPr>
      </w:pPr>
    </w:p>
    <w:p w14:paraId="7BED9D1D" w14:textId="77777777" w:rsidR="00AE54E5" w:rsidRPr="00A90FD9" w:rsidRDefault="00B03657" w:rsidP="00645878">
      <w:pPr>
        <w:pStyle w:val="Heading1"/>
        <w:spacing w:before="120" w:after="120" w:line="240" w:lineRule="auto"/>
        <w:ind w:left="0" w:firstLine="0"/>
      </w:pPr>
      <w:bookmarkStart w:id="10" w:name="_Toc442428954"/>
      <w:r w:rsidRPr="00E168A1">
        <w:t>Procurement</w:t>
      </w:r>
      <w:r w:rsidR="00900061" w:rsidRPr="00A90FD9">
        <w:t xml:space="preserve"> </w:t>
      </w:r>
      <w:r w:rsidRPr="00A90FD9">
        <w:t>Assessment</w:t>
      </w:r>
      <w:bookmarkEnd w:id="10"/>
      <w:r w:rsidR="00900061" w:rsidRPr="00A90FD9">
        <w:t xml:space="preserve"> </w:t>
      </w:r>
    </w:p>
    <w:p w14:paraId="65B167A8" w14:textId="6150E7ED" w:rsidR="006134B0" w:rsidRPr="00E168A1" w:rsidRDefault="00B03657" w:rsidP="00645878">
      <w:pPr>
        <w:pStyle w:val="Heading2"/>
        <w:spacing w:before="120" w:after="120" w:line="240" w:lineRule="auto"/>
        <w:ind w:left="0" w:firstLine="0"/>
      </w:pPr>
      <w:bookmarkStart w:id="11" w:name="_Toc305833847"/>
      <w:bookmarkStart w:id="12" w:name="_Toc442428955"/>
      <w:r w:rsidRPr="00E168A1">
        <w:t>Legislative</w:t>
      </w:r>
      <w:r w:rsidR="00900061" w:rsidRPr="00E168A1">
        <w:t xml:space="preserve"> </w:t>
      </w:r>
      <w:r w:rsidRPr="00E168A1">
        <w:t>and</w:t>
      </w:r>
      <w:r w:rsidR="00900061" w:rsidRPr="00E168A1">
        <w:t xml:space="preserve"> </w:t>
      </w:r>
      <w:r w:rsidR="001C207D" w:rsidRPr="00E168A1">
        <w:t>R</w:t>
      </w:r>
      <w:r w:rsidRPr="00E168A1">
        <w:t>egulatory</w:t>
      </w:r>
      <w:r w:rsidR="00900061" w:rsidRPr="00E168A1">
        <w:t xml:space="preserve"> </w:t>
      </w:r>
      <w:r w:rsidR="001C207D" w:rsidRPr="00E168A1">
        <w:t>F</w:t>
      </w:r>
      <w:r w:rsidRPr="00E168A1">
        <w:t>ramework</w:t>
      </w:r>
      <w:bookmarkEnd w:id="11"/>
      <w:bookmarkEnd w:id="12"/>
    </w:p>
    <w:p w14:paraId="61E27743" w14:textId="3876D6AE" w:rsidR="00F065BD" w:rsidRPr="00E168A1"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Law</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adopted</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December</w:t>
      </w:r>
      <w:r w:rsidR="00900061" w:rsidRPr="00E168A1">
        <w:rPr>
          <w:rFonts w:ascii="Times New Roman" w:hAnsi="Times New Roman"/>
          <w:b/>
        </w:rPr>
        <w:t xml:space="preserve"> </w:t>
      </w:r>
      <w:r w:rsidRPr="00E168A1">
        <w:rPr>
          <w:rFonts w:ascii="Times New Roman" w:hAnsi="Times New Roman"/>
          <w:b/>
        </w:rPr>
        <w:t>2012</w:t>
      </w:r>
      <w:r w:rsidR="00BD153F" w:rsidRPr="00E168A1">
        <w:rPr>
          <w:rFonts w:ascii="Times New Roman" w:hAnsi="Times New Roman"/>
          <w:b/>
        </w:rPr>
        <w:t>,</w:t>
      </w:r>
      <w:r w:rsidR="00A7170B" w:rsidRPr="00E168A1">
        <w:rPr>
          <w:rStyle w:val="FootnoteReference"/>
          <w:rFonts w:ascii="Times New Roman" w:hAnsi="Times New Roman"/>
          <w:b/>
        </w:rPr>
        <w:footnoteReference w:id="3"/>
      </w:r>
      <w:r w:rsidR="00900061" w:rsidRPr="00E168A1">
        <w:rPr>
          <w:rFonts w:ascii="Times New Roman" w:hAnsi="Times New Roman"/>
          <w:b/>
        </w:rPr>
        <w:t xml:space="preserve"> </w:t>
      </w:r>
      <w:r w:rsidRPr="00E168A1">
        <w:rPr>
          <w:rFonts w:ascii="Times New Roman" w:hAnsi="Times New Roman"/>
          <w:b/>
        </w:rPr>
        <w:t>replaces</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2008</w:t>
      </w:r>
      <w:r w:rsidR="00A7170B" w:rsidRPr="00E168A1">
        <w:rPr>
          <w:rStyle w:val="FootnoteReference"/>
          <w:rFonts w:ascii="Times New Roman" w:hAnsi="Times New Roman"/>
          <w:b/>
        </w:rPr>
        <w:footnoteReference w:id="4"/>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marks</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significant</w:t>
      </w:r>
      <w:r w:rsidR="00900061" w:rsidRPr="00E168A1">
        <w:rPr>
          <w:rFonts w:ascii="Times New Roman" w:hAnsi="Times New Roman"/>
          <w:b/>
        </w:rPr>
        <w:t xml:space="preserve"> </w:t>
      </w:r>
      <w:r w:rsidRPr="00E168A1">
        <w:rPr>
          <w:rFonts w:ascii="Times New Roman" w:hAnsi="Times New Roman"/>
          <w:b/>
        </w:rPr>
        <w:t>reform</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system</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Serbia.</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represents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notable</w:t>
      </w:r>
      <w:r w:rsidR="00900061" w:rsidRPr="00E168A1">
        <w:rPr>
          <w:rFonts w:ascii="Times New Roman" w:hAnsi="Times New Roman"/>
        </w:rPr>
        <w:t xml:space="preserve"> </w:t>
      </w:r>
      <w:r w:rsidRPr="00E168A1">
        <w:rPr>
          <w:rFonts w:ascii="Times New Roman" w:hAnsi="Times New Roman"/>
        </w:rPr>
        <w:t>step</w:t>
      </w:r>
      <w:r w:rsidR="00900061" w:rsidRPr="00E168A1">
        <w:rPr>
          <w:rFonts w:ascii="Times New Roman" w:hAnsi="Times New Roman"/>
        </w:rPr>
        <w:t xml:space="preserve"> </w:t>
      </w:r>
      <w:r w:rsidRPr="00E168A1">
        <w:rPr>
          <w:rFonts w:ascii="Times New Roman" w:hAnsi="Times New Roman"/>
        </w:rPr>
        <w:t>toward</w:t>
      </w:r>
      <w:r w:rsidR="00900061" w:rsidRPr="00E168A1">
        <w:rPr>
          <w:rFonts w:ascii="Times New Roman" w:hAnsi="Times New Roman"/>
        </w:rPr>
        <w:t xml:space="preserve"> </w:t>
      </w:r>
      <w:r w:rsidRPr="00E168A1">
        <w:rPr>
          <w:rFonts w:ascii="Times New Roman" w:hAnsi="Times New Roman"/>
        </w:rPr>
        <w:t>conformity</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00E36D73" w:rsidRPr="00E168A1">
        <w:rPr>
          <w:rFonts w:ascii="Times New Roman" w:hAnsi="Times New Roman"/>
        </w:rPr>
        <w:t xml:space="preserve">the </w:t>
      </w:r>
      <w:r w:rsidRPr="00E168A1">
        <w:rPr>
          <w:rFonts w:ascii="Times New Roman" w:hAnsi="Times New Roman"/>
        </w:rPr>
        <w:t>EU</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directives.</w:t>
      </w:r>
      <w:r w:rsidR="00900061" w:rsidRPr="00E168A1">
        <w:rPr>
          <w:rFonts w:ascii="Times New Roman" w:hAnsi="Times New Roman"/>
        </w:rPr>
        <w:t xml:space="preserve"> </w:t>
      </w:r>
      <w:r w:rsidRPr="00E168A1">
        <w:rPr>
          <w:rFonts w:ascii="Times New Roman" w:hAnsi="Times New Roman"/>
        </w:rPr>
        <w:t>Effective</w:t>
      </w:r>
      <w:r w:rsidR="00900061" w:rsidRPr="00E168A1">
        <w:rPr>
          <w:rFonts w:ascii="Times New Roman" w:hAnsi="Times New Roman"/>
        </w:rPr>
        <w:t xml:space="preserve"> </w:t>
      </w:r>
      <w:r w:rsidRPr="00E168A1">
        <w:rPr>
          <w:rFonts w:ascii="Times New Roman" w:hAnsi="Times New Roman"/>
        </w:rPr>
        <w:t>since</w:t>
      </w:r>
      <w:r w:rsidR="00900061" w:rsidRPr="00E168A1">
        <w:rPr>
          <w:rFonts w:ascii="Times New Roman" w:hAnsi="Times New Roman"/>
        </w:rPr>
        <w:t xml:space="preserve"> </w:t>
      </w:r>
      <w:r w:rsidRPr="00E168A1">
        <w:rPr>
          <w:rFonts w:ascii="Times New Roman" w:hAnsi="Times New Roman"/>
        </w:rPr>
        <w:t>April</w:t>
      </w:r>
      <w:r w:rsidR="00900061" w:rsidRPr="00E168A1">
        <w:rPr>
          <w:rFonts w:ascii="Times New Roman" w:hAnsi="Times New Roman"/>
        </w:rPr>
        <w:t xml:space="preserve"> </w:t>
      </w:r>
      <w:r w:rsidRPr="00E168A1">
        <w:rPr>
          <w:rFonts w:ascii="Times New Roman" w:hAnsi="Times New Roman"/>
        </w:rPr>
        <w:t>1,</w:t>
      </w:r>
      <w:r w:rsidR="00900061" w:rsidRPr="00E168A1">
        <w:rPr>
          <w:rFonts w:ascii="Times New Roman" w:hAnsi="Times New Roman"/>
        </w:rPr>
        <w:t xml:space="preserve"> </w:t>
      </w:r>
      <w:r w:rsidRPr="00E168A1">
        <w:rPr>
          <w:rFonts w:ascii="Times New Roman" w:hAnsi="Times New Roman"/>
        </w:rPr>
        <w:t>2013</w:t>
      </w:r>
      <w:r w:rsidR="009204D0"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amended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August</w:t>
      </w:r>
      <w:r w:rsidR="00900061" w:rsidRPr="00E168A1">
        <w:rPr>
          <w:rFonts w:ascii="Times New Roman" w:hAnsi="Times New Roman"/>
        </w:rPr>
        <w:t xml:space="preserve"> </w:t>
      </w:r>
      <w:r w:rsidRPr="00E168A1">
        <w:rPr>
          <w:rFonts w:ascii="Times New Roman" w:hAnsi="Times New Roman"/>
        </w:rPr>
        <w:t>2015,</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921374" w:rsidRPr="00E168A1">
        <w:rPr>
          <w:rFonts w:ascii="Times New Roman" w:hAnsi="Times New Roman"/>
        </w:rPr>
        <w:t>L</w:t>
      </w:r>
      <w:r w:rsidRPr="00E168A1">
        <w:rPr>
          <w:rFonts w:ascii="Times New Roman" w:hAnsi="Times New Roman"/>
        </w:rPr>
        <w:t>aw</w:t>
      </w:r>
      <w:r w:rsidR="00900061" w:rsidRPr="00E168A1">
        <w:rPr>
          <w:rFonts w:ascii="Times New Roman" w:hAnsi="Times New Roman"/>
        </w:rPr>
        <w:t xml:space="preserve"> </w:t>
      </w:r>
      <w:r w:rsidRPr="00E168A1">
        <w:rPr>
          <w:rFonts w:ascii="Times New Roman" w:hAnsi="Times New Roman"/>
        </w:rPr>
        <w:t>regulates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award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framework</w:t>
      </w:r>
      <w:r w:rsidR="00900061" w:rsidRPr="00E168A1">
        <w:rPr>
          <w:rFonts w:ascii="Times New Roman" w:hAnsi="Times New Roman"/>
        </w:rPr>
        <w:t xml:space="preserve"> </w:t>
      </w:r>
      <w:r w:rsidRPr="00E168A1">
        <w:rPr>
          <w:rFonts w:ascii="Times New Roman" w:hAnsi="Times New Roman"/>
        </w:rPr>
        <w:t>agreements</w:t>
      </w:r>
      <w:r w:rsidR="00AE54E5" w:rsidRPr="00E168A1">
        <w:rPr>
          <w:rFonts w:ascii="Times New Roman" w:hAnsi="Times New Roman"/>
        </w:rPr>
        <w:t>,</w:t>
      </w:r>
      <w:r w:rsidR="00900061" w:rsidRPr="00E168A1">
        <w:rPr>
          <w:rFonts w:ascii="Times New Roman" w:hAnsi="Times New Roman"/>
        </w:rPr>
        <w:t xml:space="preserve"> </w:t>
      </w:r>
      <w:r w:rsidR="00AE54E5" w:rsidRPr="00E168A1">
        <w:rPr>
          <w:rFonts w:ascii="Times New Roman" w:hAnsi="Times New Roman"/>
        </w:rPr>
        <w:t>outlines</w:t>
      </w:r>
      <w:r w:rsidR="00900061" w:rsidRPr="00E168A1">
        <w:rPr>
          <w:rFonts w:ascii="Times New Roman" w:hAnsi="Times New Roman"/>
        </w:rPr>
        <w:t xml:space="preserve"> </w:t>
      </w:r>
      <w:r w:rsidRPr="00E168A1">
        <w:rPr>
          <w:rFonts w:ascii="Times New Roman" w:hAnsi="Times New Roman"/>
        </w:rPr>
        <w:t>legal</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relation</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defines</w:t>
      </w:r>
      <w:r w:rsidR="00900061" w:rsidRPr="00E168A1">
        <w:rPr>
          <w:rFonts w:ascii="Times New Roman" w:hAnsi="Times New Roman"/>
        </w:rPr>
        <w:t xml:space="preserve"> </w:t>
      </w:r>
      <w:r w:rsidRPr="00E168A1">
        <w:rPr>
          <w:rFonts w:ascii="Times New Roman" w:hAnsi="Times New Roman"/>
        </w:rPr>
        <w:t>types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1E5004" w:rsidRPr="00E168A1">
        <w:rPr>
          <w:rFonts w:ascii="Times New Roman" w:hAnsi="Times New Roman"/>
        </w:rPr>
        <w:t>,</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introduces</w:t>
      </w:r>
      <w:r w:rsidR="00900061" w:rsidRPr="00E168A1">
        <w:rPr>
          <w:rFonts w:ascii="Times New Roman" w:hAnsi="Times New Roman"/>
        </w:rPr>
        <w:t xml:space="preserve"> </w:t>
      </w:r>
      <w:r w:rsidR="00AE54E5" w:rsidRPr="00E168A1">
        <w:rPr>
          <w:rFonts w:ascii="Times New Roman" w:hAnsi="Times New Roman"/>
        </w:rPr>
        <w:t>several</w:t>
      </w:r>
      <w:r w:rsidR="00900061" w:rsidRPr="00E168A1">
        <w:rPr>
          <w:rFonts w:ascii="Times New Roman" w:hAnsi="Times New Roman"/>
        </w:rPr>
        <w:t xml:space="preserve"> </w:t>
      </w:r>
      <w:r w:rsidR="00AE54E5" w:rsidRPr="00E168A1">
        <w:rPr>
          <w:rFonts w:ascii="Times New Roman" w:hAnsi="Times New Roman"/>
        </w:rPr>
        <w:t>improvements</w:t>
      </w:r>
      <w:r w:rsidR="00900061" w:rsidRPr="00E168A1">
        <w:rPr>
          <w:rFonts w:ascii="Times New Roman" w:hAnsi="Times New Roman"/>
        </w:rPr>
        <w:t xml:space="preserve"> </w:t>
      </w:r>
      <w:r w:rsidR="00AE54E5" w:rsidRPr="00E168A1">
        <w:rPr>
          <w:rFonts w:ascii="Times New Roman" w:hAnsi="Times New Roman"/>
        </w:rPr>
        <w:t>to</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00AE54E5" w:rsidRPr="00E168A1">
        <w:rPr>
          <w:rFonts w:ascii="Times New Roman" w:hAnsi="Times New Roman"/>
        </w:rPr>
        <w:t>system,</w:t>
      </w:r>
      <w:r w:rsidR="00900061" w:rsidRPr="00E168A1">
        <w:rPr>
          <w:rFonts w:ascii="Times New Roman" w:hAnsi="Times New Roman"/>
        </w:rPr>
        <w:t xml:space="preserve"> </w:t>
      </w:r>
      <w:r w:rsidR="00AE54E5" w:rsidRPr="00E168A1">
        <w:rPr>
          <w:rFonts w:ascii="Times New Roman" w:hAnsi="Times New Roman"/>
        </w:rPr>
        <w:t>such</w:t>
      </w:r>
      <w:r w:rsidR="00900061" w:rsidRPr="00E168A1">
        <w:rPr>
          <w:rFonts w:ascii="Times New Roman" w:hAnsi="Times New Roman"/>
        </w:rPr>
        <w:t xml:space="preserve"> </w:t>
      </w:r>
      <w:r w:rsidR="00AE54E5" w:rsidRPr="00E168A1">
        <w:rPr>
          <w:rFonts w:ascii="Times New Roman" w:hAnsi="Times New Roman"/>
        </w:rPr>
        <w:t>as</w:t>
      </w:r>
      <w:r w:rsidR="00900061" w:rsidRPr="00E168A1">
        <w:rPr>
          <w:rFonts w:ascii="Times New Roman" w:hAnsi="Times New Roman"/>
        </w:rPr>
        <w:t xml:space="preserve"> </w:t>
      </w:r>
      <w:r w:rsidR="00AE54E5" w:rsidRPr="00E168A1">
        <w:rPr>
          <w:rFonts w:ascii="Times New Roman" w:hAnsi="Times New Roman"/>
        </w:rPr>
        <w:t>increased</w:t>
      </w:r>
      <w:r w:rsidR="00900061" w:rsidRPr="00E168A1">
        <w:rPr>
          <w:rFonts w:ascii="Times New Roman" w:hAnsi="Times New Roman"/>
        </w:rPr>
        <w:t xml:space="preserve"> </w:t>
      </w:r>
      <w:r w:rsidR="00AE54E5" w:rsidRPr="00E168A1">
        <w:rPr>
          <w:rFonts w:ascii="Times New Roman" w:hAnsi="Times New Roman"/>
        </w:rPr>
        <w:t>transparency</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a</w:t>
      </w:r>
      <w:r w:rsidR="00900061" w:rsidRPr="00E168A1">
        <w:rPr>
          <w:rFonts w:ascii="Times New Roman" w:hAnsi="Times New Roman"/>
        </w:rPr>
        <w:t xml:space="preserve"> </w:t>
      </w:r>
      <w:r w:rsidR="00AE54E5" w:rsidRPr="00E168A1">
        <w:rPr>
          <w:rFonts w:ascii="Times New Roman" w:hAnsi="Times New Roman"/>
        </w:rPr>
        <w:t>reduction</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number</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exceptions.</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key</w:t>
      </w:r>
      <w:r w:rsidR="00900061" w:rsidRPr="00E168A1">
        <w:rPr>
          <w:rFonts w:ascii="Times New Roman" w:hAnsi="Times New Roman"/>
        </w:rPr>
        <w:t xml:space="preserve"> </w:t>
      </w:r>
      <w:r w:rsidR="00AE54E5" w:rsidRPr="00E168A1">
        <w:rPr>
          <w:rFonts w:ascii="Times New Roman" w:hAnsi="Times New Roman"/>
        </w:rPr>
        <w:t>provisions</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PPL</w:t>
      </w:r>
      <w:r w:rsidR="00900061" w:rsidRPr="00E168A1">
        <w:rPr>
          <w:rFonts w:ascii="Times New Roman" w:hAnsi="Times New Roman"/>
        </w:rPr>
        <w:t xml:space="preserve"> </w:t>
      </w:r>
      <w:r w:rsidR="00AE54E5" w:rsidRPr="00E168A1">
        <w:rPr>
          <w:rFonts w:ascii="Times New Roman" w:hAnsi="Times New Roman"/>
        </w:rPr>
        <w:t>are</w:t>
      </w:r>
      <w:r w:rsidR="00900061" w:rsidRPr="00E168A1">
        <w:rPr>
          <w:rFonts w:ascii="Times New Roman" w:hAnsi="Times New Roman"/>
        </w:rPr>
        <w:t xml:space="preserve"> </w:t>
      </w:r>
      <w:r w:rsidR="00AE54E5" w:rsidRPr="00E168A1">
        <w:rPr>
          <w:rFonts w:ascii="Times New Roman" w:hAnsi="Times New Roman"/>
        </w:rPr>
        <w:t>outlined</w:t>
      </w:r>
      <w:r w:rsidR="00900061" w:rsidRPr="00E168A1">
        <w:rPr>
          <w:rFonts w:ascii="Times New Roman" w:hAnsi="Times New Roman"/>
        </w:rPr>
        <w:t xml:space="preserve"> </w:t>
      </w:r>
      <w:r w:rsidR="00AE54E5" w:rsidRPr="00E168A1">
        <w:rPr>
          <w:rFonts w:ascii="Times New Roman" w:hAnsi="Times New Roman"/>
        </w:rPr>
        <w:t>in</w:t>
      </w:r>
      <w:r w:rsidR="00900061" w:rsidRPr="00E168A1">
        <w:rPr>
          <w:rFonts w:ascii="Times New Roman" w:hAnsi="Times New Roman"/>
        </w:rPr>
        <w:t xml:space="preserve"> </w:t>
      </w:r>
      <w:r w:rsidR="00436278" w:rsidRPr="00E168A1">
        <w:rPr>
          <w:rFonts w:ascii="Times New Roman" w:hAnsi="Times New Roman"/>
        </w:rPr>
        <w:t>a</w:t>
      </w:r>
      <w:r w:rsidR="00AE54E5" w:rsidRPr="00E168A1">
        <w:rPr>
          <w:rFonts w:ascii="Times New Roman" w:hAnsi="Times New Roman"/>
        </w:rPr>
        <w:t>nnex</w:t>
      </w:r>
      <w:r w:rsidR="00900061" w:rsidRPr="00E168A1">
        <w:rPr>
          <w:rFonts w:ascii="Times New Roman" w:hAnsi="Times New Roman"/>
        </w:rPr>
        <w:t xml:space="preserve"> </w:t>
      </w:r>
      <w:r w:rsidR="00AE54E5" w:rsidRPr="00E168A1">
        <w:rPr>
          <w:rFonts w:ascii="Times New Roman" w:hAnsi="Times New Roman"/>
        </w:rPr>
        <w:t>I.</w:t>
      </w:r>
      <w:r w:rsidR="00900061" w:rsidRPr="00E168A1">
        <w:rPr>
          <w:rFonts w:ascii="Times New Roman" w:hAnsi="Times New Roman"/>
        </w:rPr>
        <w:t xml:space="preserve"> </w:t>
      </w:r>
      <w:r w:rsidRPr="00E168A1">
        <w:rPr>
          <w:rFonts w:ascii="Times New Roman" w:hAnsi="Times New Roman"/>
        </w:rPr>
        <w:t>Amendments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criminal</w:t>
      </w:r>
      <w:r w:rsidR="00900061" w:rsidRPr="00E168A1">
        <w:rPr>
          <w:rFonts w:ascii="Times New Roman" w:hAnsi="Times New Roman"/>
        </w:rPr>
        <w:t xml:space="preserve"> </w:t>
      </w:r>
      <w:r w:rsidRPr="00E168A1">
        <w:rPr>
          <w:rFonts w:ascii="Times New Roman" w:hAnsi="Times New Roman"/>
        </w:rPr>
        <w:t>code</w:t>
      </w:r>
      <w:r w:rsidR="00900061" w:rsidRPr="00E168A1">
        <w:rPr>
          <w:rFonts w:ascii="Times New Roman" w:hAnsi="Times New Roman"/>
        </w:rPr>
        <w:t xml:space="preserve"> </w:t>
      </w:r>
      <w:r w:rsidRPr="00E168A1">
        <w:rPr>
          <w:rFonts w:ascii="Times New Roman" w:hAnsi="Times New Roman"/>
        </w:rPr>
        <w:t>passed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December</w:t>
      </w:r>
      <w:r w:rsidR="00900061" w:rsidRPr="00E168A1">
        <w:rPr>
          <w:rFonts w:ascii="Times New Roman" w:hAnsi="Times New Roman"/>
        </w:rPr>
        <w:t xml:space="preserve"> </w:t>
      </w:r>
      <w:r w:rsidRPr="00E168A1">
        <w:rPr>
          <w:rFonts w:ascii="Times New Roman" w:hAnsi="Times New Roman"/>
        </w:rPr>
        <w:t>2012</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00C45B18" w:rsidRPr="00E168A1">
        <w:rPr>
          <w:rFonts w:ascii="Times New Roman" w:hAnsi="Times New Roman"/>
        </w:rPr>
        <w:t xml:space="preserve">the </w:t>
      </w:r>
      <w:r w:rsidRPr="00E168A1">
        <w:rPr>
          <w:rFonts w:ascii="Times New Roman" w:hAnsi="Times New Roman"/>
        </w:rPr>
        <w:t>parliament</w:t>
      </w:r>
      <w:r w:rsidR="00900061" w:rsidRPr="00E168A1">
        <w:rPr>
          <w:rFonts w:ascii="Times New Roman" w:hAnsi="Times New Roman"/>
        </w:rPr>
        <w:t xml:space="preserve"> </w:t>
      </w:r>
      <w:r w:rsidRPr="00E168A1">
        <w:rPr>
          <w:rFonts w:ascii="Times New Roman" w:hAnsi="Times New Roman"/>
        </w:rPr>
        <w:t>introduced</w:t>
      </w:r>
      <w:r w:rsidR="00900061" w:rsidRPr="00E168A1">
        <w:rPr>
          <w:rFonts w:ascii="Times New Roman" w:hAnsi="Times New Roman"/>
        </w:rPr>
        <w:t xml:space="preserve"> </w:t>
      </w:r>
      <w:r w:rsidR="00CB14C5" w:rsidRPr="00E168A1">
        <w:rPr>
          <w:rFonts w:ascii="Times New Roman" w:hAnsi="Times New Roman"/>
        </w:rPr>
        <w:t>‘</w:t>
      </w:r>
      <w:r w:rsidRPr="00E168A1">
        <w:rPr>
          <w:rFonts w:ascii="Times New Roman" w:hAnsi="Times New Roman"/>
        </w:rPr>
        <w:t>abuse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CB14C5"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new</w:t>
      </w:r>
      <w:r w:rsidR="00900061" w:rsidRPr="00E168A1">
        <w:rPr>
          <w:rFonts w:ascii="Times New Roman" w:hAnsi="Times New Roman"/>
        </w:rPr>
        <w:t xml:space="preserve"> </w:t>
      </w:r>
      <w:r w:rsidRPr="00E168A1">
        <w:rPr>
          <w:rFonts w:ascii="Times New Roman" w:hAnsi="Times New Roman"/>
        </w:rPr>
        <w:t>criminal</w:t>
      </w:r>
      <w:r w:rsidR="00900061" w:rsidRPr="00E168A1">
        <w:rPr>
          <w:rFonts w:ascii="Times New Roman" w:hAnsi="Times New Roman"/>
        </w:rPr>
        <w:t xml:space="preserve"> </w:t>
      </w:r>
      <w:r w:rsidRPr="00E168A1">
        <w:rPr>
          <w:rFonts w:ascii="Times New Roman" w:hAnsi="Times New Roman"/>
        </w:rPr>
        <w:t>offense.</w:t>
      </w:r>
      <w:r w:rsidRPr="00E168A1">
        <w:rPr>
          <w:rStyle w:val="FootnoteReference"/>
          <w:rFonts w:ascii="Times New Roman" w:hAnsi="Times New Roman"/>
        </w:rPr>
        <w:footnoteReference w:id="5"/>
      </w:r>
      <w:r w:rsidR="00900061" w:rsidRPr="00E168A1">
        <w:rPr>
          <w:rFonts w:ascii="Times New Roman" w:hAnsi="Times New Roman"/>
        </w:rPr>
        <w:t xml:space="preserve"> </w:t>
      </w:r>
    </w:p>
    <w:p w14:paraId="4806405F" w14:textId="2D554209" w:rsidR="00F065BD" w:rsidRPr="00E168A1" w:rsidRDefault="00AE54E5"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hAnsi="Times New Roman"/>
          <w:b/>
        </w:rPr>
        <w:t>Since</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adoption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PPO</w:t>
      </w:r>
      <w:r w:rsidR="00900061" w:rsidRPr="00E168A1">
        <w:rPr>
          <w:rFonts w:ascii="Times New Roman" w:hAnsi="Times New Roman"/>
          <w:b/>
        </w:rPr>
        <w:t xml:space="preserve"> </w:t>
      </w:r>
      <w:r w:rsidRPr="00E168A1">
        <w:rPr>
          <w:rFonts w:ascii="Times New Roman" w:hAnsi="Times New Roman"/>
          <w:b/>
        </w:rPr>
        <w:t>has</w:t>
      </w:r>
      <w:r w:rsidR="00900061" w:rsidRPr="00E168A1">
        <w:rPr>
          <w:rFonts w:ascii="Times New Roman" w:hAnsi="Times New Roman"/>
          <w:b/>
        </w:rPr>
        <w:t xml:space="preserve"> </w:t>
      </w:r>
      <w:r w:rsidRPr="00E168A1">
        <w:rPr>
          <w:rFonts w:ascii="Times New Roman" w:hAnsi="Times New Roman"/>
          <w:b/>
        </w:rPr>
        <w:t>continuously</w:t>
      </w:r>
      <w:r w:rsidR="00900061" w:rsidRPr="00E168A1">
        <w:rPr>
          <w:rFonts w:ascii="Times New Roman" w:hAnsi="Times New Roman"/>
          <w:b/>
        </w:rPr>
        <w:t xml:space="preserve"> </w:t>
      </w:r>
      <w:r w:rsidRPr="00E168A1">
        <w:rPr>
          <w:rFonts w:ascii="Times New Roman" w:hAnsi="Times New Roman"/>
          <w:b/>
        </w:rPr>
        <w:t>adopted</w:t>
      </w:r>
      <w:r w:rsidR="00900061" w:rsidRPr="00E168A1">
        <w:rPr>
          <w:rFonts w:ascii="Times New Roman" w:hAnsi="Times New Roman"/>
          <w:b/>
        </w:rPr>
        <w:t xml:space="preserve"> </w:t>
      </w:r>
      <w:r w:rsidRPr="00E168A1">
        <w:rPr>
          <w:rFonts w:ascii="Times New Roman" w:hAnsi="Times New Roman"/>
          <w:b/>
        </w:rPr>
        <w:t>regulations</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model</w:t>
      </w:r>
      <w:r w:rsidR="00900061" w:rsidRPr="00E168A1">
        <w:rPr>
          <w:rFonts w:ascii="Times New Roman" w:hAnsi="Times New Roman"/>
          <w:b/>
        </w:rPr>
        <w:t xml:space="preserve"> </w:t>
      </w:r>
      <w:r w:rsidRPr="00E168A1">
        <w:rPr>
          <w:rFonts w:ascii="Times New Roman" w:hAnsi="Times New Roman"/>
          <w:b/>
        </w:rPr>
        <w:t>documents</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its</w:t>
      </w:r>
      <w:r w:rsidR="00900061" w:rsidRPr="00E168A1">
        <w:rPr>
          <w:rFonts w:ascii="Times New Roman" w:hAnsi="Times New Roman"/>
          <w:b/>
        </w:rPr>
        <w:t xml:space="preserve"> </w:t>
      </w:r>
      <w:r w:rsidRPr="00E168A1">
        <w:rPr>
          <w:rFonts w:ascii="Times New Roman" w:hAnsi="Times New Roman"/>
          <w:b/>
        </w:rPr>
        <w:t>implementation</w:t>
      </w:r>
      <w:r w:rsidR="00900061" w:rsidRPr="00E168A1">
        <w:rPr>
          <w:rFonts w:ascii="Times New Roman" w:hAnsi="Times New Roman"/>
        </w:rPr>
        <w:t xml:space="preserve"> </w:t>
      </w:r>
      <w:r w:rsidRPr="00E168A1">
        <w:rPr>
          <w:rFonts w:ascii="Times New Roman" w:hAnsi="Times New Roman"/>
        </w:rPr>
        <w:t>(</w:t>
      </w:r>
      <w:r w:rsidR="00234CF2" w:rsidRPr="00E168A1">
        <w:rPr>
          <w:rFonts w:ascii="Times New Roman" w:hAnsi="Times New Roman"/>
        </w:rPr>
        <w:t>for example,</w:t>
      </w:r>
      <w:r w:rsidR="00900061" w:rsidRPr="00E168A1">
        <w:rPr>
          <w:rFonts w:ascii="Times New Roman" w:hAnsi="Times New Roman"/>
        </w:rPr>
        <w:t xml:space="preserve"> </w:t>
      </w:r>
      <w:r w:rsidRPr="00E168A1">
        <w:rPr>
          <w:rFonts w:ascii="Times New Roman" w:hAnsi="Times New Roman"/>
        </w:rPr>
        <w:t>adoption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secondary</w:t>
      </w:r>
      <w:r w:rsidR="00900061" w:rsidRPr="00E168A1">
        <w:rPr>
          <w:rFonts w:ascii="Times New Roman" w:hAnsi="Times New Roman"/>
        </w:rPr>
        <w:t xml:space="preserve"> </w:t>
      </w:r>
      <w:r w:rsidRPr="00E168A1">
        <w:rPr>
          <w:rFonts w:ascii="Times New Roman" w:hAnsi="Times New Roman"/>
        </w:rPr>
        <w:t>legislation,</w:t>
      </w:r>
      <w:r w:rsidR="00900061" w:rsidRPr="00E168A1">
        <w:rPr>
          <w:rFonts w:ascii="Times New Roman" w:hAnsi="Times New Roman"/>
        </w:rPr>
        <w:t xml:space="preserve"> </w:t>
      </w:r>
      <w:r w:rsidRPr="00E168A1">
        <w:rPr>
          <w:rFonts w:ascii="Times New Roman" w:hAnsi="Times New Roman"/>
        </w:rPr>
        <w:t>model</w:t>
      </w:r>
      <w:r w:rsidR="00900061" w:rsidRPr="00E168A1">
        <w:rPr>
          <w:rFonts w:ascii="Times New Roman" w:hAnsi="Times New Roman"/>
        </w:rPr>
        <w:t xml:space="preserve"> </w:t>
      </w:r>
      <w:r w:rsidRPr="00E168A1">
        <w:rPr>
          <w:rFonts w:ascii="Times New Roman" w:hAnsi="Times New Roman"/>
        </w:rPr>
        <w:t>tender</w:t>
      </w:r>
      <w:r w:rsidR="00900061" w:rsidRPr="00E168A1">
        <w:rPr>
          <w:rFonts w:ascii="Times New Roman" w:hAnsi="Times New Roman"/>
        </w:rPr>
        <w:t xml:space="preserve"> </w:t>
      </w:r>
      <w:r w:rsidRPr="00E168A1">
        <w:rPr>
          <w:rFonts w:ascii="Times New Roman" w:hAnsi="Times New Roman"/>
        </w:rPr>
        <w:t>documents</w:t>
      </w:r>
      <w:r w:rsidR="00A27FE9"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standard</w:t>
      </w:r>
      <w:r w:rsidR="00900061" w:rsidRPr="00E168A1">
        <w:rPr>
          <w:rFonts w:ascii="Times New Roman" w:hAnsi="Times New Roman"/>
        </w:rPr>
        <w:t xml:space="preserve"> </w:t>
      </w:r>
      <w:r w:rsidRPr="00E168A1">
        <w:rPr>
          <w:rFonts w:ascii="Times New Roman" w:hAnsi="Times New Roman"/>
        </w:rPr>
        <w:t>forms,</w:t>
      </w:r>
      <w:r w:rsidR="00900061" w:rsidRPr="00E168A1">
        <w:rPr>
          <w:rFonts w:ascii="Times New Roman" w:hAnsi="Times New Roman"/>
        </w:rPr>
        <w:t xml:space="preserve"> </w:t>
      </w:r>
      <w:r w:rsidR="00DE3AB1" w:rsidRPr="00E168A1">
        <w:rPr>
          <w:rFonts w:ascii="Times New Roman" w:hAnsi="Times New Roman"/>
        </w:rPr>
        <w:t>‘</w:t>
      </w:r>
      <w:r w:rsidR="00B03657" w:rsidRPr="00E168A1">
        <w:rPr>
          <w:rFonts w:ascii="Times New Roman" w:eastAsia="Times New Roman" w:hAnsi="Times New Roman"/>
        </w:rPr>
        <w:t>three</w:t>
      </w:r>
      <w:r w:rsidR="00900061" w:rsidRPr="00E168A1">
        <w:rPr>
          <w:rFonts w:ascii="Times New Roman" w:eastAsia="Times New Roman" w:hAnsi="Times New Roman"/>
        </w:rPr>
        <w:t xml:space="preserve"> </w:t>
      </w:r>
      <w:r w:rsidR="00B03657" w:rsidRPr="00E168A1">
        <w:rPr>
          <w:rFonts w:ascii="Times New Roman" w:eastAsia="Times New Roman" w:hAnsi="Times New Roman"/>
        </w:rPr>
        <w:t>decrees</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and</w:t>
      </w:r>
      <w:r w:rsidR="00900061" w:rsidRPr="00E168A1">
        <w:rPr>
          <w:rFonts w:ascii="Times New Roman" w:eastAsia="Times New Roman" w:hAnsi="Times New Roman"/>
        </w:rPr>
        <w:t xml:space="preserve"> </w:t>
      </w:r>
      <w:r w:rsidR="00B03657" w:rsidRPr="00E168A1">
        <w:rPr>
          <w:rFonts w:ascii="Times New Roman" w:eastAsia="Times New Roman" w:hAnsi="Times New Roman"/>
        </w:rPr>
        <w:t>one</w:t>
      </w:r>
      <w:r w:rsidR="00900061" w:rsidRPr="00E168A1">
        <w:rPr>
          <w:rFonts w:ascii="Times New Roman" w:eastAsia="Times New Roman" w:hAnsi="Times New Roman"/>
        </w:rPr>
        <w:t xml:space="preserve"> </w:t>
      </w:r>
      <w:r w:rsidR="00B03657" w:rsidRPr="00E168A1">
        <w:rPr>
          <w:rFonts w:ascii="Times New Roman" w:eastAsia="Times New Roman" w:hAnsi="Times New Roman"/>
        </w:rPr>
        <w:t>decision</w:t>
      </w:r>
      <w:r w:rsidR="00900061" w:rsidRPr="00E168A1">
        <w:rPr>
          <w:rFonts w:ascii="Times New Roman" w:eastAsia="Times New Roman" w:hAnsi="Times New Roman"/>
        </w:rPr>
        <w:t xml:space="preserve"> </w:t>
      </w:r>
      <w:r w:rsidRPr="00E168A1">
        <w:rPr>
          <w:rFonts w:ascii="Times New Roman" w:eastAsia="Times New Roman" w:hAnsi="Times New Roman"/>
        </w:rPr>
        <w:t>concerning</w:t>
      </w:r>
      <w:r w:rsidR="00900061" w:rsidRPr="00E168A1">
        <w:rPr>
          <w:rFonts w:ascii="Times New Roman" w:eastAsia="Times New Roman" w:hAnsi="Times New Roman"/>
        </w:rPr>
        <w:t xml:space="preserve"> </w:t>
      </w:r>
      <w:r w:rsidR="00B03657" w:rsidRPr="00E168A1">
        <w:rPr>
          <w:rFonts w:ascii="Times New Roman" w:eastAsia="Times New Roman" w:hAnsi="Times New Roman"/>
        </w:rPr>
        <w:t>centralised</w:t>
      </w:r>
      <w:r w:rsidR="00900061" w:rsidRPr="00E168A1">
        <w:rPr>
          <w:rFonts w:ascii="Times New Roman" w:eastAsia="Times New Roman" w:hAnsi="Times New Roman"/>
        </w:rPr>
        <w:t xml:space="preserve"> </w:t>
      </w:r>
      <w:r w:rsidR="00B03657"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B03657"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w:t>
      </w:r>
      <w:r w:rsidR="00900061" w:rsidRPr="00E168A1">
        <w:rPr>
          <w:rFonts w:ascii="Times New Roman" w:eastAsia="Times New Roman" w:hAnsi="Times New Roman"/>
        </w:rPr>
        <w:t xml:space="preserve"> </w:t>
      </w:r>
      <w:r w:rsidR="00B03657" w:rsidRPr="00E168A1">
        <w:rPr>
          <w:rFonts w:ascii="Times New Roman" w:eastAsia="Times New Roman" w:hAnsi="Times New Roman"/>
        </w:rPr>
        <w:t>the</w:t>
      </w:r>
      <w:r w:rsidR="00900061" w:rsidRPr="00E168A1">
        <w:rPr>
          <w:rFonts w:ascii="Times New Roman" w:eastAsia="Times New Roman" w:hAnsi="Times New Roman"/>
        </w:rPr>
        <w:t xml:space="preserve"> </w:t>
      </w:r>
      <w:r w:rsidR="00B03657" w:rsidRPr="00E168A1">
        <w:rPr>
          <w:rFonts w:ascii="Times New Roman" w:eastAsia="Times New Roman" w:hAnsi="Times New Roman"/>
        </w:rPr>
        <w:t>field</w:t>
      </w:r>
      <w:r w:rsidR="00900061" w:rsidRPr="00E168A1">
        <w:rPr>
          <w:rFonts w:ascii="Times New Roman" w:eastAsia="Times New Roman" w:hAnsi="Times New Roman"/>
        </w:rPr>
        <w:t xml:space="preserve"> </w:t>
      </w:r>
      <w:r w:rsidR="00B03657" w:rsidRPr="00E168A1">
        <w:rPr>
          <w:rFonts w:ascii="Times New Roman" w:eastAsia="Times New Roman" w:hAnsi="Times New Roman"/>
        </w:rPr>
        <w:t>of</w:t>
      </w:r>
      <w:r w:rsidR="00900061" w:rsidRPr="00E168A1">
        <w:rPr>
          <w:rFonts w:ascii="Times New Roman" w:eastAsia="Times New Roman" w:hAnsi="Times New Roman"/>
        </w:rPr>
        <w:t xml:space="preserve"> </w:t>
      </w:r>
      <w:r w:rsidR="00B03657" w:rsidRPr="00E168A1">
        <w:rPr>
          <w:rFonts w:ascii="Times New Roman" w:eastAsia="Times New Roman" w:hAnsi="Times New Roman"/>
        </w:rPr>
        <w:t>defence</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and</w:t>
      </w:r>
      <w:r w:rsidR="00900061" w:rsidRPr="00E168A1">
        <w:rPr>
          <w:rFonts w:ascii="Times New Roman" w:eastAsia="Times New Roman" w:hAnsi="Times New Roman"/>
        </w:rPr>
        <w:t xml:space="preserve"> </w:t>
      </w:r>
      <w:r w:rsidR="00B03657" w:rsidRPr="00E168A1">
        <w:rPr>
          <w:rFonts w:ascii="Times New Roman" w:eastAsia="Times New Roman" w:hAnsi="Times New Roman"/>
        </w:rPr>
        <w:t>security</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and</w:t>
      </w:r>
      <w:r w:rsidR="00900061" w:rsidRPr="00E168A1">
        <w:rPr>
          <w:rFonts w:ascii="Times New Roman" w:eastAsia="Times New Roman" w:hAnsi="Times New Roman"/>
        </w:rPr>
        <w:t xml:space="preserve"> </w:t>
      </w:r>
      <w:r w:rsidR="00B03657" w:rsidRPr="00E168A1">
        <w:rPr>
          <w:rFonts w:ascii="Times New Roman" w:eastAsia="Times New Roman" w:hAnsi="Times New Roman"/>
        </w:rPr>
        <w:t>common</w:t>
      </w:r>
      <w:r w:rsidR="00900061" w:rsidRPr="00E168A1">
        <w:rPr>
          <w:rFonts w:ascii="Times New Roman" w:eastAsia="Times New Roman" w:hAnsi="Times New Roman"/>
        </w:rPr>
        <w:t xml:space="preserve"> </w:t>
      </w:r>
      <w:r w:rsidR="00B03657"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B03657" w:rsidRPr="00E168A1">
        <w:rPr>
          <w:rFonts w:ascii="Times New Roman" w:eastAsia="Times New Roman" w:hAnsi="Times New Roman"/>
        </w:rPr>
        <w:t>vocabulary</w:t>
      </w:r>
      <w:r w:rsidR="00DE3AB1" w:rsidRPr="00E168A1">
        <w:rPr>
          <w:rFonts w:ascii="Times New Roman" w:eastAsia="Times New Roman" w:hAnsi="Times New Roman"/>
        </w:rPr>
        <w:t>’</w:t>
      </w:r>
      <w:r w:rsidR="00436278" w:rsidRPr="00E168A1">
        <w:rPr>
          <w:rFonts w:ascii="Times New Roman" w:eastAsia="Times New Roman" w:hAnsi="Times New Roman"/>
        </w:rPr>
        <w:t>,</w:t>
      </w:r>
      <w:r w:rsidR="00B03657" w:rsidRPr="00E168A1">
        <w:rPr>
          <w:rStyle w:val="FootnoteReference"/>
          <w:rFonts w:ascii="Times New Roman" w:eastAsia="Times New Roman" w:hAnsi="Times New Roman"/>
        </w:rPr>
        <w:footnoteReference w:id="6"/>
      </w:r>
      <w:r w:rsidR="00900061" w:rsidRPr="00E168A1">
        <w:rPr>
          <w:rFonts w:ascii="Times New Roman" w:eastAsia="Times New Roman" w:hAnsi="Times New Roman"/>
          <w:i/>
        </w:rPr>
        <w:t xml:space="preserve"> </w:t>
      </w:r>
      <w:r w:rsidR="00B03657" w:rsidRPr="00E168A1">
        <w:rPr>
          <w:rFonts w:ascii="Times New Roman" w:eastAsia="Times New Roman" w:hAnsi="Times New Roman"/>
        </w:rPr>
        <w:t>adoption</w:t>
      </w:r>
      <w:r w:rsidR="00900061" w:rsidRPr="00E168A1">
        <w:rPr>
          <w:rFonts w:ascii="Times New Roman" w:eastAsia="Times New Roman" w:hAnsi="Times New Roman"/>
        </w:rPr>
        <w:t xml:space="preserve"> </w:t>
      </w:r>
      <w:r w:rsidR="00B03657" w:rsidRPr="00E168A1">
        <w:rPr>
          <w:rFonts w:ascii="Times New Roman" w:eastAsia="Times New Roman" w:hAnsi="Times New Roman"/>
        </w:rPr>
        <w:t>of</w:t>
      </w:r>
      <w:r w:rsidR="00900061" w:rsidRPr="00E168A1">
        <w:rPr>
          <w:rFonts w:ascii="Times New Roman" w:eastAsia="Times New Roman" w:hAnsi="Times New Roman"/>
        </w:rPr>
        <w:t xml:space="preserve"> </w:t>
      </w:r>
      <w:r w:rsidR="00B03657" w:rsidRPr="00E168A1">
        <w:rPr>
          <w:rFonts w:ascii="Times New Roman" w:eastAsia="Times New Roman" w:hAnsi="Times New Roman"/>
        </w:rPr>
        <w:t>measures</w:t>
      </w:r>
      <w:r w:rsidR="00900061" w:rsidRPr="00E168A1">
        <w:rPr>
          <w:rFonts w:ascii="Times New Roman" w:eastAsia="Times New Roman" w:hAnsi="Times New Roman"/>
        </w:rPr>
        <w:t xml:space="preserve"> </w:t>
      </w:r>
      <w:r w:rsidR="00B03657" w:rsidRPr="00E168A1">
        <w:rPr>
          <w:rFonts w:ascii="Times New Roman" w:eastAsia="Times New Roman" w:hAnsi="Times New Roman"/>
        </w:rPr>
        <w:t>aimed</w:t>
      </w:r>
      <w:r w:rsidR="00900061" w:rsidRPr="00E168A1">
        <w:rPr>
          <w:rFonts w:ascii="Times New Roman" w:eastAsia="Times New Roman" w:hAnsi="Times New Roman"/>
        </w:rPr>
        <w:t xml:space="preserve"> </w:t>
      </w:r>
      <w:r w:rsidR="00B03657" w:rsidRPr="00E168A1">
        <w:rPr>
          <w:rFonts w:ascii="Times New Roman" w:eastAsia="Times New Roman" w:hAnsi="Times New Roman"/>
        </w:rPr>
        <w:t>at</w:t>
      </w:r>
      <w:r w:rsidR="00900061" w:rsidRPr="00E168A1">
        <w:rPr>
          <w:rFonts w:ascii="Times New Roman" w:eastAsia="Times New Roman" w:hAnsi="Times New Roman"/>
        </w:rPr>
        <w:t xml:space="preserve"> </w:t>
      </w:r>
      <w:r w:rsidR="00B03657" w:rsidRPr="00E168A1">
        <w:rPr>
          <w:rFonts w:ascii="Times New Roman" w:eastAsia="Times New Roman" w:hAnsi="Times New Roman"/>
        </w:rPr>
        <w:t>preventing</w:t>
      </w:r>
      <w:r w:rsidR="00900061" w:rsidRPr="00E168A1">
        <w:rPr>
          <w:rFonts w:ascii="Times New Roman" w:eastAsia="Times New Roman" w:hAnsi="Times New Roman"/>
        </w:rPr>
        <w:t xml:space="preserve"> </w:t>
      </w:r>
      <w:r w:rsidR="00B03657" w:rsidRPr="00E168A1">
        <w:rPr>
          <w:rFonts w:ascii="Times New Roman" w:eastAsia="Times New Roman" w:hAnsi="Times New Roman"/>
        </w:rPr>
        <w:t>corruption</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and</w:t>
      </w:r>
      <w:r w:rsidR="00900061" w:rsidRPr="00E168A1">
        <w:rPr>
          <w:rFonts w:ascii="Times New Roman" w:eastAsia="Times New Roman" w:hAnsi="Times New Roman"/>
        </w:rPr>
        <w:t xml:space="preserve"> </w:t>
      </w:r>
      <w:r w:rsidR="00B03657" w:rsidRPr="00E168A1">
        <w:rPr>
          <w:rFonts w:ascii="Times New Roman" w:eastAsia="Times New Roman" w:hAnsi="Times New Roman"/>
        </w:rPr>
        <w:t>conflicts</w:t>
      </w:r>
      <w:r w:rsidR="00900061" w:rsidRPr="00E168A1">
        <w:rPr>
          <w:rFonts w:ascii="Times New Roman" w:eastAsia="Times New Roman" w:hAnsi="Times New Roman"/>
        </w:rPr>
        <w:t xml:space="preserve"> </w:t>
      </w:r>
      <w:r w:rsidR="00B03657" w:rsidRPr="00E168A1">
        <w:rPr>
          <w:rFonts w:ascii="Times New Roman" w:eastAsia="Times New Roman" w:hAnsi="Times New Roman"/>
        </w:rPr>
        <w:t>of</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interest</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w:t>
      </w:r>
      <w:r w:rsidR="00900061" w:rsidRPr="00E168A1">
        <w:rPr>
          <w:rFonts w:ascii="Times New Roman" w:eastAsia="Times New Roman" w:hAnsi="Times New Roman"/>
        </w:rPr>
        <w:t xml:space="preserve"> </w:t>
      </w:r>
      <w:r w:rsidR="00B03657" w:rsidRPr="00E168A1">
        <w:rPr>
          <w:rFonts w:ascii="Times New Roman" w:eastAsia="Times New Roman" w:hAnsi="Times New Roman"/>
        </w:rPr>
        <w:t>public</w:t>
      </w:r>
      <w:r w:rsidR="00900061" w:rsidRPr="00E168A1">
        <w:rPr>
          <w:rFonts w:ascii="Times New Roman" w:eastAsia="Times New Roman" w:hAnsi="Times New Roman"/>
        </w:rPr>
        <w:t xml:space="preserve"> </w:t>
      </w:r>
      <w:r w:rsidR="00B03657" w:rsidRPr="00E168A1">
        <w:rPr>
          <w:rFonts w:ascii="Times New Roman" w:eastAsia="Times New Roman" w:hAnsi="Times New Roman"/>
        </w:rPr>
        <w:t>tenders,</w:t>
      </w:r>
      <w:r w:rsidR="00900061" w:rsidRPr="00E168A1">
        <w:rPr>
          <w:rFonts w:ascii="Times New Roman" w:eastAsia="Times New Roman" w:hAnsi="Times New Roman"/>
        </w:rPr>
        <w:t xml:space="preserve"> </w:t>
      </w:r>
      <w:r w:rsidR="00073464" w:rsidRPr="00E168A1">
        <w:rPr>
          <w:rFonts w:ascii="Times New Roman" w:hAnsi="Times New Roman"/>
        </w:rPr>
        <w:t>and so on</w:t>
      </w:r>
      <w:r w:rsidR="00B03657" w:rsidRPr="00E168A1">
        <w:rPr>
          <w:rFonts w:ascii="Times New Roman" w:eastAsia="Times New Roman" w:hAnsi="Times New Roman"/>
        </w:rPr>
        <w:t>).</w:t>
      </w:r>
      <w:r w:rsidR="00900061" w:rsidRPr="00E168A1">
        <w:rPr>
          <w:rFonts w:ascii="Times New Roman" w:eastAsia="Times New Roman" w:hAnsi="Times New Roman"/>
        </w:rPr>
        <w:t xml:space="preserve"> </w:t>
      </w:r>
    </w:p>
    <w:p w14:paraId="32E06018" w14:textId="6DCF07BE" w:rsidR="00F065BD" w:rsidRPr="00A90FD9"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issue</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is</w:t>
      </w:r>
      <w:r w:rsidR="00900061" w:rsidRPr="00E168A1">
        <w:rPr>
          <w:rFonts w:ascii="Times New Roman" w:eastAsia="Times New Roman" w:hAnsi="Times New Roman"/>
          <w:b/>
        </w:rPr>
        <w:t xml:space="preserve"> </w:t>
      </w:r>
      <w:r w:rsidRPr="00E168A1">
        <w:rPr>
          <w:rFonts w:ascii="Times New Roman" w:eastAsia="Times New Roman" w:hAnsi="Times New Roman"/>
          <w:b/>
        </w:rPr>
        <w:t>high</w:t>
      </w:r>
      <w:r w:rsidR="00900061" w:rsidRPr="00E168A1">
        <w:rPr>
          <w:rFonts w:ascii="Times New Roman" w:eastAsia="Times New Roman" w:hAnsi="Times New Roman"/>
          <w:b/>
        </w:rPr>
        <w:t xml:space="preserve"> </w:t>
      </w:r>
      <w:r w:rsidRPr="00E168A1">
        <w:rPr>
          <w:rFonts w:ascii="Times New Roman" w:eastAsia="Times New Roman" w:hAnsi="Times New Roman"/>
          <w:b/>
        </w:rPr>
        <w:t>on</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current</w:t>
      </w:r>
      <w:r w:rsidR="00900061" w:rsidRPr="00E168A1">
        <w:rPr>
          <w:rFonts w:ascii="Times New Roman" w:eastAsia="Times New Roman" w:hAnsi="Times New Roman"/>
          <w:b/>
        </w:rPr>
        <w:t xml:space="preserve"> </w:t>
      </w:r>
      <w:r w:rsidRPr="00E168A1">
        <w:rPr>
          <w:rFonts w:ascii="Times New Roman" w:eastAsia="Times New Roman" w:hAnsi="Times New Roman"/>
          <w:b/>
        </w:rPr>
        <w:t>administration's</w:t>
      </w:r>
      <w:r w:rsidR="00900061" w:rsidRPr="00E168A1">
        <w:rPr>
          <w:rFonts w:ascii="Times New Roman" w:eastAsia="Times New Roman" w:hAnsi="Times New Roman"/>
          <w:b/>
        </w:rPr>
        <w:t xml:space="preserve"> </w:t>
      </w:r>
      <w:r w:rsidRPr="00E168A1">
        <w:rPr>
          <w:rFonts w:ascii="Times New Roman" w:eastAsia="Times New Roman" w:hAnsi="Times New Roman"/>
          <w:b/>
        </w:rPr>
        <w:t>agenda.</w:t>
      </w:r>
      <w:r w:rsidR="00900061" w:rsidRPr="00E168A1">
        <w:rPr>
          <w:rFonts w:ascii="Times New Roman" w:eastAsia="Times New Roman" w:hAnsi="Times New Roman"/>
          <w:b/>
        </w:rPr>
        <w:t xml:space="preserve"> </w:t>
      </w:r>
      <w:r w:rsidRPr="00E168A1">
        <w:rPr>
          <w:rFonts w:ascii="Times New Roman" w:hAnsi="Times New Roman"/>
        </w:rPr>
        <w:t>Improving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part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third</w:t>
      </w:r>
      <w:r w:rsidR="00900061" w:rsidRPr="00E168A1">
        <w:rPr>
          <w:rFonts w:ascii="Times New Roman" w:hAnsi="Times New Roman"/>
        </w:rPr>
        <w:t xml:space="preserve"> </w:t>
      </w:r>
      <w:r w:rsidRPr="00E168A1">
        <w:rPr>
          <w:rFonts w:ascii="Times New Roman" w:hAnsi="Times New Roman"/>
        </w:rPr>
        <w:t>objective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Serbia’s</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Administration</w:t>
      </w:r>
      <w:r w:rsidR="00900061" w:rsidRPr="00E168A1">
        <w:rPr>
          <w:rFonts w:ascii="Times New Roman" w:hAnsi="Times New Roman"/>
        </w:rPr>
        <w:t xml:space="preserve"> </w:t>
      </w:r>
      <w:r w:rsidRPr="00E168A1">
        <w:rPr>
          <w:rFonts w:ascii="Times New Roman" w:hAnsi="Times New Roman"/>
        </w:rPr>
        <w:t>Reform</w:t>
      </w:r>
      <w:r w:rsidR="00900061" w:rsidRPr="00E168A1">
        <w:rPr>
          <w:rFonts w:ascii="Times New Roman" w:hAnsi="Times New Roman"/>
        </w:rPr>
        <w:t xml:space="preserve"> </w:t>
      </w:r>
      <w:r w:rsidRPr="00E168A1">
        <w:rPr>
          <w:rFonts w:ascii="Times New Roman" w:hAnsi="Times New Roman"/>
        </w:rPr>
        <w:t>Strategy,</w:t>
      </w:r>
      <w:r w:rsidR="00900061" w:rsidRPr="00E168A1">
        <w:rPr>
          <w:rFonts w:ascii="Times New Roman" w:hAnsi="Times New Roman"/>
        </w:rPr>
        <w:t xml:space="preserve"> </w:t>
      </w:r>
      <w:r w:rsidR="001C207D" w:rsidRPr="00E168A1">
        <w:rPr>
          <w:rFonts w:ascii="Times New Roman" w:hAnsi="Times New Roman"/>
        </w:rPr>
        <w:t>‘</w:t>
      </w:r>
      <w:r w:rsidRPr="00E168A1">
        <w:rPr>
          <w:rFonts w:ascii="Times New Roman" w:hAnsi="Times New Roman"/>
        </w:rPr>
        <w:t>Improvement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finances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lastRenderedPageBreak/>
        <w:t>management</w:t>
      </w:r>
      <w:r w:rsidR="001C207D" w:rsidRPr="00E168A1">
        <w:rPr>
          <w:rFonts w:ascii="Times New Roman" w:hAnsi="Times New Roman"/>
        </w:rPr>
        <w:t>’</w:t>
      </w:r>
      <w:r w:rsidRPr="00E168A1">
        <w:rPr>
          <w:rFonts w:ascii="Times New Roman" w:hAnsi="Times New Roman"/>
        </w:rPr>
        <w:t>.</w:t>
      </w:r>
      <w:r w:rsidR="00900061" w:rsidRPr="00E168A1">
        <w:rPr>
          <w:rFonts w:ascii="Times New Roman" w:hAnsi="Times New Roman"/>
          <w:b/>
        </w:rPr>
        <w:t xml:space="preserve"> </w:t>
      </w:r>
      <w:r w:rsidRPr="00E168A1">
        <w:rPr>
          <w:rFonts w:ascii="Times New Roman" w:hAnsi="Times New Roman"/>
        </w:rPr>
        <w:t>The</w:t>
      </w:r>
      <w:r w:rsidR="00900061" w:rsidRPr="00E168A1">
        <w:rPr>
          <w:rFonts w:ascii="Times New Roman" w:hAnsi="Times New Roman"/>
          <w:b/>
        </w:rPr>
        <w:t xml:space="preserve"> </w:t>
      </w:r>
      <w:r w:rsidR="001C207D" w:rsidRPr="00E168A1">
        <w:rPr>
          <w:rFonts w:ascii="Times New Roman" w:hAnsi="Times New Roman"/>
        </w:rPr>
        <w:t>g</w:t>
      </w:r>
      <w:r w:rsidR="00AE54E5" w:rsidRPr="00E168A1">
        <w:rPr>
          <w:rFonts w:ascii="Times New Roman" w:hAnsi="Times New Roman"/>
        </w:rPr>
        <w:t>overnment</w:t>
      </w:r>
      <w:r w:rsidR="00900061" w:rsidRPr="00E168A1">
        <w:rPr>
          <w:rFonts w:ascii="Times New Roman" w:hAnsi="Times New Roman"/>
        </w:rPr>
        <w:t xml:space="preserve"> </w:t>
      </w:r>
      <w:r w:rsidR="00AE54E5" w:rsidRPr="00E168A1">
        <w:rPr>
          <w:rFonts w:ascii="Times New Roman" w:hAnsi="Times New Roman"/>
        </w:rPr>
        <w:t>adopted</w:t>
      </w:r>
      <w:r w:rsidR="00900061" w:rsidRPr="00E168A1">
        <w:rPr>
          <w:rFonts w:ascii="Times New Roman" w:hAnsi="Times New Roman"/>
        </w:rPr>
        <w:t xml:space="preserve"> </w:t>
      </w:r>
      <w:r w:rsidR="00AE54E5" w:rsidRPr="00E168A1">
        <w:rPr>
          <w:rFonts w:ascii="Times New Roman" w:hAnsi="Times New Roman"/>
        </w:rPr>
        <w:t>a</w:t>
      </w:r>
      <w:r w:rsidR="00900061" w:rsidRPr="00E168A1">
        <w:rPr>
          <w:rFonts w:ascii="Times New Roman" w:hAnsi="Times New Roman"/>
        </w:rPr>
        <w:t xml:space="preserve"> </w:t>
      </w:r>
      <w:r w:rsidR="00AE54E5" w:rsidRPr="00E168A1">
        <w:rPr>
          <w:rFonts w:ascii="Times New Roman" w:hAnsi="Times New Roman"/>
        </w:rPr>
        <w:t>Public</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Pr="00E168A1">
        <w:rPr>
          <w:rFonts w:ascii="Times New Roman" w:eastAsia="Times New Roman" w:hAnsi="Times New Roman"/>
        </w:rPr>
        <w:t>Strategy</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1C207D" w:rsidRPr="00E168A1">
        <w:rPr>
          <w:rFonts w:ascii="Times New Roman" w:eastAsia="Times New Roman" w:hAnsi="Times New Roman"/>
        </w:rPr>
        <w:t>–</w:t>
      </w:r>
      <w:r w:rsidRPr="00E168A1">
        <w:rPr>
          <w:rFonts w:ascii="Times New Roman" w:eastAsia="Times New Roman" w:hAnsi="Times New Roman"/>
        </w:rPr>
        <w:t>2018</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corresponding</w:t>
      </w:r>
      <w:r w:rsidR="00900061" w:rsidRPr="00E168A1">
        <w:rPr>
          <w:rFonts w:ascii="Times New Roman" w:eastAsia="Times New Roman" w:hAnsi="Times New Roman"/>
        </w:rPr>
        <w:t xml:space="preserve"> </w:t>
      </w:r>
      <w:r w:rsidRPr="00E168A1">
        <w:rPr>
          <w:rFonts w:ascii="Times New Roman" w:eastAsia="Times New Roman" w:hAnsi="Times New Roman"/>
        </w:rPr>
        <w:t>Action</w:t>
      </w:r>
      <w:r w:rsidR="00900061" w:rsidRPr="00E168A1">
        <w:rPr>
          <w:rFonts w:ascii="Times New Roman" w:eastAsia="Times New Roman" w:hAnsi="Times New Roman"/>
        </w:rPr>
        <w:t xml:space="preserve"> </w:t>
      </w:r>
      <w:r w:rsidRPr="00E168A1">
        <w:rPr>
          <w:rFonts w:ascii="Times New Roman" w:eastAsia="Times New Roman" w:hAnsi="Times New Roman"/>
        </w:rPr>
        <w:t>Plan</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1C207D" w:rsidRPr="00E168A1">
        <w:rPr>
          <w:rFonts w:ascii="Times New Roman" w:eastAsia="Times New Roman" w:hAnsi="Times New Roman"/>
        </w:rPr>
        <w:t>–</w:t>
      </w:r>
      <w:r w:rsidRPr="00E168A1">
        <w:rPr>
          <w:rFonts w:ascii="Times New Roman" w:eastAsia="Times New Roman" w:hAnsi="Times New Roman"/>
        </w:rPr>
        <w:t>2015</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October</w:t>
      </w:r>
      <w:r w:rsidR="00900061" w:rsidRPr="00E168A1">
        <w:rPr>
          <w:rFonts w:ascii="Times New Roman" w:eastAsia="Times New Roman" w:hAnsi="Times New Roman"/>
        </w:rPr>
        <w:t xml:space="preserve"> </w:t>
      </w:r>
      <w:r w:rsidRPr="00E168A1">
        <w:rPr>
          <w:rFonts w:ascii="Times New Roman" w:eastAsia="Times New Roman" w:hAnsi="Times New Roman"/>
        </w:rPr>
        <w:t>30,</w:t>
      </w:r>
      <w:r w:rsidR="00900061" w:rsidRPr="00E168A1">
        <w:rPr>
          <w:rFonts w:ascii="Times New Roman" w:eastAsia="Times New Roman" w:hAnsi="Times New Roman"/>
        </w:rPr>
        <w:t xml:space="preserve"> </w:t>
      </w:r>
      <w:r w:rsidR="00AE54E5" w:rsidRPr="00E168A1">
        <w:rPr>
          <w:rFonts w:ascii="Times New Roman" w:eastAsia="Times New Roman" w:hAnsi="Times New Roman"/>
        </w:rPr>
        <w:t>2014</w:t>
      </w:r>
      <w:r w:rsidR="001C207D" w:rsidRPr="00E168A1">
        <w:rPr>
          <w:rFonts w:ascii="Times New Roman" w:eastAsia="Times New Roman" w:hAnsi="Times New Roman"/>
        </w:rPr>
        <w:t>.</w:t>
      </w:r>
      <w:r w:rsidRPr="00E168A1">
        <w:rPr>
          <w:rFonts w:ascii="Times New Roman" w:hAnsi="Times New Roman"/>
          <w:vertAlign w:val="superscript"/>
        </w:rPr>
        <w:footnoteReference w:id="7"/>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1F500D" w:rsidRPr="00E168A1">
        <w:rPr>
          <w:rFonts w:ascii="Times New Roman" w:eastAsia="Times New Roman" w:hAnsi="Times New Roman"/>
        </w:rPr>
        <w:t>s</w:t>
      </w:r>
      <w:r w:rsidRPr="00E168A1">
        <w:rPr>
          <w:rFonts w:ascii="Times New Roman" w:eastAsia="Times New Roman" w:hAnsi="Times New Roman"/>
        </w:rPr>
        <w:t>trategy</w:t>
      </w:r>
      <w:r w:rsidR="00900061" w:rsidRPr="00E168A1">
        <w:rPr>
          <w:rFonts w:ascii="Times New Roman" w:eastAsia="Times New Roman" w:hAnsi="Times New Roman"/>
        </w:rPr>
        <w:t xml:space="preserve"> </w:t>
      </w:r>
      <w:r w:rsidRPr="00E168A1">
        <w:rPr>
          <w:rFonts w:ascii="Times New Roman" w:eastAsia="Times New Roman" w:hAnsi="Times New Roman"/>
        </w:rPr>
        <w:t>foresees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amendment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2017</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ensure</w:t>
      </w:r>
      <w:r w:rsidR="00900061" w:rsidRPr="00E168A1">
        <w:rPr>
          <w:rFonts w:ascii="Times New Roman" w:eastAsia="Times New Roman" w:hAnsi="Times New Roman"/>
        </w:rPr>
        <w:t xml:space="preserve"> </w:t>
      </w:r>
      <w:r w:rsidRPr="00E168A1">
        <w:rPr>
          <w:rFonts w:ascii="Times New Roman" w:eastAsia="Times New Roman" w:hAnsi="Times New Roman"/>
        </w:rPr>
        <w:t>full</w:t>
      </w:r>
      <w:r w:rsidR="00900061" w:rsidRPr="00E168A1">
        <w:rPr>
          <w:rFonts w:ascii="Times New Roman" w:eastAsia="Times New Roman" w:hAnsi="Times New Roman"/>
        </w:rPr>
        <w:t xml:space="preserve"> </w:t>
      </w:r>
      <w:r w:rsidRPr="00E168A1">
        <w:rPr>
          <w:rFonts w:ascii="Times New Roman" w:eastAsia="Times New Roman" w:hAnsi="Times New Roman"/>
        </w:rPr>
        <w:t>harmoni</w:t>
      </w:r>
      <w:r w:rsidR="00D1126D" w:rsidRPr="00E168A1">
        <w:rPr>
          <w:rFonts w:ascii="Times New Roman" w:eastAsia="Times New Roman" w:hAnsi="Times New Roman"/>
        </w:rPr>
        <w:t>z</w:t>
      </w:r>
      <w:r w:rsidRPr="00E168A1">
        <w:rPr>
          <w:rFonts w:ascii="Times New Roman" w:eastAsia="Times New Roman" w:hAnsi="Times New Roman"/>
        </w:rPr>
        <w:t>ation</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1D0F93">
        <w:rPr>
          <w:rFonts w:ascii="Times New Roman" w:eastAsia="Times New Roman" w:hAnsi="Times New Roman"/>
          <w:i/>
        </w:rPr>
        <w:t>acquis</w:t>
      </w:r>
      <w:r w:rsidR="00900061" w:rsidRPr="001D0F93">
        <w:rPr>
          <w:rFonts w:ascii="Times New Roman" w:eastAsia="Times New Roman" w:hAnsi="Times New Roman"/>
          <w:i/>
        </w:rPr>
        <w:t xml:space="preserve"> </w:t>
      </w:r>
      <w:r w:rsidRPr="001D0F93">
        <w:rPr>
          <w:rFonts w:ascii="Times New Roman" w:eastAsia="Times New Roman" w:hAnsi="Times New Roman"/>
          <w:i/>
        </w:rPr>
        <w:t>communautaire</w:t>
      </w:r>
      <w:r w:rsidR="00900061" w:rsidRPr="00E168A1">
        <w:rPr>
          <w:rFonts w:ascii="Times New Roman" w:eastAsia="Times New Roman" w:hAnsi="Times New Roman"/>
        </w:rPr>
        <w:t xml:space="preserve"> </w:t>
      </w:r>
      <w:r w:rsidRPr="00E168A1">
        <w:rPr>
          <w:rFonts w:ascii="Times New Roman" w:eastAsia="Times New Roman" w:hAnsi="Times New Roman"/>
          <w:shd w:val="clear" w:color="auto" w:fill="FFFFFF"/>
        </w:rPr>
        <w:t>(indeed,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few</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rPr>
        <w:t>discrepancies</w:t>
      </w:r>
      <w:r w:rsidR="00900061" w:rsidRPr="00E168A1">
        <w:rPr>
          <w:rFonts w:ascii="Times New Roman" w:eastAsia="Times New Roman" w:hAnsi="Times New Roman"/>
        </w:rPr>
        <w:t xml:space="preserve"> </w:t>
      </w:r>
      <w:r w:rsidRPr="00E168A1">
        <w:rPr>
          <w:rFonts w:ascii="Times New Roman" w:eastAsia="Times New Roman" w:hAnsi="Times New Roman"/>
        </w:rPr>
        <w:t>remain,</w:t>
      </w:r>
      <w:r w:rsidR="00900061" w:rsidRPr="00E168A1">
        <w:rPr>
          <w:rFonts w:ascii="Times New Roman" w:eastAsia="Times New Roman" w:hAnsi="Times New Roman"/>
        </w:rPr>
        <w:t xml:space="preserve"> </w:t>
      </w:r>
      <w:r w:rsidRPr="00E168A1">
        <w:rPr>
          <w:rFonts w:ascii="Times New Roman" w:eastAsia="Times New Roman" w:hAnsi="Times New Roman"/>
        </w:rPr>
        <w:t>including</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example,</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definition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A90FD9">
        <w:rPr>
          <w:rFonts w:ascii="Times New Roman" w:eastAsia="Times New Roman" w:hAnsi="Times New Roman"/>
        </w:rPr>
        <w:t>a</w:t>
      </w:r>
      <w:r w:rsidR="00900061" w:rsidRPr="00A90FD9">
        <w:rPr>
          <w:rFonts w:ascii="Times New Roman" w:eastAsia="Times New Roman" w:hAnsi="Times New Roman"/>
        </w:rPr>
        <w:t xml:space="preserve"> </w:t>
      </w:r>
      <w:r w:rsidRPr="00A90FD9">
        <w:rPr>
          <w:rFonts w:ascii="Times New Roman" w:eastAsia="Times New Roman" w:hAnsi="Times New Roman"/>
        </w:rPr>
        <w:t>few</w:t>
      </w:r>
      <w:r w:rsidR="00900061" w:rsidRPr="00A90FD9">
        <w:rPr>
          <w:rFonts w:ascii="Times New Roman" w:eastAsia="Times New Roman" w:hAnsi="Times New Roman"/>
        </w:rPr>
        <w:t xml:space="preserve"> </w:t>
      </w:r>
      <w:r w:rsidRPr="00A90FD9">
        <w:rPr>
          <w:rFonts w:ascii="Times New Roman" w:eastAsia="Times New Roman" w:hAnsi="Times New Roman"/>
        </w:rPr>
        <w:t>exemptions</w:t>
      </w:r>
      <w:r w:rsidR="00900061" w:rsidRPr="00A90FD9">
        <w:rPr>
          <w:rFonts w:ascii="Times New Roman" w:eastAsia="Times New Roman" w:hAnsi="Times New Roman"/>
        </w:rPr>
        <w:t xml:space="preserve"> </w:t>
      </w:r>
      <w:r w:rsidRPr="00E67C6B">
        <w:rPr>
          <w:rFonts w:ascii="Times New Roman" w:eastAsia="Times New Roman" w:hAnsi="Times New Roman"/>
        </w:rPr>
        <w:t>from</w:t>
      </w:r>
      <w:r w:rsidR="00900061" w:rsidRPr="002C47D7">
        <w:rPr>
          <w:rFonts w:ascii="Times New Roman" w:eastAsia="Times New Roman" w:hAnsi="Times New Roman"/>
        </w:rPr>
        <w:t xml:space="preserve"> </w:t>
      </w:r>
      <w:r w:rsidR="00AE54E5" w:rsidRPr="005769EE">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Law,</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retention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qualification</w:t>
      </w:r>
      <w:r w:rsidR="00900061" w:rsidRPr="00E168A1">
        <w:rPr>
          <w:rFonts w:ascii="Times New Roman" w:eastAsia="Times New Roman" w:hAnsi="Times New Roman"/>
        </w:rPr>
        <w:t xml:space="preserve"> </w:t>
      </w:r>
      <w:r w:rsidRPr="00E168A1">
        <w:rPr>
          <w:rFonts w:ascii="Times New Roman" w:eastAsia="Times New Roman" w:hAnsi="Times New Roman"/>
        </w:rPr>
        <w:t>system</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addition</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other</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national</w:t>
      </w:r>
      <w:r w:rsidR="00900061" w:rsidRPr="00E168A1">
        <w:rPr>
          <w:rFonts w:ascii="Times New Roman" w:eastAsia="Times New Roman" w:hAnsi="Times New Roman"/>
        </w:rPr>
        <w:t xml:space="preserve"> </w:t>
      </w:r>
      <w:r w:rsidRPr="00E168A1">
        <w:rPr>
          <w:rFonts w:ascii="Times New Roman" w:eastAsia="Times New Roman" w:hAnsi="Times New Roman"/>
        </w:rPr>
        <w:t>preferences"</w:t>
      </w:r>
      <w:r w:rsidR="00E952F4" w:rsidRPr="00E168A1">
        <w:rPr>
          <w:rFonts w:ascii="Times New Roman" w:eastAsia="Times New Roman" w:hAnsi="Times New Roman"/>
        </w:rPr>
        <w:t>).</w:t>
      </w:r>
      <w:r w:rsidRPr="00A90FD9">
        <w:rPr>
          <w:rStyle w:val="FootnoteReference"/>
          <w:rFonts w:ascii="Times New Roman" w:eastAsia="Times New Roman" w:hAnsi="Times New Roman"/>
        </w:rPr>
        <w:footnoteReference w:id="8"/>
      </w:r>
    </w:p>
    <w:p w14:paraId="64D33B8E" w14:textId="00BC3E97" w:rsidR="00F065BD" w:rsidRPr="00E168A1"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rPr>
        <w:t>These</w:t>
      </w:r>
      <w:r w:rsidR="00900061" w:rsidRPr="00E168A1">
        <w:rPr>
          <w:rFonts w:ascii="Times New Roman" w:eastAsia="Times New Roman" w:hAnsi="Times New Roman"/>
          <w:b/>
        </w:rPr>
        <w:t xml:space="preserve"> </w:t>
      </w:r>
      <w:r w:rsidRPr="00E168A1">
        <w:rPr>
          <w:rFonts w:ascii="Times New Roman" w:eastAsia="Times New Roman" w:hAnsi="Times New Roman"/>
          <w:b/>
        </w:rPr>
        <w:t>are</w:t>
      </w:r>
      <w:r w:rsidR="00900061" w:rsidRPr="00E168A1">
        <w:rPr>
          <w:rFonts w:ascii="Times New Roman" w:eastAsia="Times New Roman" w:hAnsi="Times New Roman"/>
          <w:b/>
        </w:rPr>
        <w:t xml:space="preserve"> </w:t>
      </w:r>
      <w:r w:rsidRPr="00E168A1">
        <w:rPr>
          <w:rFonts w:ascii="Times New Roman" w:eastAsia="Times New Roman" w:hAnsi="Times New Roman"/>
          <w:b/>
        </w:rPr>
        <w:t>positive</w:t>
      </w:r>
      <w:r w:rsidR="00900061" w:rsidRPr="00E168A1">
        <w:rPr>
          <w:rFonts w:ascii="Times New Roman" w:eastAsia="Times New Roman" w:hAnsi="Times New Roman"/>
          <w:b/>
        </w:rPr>
        <w:t xml:space="preserve"> </w:t>
      </w:r>
      <w:r w:rsidRPr="00E168A1">
        <w:rPr>
          <w:rFonts w:ascii="Times New Roman" w:eastAsia="Times New Roman" w:hAnsi="Times New Roman"/>
          <w:b/>
        </w:rPr>
        <w:t>developments</w:t>
      </w:r>
      <w:r w:rsidR="00900061" w:rsidRPr="00E168A1">
        <w:rPr>
          <w:rFonts w:ascii="Times New Roman" w:eastAsia="Times New Roman" w:hAnsi="Times New Roman"/>
          <w:b/>
        </w:rPr>
        <w:t xml:space="preserve"> </w:t>
      </w:r>
      <w:r w:rsidRPr="00E168A1">
        <w:rPr>
          <w:rFonts w:ascii="Times New Roman" w:eastAsia="Times New Roman" w:hAnsi="Times New Roman"/>
          <w:b/>
        </w:rPr>
        <w:t>and</w:t>
      </w:r>
      <w:r w:rsidR="00900061" w:rsidRPr="00E168A1">
        <w:rPr>
          <w:rFonts w:ascii="Times New Roman" w:eastAsia="Times New Roman" w:hAnsi="Times New Roman"/>
          <w:b/>
        </w:rPr>
        <w:t xml:space="preserve"> </w:t>
      </w:r>
      <w:r w:rsidRPr="00E168A1">
        <w:rPr>
          <w:rFonts w:ascii="Times New Roman" w:eastAsia="Times New Roman" w:hAnsi="Times New Roman"/>
          <w:b/>
        </w:rPr>
        <w:t>show</w:t>
      </w:r>
      <w:r w:rsidR="00900061" w:rsidRPr="00E168A1">
        <w:rPr>
          <w:rFonts w:ascii="Times New Roman" w:eastAsia="Times New Roman" w:hAnsi="Times New Roman"/>
          <w:b/>
        </w:rPr>
        <w:t xml:space="preserve"> </w:t>
      </w:r>
      <w:r w:rsidRPr="00E168A1">
        <w:rPr>
          <w:rFonts w:ascii="Times New Roman" w:eastAsia="Times New Roman" w:hAnsi="Times New Roman"/>
          <w:b/>
        </w:rPr>
        <w:t>improvements.</w:t>
      </w:r>
      <w:r w:rsidR="00900061" w:rsidRPr="00E168A1">
        <w:rPr>
          <w:rFonts w:ascii="Times New Roman" w:eastAsia="Times New Roman" w:hAnsi="Times New Roman"/>
          <w:b/>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w:t>
      </w:r>
      <w:r w:rsidRPr="00E168A1">
        <w:rPr>
          <w:rFonts w:ascii="Times New Roman" w:eastAsia="Times New Roman" w:hAnsi="Times New Roman"/>
          <w:shd w:val="clear" w:color="auto" w:fill="FFFFFF"/>
        </w:rPr>
        <w:t>013,</w:t>
      </w:r>
      <w:r w:rsidR="00900061" w:rsidRPr="00E168A1">
        <w:rPr>
          <w:rFonts w:ascii="Times New Roman" w:eastAsia="Times New Roman" w:hAnsi="Times New Roman"/>
          <w:shd w:val="clear" w:color="auto" w:fill="FFFFFF"/>
        </w:rPr>
        <w:t xml:space="preserve"> </w:t>
      </w:r>
      <w:r w:rsidR="00FF4790" w:rsidRPr="00E168A1">
        <w:rPr>
          <w:rFonts w:ascii="Times New Roman" w:eastAsia="Times New Roman" w:hAnsi="Times New Roman"/>
          <w:shd w:val="clear" w:color="auto" w:fill="FFFFFF"/>
        </w:rPr>
        <w:t xml:space="preserve">the European Bank for Reconstruction and Development </w:t>
      </w:r>
      <w:r w:rsidRPr="00E168A1">
        <w:rPr>
          <w:rFonts w:ascii="Times New Roman" w:eastAsia="Times New Roman" w:hAnsi="Times New Roman"/>
          <w:shd w:val="clear" w:color="auto" w:fill="FFFFFF"/>
        </w:rPr>
        <w:t>assessment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recorded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regulatory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gaps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Serbia’s</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P</w:t>
      </w:r>
      <w:r w:rsidRPr="00E168A1">
        <w:rPr>
          <w:rFonts w:ascii="Times New Roman" w:eastAsia="Times New Roman" w:hAnsi="Times New Roman"/>
          <w:shd w:val="clear" w:color="auto" w:fill="FFFFFF"/>
        </w:rPr>
        <w:t>ublic</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P</w:t>
      </w:r>
      <w:r w:rsidRPr="00E168A1">
        <w:rPr>
          <w:rFonts w:ascii="Times New Roman" w:eastAsia="Times New Roman" w:hAnsi="Times New Roman"/>
          <w:shd w:val="clear" w:color="auto" w:fill="FFFFFF"/>
        </w:rPr>
        <w:t>rocurement</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L</w:t>
      </w:r>
      <w:r w:rsidRPr="00E168A1">
        <w:rPr>
          <w:rFonts w:ascii="Times New Roman" w:eastAsia="Times New Roman" w:hAnsi="Times New Roman"/>
          <w:shd w:val="clear" w:color="auto" w:fill="FFFFFF"/>
        </w:rPr>
        <w:t>egal</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F</w:t>
      </w:r>
      <w:r w:rsidRPr="00E168A1">
        <w:rPr>
          <w:rFonts w:ascii="Times New Roman" w:eastAsia="Times New Roman" w:hAnsi="Times New Roman"/>
          <w:shd w:val="clear" w:color="auto" w:fill="FFFFFF"/>
        </w:rPr>
        <w:t>ramework</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between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17</w:t>
      </w:r>
      <w:r w:rsidR="00950355" w:rsidRPr="00E168A1">
        <w:rPr>
          <w:rFonts w:ascii="Times New Roman" w:eastAsia="Times New Roman" w:hAnsi="Times New Roman"/>
          <w:shd w:val="clear" w:color="auto" w:fill="FFFFFF"/>
        </w:rPr>
        <w:t xml:space="preserve"> percent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21</w:t>
      </w:r>
      <w:r w:rsidR="00950355" w:rsidRPr="00E168A1">
        <w:rPr>
          <w:rFonts w:ascii="Times New Roman" w:eastAsia="Times New Roman" w:hAnsi="Times New Roman"/>
          <w:shd w:val="clear" w:color="auto" w:fill="FFFFFF"/>
        </w:rPr>
        <w:t xml:space="preserve"> percent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key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regulatory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areas,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such</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transparency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safeguards,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efficiency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instruments</w:t>
      </w:r>
      <w:r w:rsidR="001E7A32" w:rsidRPr="00E168A1">
        <w:rPr>
          <w:rFonts w:ascii="Times New Roman" w:eastAsia="Times New Roman" w:hAnsi="Times New Roman"/>
          <w:shd w:val="clear" w:color="auto" w:fill="FFFFFF"/>
        </w:rPr>
        <w: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institutional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enforcement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measures.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assessment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pointed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out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gap</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between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Serbia's</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L</w:t>
      </w:r>
      <w:r w:rsidRPr="00E168A1">
        <w:rPr>
          <w:rFonts w:ascii="Times New Roman" w:eastAsia="Times New Roman" w:hAnsi="Times New Roman"/>
          <w:shd w:val="clear" w:color="auto" w:fill="FFFFFF"/>
        </w:rPr>
        <w:t>egal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I</w:t>
      </w:r>
      <w:r w:rsidRPr="00E168A1">
        <w:rPr>
          <w:rFonts w:ascii="Times New Roman" w:eastAsia="Times New Roman" w:hAnsi="Times New Roman"/>
          <w:shd w:val="clear" w:color="auto" w:fill="FFFFFF"/>
        </w:rPr>
        <w:t>nstitutional</w:t>
      </w:r>
      <w:r w:rsidR="00900061" w:rsidRPr="00E168A1">
        <w:rPr>
          <w:rFonts w:ascii="Times New Roman" w:eastAsia="Times New Roman" w:hAnsi="Times New Roman"/>
          <w:shd w:val="clear" w:color="auto" w:fill="FFFFFF"/>
        </w:rPr>
        <w:t xml:space="preserve"> </w:t>
      </w:r>
      <w:r w:rsidR="001B3FD0" w:rsidRPr="00E168A1">
        <w:rPr>
          <w:rFonts w:ascii="Times New Roman" w:eastAsia="Times New Roman" w:hAnsi="Times New Roman"/>
          <w:shd w:val="clear" w:color="auto" w:fill="FFFFFF"/>
        </w:rPr>
        <w:t>F</w:t>
      </w:r>
      <w:r w:rsidRPr="00E168A1">
        <w:rPr>
          <w:rFonts w:ascii="Times New Roman" w:eastAsia="Times New Roman" w:hAnsi="Times New Roman"/>
          <w:shd w:val="clear" w:color="auto" w:fill="FFFFFF"/>
        </w:rPr>
        <w:t>ramework</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international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best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practice.</w:t>
      </w:r>
      <w:r w:rsidRPr="00E168A1">
        <w:rPr>
          <w:rStyle w:val="FootnoteReference"/>
          <w:rFonts w:ascii="Times New Roman" w:eastAsia="Times New Roman" w:hAnsi="Times New Roman"/>
          <w:shd w:val="clear" w:color="auto" w:fill="FFFFFF"/>
        </w:rPr>
        <w:footnoteReference w:id="9"/>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2013</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Enterprise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Survey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revealed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that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40</w:t>
      </w:r>
      <w:r w:rsidR="00950355" w:rsidRPr="00E168A1">
        <w:rPr>
          <w:rFonts w:ascii="Times New Roman" w:eastAsia="Times New Roman" w:hAnsi="Times New Roman"/>
          <w:shd w:val="clear" w:color="auto" w:fill="FFFFFF"/>
        </w:rPr>
        <w:t xml:space="preserve"> percent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firms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thought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were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expected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to</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give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gifts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to</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secure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government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contract,</w:t>
      </w:r>
      <w:r w:rsidRPr="00E168A1">
        <w:rPr>
          <w:rStyle w:val="FootnoteReference"/>
          <w:rFonts w:ascii="Times New Roman" w:eastAsia="Times New Roman" w:hAnsi="Times New Roman"/>
          <w:shd w:val="clear" w:color="auto" w:fill="FFFFFF"/>
        </w:rPr>
        <w:footnoteReference w:id="10"/>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highlighting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considerable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room</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for</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improvement</w:t>
      </w:r>
      <w:r w:rsidR="00900061" w:rsidRPr="00E168A1">
        <w:rPr>
          <w:rFonts w:ascii="Times New Roman" w:eastAsia="Times New Roman" w:hAnsi="Times New Roman"/>
          <w:shd w:val="clear" w:color="auto" w:fill="FFFFFF"/>
        </w:rPr>
        <w:t xml:space="preserve"> </w:t>
      </w:r>
      <w:r w:rsidR="00E952F4" w:rsidRPr="00E168A1">
        <w:rPr>
          <w:rFonts w:ascii="Times New Roman" w:eastAsia="Times New Roman" w:hAnsi="Times New Roman"/>
          <w:shd w:val="clear" w:color="auto" w:fill="FFFFFF"/>
        </w:rPr>
        <w:t>regarding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integrity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standards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public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procedures</w:t>
      </w:r>
      <w:r w:rsidR="006134B0" w:rsidRPr="00E168A1">
        <w:rPr>
          <w:rFonts w:ascii="Times New Roman" w:eastAsia="Times New Roman" w:hAnsi="Times New Roman"/>
          <w:shd w:val="clear" w:color="auto" w:fill="FFFFFF"/>
        </w:rPr>
        <w:t>.</w:t>
      </w:r>
    </w:p>
    <w:p w14:paraId="16A09154" w14:textId="1EA87542" w:rsidR="00AE54E5" w:rsidRPr="00E168A1"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shd w:val="clear" w:color="auto" w:fill="FFFFFF"/>
        </w:rPr>
        <w:t>The</w:t>
      </w:r>
      <w:r w:rsidR="00900061" w:rsidRPr="00E168A1">
        <w:rPr>
          <w:rFonts w:ascii="Times New Roman" w:eastAsia="Times New Roman" w:hAnsi="Times New Roman"/>
          <w:b/>
          <w:shd w:val="clear" w:color="auto" w:fill="FFFFFF"/>
        </w:rPr>
        <w:t xml:space="preserve"> </w:t>
      </w:r>
      <w:r w:rsidR="001B3FD0" w:rsidRPr="00E168A1">
        <w:rPr>
          <w:rFonts w:ascii="Times New Roman" w:eastAsia="Times New Roman" w:hAnsi="Times New Roman"/>
          <w:b/>
          <w:shd w:val="clear" w:color="auto" w:fill="FFFFFF"/>
        </w:rPr>
        <w:t>L</w:t>
      </w:r>
      <w:r w:rsidRPr="00E168A1">
        <w:rPr>
          <w:rFonts w:ascii="Times New Roman" w:eastAsia="Times New Roman" w:hAnsi="Times New Roman"/>
          <w:b/>
          <w:shd w:val="clear" w:color="auto" w:fill="FFFFFF"/>
        </w:rPr>
        <w:t>egal</w:t>
      </w:r>
      <w:r w:rsidR="00900061" w:rsidRPr="00E168A1">
        <w:rPr>
          <w:rFonts w:ascii="Times New Roman" w:eastAsia="Times New Roman" w:hAnsi="Times New Roman"/>
          <w:b/>
          <w:shd w:val="clear" w:color="auto" w:fill="FFFFFF"/>
        </w:rPr>
        <w:t xml:space="preserve"> </w:t>
      </w:r>
      <w:r w:rsidR="001B3FD0" w:rsidRPr="00E168A1">
        <w:rPr>
          <w:rFonts w:ascii="Times New Roman" w:eastAsia="Times New Roman" w:hAnsi="Times New Roman"/>
          <w:b/>
          <w:shd w:val="clear" w:color="auto" w:fill="FFFFFF"/>
        </w:rPr>
        <w:t>F</w:t>
      </w:r>
      <w:r w:rsidRPr="00E168A1">
        <w:rPr>
          <w:rFonts w:ascii="Times New Roman" w:eastAsia="Times New Roman" w:hAnsi="Times New Roman"/>
          <w:b/>
          <w:shd w:val="clear" w:color="auto" w:fill="FFFFFF"/>
        </w:rPr>
        <w:t>ramework</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for</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procurement</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(PPL</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and</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attendant</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regulations)</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provides</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the</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elements</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needed</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for</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a</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functional</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b/>
          <w:shd w:val="clear" w:color="auto" w:fill="FFFFFF"/>
        </w:rPr>
        <w:t>system.</w:t>
      </w:r>
      <w:r w:rsidR="00900061" w:rsidRPr="00E168A1">
        <w:rPr>
          <w:rFonts w:ascii="Times New Roman" w:eastAsia="Times New Roman" w:hAnsi="Times New Roman"/>
          <w:b/>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organization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public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processes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hierarchy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between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PPO,</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Republic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Commission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for</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Protection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Rights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Public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Procedures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(RC)</w:t>
      </w:r>
      <w:r w:rsidR="00E952F4" w:rsidRPr="00E168A1">
        <w:rPr>
          <w:rFonts w:ascii="Times New Roman" w:eastAsia="Times New Roman" w:hAnsi="Times New Roman"/>
          <w:shd w:val="clear" w:color="auto" w:fill="FFFFFF"/>
        </w:rPr>
        <w: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contracting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authorities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clearly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defined.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system</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operations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mostly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decentralized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with</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approximately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4,700</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registered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contracting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authorities,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which</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about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160</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central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government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bodies.</w:t>
      </w:r>
      <w:r w:rsidRPr="00E168A1">
        <w:rPr>
          <w:rStyle w:val="FootnoteReference"/>
          <w:rFonts w:ascii="Times New Roman" w:eastAsia="Times New Roman" w:hAnsi="Times New Roman"/>
          <w:shd w:val="clear" w:color="auto" w:fill="FFFFFF"/>
        </w:rPr>
        <w:footnoteReference w:id="11"/>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PPL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applies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to</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all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undertaken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using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government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funds,</w:t>
      </w:r>
      <w:r w:rsidR="00900061" w:rsidRPr="00E168A1">
        <w:rPr>
          <w:rFonts w:ascii="Times New Roman" w:eastAsia="Times New Roman" w:hAnsi="Times New Roman"/>
          <w:shd w:val="clear" w:color="auto" w:fill="FFFFFF"/>
        </w:rPr>
        <w:t xml:space="preserve"> </w:t>
      </w:r>
      <w:r w:rsidR="00B71C7F" w:rsidRPr="00E168A1">
        <w:rPr>
          <w:rFonts w:ascii="Times New Roman" w:hAnsi="Times New Roman"/>
        </w:rPr>
        <w:t>that is,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goods,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works</w:t>
      </w:r>
      <w:r w:rsidR="002C28D7" w:rsidRPr="00E168A1">
        <w:rPr>
          <w:rFonts w:ascii="Times New Roman" w:eastAsia="Times New Roman" w:hAnsi="Times New Roman"/>
          <w:shd w:val="clear" w:color="auto" w:fill="FFFFFF"/>
        </w:rPr>
        <w: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services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purchased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state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local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government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authorities,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state-owned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enterprises</w:t>
      </w:r>
      <w:r w:rsidR="00E01EB1" w:rsidRPr="00E168A1">
        <w:rPr>
          <w:rFonts w:ascii="Times New Roman" w:eastAsia="Times New Roman" w:hAnsi="Times New Roman"/>
          <w:shd w:val="clear" w:color="auto" w:fill="FFFFFF"/>
        </w:rPr>
        <w: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legal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persons</w:t>
      </w:r>
      <w:r w:rsidR="00900061" w:rsidRPr="00E168A1">
        <w:rPr>
          <w:rFonts w:ascii="Times New Roman" w:eastAsia="Times New Roman" w:hAnsi="Times New Roman"/>
          <w:shd w:val="clear" w:color="auto" w:fill="FFFFFF"/>
        </w:rPr>
        <w:t xml:space="preserve"> </w:t>
      </w:r>
      <w:r w:rsidR="00E01EB1" w:rsidRPr="00E168A1">
        <w:rPr>
          <w:rFonts w:ascii="Times New Roman" w:eastAsia="Times New Roman" w:hAnsi="Times New Roman"/>
          <w:shd w:val="clear" w:color="auto" w:fill="FFFFFF"/>
        </w:rPr>
        <w:t xml:space="preserve">who </w:t>
      </w:r>
      <w:r w:rsidRPr="00E168A1">
        <w:rPr>
          <w:rFonts w:ascii="Times New Roman" w:eastAsia="Times New Roman" w:hAnsi="Times New Roman"/>
          <w:shd w:val="clear" w:color="auto" w:fill="FFFFFF"/>
        </w:rPr>
        <w:t>use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funds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provided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by</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00907465" w:rsidRPr="00E168A1">
        <w:rPr>
          <w:rFonts w:ascii="Times New Roman" w:hAnsi="Times New Roman"/>
        </w:rPr>
        <w:t>government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Serbia</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or</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local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self-governments.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Limited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exceptions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defined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Article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7</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PPL.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According</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to</w:t>
      </w:r>
      <w:r w:rsidR="00900061" w:rsidRPr="00E168A1">
        <w:rPr>
          <w:rFonts w:ascii="Times New Roman" w:eastAsia="Times New Roman" w:hAnsi="Times New Roman"/>
          <w:shd w:val="clear" w:color="auto" w:fill="FFFFFF"/>
        </w:rPr>
        <w:t xml:space="preserve"> </w:t>
      </w:r>
      <w:r w:rsidR="002C28D7" w:rsidRPr="00E168A1">
        <w:rPr>
          <w:rFonts w:ascii="Times New Roman" w:eastAsia="Times New Roman" w:hAnsi="Times New Roman"/>
          <w:shd w:val="clear" w:color="auto" w:fill="FFFFFF"/>
        </w:rPr>
        <w:t>A</w:t>
      </w:r>
      <w:r w:rsidRPr="00E168A1">
        <w:rPr>
          <w:rFonts w:ascii="Times New Roman" w:eastAsia="Times New Roman" w:hAnsi="Times New Roman"/>
          <w:shd w:val="clear" w:color="auto" w:fill="FFFFFF"/>
        </w:rPr>
        <w:t>rticles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32</w:t>
      </w:r>
      <w:r w:rsidR="00E01EB1" w:rsidRPr="00E168A1">
        <w:rPr>
          <w:rFonts w:ascii="Times New Roman" w:eastAsia="Times New Roman" w:hAnsi="Times New Roman"/>
          <w:shd w:val="clear" w:color="auto" w:fill="FFFFFF"/>
        </w:rPr>
        <w:t>–</w:t>
      </w:r>
      <w:r w:rsidRPr="00E168A1">
        <w:rPr>
          <w:rFonts w:ascii="Times New Roman" w:eastAsia="Times New Roman" w:hAnsi="Times New Roman"/>
          <w:shd w:val="clear" w:color="auto" w:fill="FFFFFF"/>
        </w:rPr>
        <w:t>35</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PPL,</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open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competitive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the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default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method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of</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procurement.</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Articles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36</w:t>
      </w:r>
      <w:r w:rsidR="00E01EB1" w:rsidRPr="00E168A1">
        <w:rPr>
          <w:rFonts w:ascii="Times New Roman" w:eastAsia="Times New Roman" w:hAnsi="Times New Roman"/>
          <w:shd w:val="clear" w:color="auto" w:fill="FFFFFF"/>
        </w:rPr>
        <w:t>–</w:t>
      </w:r>
      <w:r w:rsidRPr="00E168A1">
        <w:rPr>
          <w:rFonts w:ascii="Times New Roman" w:eastAsia="Times New Roman" w:hAnsi="Times New Roman"/>
          <w:shd w:val="clear" w:color="auto" w:fill="FFFFFF"/>
        </w:rPr>
        <w:t>39</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define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cases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in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which</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other</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methods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can</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be</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used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under</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specific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circumstances</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and</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with</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specific</w:t>
      </w:r>
      <w:r w:rsidR="00900061" w:rsidRPr="00E168A1">
        <w:rPr>
          <w:rFonts w:ascii="Times New Roman" w:eastAsia="Times New Roman" w:hAnsi="Times New Roman"/>
          <w:shd w:val="clear" w:color="auto" w:fill="FFFFFF"/>
        </w:rPr>
        <w:t xml:space="preserve"> </w:t>
      </w:r>
      <w:r w:rsidRPr="00E168A1">
        <w:rPr>
          <w:rFonts w:ascii="Times New Roman" w:eastAsia="Times New Roman" w:hAnsi="Times New Roman"/>
          <w:shd w:val="clear" w:color="auto" w:fill="FFFFFF"/>
        </w:rPr>
        <w:t>justifications.</w:t>
      </w:r>
      <w:r w:rsidRPr="00E168A1">
        <w:rPr>
          <w:rStyle w:val="FootnoteReference"/>
          <w:rFonts w:ascii="Times New Roman" w:eastAsia="Times New Roman" w:hAnsi="Times New Roman"/>
          <w:shd w:val="clear" w:color="auto" w:fill="FFFFFF"/>
        </w:rPr>
        <w:footnoteReference w:id="12"/>
      </w:r>
      <w:r w:rsidR="00900061" w:rsidRPr="00E168A1">
        <w:rPr>
          <w:rFonts w:ascii="Times New Roman" w:hAnsi="Times New Roman"/>
          <w:color w:val="538135" w:themeColor="accent6" w:themeShade="BF"/>
        </w:rPr>
        <w:t xml:space="preserve"> </w:t>
      </w:r>
    </w:p>
    <w:p w14:paraId="28F3F5B8" w14:textId="3FA723D7" w:rsidR="00AE54E5" w:rsidRPr="00E168A1" w:rsidRDefault="00AE54E5" w:rsidP="00645878">
      <w:pPr>
        <w:pStyle w:val="Heading2"/>
        <w:spacing w:before="120" w:after="120" w:line="240" w:lineRule="auto"/>
        <w:ind w:left="0" w:firstLine="0"/>
      </w:pPr>
      <w:bookmarkStart w:id="13" w:name="_Toc305833848"/>
      <w:bookmarkStart w:id="14" w:name="_Toc442428956"/>
      <w:r w:rsidRPr="00E168A1">
        <w:t>Institutional</w:t>
      </w:r>
      <w:r w:rsidR="00900061" w:rsidRPr="00E168A1">
        <w:t xml:space="preserve"> </w:t>
      </w:r>
      <w:r w:rsidR="001C207D" w:rsidRPr="00E168A1">
        <w:t>F</w:t>
      </w:r>
      <w:r w:rsidRPr="00E168A1">
        <w:t>ramework</w:t>
      </w:r>
      <w:bookmarkEnd w:id="13"/>
      <w:bookmarkEnd w:id="14"/>
      <w:r w:rsidR="00900061" w:rsidRPr="00E168A1">
        <w:t xml:space="preserve"> </w:t>
      </w:r>
    </w:p>
    <w:p w14:paraId="32266225" w14:textId="31B3A520" w:rsidR="00F065BD" w:rsidRPr="00E168A1"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key</w:t>
      </w:r>
      <w:r w:rsidR="00900061" w:rsidRPr="00E168A1">
        <w:rPr>
          <w:rFonts w:ascii="Times New Roman" w:eastAsia="Times New Roman" w:hAnsi="Times New Roman"/>
          <w:b/>
        </w:rPr>
        <w:t xml:space="preserve"> </w:t>
      </w:r>
      <w:r w:rsidRPr="00E168A1">
        <w:rPr>
          <w:rFonts w:ascii="Times New Roman" w:eastAsia="Times New Roman" w:hAnsi="Times New Roman"/>
          <w:b/>
        </w:rPr>
        <w:t>actor</w:t>
      </w:r>
      <w:r w:rsidR="00900061" w:rsidRPr="00E168A1">
        <w:rPr>
          <w:rFonts w:ascii="Times New Roman" w:eastAsia="Times New Roman" w:hAnsi="Times New Roman"/>
          <w:b/>
        </w:rPr>
        <w:t xml:space="preserve"> </w:t>
      </w:r>
      <w:r w:rsidRPr="00E168A1">
        <w:rPr>
          <w:rFonts w:ascii="Times New Roman" w:eastAsia="Times New Roman" w:hAnsi="Times New Roman"/>
          <w:b/>
        </w:rPr>
        <w:t>in</w:t>
      </w:r>
      <w:r w:rsidR="00900061" w:rsidRPr="00E168A1">
        <w:rPr>
          <w:rFonts w:ascii="Times New Roman" w:eastAsia="Times New Roman" w:hAnsi="Times New Roman"/>
          <w:b/>
        </w:rPr>
        <w:t xml:space="preserve"> </w:t>
      </w:r>
      <w:r w:rsidRPr="00E168A1">
        <w:rPr>
          <w:rFonts w:ascii="Times New Roman" w:eastAsia="Times New Roman" w:hAnsi="Times New Roman"/>
          <w:b/>
        </w:rPr>
        <w:t>Serbia’s</w:t>
      </w:r>
      <w:r w:rsidR="00900061" w:rsidRPr="00E168A1">
        <w:rPr>
          <w:rFonts w:ascii="Times New Roman" w:eastAsia="Times New Roman" w:hAnsi="Times New Roman"/>
          <w:b/>
        </w:rPr>
        <w:t xml:space="preserve"> </w:t>
      </w:r>
      <w:r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system</w:t>
      </w:r>
      <w:r w:rsidR="00900061" w:rsidRPr="00E168A1">
        <w:rPr>
          <w:rFonts w:ascii="Times New Roman" w:eastAsia="Times New Roman" w:hAnsi="Times New Roman"/>
          <w:b/>
        </w:rPr>
        <w:t xml:space="preserve"> </w:t>
      </w:r>
      <w:r w:rsidRPr="00E168A1">
        <w:rPr>
          <w:rFonts w:ascii="Times New Roman" w:eastAsia="Times New Roman" w:hAnsi="Times New Roman"/>
          <w:b/>
        </w:rPr>
        <w:t>is</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PPO</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stand-alone</w:t>
      </w:r>
      <w:r w:rsidR="00900061" w:rsidRPr="00E168A1">
        <w:rPr>
          <w:rFonts w:ascii="Times New Roman" w:eastAsia="Times New Roman" w:hAnsi="Times New Roman"/>
        </w:rPr>
        <w:t xml:space="preserve"> </w:t>
      </w:r>
      <w:r w:rsidRPr="00E168A1">
        <w:rPr>
          <w:rFonts w:ascii="Times New Roman" w:eastAsia="Times New Roman" w:hAnsi="Times New Roman"/>
        </w:rPr>
        <w:t>organi</w:t>
      </w:r>
      <w:r w:rsidR="008D778D" w:rsidRPr="00E168A1">
        <w:rPr>
          <w:rFonts w:ascii="Times New Roman" w:eastAsia="Times New Roman" w:hAnsi="Times New Roman"/>
        </w:rPr>
        <w:t>z</w:t>
      </w:r>
      <w:r w:rsidRPr="00E168A1">
        <w:rPr>
          <w:rFonts w:ascii="Times New Roman" w:eastAsia="Times New Roman" w:hAnsi="Times New Roman"/>
        </w:rPr>
        <w:t>ation,</w:t>
      </w:r>
      <w:r w:rsidR="00900061" w:rsidRPr="00E168A1">
        <w:rPr>
          <w:rFonts w:ascii="Times New Roman" w:eastAsia="Times New Roman" w:hAnsi="Times New Roman"/>
        </w:rPr>
        <w:t xml:space="preserve"> </w:t>
      </w:r>
      <w:r w:rsidRPr="00E168A1">
        <w:rPr>
          <w:rFonts w:ascii="Times New Roman" w:eastAsia="Times New Roman" w:hAnsi="Times New Roman"/>
        </w:rPr>
        <w:t>accountable</w:t>
      </w:r>
      <w:r w:rsidR="00900061" w:rsidRPr="00E168A1">
        <w:rPr>
          <w:rFonts w:ascii="Times New Roman" w:eastAsia="Times New Roman" w:hAnsi="Times New Roman"/>
        </w:rPr>
        <w:t xml:space="preserve"> </w:t>
      </w:r>
      <w:r w:rsidRPr="00E168A1">
        <w:rPr>
          <w:rFonts w:ascii="Times New Roman" w:eastAsia="Times New Roman" w:hAnsi="Times New Roman"/>
        </w:rPr>
        <w:t>directly</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907465" w:rsidRPr="00E168A1">
        <w:rPr>
          <w:rFonts w:ascii="Times New Roman" w:hAnsi="Times New Roman"/>
        </w:rPr>
        <w:t>government</w:t>
      </w:r>
      <w:r w:rsidRPr="00E168A1">
        <w:rPr>
          <w:rStyle w:val="FootnoteReference"/>
          <w:rFonts w:ascii="Times New Roman" w:eastAsia="Times New Roman" w:hAnsi="Times New Roman"/>
        </w:rPr>
        <w:footnoteReference w:id="13"/>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which</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reports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yearly</w:t>
      </w:r>
      <w:r w:rsidR="00900061" w:rsidRPr="00E168A1">
        <w:rPr>
          <w:rFonts w:ascii="Times New Roman" w:eastAsia="Times New Roman" w:hAnsi="Times New Roman"/>
        </w:rPr>
        <w:t xml:space="preserve"> </w:t>
      </w:r>
      <w:r w:rsidRPr="00E168A1">
        <w:rPr>
          <w:rFonts w:ascii="Times New Roman" w:eastAsia="Times New Roman" w:hAnsi="Times New Roman"/>
        </w:rPr>
        <w:t>basis.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responsible</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drafting</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secondary</w:t>
      </w:r>
      <w:r w:rsidR="00900061" w:rsidRPr="00E168A1">
        <w:rPr>
          <w:rFonts w:ascii="Times New Roman" w:eastAsia="Times New Roman" w:hAnsi="Times New Roman"/>
        </w:rPr>
        <w:t xml:space="preserve"> </w:t>
      </w:r>
      <w:r w:rsidRPr="00E168A1">
        <w:rPr>
          <w:rFonts w:ascii="Times New Roman" w:eastAsia="Times New Roman" w:hAnsi="Times New Roman"/>
        </w:rPr>
        <w:t>legislation</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coordinating</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monitoring</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system</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general.</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also</w:t>
      </w:r>
      <w:r w:rsidR="00900061" w:rsidRPr="00E168A1">
        <w:rPr>
          <w:rFonts w:ascii="Times New Roman" w:eastAsia="Times New Roman" w:hAnsi="Times New Roman"/>
        </w:rPr>
        <w:t xml:space="preserve"> </w:t>
      </w:r>
      <w:r w:rsidRPr="00E168A1">
        <w:rPr>
          <w:rFonts w:ascii="Times New Roman" w:eastAsia="Times New Roman" w:hAnsi="Times New Roman"/>
        </w:rPr>
        <w:t>leads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negotiations</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EU</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Chapter</w:t>
      </w:r>
      <w:r w:rsidR="00900061" w:rsidRPr="00E168A1">
        <w:rPr>
          <w:rFonts w:ascii="Times New Roman" w:eastAsia="Times New Roman" w:hAnsi="Times New Roman"/>
        </w:rPr>
        <w:t xml:space="preserve"> </w:t>
      </w:r>
      <w:r w:rsidRPr="00E168A1">
        <w:rPr>
          <w:rFonts w:ascii="Times New Roman" w:eastAsia="Times New Roman" w:hAnsi="Times New Roman"/>
        </w:rPr>
        <w:t>5</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3B3151">
        <w:rPr>
          <w:rFonts w:ascii="Times New Roman" w:eastAsia="Times New Roman" w:hAnsi="Times New Roman"/>
        </w:rPr>
        <w:t xml:space="preserve"> of the accession process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A90FD9">
        <w:rPr>
          <w:rFonts w:ascii="Times New Roman" w:eastAsia="Times New Roman" w:hAnsi="Times New Roman"/>
        </w:rPr>
        <w:t xml:space="preserve"> </w:t>
      </w:r>
      <w:r w:rsidRPr="00A90FD9">
        <w:rPr>
          <w:rFonts w:ascii="Times New Roman" w:eastAsia="Times New Roman" w:hAnsi="Times New Roman"/>
        </w:rPr>
        <w:t>coordinates</w:t>
      </w:r>
      <w:r w:rsidR="00900061" w:rsidRPr="00A90FD9">
        <w:rPr>
          <w:rFonts w:ascii="Times New Roman" w:eastAsia="Times New Roman" w:hAnsi="Times New Roman"/>
        </w:rPr>
        <w:t xml:space="preserve"> </w:t>
      </w:r>
      <w:r w:rsidRPr="00A90FD9">
        <w:rPr>
          <w:rFonts w:ascii="Times New Roman" w:eastAsia="Times New Roman" w:hAnsi="Times New Roman"/>
        </w:rPr>
        <w:t>the</w:t>
      </w:r>
      <w:r w:rsidR="00900061" w:rsidRPr="00E67C6B">
        <w:rPr>
          <w:rFonts w:ascii="Times New Roman" w:eastAsia="Times New Roman" w:hAnsi="Times New Roman"/>
        </w:rPr>
        <w:t xml:space="preserve"> </w:t>
      </w:r>
      <w:r w:rsidRPr="00E168A1">
        <w:rPr>
          <w:rFonts w:ascii="Times New Roman" w:eastAsia="Times New Roman" w:hAnsi="Times New Roman"/>
        </w:rPr>
        <w:t>activities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all</w:t>
      </w:r>
      <w:r w:rsidR="00900061" w:rsidRPr="00E168A1">
        <w:rPr>
          <w:rFonts w:ascii="Times New Roman" w:eastAsia="Times New Roman" w:hAnsi="Times New Roman"/>
        </w:rPr>
        <w:t xml:space="preserve"> </w:t>
      </w:r>
      <w:r w:rsidRPr="00E168A1">
        <w:rPr>
          <w:rFonts w:ascii="Times New Roman" w:eastAsia="Times New Roman" w:hAnsi="Times New Roman"/>
        </w:rPr>
        <w:t>other</w:t>
      </w:r>
      <w:r w:rsidR="00900061" w:rsidRPr="00E168A1">
        <w:rPr>
          <w:rFonts w:ascii="Times New Roman" w:eastAsia="Times New Roman" w:hAnsi="Times New Roman"/>
        </w:rPr>
        <w:t xml:space="preserve"> </w:t>
      </w:r>
      <w:r w:rsidRPr="00E168A1">
        <w:rPr>
          <w:rFonts w:ascii="Times New Roman" w:eastAsia="Times New Roman" w:hAnsi="Times New Roman"/>
        </w:rPr>
        <w:t>involved</w:t>
      </w:r>
      <w:r w:rsidR="00900061" w:rsidRPr="00E168A1">
        <w:rPr>
          <w:rFonts w:ascii="Times New Roman" w:eastAsia="Times New Roman" w:hAnsi="Times New Roman"/>
        </w:rPr>
        <w:t xml:space="preserve"> </w:t>
      </w:r>
      <w:r w:rsidRPr="00E168A1">
        <w:rPr>
          <w:rFonts w:ascii="Times New Roman" w:eastAsia="Times New Roman" w:hAnsi="Times New Roman"/>
        </w:rPr>
        <w:t>institutions.</w:t>
      </w:r>
      <w:r w:rsidR="00900061" w:rsidRPr="00E168A1">
        <w:rPr>
          <w:rFonts w:ascii="Times New Roman" w:eastAsia="Times New Roman" w:hAnsi="Times New Roman"/>
        </w:rPr>
        <w:t xml:space="preserve"> </w:t>
      </w:r>
      <w:r w:rsidRPr="00E168A1">
        <w:rPr>
          <w:rFonts w:ascii="Times New Roman" w:eastAsia="Times New Roman" w:hAnsi="Times New Roman"/>
        </w:rPr>
        <w:t>However,</w:t>
      </w:r>
      <w:r w:rsidR="00900061" w:rsidRPr="00E168A1">
        <w:rPr>
          <w:rFonts w:ascii="Times New Roman" w:eastAsia="Times New Roman" w:hAnsi="Times New Roman"/>
        </w:rPr>
        <w:t xml:space="preserve"> </w:t>
      </w:r>
      <w:r w:rsidRPr="00E168A1">
        <w:rPr>
          <w:rFonts w:ascii="Times New Roman" w:eastAsia="Times New Roman" w:hAnsi="Times New Roman"/>
        </w:rPr>
        <w:t>public-private</w:t>
      </w:r>
      <w:r w:rsidR="00900061" w:rsidRPr="00E168A1">
        <w:rPr>
          <w:rFonts w:ascii="Times New Roman" w:eastAsia="Times New Roman" w:hAnsi="Times New Roman"/>
        </w:rPr>
        <w:t xml:space="preserve"> </w:t>
      </w:r>
      <w:r w:rsidRPr="00E168A1">
        <w:rPr>
          <w:rFonts w:ascii="Times New Roman" w:eastAsia="Times New Roman" w:hAnsi="Times New Roman"/>
        </w:rPr>
        <w:t>partnerships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concessions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defence</w:t>
      </w:r>
      <w:r w:rsidR="00900061" w:rsidRPr="00E168A1">
        <w:rPr>
          <w:rFonts w:ascii="Times New Roman" w:eastAsia="Times New Roman" w:hAnsi="Times New Roman"/>
        </w:rPr>
        <w:t xml:space="preserve"> </w:t>
      </w:r>
      <w:r w:rsidRPr="00E168A1">
        <w:rPr>
          <w:rFonts w:ascii="Times New Roman" w:eastAsia="Times New Roman" w:hAnsi="Times New Roman"/>
        </w:rPr>
        <w:lastRenderedPageBreak/>
        <w:t>procurement</w:t>
      </w:r>
      <w:r w:rsidR="00900061" w:rsidRPr="00E168A1">
        <w:rPr>
          <w:rFonts w:ascii="Times New Roman" w:eastAsia="Times New Roman" w:hAnsi="Times New Roman"/>
        </w:rPr>
        <w:t xml:space="preserve"> </w:t>
      </w:r>
      <w:r w:rsidRPr="00E168A1">
        <w:rPr>
          <w:rFonts w:ascii="Times New Roman" w:eastAsia="Times New Roman" w:hAnsi="Times New Roman"/>
        </w:rPr>
        <w:t>are</w:t>
      </w:r>
      <w:r w:rsidR="00900061" w:rsidRPr="00E168A1">
        <w:rPr>
          <w:rFonts w:ascii="Times New Roman" w:eastAsia="Times New Roman" w:hAnsi="Times New Roman"/>
        </w:rPr>
        <w:t xml:space="preserve"> </w:t>
      </w:r>
      <w:r w:rsidRPr="00E168A1">
        <w:rPr>
          <w:rFonts w:ascii="Times New Roman" w:eastAsia="Times New Roman" w:hAnsi="Times New Roman"/>
        </w:rPr>
        <w:t>not</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remit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(Following</w:t>
      </w:r>
      <w:r w:rsidR="00900061" w:rsidRPr="00E168A1">
        <w:rPr>
          <w:rFonts w:ascii="Times New Roman" w:eastAsia="Times New Roman" w:hAnsi="Times New Roman"/>
        </w:rPr>
        <w:t xml:space="preserve"> </w:t>
      </w:r>
      <w:r w:rsidRPr="00E168A1">
        <w:rPr>
          <w:rFonts w:ascii="Times New Roman" w:eastAsia="Times New Roman" w:hAnsi="Times New Roman"/>
        </w:rPr>
        <w:t>governmental</w:t>
      </w:r>
      <w:r w:rsidR="00900061" w:rsidRPr="00E168A1">
        <w:rPr>
          <w:rFonts w:ascii="Times New Roman" w:eastAsia="Times New Roman" w:hAnsi="Times New Roman"/>
        </w:rPr>
        <w:t xml:space="preserve"> </w:t>
      </w:r>
      <w:r w:rsidRPr="00E168A1">
        <w:rPr>
          <w:rFonts w:ascii="Times New Roman" w:eastAsia="Times New Roman" w:hAnsi="Times New Roman"/>
        </w:rPr>
        <w:t>reorgani</w:t>
      </w:r>
      <w:r w:rsidR="008D778D" w:rsidRPr="00E168A1">
        <w:rPr>
          <w:rFonts w:ascii="Times New Roman" w:eastAsia="Times New Roman" w:hAnsi="Times New Roman"/>
        </w:rPr>
        <w:t>z</w:t>
      </w:r>
      <w:r w:rsidRPr="00E168A1">
        <w:rPr>
          <w:rFonts w:ascii="Times New Roman" w:eastAsia="Times New Roman" w:hAnsi="Times New Roman"/>
        </w:rPr>
        <w:t>ation,</w:t>
      </w:r>
      <w:r w:rsidR="00900061" w:rsidRPr="00E168A1">
        <w:rPr>
          <w:rFonts w:ascii="Times New Roman" w:eastAsia="Times New Roman" w:hAnsi="Times New Roman"/>
        </w:rPr>
        <w:t xml:space="preserve"> </w:t>
      </w:r>
      <w:r w:rsidRPr="00E168A1">
        <w:rPr>
          <w:rFonts w:ascii="Times New Roman" w:eastAsia="Times New Roman" w:hAnsi="Times New Roman"/>
        </w:rPr>
        <w:t>responsibility</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policymaking</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these</w:t>
      </w:r>
      <w:r w:rsidR="00900061" w:rsidRPr="00E168A1">
        <w:rPr>
          <w:rFonts w:ascii="Times New Roman" w:eastAsia="Times New Roman" w:hAnsi="Times New Roman"/>
        </w:rPr>
        <w:t xml:space="preserve"> </w:t>
      </w:r>
      <w:r w:rsidRPr="00E168A1">
        <w:rPr>
          <w:rFonts w:ascii="Times New Roman" w:eastAsia="Times New Roman" w:hAnsi="Times New Roman"/>
        </w:rPr>
        <w:t>areas</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not</w:t>
      </w:r>
      <w:r w:rsidR="00900061" w:rsidRPr="00E168A1">
        <w:rPr>
          <w:rFonts w:ascii="Times New Roman" w:eastAsia="Times New Roman" w:hAnsi="Times New Roman"/>
        </w:rPr>
        <w:t xml:space="preserve"> </w:t>
      </w:r>
      <w:r w:rsidRPr="00E168A1">
        <w:rPr>
          <w:rFonts w:ascii="Times New Roman" w:eastAsia="Times New Roman" w:hAnsi="Times New Roman"/>
        </w:rPr>
        <w:t>clearly</w:t>
      </w:r>
      <w:r w:rsidR="00900061" w:rsidRPr="00E168A1">
        <w:rPr>
          <w:rFonts w:ascii="Times New Roman" w:eastAsia="Times New Roman" w:hAnsi="Times New Roman"/>
        </w:rPr>
        <w:t xml:space="preserve"> </w:t>
      </w:r>
      <w:r w:rsidRPr="00E168A1">
        <w:rPr>
          <w:rFonts w:ascii="Times New Roman" w:eastAsia="Times New Roman" w:hAnsi="Times New Roman"/>
        </w:rPr>
        <w:t>defined.)</w:t>
      </w:r>
    </w:p>
    <w:p w14:paraId="058FF82B" w14:textId="110B9710" w:rsidR="00F065BD" w:rsidRPr="00E168A1" w:rsidRDefault="00B03657"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RC</w:t>
      </w:r>
      <w:r w:rsidR="00900061" w:rsidRPr="00E168A1">
        <w:rPr>
          <w:rFonts w:ascii="Times New Roman" w:eastAsia="Times New Roman" w:hAnsi="Times New Roman"/>
          <w:b/>
        </w:rPr>
        <w:t xml:space="preserve"> </w:t>
      </w:r>
      <w:r w:rsidRPr="00E168A1">
        <w:rPr>
          <w:rFonts w:ascii="Times New Roman" w:eastAsia="Times New Roman" w:hAnsi="Times New Roman"/>
          <w:b/>
        </w:rPr>
        <w:t>deals</w:t>
      </w:r>
      <w:r w:rsidR="00900061" w:rsidRPr="00E168A1">
        <w:rPr>
          <w:rFonts w:ascii="Times New Roman" w:eastAsia="Times New Roman" w:hAnsi="Times New Roman"/>
          <w:b/>
        </w:rPr>
        <w:t xml:space="preserve"> </w:t>
      </w:r>
      <w:r w:rsidRPr="00E168A1">
        <w:rPr>
          <w:rFonts w:ascii="Times New Roman" w:eastAsia="Times New Roman" w:hAnsi="Times New Roman"/>
          <w:b/>
        </w:rPr>
        <w:t>with</w:t>
      </w:r>
      <w:r w:rsidR="00900061" w:rsidRPr="00E168A1">
        <w:rPr>
          <w:rFonts w:ascii="Times New Roman" w:eastAsia="Times New Roman" w:hAnsi="Times New Roman"/>
          <w:b/>
        </w:rPr>
        <w:t xml:space="preserve"> </w:t>
      </w:r>
      <w:r w:rsidRPr="00E168A1">
        <w:rPr>
          <w:rFonts w:ascii="Times New Roman" w:eastAsia="Times New Roman" w:hAnsi="Times New Roman"/>
          <w:b/>
        </w:rPr>
        <w:t>complaints</w:t>
      </w:r>
      <w:r w:rsidR="00900061" w:rsidRPr="00E168A1">
        <w:rPr>
          <w:rFonts w:ascii="Times New Roman" w:eastAsia="Times New Roman" w:hAnsi="Times New Roman"/>
          <w:b/>
        </w:rPr>
        <w:t xml:space="preserve"> </w:t>
      </w:r>
      <w:r w:rsidRPr="00E168A1">
        <w:rPr>
          <w:rFonts w:ascii="Times New Roman" w:eastAsia="Times New Roman" w:hAnsi="Times New Roman"/>
          <w:b/>
        </w:rPr>
        <w:t>and</w:t>
      </w:r>
      <w:r w:rsidR="00900061" w:rsidRPr="00E168A1">
        <w:rPr>
          <w:rFonts w:ascii="Times New Roman" w:eastAsia="Times New Roman" w:hAnsi="Times New Roman"/>
          <w:b/>
        </w:rPr>
        <w:t xml:space="preserve"> </w:t>
      </w:r>
      <w:r w:rsidRPr="00E168A1">
        <w:rPr>
          <w:rFonts w:ascii="Times New Roman" w:eastAsia="Times New Roman" w:hAnsi="Times New Roman"/>
          <w:b/>
        </w:rPr>
        <w:t>appeals</w:t>
      </w:r>
      <w:r w:rsidR="00900061" w:rsidRPr="00E168A1">
        <w:rPr>
          <w:rFonts w:ascii="Times New Roman" w:eastAsia="Times New Roman" w:hAnsi="Times New Roman"/>
          <w:b/>
        </w:rPr>
        <w:t xml:space="preserve"> </w:t>
      </w:r>
      <w:r w:rsidRPr="00E168A1">
        <w:rPr>
          <w:rFonts w:ascii="Times New Roman" w:eastAsia="Times New Roman" w:hAnsi="Times New Roman"/>
          <w:b/>
        </w:rPr>
        <w:t>against</w:t>
      </w:r>
      <w:r w:rsidR="00900061" w:rsidRPr="00E168A1">
        <w:rPr>
          <w:rFonts w:ascii="Times New Roman" w:eastAsia="Times New Roman" w:hAnsi="Times New Roman"/>
          <w:b/>
        </w:rPr>
        <w:t xml:space="preserve"> </w:t>
      </w:r>
      <w:r w:rsidRPr="00E168A1">
        <w:rPr>
          <w:rFonts w:ascii="Times New Roman" w:eastAsia="Times New Roman" w:hAnsi="Times New Roman"/>
          <w:b/>
        </w:rPr>
        <w:t>decisions</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contracting</w:t>
      </w:r>
      <w:r w:rsidR="00900061" w:rsidRPr="00E168A1">
        <w:rPr>
          <w:rFonts w:ascii="Times New Roman" w:eastAsia="Times New Roman" w:hAnsi="Times New Roman"/>
          <w:b/>
        </w:rPr>
        <w:t xml:space="preserve"> </w:t>
      </w:r>
      <w:r w:rsidRPr="00E168A1">
        <w:rPr>
          <w:rFonts w:ascii="Times New Roman" w:eastAsia="Times New Roman" w:hAnsi="Times New Roman"/>
          <w:b/>
        </w:rPr>
        <w:t>authorities</w:t>
      </w:r>
      <w:r w:rsidR="00DE0F71" w:rsidRPr="00E168A1">
        <w:rPr>
          <w:rFonts w:ascii="Times New Roman" w:eastAsia="Times New Roman" w:hAnsi="Times New Roman"/>
          <w:b/>
        </w:rPr>
        <w:t>.</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an</w:t>
      </w:r>
      <w:r w:rsidR="00900061" w:rsidRPr="00E168A1">
        <w:rPr>
          <w:rFonts w:ascii="Times New Roman" w:eastAsia="Times New Roman" w:hAnsi="Times New Roman"/>
        </w:rPr>
        <w:t xml:space="preserve"> </w:t>
      </w:r>
      <w:r w:rsidRPr="00E168A1">
        <w:rPr>
          <w:rFonts w:ascii="Times New Roman" w:eastAsia="Times New Roman" w:hAnsi="Times New Roman"/>
        </w:rPr>
        <w:t>autonomous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independent</w:t>
      </w:r>
      <w:r w:rsidR="00900061" w:rsidRPr="00E168A1">
        <w:rPr>
          <w:rFonts w:ascii="Times New Roman" w:eastAsia="Times New Roman" w:hAnsi="Times New Roman"/>
        </w:rPr>
        <w:t xml:space="preserve"> </w:t>
      </w:r>
      <w:r w:rsidRPr="00E168A1">
        <w:rPr>
          <w:rFonts w:ascii="Times New Roman" w:eastAsia="Times New Roman" w:hAnsi="Times New Roman"/>
        </w:rPr>
        <w:t>entity</w:t>
      </w:r>
      <w:r w:rsidR="00900061" w:rsidRPr="00E168A1">
        <w:rPr>
          <w:rFonts w:ascii="Times New Roman" w:eastAsia="Times New Roman" w:hAnsi="Times New Roman"/>
        </w:rPr>
        <w:t xml:space="preserve"> </w:t>
      </w:r>
      <w:r w:rsidRPr="00E168A1">
        <w:rPr>
          <w:rFonts w:ascii="Times New Roman" w:eastAsia="Times New Roman" w:hAnsi="Times New Roman"/>
        </w:rPr>
        <w:t>established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2010</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activated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April</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reports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3C78A1" w:rsidRPr="00E168A1">
        <w:rPr>
          <w:rFonts w:ascii="Times New Roman" w:eastAsia="Times New Roman" w:hAnsi="Times New Roman"/>
        </w:rPr>
        <w:t>NA</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which</w:t>
      </w:r>
      <w:r w:rsidR="00900061" w:rsidRPr="00E168A1">
        <w:rPr>
          <w:rFonts w:ascii="Times New Roman" w:eastAsia="Times New Roman" w:hAnsi="Times New Roman"/>
        </w:rPr>
        <w:t xml:space="preserve"> </w:t>
      </w:r>
      <w:r w:rsidRPr="00E168A1">
        <w:rPr>
          <w:rFonts w:ascii="Times New Roman" w:eastAsia="Times New Roman" w:hAnsi="Times New Roman"/>
        </w:rPr>
        <w:t>appoints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removes</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Pr="00E168A1">
        <w:rPr>
          <w:rFonts w:ascii="Times New Roman" w:eastAsia="Times New Roman" w:hAnsi="Times New Roman"/>
        </w:rPr>
        <w:t>office</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00136F63" w:rsidRPr="00E168A1">
        <w:rPr>
          <w:rFonts w:ascii="Times New Roman" w:eastAsia="Times New Roman" w:hAnsi="Times New Roman"/>
        </w:rPr>
        <w:t>p</w:t>
      </w:r>
      <w:r w:rsidRPr="00E168A1">
        <w:rPr>
          <w:rFonts w:ascii="Times New Roman" w:eastAsia="Times New Roman" w:hAnsi="Times New Roman"/>
        </w:rPr>
        <w:t>resident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00136F63" w:rsidRPr="00E168A1">
        <w:rPr>
          <w:rFonts w:ascii="Times New Roman" w:eastAsia="Times New Roman" w:hAnsi="Times New Roman"/>
        </w:rPr>
        <w:t>m</w:t>
      </w:r>
      <w:r w:rsidRPr="00E168A1">
        <w:rPr>
          <w:rFonts w:ascii="Times New Roman" w:eastAsia="Times New Roman" w:hAnsi="Times New Roman"/>
        </w:rPr>
        <w:t>embers.</w:t>
      </w:r>
      <w:r w:rsidR="00900061" w:rsidRPr="00E168A1">
        <w:rPr>
          <w:rFonts w:ascii="Times New Roman" w:eastAsia="Times New Roman" w:hAnsi="Times New Roman"/>
        </w:rPr>
        <w:t xml:space="preserve"> </w:t>
      </w:r>
      <w:r w:rsidRPr="00E168A1">
        <w:rPr>
          <w:rFonts w:ascii="Times New Roman" w:eastAsia="Times New Roman" w:hAnsi="Times New Roman"/>
        </w:rPr>
        <w:t>Until</w:t>
      </w:r>
      <w:r w:rsidR="00900061" w:rsidRPr="00E168A1">
        <w:rPr>
          <w:rFonts w:ascii="Times New Roman" w:eastAsia="Times New Roman" w:hAnsi="Times New Roman"/>
        </w:rPr>
        <w:t xml:space="preserve"> </w:t>
      </w:r>
      <w:r w:rsidRPr="00E168A1">
        <w:rPr>
          <w:rFonts w:ascii="Times New Roman" w:eastAsia="Times New Roman" w:hAnsi="Times New Roman"/>
        </w:rPr>
        <w:t>recently,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FA63C5" w:rsidRPr="00E168A1">
        <w:rPr>
          <w:rFonts w:ascii="Times New Roman" w:eastAsia="Times New Roman" w:hAnsi="Times New Roman"/>
        </w:rPr>
        <w:t>R</w:t>
      </w:r>
      <w:r w:rsidRPr="00E168A1">
        <w:rPr>
          <w:rFonts w:ascii="Times New Roman" w:eastAsia="Times New Roman" w:hAnsi="Times New Roman"/>
        </w:rPr>
        <w:t>C</w:t>
      </w:r>
      <w:r w:rsidR="00900061" w:rsidRPr="00E168A1">
        <w:rPr>
          <w:rFonts w:ascii="Times New Roman" w:eastAsia="Times New Roman" w:hAnsi="Times New Roman"/>
        </w:rPr>
        <w:t xml:space="preserve"> </w:t>
      </w:r>
      <w:r w:rsidRPr="00E168A1">
        <w:rPr>
          <w:rFonts w:ascii="Times New Roman" w:eastAsia="Times New Roman" w:hAnsi="Times New Roman"/>
        </w:rPr>
        <w:t>had</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total</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54</w:t>
      </w:r>
      <w:r w:rsidR="00900061" w:rsidRPr="00E168A1">
        <w:rPr>
          <w:rFonts w:ascii="Times New Roman" w:eastAsia="Times New Roman" w:hAnsi="Times New Roman"/>
        </w:rPr>
        <w:t xml:space="preserve"> </w:t>
      </w:r>
      <w:r w:rsidRPr="00E168A1">
        <w:rPr>
          <w:rFonts w:ascii="Times New Roman" w:eastAsia="Times New Roman" w:hAnsi="Times New Roman"/>
          <w:color w:val="000000" w:themeColor="text1"/>
        </w:rPr>
        <w:t>staff</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(including</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six</w:t>
      </w:r>
      <w:r w:rsidR="00900061" w:rsidRPr="00E168A1">
        <w:rPr>
          <w:rFonts w:ascii="Times New Roman" w:eastAsia="Times New Roman" w:hAnsi="Times New Roman"/>
          <w:color w:val="000000" w:themeColor="text1"/>
        </w:rPr>
        <w:t xml:space="preserve"> </w:t>
      </w:r>
      <w:r w:rsidR="00FD5DD5" w:rsidRPr="00E168A1">
        <w:rPr>
          <w:rFonts w:ascii="Times New Roman" w:eastAsia="Times New Roman" w:hAnsi="Times New Roman"/>
          <w:color w:val="000000" w:themeColor="text1"/>
        </w:rPr>
        <w:t>m</w:t>
      </w:r>
      <w:r w:rsidRPr="00E168A1">
        <w:rPr>
          <w:rFonts w:ascii="Times New Roman" w:eastAsia="Times New Roman" w:hAnsi="Times New Roman"/>
          <w:color w:val="000000" w:themeColor="text1"/>
        </w:rPr>
        <w:t>embers</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and</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00FD5DD5" w:rsidRPr="00E168A1">
        <w:rPr>
          <w:rFonts w:ascii="Times New Roman" w:eastAsia="Times New Roman" w:hAnsi="Times New Roman"/>
          <w:color w:val="000000" w:themeColor="text1"/>
        </w:rPr>
        <w:t>p</w:t>
      </w:r>
      <w:r w:rsidRPr="00E168A1">
        <w:rPr>
          <w:rFonts w:ascii="Times New Roman" w:eastAsia="Times New Roman" w:hAnsi="Times New Roman"/>
          <w:color w:val="000000" w:themeColor="text1"/>
        </w:rPr>
        <w:t>resident</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of</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RC),</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a</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38</w:t>
      </w:r>
      <w:r w:rsidR="00950355" w:rsidRPr="00E168A1">
        <w:rPr>
          <w:rFonts w:ascii="Times New Roman" w:eastAsia="Times New Roman" w:hAnsi="Times New Roman"/>
          <w:color w:val="000000" w:themeColor="text1"/>
        </w:rPr>
        <w:t xml:space="preserve"> percent </w:t>
      </w:r>
      <w:r w:rsidRPr="00E168A1">
        <w:rPr>
          <w:rFonts w:ascii="Times New Roman" w:eastAsia="Times New Roman" w:hAnsi="Times New Roman"/>
          <w:color w:val="000000" w:themeColor="text1"/>
        </w:rPr>
        <w:t>increase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compared</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to</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2013.</w:t>
      </w:r>
      <w:r w:rsidR="00900061" w:rsidRPr="00E168A1">
        <w:rPr>
          <w:rFonts w:ascii="Times New Roman" w:eastAsia="Times New Roman" w:hAnsi="Times New Roman"/>
          <w:color w:val="000000" w:themeColor="text1"/>
        </w:rPr>
        <w:t xml:space="preserve"> </w:t>
      </w:r>
      <w:r w:rsidR="00AE54E5" w:rsidRPr="00E168A1">
        <w:rPr>
          <w:rFonts w:ascii="Times New Roman" w:hAnsi="Times New Roman"/>
          <w:color w:val="000000" w:themeColor="text1"/>
        </w:rPr>
        <w:t>However,</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the</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new</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Amendment</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to</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the</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PPL</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foresees</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an</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increase</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in</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the</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number</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of</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members</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from</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six</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to</w:t>
      </w:r>
      <w:r w:rsidR="00900061" w:rsidRPr="00E168A1">
        <w:rPr>
          <w:rFonts w:ascii="Times New Roman" w:hAnsi="Times New Roman"/>
          <w:color w:val="000000" w:themeColor="text1"/>
        </w:rPr>
        <w:t xml:space="preserve"> </w:t>
      </w:r>
      <w:r w:rsidR="00AE54E5" w:rsidRPr="00E168A1">
        <w:rPr>
          <w:rFonts w:ascii="Times New Roman" w:hAnsi="Times New Roman"/>
          <w:color w:val="000000" w:themeColor="text1"/>
        </w:rPr>
        <w:t>eight.</w:t>
      </w:r>
      <w:r w:rsidR="00900061" w:rsidRPr="00E168A1">
        <w:rPr>
          <w:rFonts w:ascii="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RC</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powers,</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under</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2012</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PPL,</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include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the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institution</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of</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minor</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offence</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procedures</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against</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both</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contracting</w:t>
      </w:r>
      <w:r w:rsidR="00900061" w:rsidRPr="00E168A1">
        <w:rPr>
          <w:rFonts w:ascii="Times New Roman" w:eastAsia="Times New Roman" w:hAnsi="Times New Roman"/>
          <w:color w:val="000000" w:themeColor="text1"/>
        </w:rPr>
        <w:t xml:space="preserve"> </w:t>
      </w:r>
      <w:r w:rsidRPr="00E168A1">
        <w:rPr>
          <w:rFonts w:ascii="Times New Roman" w:eastAsia="Times New Roman" w:hAnsi="Times New Roman"/>
          <w:color w:val="000000" w:themeColor="text1"/>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officers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bidders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imposition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range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fixed</w:t>
      </w:r>
      <w:r w:rsidR="00900061" w:rsidRPr="00E168A1">
        <w:rPr>
          <w:rFonts w:ascii="Times New Roman" w:eastAsia="Times New Roman" w:hAnsi="Times New Roman"/>
        </w:rPr>
        <w:t xml:space="preserve"> </w:t>
      </w:r>
      <w:r w:rsidRPr="00E168A1">
        <w:rPr>
          <w:rFonts w:ascii="Times New Roman" w:eastAsia="Times New Roman" w:hAnsi="Times New Roman"/>
        </w:rPr>
        <w:t>fines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those</w:t>
      </w:r>
      <w:r w:rsidR="00900061" w:rsidRPr="00E168A1">
        <w:rPr>
          <w:rFonts w:ascii="Times New Roman" w:eastAsia="Times New Roman" w:hAnsi="Times New Roman"/>
        </w:rPr>
        <w:t xml:space="preserve"> </w:t>
      </w:r>
      <w:r w:rsidRPr="00E168A1">
        <w:rPr>
          <w:rFonts w:ascii="Times New Roman" w:eastAsia="Times New Roman" w:hAnsi="Times New Roman"/>
        </w:rPr>
        <w:t>offences</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well</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cancellation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concluded</w:t>
      </w:r>
      <w:r w:rsidR="00900061" w:rsidRPr="00E168A1">
        <w:rPr>
          <w:rFonts w:ascii="Times New Roman" w:eastAsia="Times New Roman" w:hAnsi="Times New Roman"/>
        </w:rPr>
        <w:t xml:space="preserve"> </w:t>
      </w:r>
      <w:r w:rsidRPr="00E168A1">
        <w:rPr>
          <w:rFonts w:ascii="Times New Roman" w:eastAsia="Times New Roman" w:hAnsi="Times New Roman"/>
        </w:rPr>
        <w:t>contracts.</w:t>
      </w:r>
      <w:r w:rsidR="00900061" w:rsidRPr="00E168A1">
        <w:rPr>
          <w:rFonts w:ascii="Times New Roman" w:eastAsia="Times New Roman" w:hAnsi="Times New Roman"/>
        </w:rPr>
        <w:t xml:space="preserve"> </w:t>
      </w:r>
    </w:p>
    <w:p w14:paraId="7F302B1C" w14:textId="545D87E8" w:rsidR="00AE54E5" w:rsidRPr="00E168A1" w:rsidRDefault="00133576"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eastAsia="Times New Roman" w:hAnsi="Times New Roman"/>
          <w:b/>
        </w:rPr>
        <w:t xml:space="preserve">The </w:t>
      </w:r>
      <w:r w:rsidR="00B03657" w:rsidRPr="00E168A1">
        <w:rPr>
          <w:rFonts w:ascii="Times New Roman" w:eastAsia="Times New Roman" w:hAnsi="Times New Roman"/>
          <w:b/>
        </w:rPr>
        <w:t>SAI</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is</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responsible</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for</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the</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audit</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of</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all</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funds</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and</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reports</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systematically</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on</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00B03657"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2011,</w:t>
      </w:r>
      <w:r w:rsidR="00900061" w:rsidRPr="00E168A1">
        <w:rPr>
          <w:rFonts w:ascii="Times New Roman" w:hAnsi="Times New Roman"/>
        </w:rPr>
        <w:t xml:space="preserve"> </w:t>
      </w:r>
      <w:r w:rsidR="00B03657" w:rsidRPr="00E168A1">
        <w:rPr>
          <w:rFonts w:ascii="Times New Roman" w:hAnsi="Times New Roman"/>
        </w:rPr>
        <w:t>it</w:t>
      </w:r>
      <w:r w:rsidR="00900061" w:rsidRPr="00E168A1">
        <w:rPr>
          <w:rFonts w:ascii="Times New Roman" w:hAnsi="Times New Roman"/>
        </w:rPr>
        <w:t xml:space="preserve"> </w:t>
      </w:r>
      <w:r w:rsidR="00B03657" w:rsidRPr="00E168A1">
        <w:rPr>
          <w:rFonts w:ascii="Times New Roman" w:hAnsi="Times New Roman"/>
        </w:rPr>
        <w:t>reported</w:t>
      </w:r>
      <w:r w:rsidR="00900061" w:rsidRPr="00E168A1">
        <w:rPr>
          <w:rFonts w:ascii="Times New Roman" w:hAnsi="Times New Roman"/>
        </w:rPr>
        <w:t xml:space="preserve"> </w:t>
      </w:r>
      <w:r w:rsidR="00B03657" w:rsidRPr="00E168A1">
        <w:rPr>
          <w:rFonts w:ascii="Times New Roman" w:hAnsi="Times New Roman"/>
        </w:rPr>
        <w:t>that</w:t>
      </w:r>
      <w:r w:rsidR="00900061" w:rsidRPr="00E168A1">
        <w:rPr>
          <w:rFonts w:ascii="Times New Roman" w:hAnsi="Times New Roman"/>
        </w:rPr>
        <w:t xml:space="preserve"> </w:t>
      </w:r>
      <w:r w:rsidR="00B03657" w:rsidRPr="00E168A1">
        <w:rPr>
          <w:rFonts w:ascii="Times New Roman" w:hAnsi="Times New Roman"/>
        </w:rPr>
        <w:t>illegal</w:t>
      </w:r>
      <w:r w:rsidR="00900061" w:rsidRPr="00E168A1">
        <w:rPr>
          <w:rFonts w:ascii="Times New Roman" w:hAnsi="Times New Roman"/>
        </w:rPr>
        <w:t xml:space="preserve"> </w:t>
      </w:r>
      <w:r w:rsidR="00B03657" w:rsidRPr="00E168A1">
        <w:rPr>
          <w:rFonts w:ascii="Times New Roman" w:hAnsi="Times New Roman"/>
        </w:rPr>
        <w:t>acts</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worth</w:t>
      </w:r>
      <w:r w:rsidR="00900061" w:rsidRPr="00E168A1">
        <w:rPr>
          <w:rFonts w:ascii="Times New Roman" w:hAnsi="Times New Roman"/>
        </w:rPr>
        <w:t xml:space="preserve"> </w:t>
      </w:r>
      <w:r w:rsidR="00B03657" w:rsidRPr="00E168A1">
        <w:rPr>
          <w:rFonts w:ascii="Times New Roman" w:hAnsi="Times New Roman"/>
        </w:rPr>
        <w:t>almost</w:t>
      </w:r>
      <w:r w:rsidR="00900061" w:rsidRPr="00E168A1">
        <w:rPr>
          <w:rFonts w:ascii="Times New Roman" w:hAnsi="Times New Roman"/>
        </w:rPr>
        <w:t xml:space="preserve"> </w:t>
      </w:r>
      <w:r w:rsidR="00B71C7F" w:rsidRPr="00E168A1">
        <w:rPr>
          <w:rFonts w:ascii="Times New Roman" w:hAnsi="Times New Roman"/>
        </w:rPr>
        <w:t>€</w:t>
      </w:r>
      <w:r w:rsidR="00B03657" w:rsidRPr="00E168A1">
        <w:rPr>
          <w:rFonts w:ascii="Times New Roman" w:hAnsi="Times New Roman"/>
        </w:rPr>
        <w:t>415</w:t>
      </w:r>
      <w:r w:rsidR="00900061" w:rsidRPr="00E168A1">
        <w:rPr>
          <w:rFonts w:ascii="Times New Roman" w:hAnsi="Times New Roman"/>
        </w:rPr>
        <w:t xml:space="preserve"> </w:t>
      </w:r>
      <w:r w:rsidR="00B03657" w:rsidRPr="00E168A1">
        <w:rPr>
          <w:rFonts w:ascii="Times New Roman" w:hAnsi="Times New Roman"/>
        </w:rPr>
        <w:t>million</w:t>
      </w:r>
      <w:r w:rsidR="00900061" w:rsidRPr="00E168A1">
        <w:rPr>
          <w:rFonts w:ascii="Times New Roman" w:hAnsi="Times New Roman"/>
        </w:rPr>
        <w:t xml:space="preserve"> </w:t>
      </w:r>
      <w:r w:rsidR="00B03657" w:rsidRPr="00E168A1">
        <w:rPr>
          <w:rFonts w:ascii="Times New Roman" w:hAnsi="Times New Roman"/>
        </w:rPr>
        <w:t>had</w:t>
      </w:r>
      <w:r w:rsidR="00900061" w:rsidRPr="00E168A1">
        <w:rPr>
          <w:rFonts w:ascii="Times New Roman" w:hAnsi="Times New Roman"/>
        </w:rPr>
        <w:t xml:space="preserve"> </w:t>
      </w:r>
      <w:r w:rsidR="00B03657" w:rsidRPr="00E168A1">
        <w:rPr>
          <w:rFonts w:ascii="Times New Roman" w:hAnsi="Times New Roman"/>
        </w:rPr>
        <w:t>been</w:t>
      </w:r>
      <w:r w:rsidR="00900061" w:rsidRPr="00E168A1">
        <w:rPr>
          <w:rFonts w:ascii="Times New Roman" w:hAnsi="Times New Roman"/>
        </w:rPr>
        <w:t xml:space="preserve"> </w:t>
      </w:r>
      <w:r w:rsidR="00B03657" w:rsidRPr="00E168A1">
        <w:rPr>
          <w:rFonts w:ascii="Times New Roman" w:hAnsi="Times New Roman"/>
        </w:rPr>
        <w:t>discovered</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122</w:t>
      </w:r>
      <w:r w:rsidR="00900061" w:rsidRPr="00E168A1">
        <w:rPr>
          <w:rFonts w:ascii="Times New Roman" w:hAnsi="Times New Roman"/>
        </w:rPr>
        <w:t xml:space="preserve"> </w:t>
      </w:r>
      <w:r w:rsidR="00B03657" w:rsidRPr="00E168A1">
        <w:rPr>
          <w:rFonts w:ascii="Times New Roman" w:hAnsi="Times New Roman"/>
        </w:rPr>
        <w:t>departments.</w:t>
      </w:r>
      <w:r w:rsidR="00B03657" w:rsidRPr="00E168A1">
        <w:rPr>
          <w:rStyle w:val="FootnoteReference"/>
          <w:rFonts w:ascii="Times New Roman" w:hAnsi="Times New Roman"/>
        </w:rPr>
        <w:footnoteReference w:id="14"/>
      </w:r>
      <w:r w:rsidR="00900061" w:rsidRPr="00E168A1">
        <w:rPr>
          <w:rFonts w:ascii="Times New Roman" w:hAnsi="Times New Roman"/>
        </w:rPr>
        <w:t xml:space="preserve"> </w:t>
      </w:r>
      <w:r w:rsidR="00B03657" w:rsidRPr="00E168A1">
        <w:rPr>
          <w:rFonts w:ascii="Times New Roman" w:eastAsia="Times New Roman" w:hAnsi="Times New Roman"/>
        </w:rPr>
        <w:t>Annex</w:t>
      </w:r>
      <w:r w:rsidR="00900061" w:rsidRPr="00E168A1">
        <w:rPr>
          <w:rFonts w:ascii="Times New Roman" w:eastAsia="Times New Roman" w:hAnsi="Times New Roman"/>
        </w:rPr>
        <w:t xml:space="preserve"> </w:t>
      </w:r>
      <w:r w:rsidR="005E71DF" w:rsidRPr="00E168A1">
        <w:rPr>
          <w:rFonts w:ascii="Times New Roman" w:eastAsia="Times New Roman" w:hAnsi="Times New Roman"/>
        </w:rPr>
        <w:t xml:space="preserve">2 </w:t>
      </w:r>
      <w:r w:rsidR="00B03657" w:rsidRPr="00E168A1">
        <w:rPr>
          <w:rFonts w:ascii="Times New Roman" w:eastAsia="Times New Roman" w:hAnsi="Times New Roman"/>
        </w:rPr>
        <w:t>presents</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w:t>
      </w:r>
      <w:r w:rsidR="00900061" w:rsidRPr="00E168A1">
        <w:rPr>
          <w:rFonts w:ascii="Times New Roman" w:eastAsia="Times New Roman" w:hAnsi="Times New Roman"/>
        </w:rPr>
        <w:t xml:space="preserve"> </w:t>
      </w:r>
      <w:r w:rsidR="00B03657" w:rsidRPr="00E168A1">
        <w:rPr>
          <w:rFonts w:ascii="Times New Roman" w:eastAsia="Times New Roman" w:hAnsi="Times New Roman"/>
        </w:rPr>
        <w:t>greater</w:t>
      </w:r>
      <w:r w:rsidR="00900061" w:rsidRPr="00E168A1">
        <w:rPr>
          <w:rFonts w:ascii="Times New Roman" w:eastAsia="Times New Roman" w:hAnsi="Times New Roman"/>
        </w:rPr>
        <w:t xml:space="preserve"> </w:t>
      </w:r>
      <w:r w:rsidR="00B03657" w:rsidRPr="00E168A1">
        <w:rPr>
          <w:rFonts w:ascii="Times New Roman" w:eastAsia="Times New Roman" w:hAnsi="Times New Roman"/>
        </w:rPr>
        <w:t>detail</w:t>
      </w:r>
      <w:r w:rsidR="00900061" w:rsidRPr="00E168A1">
        <w:rPr>
          <w:rFonts w:ascii="Times New Roman" w:eastAsia="Times New Roman" w:hAnsi="Times New Roman"/>
        </w:rPr>
        <w:t xml:space="preserve"> </w:t>
      </w:r>
      <w:r w:rsidR="00B03657" w:rsidRPr="00E168A1">
        <w:rPr>
          <w:rFonts w:ascii="Times New Roman" w:eastAsia="Times New Roman" w:hAnsi="Times New Roman"/>
        </w:rPr>
        <w:t>the</w:t>
      </w:r>
      <w:r w:rsidR="00900061" w:rsidRPr="00E168A1">
        <w:rPr>
          <w:rFonts w:ascii="Times New Roman" w:eastAsia="Times New Roman" w:hAnsi="Times New Roman"/>
        </w:rPr>
        <w:t xml:space="preserve"> </w:t>
      </w:r>
      <w:r w:rsidR="00B03657" w:rsidRPr="00E168A1">
        <w:rPr>
          <w:rFonts w:ascii="Times New Roman" w:eastAsia="Times New Roman" w:hAnsi="Times New Roman"/>
        </w:rPr>
        <w:t>roles</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and</w:t>
      </w:r>
      <w:r w:rsidR="00900061" w:rsidRPr="00E168A1">
        <w:rPr>
          <w:rFonts w:ascii="Times New Roman" w:eastAsia="Times New Roman" w:hAnsi="Times New Roman"/>
        </w:rPr>
        <w:t xml:space="preserve"> </w:t>
      </w:r>
      <w:r w:rsidR="00B03657" w:rsidRPr="00E168A1">
        <w:rPr>
          <w:rFonts w:ascii="Times New Roman" w:eastAsia="Times New Roman" w:hAnsi="Times New Roman"/>
        </w:rPr>
        <w:t>responsibilities</w:t>
      </w:r>
      <w:r w:rsidR="00900061" w:rsidRPr="00E168A1">
        <w:rPr>
          <w:rFonts w:ascii="Times New Roman" w:eastAsia="Times New Roman" w:hAnsi="Times New Roman"/>
        </w:rPr>
        <w:t xml:space="preserve"> </w:t>
      </w:r>
      <w:r w:rsidR="00B03657" w:rsidRPr="00E168A1">
        <w:rPr>
          <w:rFonts w:ascii="Times New Roman" w:eastAsia="Times New Roman" w:hAnsi="Times New Roman"/>
        </w:rPr>
        <w:t>of</w:t>
      </w:r>
      <w:r w:rsidR="00900061" w:rsidRPr="00E168A1">
        <w:rPr>
          <w:rFonts w:ascii="Times New Roman" w:eastAsia="Times New Roman" w:hAnsi="Times New Roman"/>
        </w:rPr>
        <w:t xml:space="preserve"> </w:t>
      </w:r>
      <w:r w:rsidR="00B03657" w:rsidRPr="00E168A1">
        <w:rPr>
          <w:rFonts w:ascii="Times New Roman" w:eastAsia="Times New Roman" w:hAnsi="Times New Roman"/>
        </w:rPr>
        <w:t>additional</w:t>
      </w:r>
      <w:r w:rsidR="00900061" w:rsidRPr="00E168A1">
        <w:rPr>
          <w:rFonts w:ascii="Times New Roman" w:eastAsia="Times New Roman" w:hAnsi="Times New Roman"/>
        </w:rPr>
        <w:t xml:space="preserve"> </w:t>
      </w:r>
      <w:r w:rsidR="00B03657" w:rsidRPr="00E168A1">
        <w:rPr>
          <w:rFonts w:ascii="Times New Roman" w:eastAsia="Times New Roman" w:hAnsi="Times New Roman"/>
        </w:rPr>
        <w:t>relevant</w:t>
      </w:r>
      <w:r w:rsidR="00900061" w:rsidRPr="00E168A1">
        <w:rPr>
          <w:rFonts w:ascii="Times New Roman" w:eastAsia="Times New Roman" w:hAnsi="Times New Roman"/>
        </w:rPr>
        <w:t xml:space="preserve"> </w:t>
      </w:r>
      <w:r w:rsidR="00B03657" w:rsidRPr="00E168A1">
        <w:rPr>
          <w:rFonts w:ascii="Times New Roman" w:eastAsia="Times New Roman" w:hAnsi="Times New Roman"/>
        </w:rPr>
        <w:t>actors</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w:t>
      </w:r>
      <w:r w:rsidR="00900061" w:rsidRPr="00E168A1">
        <w:rPr>
          <w:rFonts w:ascii="Times New Roman" w:eastAsia="Times New Roman" w:hAnsi="Times New Roman"/>
        </w:rPr>
        <w:t xml:space="preserve"> </w:t>
      </w:r>
      <w:r w:rsidR="00B03657" w:rsidRPr="00E168A1">
        <w:rPr>
          <w:rFonts w:ascii="Times New Roman" w:eastAsia="Times New Roman" w:hAnsi="Times New Roman"/>
        </w:rPr>
        <w:t>the</w:t>
      </w:r>
      <w:r w:rsidR="00900061" w:rsidRPr="00E168A1">
        <w:rPr>
          <w:rFonts w:ascii="Times New Roman" w:eastAsia="Times New Roman" w:hAnsi="Times New Roman"/>
        </w:rPr>
        <w:t xml:space="preserve"> </w:t>
      </w:r>
      <w:r w:rsidR="00B03657" w:rsidRPr="00E168A1">
        <w:rPr>
          <w:rFonts w:ascii="Times New Roman" w:eastAsia="Times New Roman" w:hAnsi="Times New Roman"/>
        </w:rPr>
        <w:t>field</w:t>
      </w:r>
      <w:r w:rsidR="00900061" w:rsidRPr="00E168A1">
        <w:rPr>
          <w:rFonts w:ascii="Times New Roman" w:eastAsia="Times New Roman" w:hAnsi="Times New Roman"/>
        </w:rPr>
        <w:t xml:space="preserve"> </w:t>
      </w:r>
      <w:r w:rsidR="00B03657" w:rsidRPr="00E168A1">
        <w:rPr>
          <w:rFonts w:ascii="Times New Roman" w:eastAsia="Times New Roman" w:hAnsi="Times New Roman"/>
        </w:rPr>
        <w:t>of</w:t>
      </w:r>
      <w:r w:rsidR="00900061" w:rsidRPr="00E168A1">
        <w:rPr>
          <w:rFonts w:ascii="Times New Roman" w:eastAsia="Times New Roman" w:hAnsi="Times New Roman"/>
        </w:rPr>
        <w:t xml:space="preserve"> </w:t>
      </w:r>
      <w:r w:rsidR="00B03657" w:rsidRPr="00E168A1">
        <w:rPr>
          <w:rFonts w:ascii="Times New Roman" w:eastAsia="Times New Roman" w:hAnsi="Times New Roman"/>
        </w:rPr>
        <w:t>public</w:t>
      </w:r>
      <w:r w:rsidR="00900061" w:rsidRPr="00E168A1">
        <w:rPr>
          <w:rFonts w:ascii="Times New Roman" w:eastAsia="Times New Roman" w:hAnsi="Times New Roman"/>
        </w:rPr>
        <w:t xml:space="preserve"> </w:t>
      </w:r>
      <w:r w:rsidR="00B03657"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B03657" w:rsidRPr="00E168A1">
        <w:rPr>
          <w:rFonts w:ascii="Times New Roman" w:eastAsia="Times New Roman" w:hAnsi="Times New Roman"/>
        </w:rPr>
        <w:t>(</w:t>
      </w:r>
      <w:r w:rsidR="00234CF2" w:rsidRPr="00E168A1">
        <w:rPr>
          <w:rFonts w:ascii="Times New Roman" w:eastAsia="Times New Roman" w:hAnsi="Times New Roman"/>
        </w:rPr>
        <w:t>for example,</w:t>
      </w:r>
      <w:r w:rsidR="00900061" w:rsidRPr="00E168A1">
        <w:rPr>
          <w:rFonts w:ascii="Times New Roman" w:eastAsia="Times New Roman" w:hAnsi="Times New Roman"/>
        </w:rPr>
        <w:t xml:space="preserve"> </w:t>
      </w:r>
      <w:r w:rsidR="00A77BC5" w:rsidRPr="00E168A1">
        <w:rPr>
          <w:rFonts w:ascii="Times New Roman" w:eastAsia="Times New Roman" w:hAnsi="Times New Roman"/>
        </w:rPr>
        <w:t>the MoF</w:t>
      </w:r>
      <w:r w:rsidR="00B03657" w:rsidRPr="00E168A1">
        <w:rPr>
          <w:rFonts w:ascii="Times New Roman" w:eastAsia="Times New Roman" w:hAnsi="Times New Roman"/>
        </w:rPr>
        <w:t>,</w:t>
      </w:r>
      <w:r w:rsidR="00900061" w:rsidRPr="00E168A1">
        <w:rPr>
          <w:rFonts w:ascii="Times New Roman" w:eastAsia="Times New Roman" w:hAnsi="Times New Roman"/>
        </w:rPr>
        <w:t xml:space="preserve"> </w:t>
      </w:r>
      <w:r w:rsidR="00B03657" w:rsidRPr="00E168A1">
        <w:rPr>
          <w:rFonts w:ascii="Times New Roman" w:eastAsia="Times New Roman" w:hAnsi="Times New Roman"/>
        </w:rPr>
        <w:t>Anti</w:t>
      </w:r>
      <w:r w:rsidR="009B4590" w:rsidRPr="00E168A1">
        <w:rPr>
          <w:rFonts w:ascii="Times New Roman" w:eastAsia="Times New Roman" w:hAnsi="Times New Roman"/>
        </w:rPr>
        <w:t>c</w:t>
      </w:r>
      <w:r w:rsidR="00B03657" w:rsidRPr="00E168A1">
        <w:rPr>
          <w:rFonts w:ascii="Times New Roman" w:eastAsia="Times New Roman" w:hAnsi="Times New Roman"/>
        </w:rPr>
        <w:t>orruption</w:t>
      </w:r>
      <w:r w:rsidR="00900061" w:rsidRPr="00E168A1">
        <w:rPr>
          <w:rFonts w:ascii="Times New Roman" w:eastAsia="Times New Roman" w:hAnsi="Times New Roman"/>
        </w:rPr>
        <w:t xml:space="preserve"> </w:t>
      </w:r>
      <w:r w:rsidR="00B03657" w:rsidRPr="00E168A1">
        <w:rPr>
          <w:rFonts w:ascii="Times New Roman" w:eastAsia="Times New Roman" w:hAnsi="Times New Roman"/>
        </w:rPr>
        <w:t>Agency,</w:t>
      </w:r>
      <w:r w:rsidR="00900061" w:rsidRPr="00E168A1">
        <w:rPr>
          <w:rFonts w:ascii="Times New Roman" w:eastAsia="Times New Roman" w:hAnsi="Times New Roman"/>
        </w:rPr>
        <w:t xml:space="preserve"> </w:t>
      </w:r>
      <w:r w:rsidR="00B03657" w:rsidRPr="00E168A1">
        <w:rPr>
          <w:rFonts w:ascii="Times New Roman" w:eastAsia="Times New Roman" w:hAnsi="Times New Roman"/>
        </w:rPr>
        <w:t>Administrative</w:t>
      </w:r>
      <w:r w:rsidR="00900061" w:rsidRPr="00E168A1">
        <w:rPr>
          <w:rFonts w:ascii="Times New Roman" w:eastAsia="Times New Roman" w:hAnsi="Times New Roman"/>
        </w:rPr>
        <w:t xml:space="preserve"> </w:t>
      </w:r>
      <w:r w:rsidR="00B03657" w:rsidRPr="00E168A1">
        <w:rPr>
          <w:rFonts w:ascii="Times New Roman" w:eastAsia="Times New Roman" w:hAnsi="Times New Roman"/>
        </w:rPr>
        <w:t>Court)</w:t>
      </w:r>
      <w:r w:rsidR="00900061" w:rsidRPr="00E168A1">
        <w:rPr>
          <w:rFonts w:ascii="Times New Roman" w:eastAsia="Times New Roman" w:hAnsi="Times New Roman"/>
        </w:rPr>
        <w:t xml:space="preserve"> </w:t>
      </w:r>
      <w:r w:rsidR="00B03657" w:rsidRPr="00E168A1">
        <w:rPr>
          <w:rFonts w:ascii="Times New Roman" w:eastAsia="Times New Roman" w:hAnsi="Times New Roman"/>
        </w:rPr>
        <w:t>as</w:t>
      </w:r>
      <w:r w:rsidR="00900061" w:rsidRPr="00E168A1">
        <w:rPr>
          <w:rFonts w:ascii="Times New Roman" w:eastAsia="Times New Roman" w:hAnsi="Times New Roman"/>
        </w:rPr>
        <w:t xml:space="preserve"> </w:t>
      </w:r>
      <w:r w:rsidR="00B03657" w:rsidRPr="00E168A1">
        <w:rPr>
          <w:rFonts w:ascii="Times New Roman" w:eastAsia="Times New Roman" w:hAnsi="Times New Roman"/>
        </w:rPr>
        <w:t>laid</w:t>
      </w:r>
      <w:r w:rsidR="00900061" w:rsidRPr="00E168A1">
        <w:rPr>
          <w:rFonts w:ascii="Times New Roman" w:eastAsia="Times New Roman" w:hAnsi="Times New Roman"/>
        </w:rPr>
        <w:t xml:space="preserve"> </w:t>
      </w:r>
      <w:r w:rsidR="00B03657" w:rsidRPr="00E168A1">
        <w:rPr>
          <w:rFonts w:ascii="Times New Roman" w:eastAsia="Times New Roman" w:hAnsi="Times New Roman"/>
        </w:rPr>
        <w:t>out</w:t>
      </w:r>
      <w:r w:rsidR="00900061" w:rsidRPr="00E168A1">
        <w:rPr>
          <w:rFonts w:ascii="Times New Roman" w:eastAsia="Times New Roman" w:hAnsi="Times New Roman"/>
        </w:rPr>
        <w:t xml:space="preserve"> </w:t>
      </w:r>
      <w:r w:rsidR="00B03657" w:rsidRPr="00E168A1">
        <w:rPr>
          <w:rFonts w:ascii="Times New Roman" w:eastAsia="Times New Roman" w:hAnsi="Times New Roman"/>
        </w:rPr>
        <w:t>in</w:t>
      </w:r>
      <w:r w:rsidR="00900061" w:rsidRPr="00E168A1">
        <w:rPr>
          <w:rFonts w:ascii="Times New Roman" w:eastAsia="Times New Roman" w:hAnsi="Times New Roman"/>
        </w:rPr>
        <w:t xml:space="preserve"> </w:t>
      </w:r>
      <w:r w:rsidR="00B03657" w:rsidRPr="00E168A1">
        <w:rPr>
          <w:rFonts w:ascii="Times New Roman" w:eastAsia="Times New Roman" w:hAnsi="Times New Roman"/>
        </w:rPr>
        <w:t>the</w:t>
      </w:r>
      <w:r w:rsidR="00900061" w:rsidRPr="00E168A1">
        <w:rPr>
          <w:rFonts w:ascii="Times New Roman" w:eastAsia="Times New Roman" w:hAnsi="Times New Roman"/>
        </w:rPr>
        <w:t xml:space="preserve"> </w:t>
      </w:r>
      <w:r w:rsidR="00B301A9" w:rsidRPr="00E168A1">
        <w:rPr>
          <w:rFonts w:ascii="Times New Roman" w:eastAsia="Times New Roman" w:hAnsi="Times New Roman"/>
        </w:rPr>
        <w:t>P</w:t>
      </w:r>
      <w:r w:rsidR="00B03657" w:rsidRPr="00E168A1">
        <w:rPr>
          <w:rFonts w:ascii="Times New Roman" w:eastAsia="Times New Roman" w:hAnsi="Times New Roman"/>
        </w:rPr>
        <w:t>ublic</w:t>
      </w:r>
      <w:r w:rsidR="00900061" w:rsidRPr="00E168A1">
        <w:rPr>
          <w:rFonts w:ascii="Times New Roman" w:eastAsia="Times New Roman" w:hAnsi="Times New Roman"/>
        </w:rPr>
        <w:t xml:space="preserve"> </w:t>
      </w:r>
      <w:r w:rsidR="00B301A9" w:rsidRPr="00E168A1">
        <w:rPr>
          <w:rFonts w:ascii="Times New Roman" w:eastAsia="Times New Roman" w:hAnsi="Times New Roman"/>
        </w:rPr>
        <w:t>P</w:t>
      </w:r>
      <w:r w:rsidR="00B03657" w:rsidRPr="00E168A1">
        <w:rPr>
          <w:rFonts w:ascii="Times New Roman" w:eastAsia="Times New Roman" w:hAnsi="Times New Roman"/>
        </w:rPr>
        <w:t>rocurement</w:t>
      </w:r>
      <w:r w:rsidR="00900061" w:rsidRPr="00E168A1">
        <w:rPr>
          <w:rFonts w:ascii="Times New Roman" w:eastAsia="Times New Roman" w:hAnsi="Times New Roman"/>
        </w:rPr>
        <w:t xml:space="preserve"> </w:t>
      </w:r>
      <w:r w:rsidR="00B301A9" w:rsidRPr="00E168A1">
        <w:rPr>
          <w:rFonts w:ascii="Times New Roman" w:eastAsia="Times New Roman" w:hAnsi="Times New Roman"/>
        </w:rPr>
        <w:t>S</w:t>
      </w:r>
      <w:r w:rsidR="00B03657" w:rsidRPr="00E168A1">
        <w:rPr>
          <w:rFonts w:ascii="Times New Roman" w:eastAsia="Times New Roman" w:hAnsi="Times New Roman"/>
        </w:rPr>
        <w:t>trategy</w:t>
      </w:r>
      <w:r w:rsidR="00900061" w:rsidRPr="00E168A1">
        <w:rPr>
          <w:rFonts w:ascii="Times New Roman" w:eastAsia="Times New Roman" w:hAnsi="Times New Roman"/>
        </w:rPr>
        <w:t xml:space="preserve"> </w:t>
      </w:r>
      <w:r w:rsidR="00B03657" w:rsidRPr="00E168A1">
        <w:rPr>
          <w:rFonts w:ascii="Times New Roman" w:eastAsia="Times New Roman" w:hAnsi="Times New Roman"/>
        </w:rPr>
        <w:t>2014</w:t>
      </w:r>
      <w:r w:rsidR="001C207D" w:rsidRPr="00E168A1">
        <w:rPr>
          <w:rFonts w:ascii="Times New Roman" w:eastAsia="Times New Roman" w:hAnsi="Times New Roman"/>
        </w:rPr>
        <w:t>–</w:t>
      </w:r>
      <w:r w:rsidR="00B03657" w:rsidRPr="00E168A1">
        <w:rPr>
          <w:rFonts w:ascii="Times New Roman" w:eastAsia="Times New Roman" w:hAnsi="Times New Roman"/>
        </w:rPr>
        <w:t>2018.</w:t>
      </w:r>
      <w:r w:rsidR="00900061" w:rsidRPr="00E168A1">
        <w:rPr>
          <w:rFonts w:ascii="Times New Roman" w:eastAsia="Times New Roman" w:hAnsi="Times New Roman"/>
        </w:rPr>
        <w:t xml:space="preserve"> </w:t>
      </w:r>
    </w:p>
    <w:p w14:paraId="75F2D8CA" w14:textId="10B7F2C1" w:rsidR="006134B0" w:rsidRPr="00E168A1" w:rsidRDefault="00AE54E5" w:rsidP="00645878">
      <w:pPr>
        <w:pStyle w:val="Heading2"/>
        <w:spacing w:before="120" w:after="120" w:line="240" w:lineRule="auto"/>
        <w:ind w:left="0" w:firstLine="0"/>
      </w:pPr>
      <w:bookmarkStart w:id="15" w:name="_Toc305833849"/>
      <w:bookmarkStart w:id="16" w:name="_Toc442428957"/>
      <w:r w:rsidRPr="00E168A1">
        <w:t>Procurement</w:t>
      </w:r>
      <w:r w:rsidR="00900061" w:rsidRPr="00E168A1">
        <w:t xml:space="preserve"> </w:t>
      </w:r>
      <w:r w:rsidR="001C207D" w:rsidRPr="00E168A1">
        <w:t>P</w:t>
      </w:r>
      <w:r w:rsidRPr="00E168A1">
        <w:t>rocesses</w:t>
      </w:r>
      <w:r w:rsidR="00900061" w:rsidRPr="00E168A1">
        <w:t xml:space="preserve"> </w:t>
      </w:r>
      <w:r w:rsidRPr="00E168A1">
        <w:t>and</w:t>
      </w:r>
      <w:r w:rsidR="00900061" w:rsidRPr="00E168A1">
        <w:t xml:space="preserve"> </w:t>
      </w:r>
      <w:r w:rsidR="001C207D" w:rsidRPr="00E168A1">
        <w:t>P</w:t>
      </w:r>
      <w:r w:rsidRPr="00E168A1">
        <w:t>rocedures</w:t>
      </w:r>
      <w:bookmarkEnd w:id="15"/>
      <w:bookmarkEnd w:id="16"/>
    </w:p>
    <w:p w14:paraId="0073B4E6" w14:textId="1E9A10B6" w:rsidR="00B36EE1" w:rsidRPr="00A90FD9" w:rsidRDefault="00AC305C"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applies</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goods,</w:t>
      </w:r>
      <w:r w:rsidR="00900061" w:rsidRPr="00E168A1">
        <w:rPr>
          <w:rFonts w:ascii="Times New Roman" w:hAnsi="Times New Roman"/>
          <w:b/>
        </w:rPr>
        <w:t xml:space="preserve"> </w:t>
      </w:r>
      <w:r w:rsidRPr="00E168A1">
        <w:rPr>
          <w:rFonts w:ascii="Times New Roman" w:hAnsi="Times New Roman"/>
          <w:b/>
        </w:rPr>
        <w:t>works</w:t>
      </w:r>
      <w:r w:rsidR="00FD519A" w:rsidRPr="00E168A1">
        <w:rPr>
          <w:rFonts w:ascii="Times New Roman" w:hAnsi="Times New Roman"/>
          <w:b/>
        </w:rPr>
        <w:t>,</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services</w:t>
      </w:r>
      <w:r w:rsidR="00900061" w:rsidRPr="00E168A1">
        <w:rPr>
          <w:rFonts w:ascii="Times New Roman" w:hAnsi="Times New Roman"/>
          <w:b/>
        </w:rPr>
        <w:t xml:space="preserve"> </w:t>
      </w:r>
      <w:r w:rsidRPr="00E168A1">
        <w:rPr>
          <w:rFonts w:ascii="Times New Roman" w:hAnsi="Times New Roman"/>
          <w:b/>
        </w:rPr>
        <w:t>purchased</w:t>
      </w:r>
      <w:r w:rsidR="00900061" w:rsidRPr="00E168A1">
        <w:rPr>
          <w:rFonts w:ascii="Times New Roman" w:hAnsi="Times New Roman"/>
          <w:b/>
        </w:rPr>
        <w:t xml:space="preserve"> </w:t>
      </w:r>
      <w:r w:rsidRPr="00E168A1">
        <w:rPr>
          <w:rFonts w:ascii="Times New Roman" w:hAnsi="Times New Roman"/>
          <w:b/>
        </w:rPr>
        <w:t>by</w:t>
      </w:r>
      <w:r w:rsidR="00900061" w:rsidRPr="00E168A1">
        <w:rPr>
          <w:rFonts w:ascii="Times New Roman" w:hAnsi="Times New Roman"/>
          <w:b/>
        </w:rPr>
        <w:t xml:space="preserve"> </w:t>
      </w:r>
      <w:r w:rsidR="005E71DF" w:rsidRPr="00E168A1">
        <w:rPr>
          <w:rFonts w:ascii="Times New Roman" w:hAnsi="Times New Roman"/>
          <w:b/>
        </w:rPr>
        <w:t xml:space="preserve">the </w:t>
      </w:r>
      <w:r w:rsidRPr="00E168A1">
        <w:rPr>
          <w:rFonts w:ascii="Times New Roman" w:hAnsi="Times New Roman"/>
          <w:b/>
        </w:rPr>
        <w:t>state</w:t>
      </w:r>
      <w:r w:rsidR="00900061" w:rsidRPr="00E168A1">
        <w:rPr>
          <w:rFonts w:ascii="Times New Roman" w:hAnsi="Times New Roman"/>
          <w:b/>
        </w:rPr>
        <w:t xml:space="preserve"> </w:t>
      </w:r>
      <w:r w:rsidRPr="00E168A1">
        <w:rPr>
          <w:rFonts w:ascii="Times New Roman" w:hAnsi="Times New Roman"/>
          <w:b/>
        </w:rPr>
        <w:t>a</w:t>
      </w:r>
      <w:r w:rsidR="004946C2" w:rsidRPr="00E168A1">
        <w:rPr>
          <w:rFonts w:ascii="Times New Roman" w:hAnsi="Times New Roman"/>
          <w:b/>
        </w:rPr>
        <w:t>nd</w:t>
      </w:r>
      <w:r w:rsidR="00900061" w:rsidRPr="00E168A1">
        <w:rPr>
          <w:rFonts w:ascii="Times New Roman" w:hAnsi="Times New Roman"/>
          <w:b/>
        </w:rPr>
        <w:t xml:space="preserve"> </w:t>
      </w:r>
      <w:r w:rsidR="004946C2" w:rsidRPr="00E168A1">
        <w:rPr>
          <w:rFonts w:ascii="Times New Roman" w:hAnsi="Times New Roman"/>
          <w:b/>
        </w:rPr>
        <w:t>local</w:t>
      </w:r>
      <w:r w:rsidR="00900061" w:rsidRPr="00E168A1">
        <w:rPr>
          <w:rFonts w:ascii="Times New Roman" w:hAnsi="Times New Roman"/>
          <w:b/>
        </w:rPr>
        <w:t xml:space="preserve"> </w:t>
      </w:r>
      <w:r w:rsidR="004946C2" w:rsidRPr="00E168A1">
        <w:rPr>
          <w:rFonts w:ascii="Times New Roman" w:hAnsi="Times New Roman"/>
          <w:b/>
        </w:rPr>
        <w:t>government</w:t>
      </w:r>
      <w:r w:rsidR="00900061" w:rsidRPr="00E168A1">
        <w:rPr>
          <w:rFonts w:ascii="Times New Roman" w:hAnsi="Times New Roman"/>
          <w:b/>
        </w:rPr>
        <w:t xml:space="preserve"> </w:t>
      </w:r>
      <w:r w:rsidR="004946C2" w:rsidRPr="00E168A1">
        <w:rPr>
          <w:rFonts w:ascii="Times New Roman" w:hAnsi="Times New Roman"/>
          <w:b/>
        </w:rPr>
        <w:t>authorities.</w:t>
      </w:r>
      <w:r w:rsidR="00900061" w:rsidRPr="00E168A1">
        <w:rPr>
          <w:rFonts w:ascii="Times New Roman" w:hAnsi="Times New Roman"/>
          <w:b/>
        </w:rPr>
        <w:t xml:space="preserve"> </w:t>
      </w:r>
      <w:r w:rsidR="004946C2" w:rsidRPr="00E168A1">
        <w:rPr>
          <w:rFonts w:ascii="Times New Roman" w:hAnsi="Times New Roman"/>
        </w:rPr>
        <w:t>It</w:t>
      </w:r>
      <w:r w:rsidR="00900061" w:rsidRPr="00E168A1">
        <w:rPr>
          <w:rFonts w:ascii="Times New Roman" w:hAnsi="Times New Roman"/>
        </w:rPr>
        <w:t xml:space="preserve"> </w:t>
      </w:r>
      <w:r w:rsidR="004946C2" w:rsidRPr="00E168A1">
        <w:rPr>
          <w:rFonts w:ascii="Times New Roman" w:hAnsi="Times New Roman"/>
        </w:rPr>
        <w:t>also</w:t>
      </w:r>
      <w:r w:rsidR="00900061" w:rsidRPr="00E168A1">
        <w:rPr>
          <w:rFonts w:ascii="Times New Roman" w:hAnsi="Times New Roman"/>
        </w:rPr>
        <w:t xml:space="preserve"> </w:t>
      </w:r>
      <w:r w:rsidR="004946C2" w:rsidRPr="00E168A1">
        <w:rPr>
          <w:rFonts w:ascii="Times New Roman" w:hAnsi="Times New Roman"/>
        </w:rPr>
        <w:t>covers</w:t>
      </w:r>
      <w:r w:rsidR="00900061" w:rsidRPr="00E168A1">
        <w:rPr>
          <w:rFonts w:ascii="Times New Roman" w:hAnsi="Times New Roman"/>
        </w:rPr>
        <w:t xml:space="preserve"> </w:t>
      </w:r>
      <w:r w:rsidR="0048632C" w:rsidRPr="00E168A1">
        <w:rPr>
          <w:rFonts w:ascii="Times New Roman" w:hAnsi="Times New Roman"/>
        </w:rPr>
        <w:t>s</w:t>
      </w:r>
      <w:r w:rsidRPr="00E168A1">
        <w:rPr>
          <w:rFonts w:ascii="Times New Roman" w:hAnsi="Times New Roman"/>
        </w:rPr>
        <w:t>tate</w:t>
      </w:r>
      <w:r w:rsidR="00B03657" w:rsidRPr="00E168A1">
        <w:rPr>
          <w:rFonts w:ascii="Times New Roman" w:hAnsi="Times New Roman"/>
        </w:rPr>
        <w:t>-owned</w:t>
      </w:r>
      <w:r w:rsidR="00900061" w:rsidRPr="00E168A1">
        <w:rPr>
          <w:rFonts w:ascii="Times New Roman" w:hAnsi="Times New Roman"/>
        </w:rPr>
        <w:t xml:space="preserve"> </w:t>
      </w:r>
      <w:r w:rsidR="00B03657" w:rsidRPr="00E168A1">
        <w:rPr>
          <w:rFonts w:ascii="Times New Roman" w:hAnsi="Times New Roman"/>
        </w:rPr>
        <w:t>enterprises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legal</w:t>
      </w:r>
      <w:r w:rsidR="00900061" w:rsidRPr="00E168A1">
        <w:rPr>
          <w:rFonts w:ascii="Times New Roman" w:hAnsi="Times New Roman"/>
        </w:rPr>
        <w:t xml:space="preserve"> </w:t>
      </w:r>
      <w:r w:rsidR="00B03657" w:rsidRPr="00E168A1">
        <w:rPr>
          <w:rFonts w:ascii="Times New Roman" w:hAnsi="Times New Roman"/>
        </w:rPr>
        <w:t>persons</w:t>
      </w:r>
      <w:r w:rsidR="00900061" w:rsidRPr="00E168A1">
        <w:rPr>
          <w:rFonts w:ascii="Times New Roman" w:hAnsi="Times New Roman"/>
        </w:rPr>
        <w:t xml:space="preserve"> </w:t>
      </w:r>
      <w:r w:rsidR="00B03657" w:rsidRPr="00E168A1">
        <w:rPr>
          <w:rFonts w:ascii="Times New Roman" w:hAnsi="Times New Roman"/>
        </w:rPr>
        <w:t>that</w:t>
      </w:r>
      <w:r w:rsidR="00900061" w:rsidRPr="00E168A1">
        <w:rPr>
          <w:rFonts w:ascii="Times New Roman" w:hAnsi="Times New Roman"/>
        </w:rPr>
        <w:t xml:space="preserve"> </w:t>
      </w:r>
      <w:r w:rsidR="00B03657" w:rsidRPr="00E168A1">
        <w:rPr>
          <w:rFonts w:ascii="Times New Roman" w:hAnsi="Times New Roman"/>
        </w:rPr>
        <w:t>use</w:t>
      </w:r>
      <w:r w:rsidR="00900061" w:rsidRPr="00E168A1">
        <w:rPr>
          <w:rFonts w:ascii="Times New Roman" w:hAnsi="Times New Roman"/>
        </w:rPr>
        <w:t xml:space="preserve"> </w:t>
      </w:r>
      <w:r w:rsidR="00B03657" w:rsidRPr="00E168A1">
        <w:rPr>
          <w:rFonts w:ascii="Times New Roman" w:hAnsi="Times New Roman"/>
        </w:rPr>
        <w:t>funds</w:t>
      </w:r>
      <w:r w:rsidR="00900061" w:rsidRPr="00E168A1">
        <w:rPr>
          <w:rFonts w:ascii="Times New Roman" w:hAnsi="Times New Roman"/>
        </w:rPr>
        <w:t xml:space="preserve"> </w:t>
      </w:r>
      <w:r w:rsidR="00B03657" w:rsidRPr="00E168A1">
        <w:rPr>
          <w:rFonts w:ascii="Times New Roman" w:hAnsi="Times New Roman"/>
        </w:rPr>
        <w:t>provided</w:t>
      </w:r>
      <w:r w:rsidR="00900061" w:rsidRPr="00E168A1">
        <w:rPr>
          <w:rFonts w:ascii="Times New Roman" w:hAnsi="Times New Roman"/>
        </w:rPr>
        <w:t xml:space="preserve"> </w:t>
      </w:r>
      <w:r w:rsidR="00B03657" w:rsidRPr="00E168A1">
        <w:rPr>
          <w:rFonts w:ascii="Times New Roman" w:hAnsi="Times New Roman"/>
        </w:rPr>
        <w:t>by</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907465" w:rsidRPr="00E168A1">
        <w:rPr>
          <w:rFonts w:ascii="Times New Roman" w:hAnsi="Times New Roman"/>
        </w:rPr>
        <w:t>government</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Serbia</w:t>
      </w:r>
      <w:r w:rsidR="00900061" w:rsidRPr="00E168A1">
        <w:rPr>
          <w:rFonts w:ascii="Times New Roman" w:hAnsi="Times New Roman"/>
        </w:rPr>
        <w:t xml:space="preserve"> </w:t>
      </w:r>
      <w:r w:rsidR="00B03657" w:rsidRPr="00E168A1">
        <w:rPr>
          <w:rFonts w:ascii="Times New Roman" w:hAnsi="Times New Roman"/>
        </w:rPr>
        <w:t>or</w:t>
      </w:r>
      <w:r w:rsidR="00900061" w:rsidRPr="00E168A1">
        <w:rPr>
          <w:rFonts w:ascii="Times New Roman" w:hAnsi="Times New Roman"/>
        </w:rPr>
        <w:t xml:space="preserve"> </w:t>
      </w:r>
      <w:r w:rsidR="00B03657" w:rsidRPr="00E168A1">
        <w:rPr>
          <w:rFonts w:ascii="Times New Roman" w:hAnsi="Times New Roman"/>
        </w:rPr>
        <w:t>local</w:t>
      </w:r>
      <w:r w:rsidR="00900061" w:rsidRPr="00E168A1">
        <w:rPr>
          <w:rFonts w:ascii="Times New Roman" w:hAnsi="Times New Roman"/>
        </w:rPr>
        <w:t xml:space="preserve"> </w:t>
      </w:r>
      <w:r w:rsidR="00B03657" w:rsidRPr="00E168A1">
        <w:rPr>
          <w:rFonts w:ascii="Times New Roman" w:hAnsi="Times New Roman"/>
        </w:rPr>
        <w:t>self-governments</w:t>
      </w:r>
      <w:r w:rsidR="00B03657" w:rsidRPr="00E168A1">
        <w:rPr>
          <w:rFonts w:ascii="Times New Roman" w:hAnsi="Times New Roman"/>
          <w:b/>
        </w:rPr>
        <w:t>.</w:t>
      </w:r>
      <w:r w:rsidR="00900061" w:rsidRPr="00E168A1">
        <w:rPr>
          <w:rFonts w:ascii="Times New Roman" w:hAnsi="Times New Roman"/>
        </w:rPr>
        <w:t xml:space="preserve"> </w:t>
      </w:r>
      <w:r w:rsidR="00B03657" w:rsidRPr="00E168A1">
        <w:rPr>
          <w:rFonts w:ascii="Times New Roman" w:hAnsi="Times New Roman"/>
        </w:rPr>
        <w:t>Typically,</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operations</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decentralized</w:t>
      </w:r>
      <w:r w:rsidR="005E71DF" w:rsidRPr="00E168A1">
        <w:rPr>
          <w:rFonts w:ascii="Times New Roman" w:hAnsi="Times New Roman"/>
        </w:rPr>
        <w:t>;</w:t>
      </w:r>
      <w:r w:rsidR="00900061" w:rsidRPr="00E168A1">
        <w:rPr>
          <w:rFonts w:ascii="Times New Roman" w:hAnsi="Times New Roman"/>
        </w:rPr>
        <w:t xml:space="preserve"> </w:t>
      </w:r>
      <w:r w:rsidR="00B03657" w:rsidRPr="00E168A1">
        <w:rPr>
          <w:rFonts w:ascii="Times New Roman" w:hAnsi="Times New Roman"/>
        </w:rPr>
        <w:t>there</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about</w:t>
      </w:r>
      <w:r w:rsidR="00900061" w:rsidRPr="00E168A1">
        <w:rPr>
          <w:rFonts w:ascii="Times New Roman" w:hAnsi="Times New Roman"/>
        </w:rPr>
        <w:t xml:space="preserve"> </w:t>
      </w:r>
      <w:r w:rsidR="00B03657" w:rsidRPr="00E168A1">
        <w:rPr>
          <w:rFonts w:ascii="Times New Roman" w:hAnsi="Times New Roman"/>
        </w:rPr>
        <w:t>4,900</w:t>
      </w:r>
      <w:r w:rsidR="00900061" w:rsidRPr="00E168A1">
        <w:rPr>
          <w:rFonts w:ascii="Times New Roman" w:hAnsi="Times New Roman"/>
        </w:rPr>
        <w:t xml:space="preserve"> </w:t>
      </w:r>
      <w:r w:rsidR="00B03657" w:rsidRPr="00E168A1">
        <w:rPr>
          <w:rFonts w:ascii="Times New Roman" w:hAnsi="Times New Roman"/>
        </w:rPr>
        <w:t>registered</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authorities,</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which</w:t>
      </w:r>
      <w:r w:rsidR="00900061" w:rsidRPr="00E168A1">
        <w:rPr>
          <w:rFonts w:ascii="Times New Roman" w:hAnsi="Times New Roman"/>
        </w:rPr>
        <w:t xml:space="preserve"> </w:t>
      </w:r>
      <w:r w:rsidR="00B03657" w:rsidRPr="00E168A1">
        <w:rPr>
          <w:rFonts w:ascii="Times New Roman" w:hAnsi="Times New Roman"/>
        </w:rPr>
        <w:t>about</w:t>
      </w:r>
      <w:r w:rsidR="00900061" w:rsidRPr="00E168A1">
        <w:rPr>
          <w:rFonts w:ascii="Times New Roman" w:hAnsi="Times New Roman"/>
        </w:rPr>
        <w:t xml:space="preserve"> </w:t>
      </w:r>
      <w:r w:rsidR="00B03657" w:rsidRPr="00E168A1">
        <w:rPr>
          <w:rFonts w:ascii="Times New Roman" w:hAnsi="Times New Roman"/>
        </w:rPr>
        <w:t>166</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central</w:t>
      </w:r>
      <w:r w:rsidR="00900061" w:rsidRPr="00E168A1">
        <w:rPr>
          <w:rFonts w:ascii="Times New Roman" w:hAnsi="Times New Roman"/>
        </w:rPr>
        <w:t xml:space="preserve"> </w:t>
      </w:r>
      <w:r w:rsidR="00B03657" w:rsidRPr="00E168A1">
        <w:rPr>
          <w:rFonts w:ascii="Times New Roman" w:hAnsi="Times New Roman"/>
        </w:rPr>
        <w:t>government</w:t>
      </w:r>
      <w:r w:rsidR="00900061" w:rsidRPr="00E168A1">
        <w:rPr>
          <w:rFonts w:ascii="Times New Roman" w:hAnsi="Times New Roman"/>
        </w:rPr>
        <w:t xml:space="preserve"> </w:t>
      </w:r>
      <w:r w:rsidR="00B03657" w:rsidRPr="00E168A1">
        <w:rPr>
          <w:rFonts w:ascii="Times New Roman" w:hAnsi="Times New Roman"/>
        </w:rPr>
        <w:t>bodies.</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shopping</w:t>
      </w:r>
      <w:r w:rsidR="00900061" w:rsidRPr="00E168A1">
        <w:rPr>
          <w:rFonts w:ascii="Times New Roman" w:hAnsi="Times New Roman"/>
        </w:rPr>
        <w:t xml:space="preserve"> </w:t>
      </w:r>
      <w:r w:rsidR="00B03657" w:rsidRPr="00E168A1">
        <w:rPr>
          <w:rFonts w:ascii="Times New Roman" w:hAnsi="Times New Roman"/>
        </w:rPr>
        <w:t>method</w:t>
      </w:r>
      <w:r w:rsidR="00900061" w:rsidRPr="00E168A1">
        <w:rPr>
          <w:rFonts w:ascii="Times New Roman" w:hAnsi="Times New Roman"/>
        </w:rPr>
        <w:t xml:space="preserve"> </w:t>
      </w:r>
      <w:r w:rsidR="00B03657" w:rsidRPr="00E168A1">
        <w:rPr>
          <w:rFonts w:ascii="Times New Roman" w:hAnsi="Times New Roman"/>
        </w:rPr>
        <w:t>for</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may</w:t>
      </w:r>
      <w:r w:rsidR="00900061" w:rsidRPr="00E168A1">
        <w:rPr>
          <w:rFonts w:ascii="Times New Roman" w:hAnsi="Times New Roman"/>
        </w:rPr>
        <w:t xml:space="preserve"> </w:t>
      </w:r>
      <w:r w:rsidR="00B03657" w:rsidRPr="00E168A1">
        <w:rPr>
          <w:rFonts w:ascii="Times New Roman" w:hAnsi="Times New Roman"/>
        </w:rPr>
        <w:t>be</w:t>
      </w:r>
      <w:r w:rsidR="00900061" w:rsidRPr="00E168A1">
        <w:rPr>
          <w:rFonts w:ascii="Times New Roman" w:hAnsi="Times New Roman"/>
        </w:rPr>
        <w:t xml:space="preserve"> </w:t>
      </w:r>
      <w:r w:rsidR="00B03657" w:rsidRPr="00E168A1">
        <w:rPr>
          <w:rFonts w:ascii="Times New Roman" w:hAnsi="Times New Roman"/>
        </w:rPr>
        <w:t>used</w:t>
      </w:r>
      <w:r w:rsidR="00900061" w:rsidRPr="00E168A1">
        <w:rPr>
          <w:rFonts w:ascii="Times New Roman" w:hAnsi="Times New Roman"/>
        </w:rPr>
        <w:t xml:space="preserve"> </w:t>
      </w:r>
      <w:r w:rsidR="00B03657" w:rsidRPr="00E168A1">
        <w:rPr>
          <w:rFonts w:ascii="Times New Roman" w:hAnsi="Times New Roman"/>
        </w:rPr>
        <w:t>for</w:t>
      </w:r>
      <w:r w:rsidR="00900061" w:rsidRPr="00E168A1">
        <w:rPr>
          <w:rFonts w:ascii="Times New Roman" w:hAnsi="Times New Roman"/>
        </w:rPr>
        <w:t xml:space="preserve"> </w:t>
      </w:r>
      <w:r w:rsidR="005E71DF" w:rsidRPr="00E168A1">
        <w:rPr>
          <w:rFonts w:ascii="Times New Roman" w:hAnsi="Times New Roman"/>
        </w:rPr>
        <w:t>‘</w:t>
      </w:r>
      <w:r w:rsidR="00B03657" w:rsidRPr="00E168A1">
        <w:rPr>
          <w:rFonts w:ascii="Times New Roman" w:hAnsi="Times New Roman"/>
        </w:rPr>
        <w:t>low-value</w:t>
      </w:r>
      <w:r w:rsidR="005E71DF" w:rsidRPr="00E168A1">
        <w:rPr>
          <w:rFonts w:ascii="Times New Roman" w:hAnsi="Times New Roman"/>
        </w:rPr>
        <w:t>’</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(annual</w:t>
      </w:r>
      <w:r w:rsidR="00900061" w:rsidRPr="00E168A1">
        <w:rPr>
          <w:rFonts w:ascii="Times New Roman" w:hAnsi="Times New Roman"/>
        </w:rPr>
        <w:t xml:space="preserve"> </w:t>
      </w:r>
      <w:r w:rsidR="00B03657" w:rsidRPr="00E168A1">
        <w:rPr>
          <w:rFonts w:ascii="Times New Roman" w:hAnsi="Times New Roman"/>
        </w:rPr>
        <w:t>estimated</w:t>
      </w:r>
      <w:r w:rsidR="00900061" w:rsidRPr="00E168A1">
        <w:rPr>
          <w:rFonts w:ascii="Times New Roman" w:hAnsi="Times New Roman"/>
        </w:rPr>
        <w:t xml:space="preserve"> </w:t>
      </w:r>
      <w:r w:rsidR="00B03657" w:rsidRPr="00E168A1">
        <w:rPr>
          <w:rFonts w:ascii="Times New Roman" w:hAnsi="Times New Roman"/>
        </w:rPr>
        <w:t>value</w:t>
      </w:r>
      <w:r w:rsidR="00900061" w:rsidRPr="00E168A1">
        <w:rPr>
          <w:rFonts w:ascii="Times New Roman" w:hAnsi="Times New Roman"/>
        </w:rPr>
        <w:t xml:space="preserve"> </w:t>
      </w:r>
      <w:r w:rsidR="00B03657" w:rsidRPr="00E168A1">
        <w:rPr>
          <w:rFonts w:ascii="Times New Roman" w:hAnsi="Times New Roman"/>
        </w:rPr>
        <w:t>below</w:t>
      </w:r>
      <w:r w:rsidR="00900061" w:rsidRPr="00E168A1">
        <w:rPr>
          <w:rFonts w:ascii="Times New Roman" w:hAnsi="Times New Roman"/>
        </w:rPr>
        <w:t xml:space="preserve"> </w:t>
      </w:r>
      <w:r w:rsidR="00B03657" w:rsidRPr="00E168A1">
        <w:rPr>
          <w:rFonts w:ascii="Times New Roman" w:hAnsi="Times New Roman"/>
        </w:rPr>
        <w:t>RSD</w:t>
      </w:r>
      <w:r w:rsidR="00900061" w:rsidRPr="00E168A1">
        <w:rPr>
          <w:rFonts w:ascii="Times New Roman" w:hAnsi="Times New Roman"/>
        </w:rPr>
        <w:t xml:space="preserve"> </w:t>
      </w:r>
      <w:r w:rsidR="00B03657" w:rsidRPr="00E168A1">
        <w:rPr>
          <w:rFonts w:ascii="Times New Roman" w:hAnsi="Times New Roman"/>
        </w:rPr>
        <w:t>5,000,000,</w:t>
      </w:r>
      <w:r w:rsidR="00900061" w:rsidRPr="00E168A1">
        <w:rPr>
          <w:rFonts w:ascii="Times New Roman" w:hAnsi="Times New Roman"/>
        </w:rPr>
        <w:t xml:space="preserve"> </w:t>
      </w:r>
      <w:r w:rsidR="00B03657" w:rsidRPr="00E168A1">
        <w:rPr>
          <w:rFonts w:ascii="Times New Roman" w:hAnsi="Times New Roman"/>
        </w:rPr>
        <w:t>approximately</w:t>
      </w:r>
      <w:r w:rsidR="00900061" w:rsidRPr="00E168A1">
        <w:rPr>
          <w:rFonts w:ascii="Times New Roman" w:hAnsi="Times New Roman"/>
        </w:rPr>
        <w:t xml:space="preserve"> </w:t>
      </w:r>
      <w:r w:rsidR="00B71C7F" w:rsidRPr="00E168A1">
        <w:rPr>
          <w:rFonts w:ascii="Times New Roman" w:hAnsi="Times New Roman"/>
        </w:rPr>
        <w:t>€</w:t>
      </w:r>
      <w:r w:rsidR="00B03657" w:rsidRPr="00E168A1">
        <w:rPr>
          <w:rFonts w:ascii="Times New Roman" w:hAnsi="Times New Roman"/>
        </w:rPr>
        <w:t>40,000).</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PPL</w:t>
      </w:r>
      <w:r w:rsidR="00900061" w:rsidRPr="00E168A1">
        <w:rPr>
          <w:rFonts w:ascii="Times New Roman" w:hAnsi="Times New Roman"/>
        </w:rPr>
        <w:t xml:space="preserve"> </w:t>
      </w:r>
      <w:r w:rsidR="00B03657" w:rsidRPr="00E168A1">
        <w:rPr>
          <w:rFonts w:ascii="Times New Roman" w:hAnsi="Times New Roman"/>
        </w:rPr>
        <w:t>obliges</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authorities</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publish</w:t>
      </w:r>
      <w:r w:rsidR="00900061" w:rsidRPr="00E168A1">
        <w:rPr>
          <w:rFonts w:ascii="Times New Roman" w:hAnsi="Times New Roman"/>
        </w:rPr>
        <w:t xml:space="preserve"> </w:t>
      </w:r>
      <w:r w:rsidR="00B03657" w:rsidRPr="00E168A1">
        <w:rPr>
          <w:rFonts w:ascii="Times New Roman" w:hAnsi="Times New Roman"/>
        </w:rPr>
        <w:t>notices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bidding</w:t>
      </w:r>
      <w:r w:rsidR="00900061" w:rsidRPr="00E168A1">
        <w:rPr>
          <w:rFonts w:ascii="Times New Roman" w:hAnsi="Times New Roman"/>
        </w:rPr>
        <w:t xml:space="preserve"> </w:t>
      </w:r>
      <w:r w:rsidR="00B03657" w:rsidRPr="00E168A1">
        <w:rPr>
          <w:rFonts w:ascii="Times New Roman" w:hAnsi="Times New Roman"/>
        </w:rPr>
        <w:t>documents</w:t>
      </w:r>
      <w:r w:rsidR="00900061" w:rsidRPr="00E168A1">
        <w:rPr>
          <w:rFonts w:ascii="Times New Roman" w:hAnsi="Times New Roman"/>
        </w:rPr>
        <w:t xml:space="preserve"> </w:t>
      </w:r>
      <w:r w:rsidR="00B03657" w:rsidRPr="00E168A1">
        <w:rPr>
          <w:rFonts w:ascii="Times New Roman" w:hAnsi="Times New Roman"/>
        </w:rPr>
        <w:t>for</w:t>
      </w:r>
      <w:r w:rsidR="00900061" w:rsidRPr="00E168A1">
        <w:rPr>
          <w:rFonts w:ascii="Times New Roman" w:hAnsi="Times New Roman"/>
        </w:rPr>
        <w:t xml:space="preserve"> </w:t>
      </w:r>
      <w:r w:rsidR="00B03657" w:rsidRPr="00E168A1">
        <w:rPr>
          <w:rFonts w:ascii="Times New Roman" w:hAnsi="Times New Roman"/>
        </w:rPr>
        <w:t>shopping</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861550" w:rsidRPr="00E168A1">
        <w:rPr>
          <w:rFonts w:ascii="Times New Roman" w:hAnsi="Times New Roman"/>
        </w:rPr>
        <w:t>p</w:t>
      </w:r>
      <w:r w:rsidR="00B03657" w:rsidRPr="00E168A1">
        <w:rPr>
          <w:rFonts w:ascii="Times New Roman" w:hAnsi="Times New Roman"/>
        </w:rPr>
        <w:t>ublic</w:t>
      </w:r>
      <w:r w:rsidR="00900061" w:rsidRPr="00E168A1">
        <w:rPr>
          <w:rFonts w:ascii="Times New Roman" w:hAnsi="Times New Roman"/>
        </w:rPr>
        <w:t xml:space="preserve"> </w:t>
      </w:r>
      <w:r w:rsidR="00861550" w:rsidRPr="00E168A1">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861550" w:rsidRPr="00E168A1">
        <w:rPr>
          <w:rFonts w:ascii="Times New Roman" w:hAnsi="Times New Roman"/>
        </w:rPr>
        <w:t>p</w:t>
      </w:r>
      <w:r w:rsidR="00B03657" w:rsidRPr="00E168A1">
        <w:rPr>
          <w:rFonts w:ascii="Times New Roman" w:hAnsi="Times New Roman"/>
        </w:rPr>
        <w:t>ortal.</w:t>
      </w:r>
      <w:r w:rsidR="00900061" w:rsidRPr="00E168A1">
        <w:rPr>
          <w:rFonts w:ascii="Times New Roman" w:hAnsi="Times New Roman"/>
        </w:rPr>
        <w:t xml:space="preserve"> </w:t>
      </w:r>
    </w:p>
    <w:p w14:paraId="71EF843D" w14:textId="3F7D33F8" w:rsidR="00B36EE1" w:rsidRPr="00E168A1" w:rsidRDefault="00B03657"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various</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procedures</w:t>
      </w:r>
      <w:r w:rsidR="00900061" w:rsidRPr="00E168A1">
        <w:rPr>
          <w:rFonts w:ascii="Times New Roman" w:hAnsi="Times New Roman"/>
          <w:b/>
        </w:rPr>
        <w:t xml:space="preserve"> </w:t>
      </w:r>
      <w:r w:rsidRPr="00E168A1">
        <w:rPr>
          <w:rFonts w:ascii="Times New Roman" w:hAnsi="Times New Roman"/>
          <w:b/>
        </w:rPr>
        <w:t>established</w:t>
      </w:r>
      <w:r w:rsidR="00900061" w:rsidRPr="00E168A1">
        <w:rPr>
          <w:rFonts w:ascii="Times New Roman" w:hAnsi="Times New Roman"/>
          <w:b/>
        </w:rPr>
        <w:t xml:space="preserve"> </w:t>
      </w:r>
      <w:r w:rsidRPr="00E168A1">
        <w:rPr>
          <w:rFonts w:ascii="Times New Roman" w:hAnsi="Times New Roman"/>
          <w:b/>
        </w:rPr>
        <w:t>by</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following:</w:t>
      </w:r>
      <w:r w:rsidR="00900061" w:rsidRPr="00E168A1">
        <w:rPr>
          <w:rFonts w:ascii="Times New Roman" w:hAnsi="Times New Roman"/>
        </w:rPr>
        <w:t xml:space="preserve"> </w:t>
      </w:r>
      <w:r w:rsidRPr="00E168A1">
        <w:rPr>
          <w:rFonts w:ascii="Times New Roman" w:hAnsi="Times New Roman"/>
        </w:rPr>
        <w:t>open</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restricted</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qualification</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negotiated</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invitation</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bid</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negotiated</w:t>
      </w:r>
      <w:r w:rsidR="00900061" w:rsidRPr="00E168A1">
        <w:rPr>
          <w:rFonts w:ascii="Times New Roman" w:hAnsi="Times New Roman"/>
        </w:rPr>
        <w:t xml:space="preserve"> </w:t>
      </w:r>
      <w:r w:rsidRPr="00E168A1">
        <w:rPr>
          <w:rFonts w:ascii="Times New Roman" w:hAnsi="Times New Roman"/>
        </w:rPr>
        <w:t>without</w:t>
      </w:r>
      <w:r w:rsidR="00900061" w:rsidRPr="00E168A1">
        <w:rPr>
          <w:rFonts w:ascii="Times New Roman" w:hAnsi="Times New Roman"/>
        </w:rPr>
        <w:t xml:space="preserve"> </w:t>
      </w:r>
      <w:r w:rsidRPr="00E168A1">
        <w:rPr>
          <w:rFonts w:ascii="Times New Roman" w:hAnsi="Times New Roman"/>
        </w:rPr>
        <w:t>invitation</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bid</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competitive</w:t>
      </w:r>
      <w:r w:rsidR="00900061" w:rsidRPr="00E168A1">
        <w:rPr>
          <w:rFonts w:ascii="Times New Roman" w:hAnsi="Times New Roman"/>
        </w:rPr>
        <w:t xml:space="preserve"> </w:t>
      </w:r>
      <w:r w:rsidRPr="00E168A1">
        <w:rPr>
          <w:rFonts w:ascii="Times New Roman" w:hAnsi="Times New Roman"/>
        </w:rPr>
        <w:t>dialogue</w:t>
      </w:r>
      <w:r w:rsidR="001F6F7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design</w:t>
      </w:r>
      <w:r w:rsidR="00900061" w:rsidRPr="00E168A1">
        <w:rPr>
          <w:rFonts w:ascii="Times New Roman" w:hAnsi="Times New Roman"/>
        </w:rPr>
        <w:t xml:space="preserve"> </w:t>
      </w:r>
      <w:r w:rsidRPr="00E168A1">
        <w:rPr>
          <w:rFonts w:ascii="Times New Roman" w:hAnsi="Times New Roman"/>
        </w:rPr>
        <w:t>contest</w:t>
      </w:r>
      <w:r w:rsidR="001F6F7A" w:rsidRPr="00E168A1">
        <w:rPr>
          <w:rFonts w:ascii="Times New Roman" w:hAnsi="Times New Roman"/>
        </w:rPr>
        <w:t>,</w:t>
      </w:r>
      <w:r w:rsidR="00900061" w:rsidRPr="00E168A1">
        <w:rPr>
          <w:rFonts w:ascii="Times New Roman" w:hAnsi="Times New Roman"/>
        </w:rPr>
        <w:t xml:space="preserve"> </w:t>
      </w:r>
      <w:r w:rsidR="001F6F7A" w:rsidRPr="00E168A1">
        <w:rPr>
          <w:rFonts w:ascii="Times New Roman" w:hAnsi="Times New Roman"/>
        </w:rPr>
        <w:t xml:space="preserve">and </w:t>
      </w:r>
      <w:r w:rsidRPr="00E168A1">
        <w:rPr>
          <w:rFonts w:ascii="Times New Roman" w:hAnsi="Times New Roman"/>
        </w:rPr>
        <w:t>low-value</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w:t>
      </w:r>
      <w:r w:rsidR="00B36EE1" w:rsidRPr="00E168A1">
        <w:rPr>
          <w:rFonts w:ascii="Times New Roman" w:hAnsi="Times New Roman"/>
        </w:rPr>
        <w:t>.</w:t>
      </w:r>
      <w:r w:rsidR="00900061" w:rsidRPr="00E168A1">
        <w:rPr>
          <w:rFonts w:ascii="Times New Roman" w:hAnsi="Times New Roman"/>
          <w:b/>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awarded</w:t>
      </w:r>
      <w:r w:rsidR="00900061" w:rsidRPr="00E168A1">
        <w:rPr>
          <w:rFonts w:ascii="Times New Roman" w:hAnsi="Times New Roman"/>
        </w:rPr>
        <w:t xml:space="preserve"> </w:t>
      </w:r>
      <w:r w:rsidRPr="00E168A1">
        <w:rPr>
          <w:rFonts w:ascii="Times New Roman" w:hAnsi="Times New Roman"/>
        </w:rPr>
        <w:t>through</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open</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restrictive</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them</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awarded</w:t>
      </w:r>
      <w:r w:rsidR="00900061" w:rsidRPr="00E168A1">
        <w:rPr>
          <w:rFonts w:ascii="Times New Roman" w:hAnsi="Times New Roman"/>
        </w:rPr>
        <w:t xml:space="preserve"> </w:t>
      </w:r>
      <w:r w:rsidRPr="00E168A1">
        <w:rPr>
          <w:rFonts w:ascii="Times New Roman" w:hAnsi="Times New Roman"/>
        </w:rPr>
        <w:t>otherwise,</w:t>
      </w:r>
      <w:r w:rsidR="00900061" w:rsidRPr="00E168A1">
        <w:rPr>
          <w:rFonts w:ascii="Times New Roman" w:hAnsi="Times New Roman"/>
        </w:rPr>
        <w:t xml:space="preserve"> </w:t>
      </w:r>
      <w:r w:rsidRPr="00E168A1">
        <w:rPr>
          <w:rFonts w:ascii="Times New Roman" w:hAnsi="Times New Roman"/>
        </w:rPr>
        <w:t>specific</w:t>
      </w:r>
      <w:r w:rsidR="00900061" w:rsidRPr="00E168A1">
        <w:rPr>
          <w:rFonts w:ascii="Times New Roman" w:hAnsi="Times New Roman"/>
        </w:rPr>
        <w:t xml:space="preserve"> </w:t>
      </w:r>
      <w:r w:rsidRPr="00E168A1">
        <w:rPr>
          <w:rFonts w:ascii="Times New Roman" w:hAnsi="Times New Roman"/>
        </w:rPr>
        <w:t>requirements</w:t>
      </w:r>
      <w:r w:rsidR="00900061" w:rsidRPr="00E168A1">
        <w:rPr>
          <w:rFonts w:ascii="Times New Roman" w:hAnsi="Times New Roman"/>
        </w:rPr>
        <w:t xml:space="preserve"> </w:t>
      </w:r>
      <w:r w:rsidRPr="00E168A1">
        <w:rPr>
          <w:rFonts w:ascii="Times New Roman" w:hAnsi="Times New Roman"/>
        </w:rPr>
        <w:t>need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met.</w:t>
      </w:r>
      <w:r w:rsidR="00900061" w:rsidRPr="00E168A1">
        <w:rPr>
          <w:rFonts w:ascii="Times New Roman" w:hAnsi="Times New Roman"/>
        </w:rPr>
        <w:t xml:space="preserve"> </w:t>
      </w:r>
      <w:r w:rsidR="00AC305C" w:rsidRPr="00E168A1">
        <w:rPr>
          <w:rFonts w:ascii="Times New Roman" w:hAnsi="Times New Roman"/>
        </w:rPr>
        <w:t>In</w:t>
      </w:r>
      <w:r w:rsidR="00900061" w:rsidRPr="00E168A1">
        <w:rPr>
          <w:rFonts w:ascii="Times New Roman" w:hAnsi="Times New Roman"/>
        </w:rPr>
        <w:t xml:space="preserve"> </w:t>
      </w:r>
      <w:r w:rsidR="00AC305C" w:rsidRPr="00E168A1">
        <w:rPr>
          <w:rFonts w:ascii="Times New Roman" w:hAnsi="Times New Roman"/>
        </w:rPr>
        <w:t>an</w:t>
      </w:r>
      <w:r w:rsidR="00900061" w:rsidRPr="00E168A1">
        <w:rPr>
          <w:rFonts w:ascii="Times New Roman" w:hAnsi="Times New Roman"/>
        </w:rPr>
        <w:t xml:space="preserve"> </w:t>
      </w:r>
      <w:r w:rsidR="00AC305C" w:rsidRPr="00E168A1">
        <w:rPr>
          <w:rFonts w:ascii="Times New Roman" w:hAnsi="Times New Roman"/>
        </w:rPr>
        <w:t>open</w:t>
      </w:r>
      <w:r w:rsidR="00900061" w:rsidRPr="00E168A1">
        <w:rPr>
          <w:rFonts w:ascii="Times New Roman" w:hAnsi="Times New Roman"/>
        </w:rPr>
        <w:t xml:space="preserve"> </w:t>
      </w:r>
      <w:r w:rsidR="00AC305C" w:rsidRPr="00E168A1">
        <w:rPr>
          <w:rFonts w:ascii="Times New Roman" w:hAnsi="Times New Roman"/>
        </w:rPr>
        <w:t>procedure,</w:t>
      </w:r>
      <w:r w:rsidR="00900061" w:rsidRPr="00E168A1">
        <w:rPr>
          <w:rFonts w:ascii="Times New Roman" w:hAnsi="Times New Roman"/>
        </w:rPr>
        <w:t xml:space="preserve"> </w:t>
      </w:r>
      <w:r w:rsidR="00AC305C" w:rsidRPr="00E168A1">
        <w:rPr>
          <w:rFonts w:ascii="Times New Roman" w:hAnsi="Times New Roman"/>
        </w:rPr>
        <w:t>the</w:t>
      </w:r>
      <w:r w:rsidR="00900061" w:rsidRPr="00E168A1">
        <w:rPr>
          <w:rFonts w:ascii="Times New Roman" w:hAnsi="Times New Roman"/>
        </w:rPr>
        <w:t xml:space="preserve"> </w:t>
      </w:r>
      <w:r w:rsidR="00AC305C" w:rsidRPr="00E168A1">
        <w:rPr>
          <w:rFonts w:ascii="Times New Roman" w:hAnsi="Times New Roman"/>
        </w:rPr>
        <w:t>contracting</w:t>
      </w:r>
      <w:r w:rsidR="00900061" w:rsidRPr="00E168A1">
        <w:rPr>
          <w:rFonts w:ascii="Times New Roman" w:hAnsi="Times New Roman"/>
        </w:rPr>
        <w:t xml:space="preserve"> </w:t>
      </w:r>
      <w:r w:rsidR="00AC305C" w:rsidRPr="00E168A1">
        <w:rPr>
          <w:rFonts w:ascii="Times New Roman" w:hAnsi="Times New Roman"/>
        </w:rPr>
        <w:t>authority</w:t>
      </w:r>
      <w:r w:rsidR="00900061" w:rsidRPr="00E168A1">
        <w:rPr>
          <w:rFonts w:ascii="Times New Roman" w:hAnsi="Times New Roman"/>
        </w:rPr>
        <w:t xml:space="preserve"> </w:t>
      </w:r>
      <w:r w:rsidR="00AC305C" w:rsidRPr="00E168A1">
        <w:rPr>
          <w:rFonts w:ascii="Times New Roman" w:hAnsi="Times New Roman"/>
        </w:rPr>
        <w:t>may</w:t>
      </w:r>
      <w:r w:rsidR="00900061" w:rsidRPr="00E168A1">
        <w:rPr>
          <w:rFonts w:ascii="Times New Roman" w:hAnsi="Times New Roman"/>
        </w:rPr>
        <w:t xml:space="preserve"> </w:t>
      </w:r>
      <w:r w:rsidR="00AC305C" w:rsidRPr="00E168A1">
        <w:rPr>
          <w:rFonts w:ascii="Times New Roman" w:hAnsi="Times New Roman"/>
        </w:rPr>
        <w:t>award</w:t>
      </w:r>
      <w:r w:rsidR="00900061" w:rsidRPr="00E168A1">
        <w:rPr>
          <w:rFonts w:ascii="Times New Roman" w:hAnsi="Times New Roman"/>
        </w:rPr>
        <w:t xml:space="preserve"> </w:t>
      </w:r>
      <w:r w:rsidR="00AC305C" w:rsidRPr="00E168A1">
        <w:rPr>
          <w:rFonts w:ascii="Times New Roman" w:hAnsi="Times New Roman"/>
        </w:rPr>
        <w:t>the</w:t>
      </w:r>
      <w:r w:rsidR="00900061" w:rsidRPr="00E168A1">
        <w:rPr>
          <w:rFonts w:ascii="Times New Roman" w:hAnsi="Times New Roman"/>
        </w:rPr>
        <w:t xml:space="preserve"> </w:t>
      </w:r>
      <w:r w:rsidR="00AC305C" w:rsidRPr="00E168A1">
        <w:rPr>
          <w:rFonts w:ascii="Times New Roman" w:hAnsi="Times New Roman"/>
        </w:rPr>
        <w:t>contract</w:t>
      </w:r>
      <w:r w:rsidR="00900061" w:rsidRPr="00E168A1">
        <w:rPr>
          <w:rFonts w:ascii="Times New Roman" w:hAnsi="Times New Roman"/>
        </w:rPr>
        <w:t xml:space="preserve"> </w:t>
      </w:r>
      <w:r w:rsidR="00AC305C" w:rsidRPr="00E168A1">
        <w:rPr>
          <w:rFonts w:ascii="Times New Roman" w:hAnsi="Times New Roman"/>
        </w:rPr>
        <w:t>with</w:t>
      </w:r>
      <w:r w:rsidR="00900061" w:rsidRPr="00E168A1">
        <w:rPr>
          <w:rFonts w:ascii="Times New Roman" w:hAnsi="Times New Roman"/>
        </w:rPr>
        <w:t xml:space="preserve"> </w:t>
      </w:r>
      <w:r w:rsidR="00AC305C" w:rsidRPr="00E168A1">
        <w:rPr>
          <w:rFonts w:ascii="Times New Roman" w:hAnsi="Times New Roman"/>
        </w:rPr>
        <w:t>a</w:t>
      </w:r>
      <w:r w:rsidR="00900061" w:rsidRPr="00E168A1">
        <w:rPr>
          <w:rFonts w:ascii="Times New Roman" w:hAnsi="Times New Roman"/>
        </w:rPr>
        <w:t xml:space="preserve"> </w:t>
      </w:r>
      <w:r w:rsidR="00AC305C" w:rsidRPr="00E168A1">
        <w:rPr>
          <w:rFonts w:ascii="Times New Roman" w:hAnsi="Times New Roman"/>
        </w:rPr>
        <w:t>bid</w:t>
      </w:r>
      <w:r w:rsidR="00900061" w:rsidRPr="00E168A1">
        <w:rPr>
          <w:rFonts w:ascii="Times New Roman" w:hAnsi="Times New Roman"/>
        </w:rPr>
        <w:t xml:space="preserve"> </w:t>
      </w:r>
      <w:r w:rsidR="00AC305C" w:rsidRPr="00E168A1">
        <w:rPr>
          <w:rFonts w:ascii="Times New Roman" w:hAnsi="Times New Roman"/>
        </w:rPr>
        <w:t>price</w:t>
      </w:r>
      <w:r w:rsidR="00900061" w:rsidRPr="00E168A1">
        <w:rPr>
          <w:rFonts w:ascii="Times New Roman" w:hAnsi="Times New Roman"/>
        </w:rPr>
        <w:t xml:space="preserve"> </w:t>
      </w:r>
      <w:r w:rsidR="00AC305C" w:rsidRPr="00E168A1">
        <w:rPr>
          <w:rFonts w:ascii="Times New Roman" w:hAnsi="Times New Roman"/>
        </w:rPr>
        <w:t>higher</w:t>
      </w:r>
      <w:r w:rsidR="00900061" w:rsidRPr="00E168A1">
        <w:rPr>
          <w:rFonts w:ascii="Times New Roman" w:hAnsi="Times New Roman"/>
        </w:rPr>
        <w:t xml:space="preserve"> </w:t>
      </w:r>
      <w:r w:rsidR="00AC305C" w:rsidRPr="00E168A1">
        <w:rPr>
          <w:rFonts w:ascii="Times New Roman" w:hAnsi="Times New Roman"/>
        </w:rPr>
        <w:t>than</w:t>
      </w:r>
      <w:r w:rsidR="00900061" w:rsidRPr="00E168A1">
        <w:rPr>
          <w:rFonts w:ascii="Times New Roman" w:hAnsi="Times New Roman"/>
        </w:rPr>
        <w:t xml:space="preserve"> </w:t>
      </w:r>
      <w:r w:rsidR="00AC305C" w:rsidRPr="00E168A1">
        <w:rPr>
          <w:rFonts w:ascii="Times New Roman" w:hAnsi="Times New Roman"/>
        </w:rPr>
        <w:t>the</w:t>
      </w:r>
      <w:r w:rsidR="00900061" w:rsidRPr="00E168A1">
        <w:rPr>
          <w:rFonts w:ascii="Times New Roman" w:hAnsi="Times New Roman"/>
        </w:rPr>
        <w:t xml:space="preserve"> </w:t>
      </w:r>
      <w:r w:rsidR="00AC305C" w:rsidRPr="00E168A1">
        <w:rPr>
          <w:rFonts w:ascii="Times New Roman" w:hAnsi="Times New Roman"/>
        </w:rPr>
        <w:t>cost</w:t>
      </w:r>
      <w:r w:rsidR="00900061" w:rsidRPr="00E168A1">
        <w:rPr>
          <w:rFonts w:ascii="Times New Roman" w:hAnsi="Times New Roman"/>
        </w:rPr>
        <w:t xml:space="preserve"> </w:t>
      </w:r>
      <w:r w:rsidR="00AC305C" w:rsidRPr="00E168A1">
        <w:rPr>
          <w:rFonts w:ascii="Times New Roman" w:hAnsi="Times New Roman"/>
        </w:rPr>
        <w:t>estimate</w:t>
      </w:r>
      <w:r w:rsidR="00900061" w:rsidRPr="00E168A1">
        <w:rPr>
          <w:rFonts w:ascii="Times New Roman" w:hAnsi="Times New Roman"/>
        </w:rPr>
        <w:t xml:space="preserve"> </w:t>
      </w:r>
      <w:r w:rsidR="00AC305C" w:rsidRPr="00E168A1">
        <w:rPr>
          <w:rFonts w:ascii="Times New Roman" w:hAnsi="Times New Roman"/>
        </w:rPr>
        <w:t>only</w:t>
      </w:r>
      <w:r w:rsidR="00900061" w:rsidRPr="00E168A1">
        <w:rPr>
          <w:rFonts w:ascii="Times New Roman" w:hAnsi="Times New Roman"/>
        </w:rPr>
        <w:t xml:space="preserve"> </w:t>
      </w:r>
      <w:r w:rsidR="004D2428" w:rsidRPr="00E168A1">
        <w:rPr>
          <w:rFonts w:ascii="Times New Roman" w:hAnsi="Times New Roman"/>
        </w:rPr>
        <w:t>i</w:t>
      </w:r>
      <w:r w:rsidR="00AC305C" w:rsidRPr="00E168A1">
        <w:rPr>
          <w:rFonts w:ascii="Times New Roman" w:hAnsi="Times New Roman"/>
        </w:rPr>
        <w:t>f</w:t>
      </w:r>
      <w:r w:rsidR="00900061" w:rsidRPr="00E168A1">
        <w:rPr>
          <w:rFonts w:ascii="Times New Roman" w:hAnsi="Times New Roman"/>
        </w:rPr>
        <w:t xml:space="preserve"> </w:t>
      </w:r>
      <w:r w:rsidR="00AC305C" w:rsidRPr="00E168A1">
        <w:rPr>
          <w:rFonts w:ascii="Times New Roman" w:hAnsi="Times New Roman"/>
        </w:rPr>
        <w:t>all</w:t>
      </w:r>
      <w:r w:rsidR="00900061" w:rsidRPr="00E168A1">
        <w:rPr>
          <w:rFonts w:ascii="Times New Roman" w:hAnsi="Times New Roman"/>
        </w:rPr>
        <w:t xml:space="preserve"> </w:t>
      </w:r>
      <w:r w:rsidR="00AC305C" w:rsidRPr="00E168A1">
        <w:rPr>
          <w:rFonts w:ascii="Times New Roman" w:hAnsi="Times New Roman"/>
        </w:rPr>
        <w:t>bids</w:t>
      </w:r>
      <w:r w:rsidR="00900061" w:rsidRPr="00E168A1">
        <w:rPr>
          <w:rFonts w:ascii="Times New Roman" w:hAnsi="Times New Roman"/>
        </w:rPr>
        <w:t xml:space="preserve"> </w:t>
      </w:r>
      <w:r w:rsidR="00AC305C" w:rsidRPr="00E168A1">
        <w:rPr>
          <w:rFonts w:ascii="Times New Roman" w:hAnsi="Times New Roman"/>
        </w:rPr>
        <w:t>contain</w:t>
      </w:r>
      <w:r w:rsidR="00900061" w:rsidRPr="00E168A1">
        <w:rPr>
          <w:rFonts w:ascii="Times New Roman" w:hAnsi="Times New Roman"/>
        </w:rPr>
        <w:t xml:space="preserve"> </w:t>
      </w:r>
      <w:r w:rsidR="00AC305C" w:rsidRPr="00E168A1">
        <w:rPr>
          <w:rFonts w:ascii="Times New Roman" w:hAnsi="Times New Roman"/>
        </w:rPr>
        <w:t>a</w:t>
      </w:r>
      <w:r w:rsidR="00900061" w:rsidRPr="00E168A1">
        <w:rPr>
          <w:rFonts w:ascii="Times New Roman" w:hAnsi="Times New Roman"/>
        </w:rPr>
        <w:t xml:space="preserve"> </w:t>
      </w:r>
      <w:r w:rsidR="00AC305C" w:rsidRPr="00E168A1">
        <w:rPr>
          <w:rFonts w:ascii="Times New Roman" w:hAnsi="Times New Roman"/>
        </w:rPr>
        <w:t>price</w:t>
      </w:r>
      <w:r w:rsidR="00900061" w:rsidRPr="00E168A1">
        <w:rPr>
          <w:rFonts w:ascii="Times New Roman" w:hAnsi="Times New Roman"/>
        </w:rPr>
        <w:t xml:space="preserve"> </w:t>
      </w:r>
      <w:r w:rsidR="00AC305C" w:rsidRPr="00E168A1">
        <w:rPr>
          <w:rFonts w:ascii="Times New Roman" w:hAnsi="Times New Roman"/>
        </w:rPr>
        <w:t>higher</w:t>
      </w:r>
      <w:r w:rsidR="00900061" w:rsidRPr="00E168A1">
        <w:rPr>
          <w:rFonts w:ascii="Times New Roman" w:hAnsi="Times New Roman"/>
        </w:rPr>
        <w:t xml:space="preserve"> </w:t>
      </w:r>
      <w:r w:rsidR="00AC305C" w:rsidRPr="00E168A1">
        <w:rPr>
          <w:rFonts w:ascii="Times New Roman" w:hAnsi="Times New Roman"/>
        </w:rPr>
        <w:t>than</w:t>
      </w:r>
      <w:r w:rsidR="00900061" w:rsidRPr="00E168A1">
        <w:rPr>
          <w:rFonts w:ascii="Times New Roman" w:hAnsi="Times New Roman"/>
        </w:rPr>
        <w:t xml:space="preserve"> </w:t>
      </w:r>
      <w:r w:rsidR="00AC305C" w:rsidRPr="00E168A1">
        <w:rPr>
          <w:rFonts w:ascii="Times New Roman" w:hAnsi="Times New Roman"/>
        </w:rPr>
        <w:t>the</w:t>
      </w:r>
      <w:r w:rsidR="00900061" w:rsidRPr="00E168A1">
        <w:rPr>
          <w:rFonts w:ascii="Times New Roman" w:hAnsi="Times New Roman"/>
        </w:rPr>
        <w:t xml:space="preserve"> </w:t>
      </w:r>
      <w:r w:rsidR="00AC305C" w:rsidRPr="00E168A1">
        <w:rPr>
          <w:rFonts w:ascii="Times New Roman" w:hAnsi="Times New Roman"/>
        </w:rPr>
        <w:t>cost</w:t>
      </w:r>
      <w:r w:rsidR="00900061" w:rsidRPr="00E168A1">
        <w:rPr>
          <w:rFonts w:ascii="Times New Roman" w:hAnsi="Times New Roman"/>
        </w:rPr>
        <w:t xml:space="preserve"> </w:t>
      </w:r>
      <w:r w:rsidR="00AC305C" w:rsidRPr="00E168A1">
        <w:rPr>
          <w:rFonts w:ascii="Times New Roman" w:hAnsi="Times New Roman"/>
        </w:rPr>
        <w:t>estimate</w:t>
      </w:r>
      <w:r w:rsidR="00900061" w:rsidRPr="00E168A1">
        <w:rPr>
          <w:rFonts w:ascii="Times New Roman" w:hAnsi="Times New Roman"/>
        </w:rPr>
        <w:t xml:space="preserve"> </w:t>
      </w:r>
      <w:r w:rsidR="00AC305C" w:rsidRPr="00E168A1">
        <w:rPr>
          <w:rFonts w:ascii="Times New Roman" w:hAnsi="Times New Roman"/>
        </w:rPr>
        <w:t>and</w:t>
      </w:r>
      <w:r w:rsidR="00900061" w:rsidRPr="00E168A1">
        <w:rPr>
          <w:rFonts w:ascii="Times New Roman" w:hAnsi="Times New Roman"/>
        </w:rPr>
        <w:t xml:space="preserve"> </w:t>
      </w:r>
      <w:r w:rsidR="00AC305C" w:rsidRPr="00E168A1">
        <w:rPr>
          <w:rFonts w:ascii="Times New Roman" w:hAnsi="Times New Roman"/>
        </w:rPr>
        <w:t>if</w:t>
      </w:r>
      <w:r w:rsidR="00900061" w:rsidRPr="00E168A1">
        <w:rPr>
          <w:rFonts w:ascii="Times New Roman" w:hAnsi="Times New Roman"/>
        </w:rPr>
        <w:t xml:space="preserve"> </w:t>
      </w:r>
      <w:r w:rsidR="00AC305C" w:rsidRPr="00E168A1">
        <w:rPr>
          <w:rFonts w:ascii="Times New Roman" w:hAnsi="Times New Roman"/>
        </w:rPr>
        <w:t>it</w:t>
      </w:r>
      <w:r w:rsidR="00900061" w:rsidRPr="00E168A1">
        <w:rPr>
          <w:rFonts w:ascii="Times New Roman" w:hAnsi="Times New Roman"/>
        </w:rPr>
        <w:t xml:space="preserve"> </w:t>
      </w:r>
      <w:r w:rsidR="00AC305C" w:rsidRPr="00E168A1">
        <w:rPr>
          <w:rFonts w:ascii="Times New Roman" w:hAnsi="Times New Roman"/>
        </w:rPr>
        <w:t>is</w:t>
      </w:r>
      <w:r w:rsidR="00900061" w:rsidRPr="00E168A1">
        <w:rPr>
          <w:rFonts w:ascii="Times New Roman" w:hAnsi="Times New Roman"/>
        </w:rPr>
        <w:t xml:space="preserve"> </w:t>
      </w:r>
      <w:r w:rsidR="00AC305C" w:rsidRPr="00E168A1">
        <w:rPr>
          <w:rFonts w:ascii="Times New Roman" w:hAnsi="Times New Roman"/>
        </w:rPr>
        <w:t>not</w:t>
      </w:r>
      <w:r w:rsidR="00900061" w:rsidRPr="00E168A1">
        <w:rPr>
          <w:rFonts w:ascii="Times New Roman" w:hAnsi="Times New Roman"/>
        </w:rPr>
        <w:t xml:space="preserve"> </w:t>
      </w:r>
      <w:r w:rsidR="00AC305C" w:rsidRPr="00E168A1">
        <w:rPr>
          <w:rFonts w:ascii="Times New Roman" w:hAnsi="Times New Roman"/>
        </w:rPr>
        <w:t>higher</w:t>
      </w:r>
      <w:r w:rsidR="00900061" w:rsidRPr="00E168A1">
        <w:rPr>
          <w:rFonts w:ascii="Times New Roman" w:hAnsi="Times New Roman"/>
        </w:rPr>
        <w:t xml:space="preserve"> </w:t>
      </w:r>
      <w:r w:rsidR="00AC305C" w:rsidRPr="00E168A1">
        <w:rPr>
          <w:rFonts w:ascii="Times New Roman" w:hAnsi="Times New Roman"/>
        </w:rPr>
        <w:t>than</w:t>
      </w:r>
      <w:r w:rsidR="00900061" w:rsidRPr="00E168A1">
        <w:rPr>
          <w:rFonts w:ascii="Times New Roman" w:hAnsi="Times New Roman"/>
        </w:rPr>
        <w:t xml:space="preserve"> </w:t>
      </w:r>
      <w:r w:rsidR="00AC305C" w:rsidRPr="00E168A1">
        <w:rPr>
          <w:rFonts w:ascii="Times New Roman" w:hAnsi="Times New Roman"/>
        </w:rPr>
        <w:t>the</w:t>
      </w:r>
      <w:r w:rsidR="00900061" w:rsidRPr="00E168A1">
        <w:rPr>
          <w:rFonts w:ascii="Times New Roman" w:hAnsi="Times New Roman"/>
        </w:rPr>
        <w:t xml:space="preserve"> </w:t>
      </w:r>
      <w:r w:rsidR="00AC305C" w:rsidRPr="00E168A1">
        <w:rPr>
          <w:rFonts w:ascii="Times New Roman" w:hAnsi="Times New Roman"/>
        </w:rPr>
        <w:t>comparable</w:t>
      </w:r>
      <w:r w:rsidR="00900061" w:rsidRPr="00E168A1">
        <w:rPr>
          <w:rFonts w:ascii="Times New Roman" w:hAnsi="Times New Roman"/>
        </w:rPr>
        <w:t xml:space="preserve"> </w:t>
      </w:r>
      <w:r w:rsidR="00AC305C" w:rsidRPr="00E168A1">
        <w:rPr>
          <w:rFonts w:ascii="Times New Roman" w:hAnsi="Times New Roman"/>
        </w:rPr>
        <w:t>market</w:t>
      </w:r>
      <w:r w:rsidR="00900061" w:rsidRPr="00E168A1">
        <w:rPr>
          <w:rFonts w:ascii="Times New Roman" w:hAnsi="Times New Roman"/>
        </w:rPr>
        <w:t xml:space="preserve"> </w:t>
      </w:r>
      <w:r w:rsidR="00AC305C" w:rsidRPr="00E168A1">
        <w:rPr>
          <w:rFonts w:ascii="Times New Roman" w:hAnsi="Times New Roman"/>
        </w:rPr>
        <w:t>price.</w:t>
      </w:r>
      <w:r w:rsidR="00900061" w:rsidRPr="00E168A1">
        <w:rPr>
          <w:rFonts w:ascii="Times New Roman" w:hAnsi="Times New Roman"/>
        </w:rPr>
        <w:t xml:space="preserve"> </w:t>
      </w:r>
      <w:r w:rsidR="00AC305C" w:rsidRPr="00E168A1">
        <w:rPr>
          <w:rFonts w:ascii="Times New Roman" w:hAnsi="Times New Roman"/>
        </w:rPr>
        <w:t>Potentially,</w:t>
      </w:r>
      <w:r w:rsidR="00900061" w:rsidRPr="00E168A1">
        <w:rPr>
          <w:rFonts w:ascii="Times New Roman" w:hAnsi="Times New Roman"/>
        </w:rPr>
        <w:t xml:space="preserve"> </w:t>
      </w:r>
      <w:r w:rsidR="00AC305C" w:rsidRPr="00E168A1">
        <w:rPr>
          <w:rFonts w:ascii="Times New Roman" w:hAnsi="Times New Roman"/>
        </w:rPr>
        <w:t>this</w:t>
      </w:r>
      <w:r w:rsidR="00900061" w:rsidRPr="00E168A1">
        <w:rPr>
          <w:rFonts w:ascii="Times New Roman" w:hAnsi="Times New Roman"/>
        </w:rPr>
        <w:t xml:space="preserve"> </w:t>
      </w:r>
      <w:r w:rsidR="00AC305C" w:rsidRPr="00E168A1">
        <w:rPr>
          <w:rFonts w:ascii="Times New Roman" w:hAnsi="Times New Roman"/>
        </w:rPr>
        <w:t>provision</w:t>
      </w:r>
      <w:r w:rsidR="00900061" w:rsidRPr="00E168A1">
        <w:rPr>
          <w:rFonts w:ascii="Times New Roman" w:hAnsi="Times New Roman"/>
        </w:rPr>
        <w:t xml:space="preserve"> </w:t>
      </w:r>
      <w:r w:rsidR="00AC305C" w:rsidRPr="00E168A1">
        <w:rPr>
          <w:rFonts w:ascii="Times New Roman" w:hAnsi="Times New Roman"/>
        </w:rPr>
        <w:t>leads</w:t>
      </w:r>
      <w:r w:rsidR="00900061" w:rsidRPr="00E168A1">
        <w:rPr>
          <w:rFonts w:ascii="Times New Roman" w:hAnsi="Times New Roman"/>
        </w:rPr>
        <w:t xml:space="preserve"> </w:t>
      </w:r>
      <w:r w:rsidR="00AC305C" w:rsidRPr="00E168A1">
        <w:rPr>
          <w:rFonts w:ascii="Times New Roman" w:hAnsi="Times New Roman"/>
        </w:rPr>
        <w:t>to</w:t>
      </w:r>
      <w:r w:rsidR="00900061" w:rsidRPr="00E168A1">
        <w:rPr>
          <w:rFonts w:ascii="Times New Roman" w:hAnsi="Times New Roman"/>
        </w:rPr>
        <w:t xml:space="preserve"> </w:t>
      </w:r>
      <w:r w:rsidR="00AC305C" w:rsidRPr="00E168A1">
        <w:rPr>
          <w:rFonts w:ascii="Times New Roman" w:hAnsi="Times New Roman"/>
        </w:rPr>
        <w:t>termination</w:t>
      </w:r>
      <w:r w:rsidR="00900061" w:rsidRPr="00E168A1">
        <w:rPr>
          <w:rFonts w:ascii="Times New Roman" w:hAnsi="Times New Roman"/>
        </w:rPr>
        <w:t xml:space="preserve"> </w:t>
      </w:r>
      <w:r w:rsidR="00AC305C" w:rsidRPr="00E168A1">
        <w:rPr>
          <w:rFonts w:ascii="Times New Roman" w:hAnsi="Times New Roman"/>
        </w:rPr>
        <w:t>of</w:t>
      </w:r>
      <w:r w:rsidR="00900061" w:rsidRPr="00E168A1">
        <w:rPr>
          <w:rFonts w:ascii="Times New Roman" w:hAnsi="Times New Roman"/>
        </w:rPr>
        <w:t xml:space="preserve"> </w:t>
      </w:r>
      <w:r w:rsidR="00AC305C" w:rsidRPr="00E168A1">
        <w:rPr>
          <w:rFonts w:ascii="Times New Roman" w:hAnsi="Times New Roman"/>
        </w:rPr>
        <w:t>numerous</w:t>
      </w:r>
      <w:r w:rsidR="00900061" w:rsidRPr="00E168A1">
        <w:rPr>
          <w:rFonts w:ascii="Times New Roman" w:hAnsi="Times New Roman"/>
        </w:rPr>
        <w:t xml:space="preserve"> </w:t>
      </w:r>
      <w:r w:rsidR="00AC305C" w:rsidRPr="00E168A1">
        <w:rPr>
          <w:rFonts w:ascii="Times New Roman" w:hAnsi="Times New Roman"/>
        </w:rPr>
        <w:t>procedures.</w:t>
      </w:r>
      <w:r w:rsidR="00900061" w:rsidRPr="00E168A1">
        <w:rPr>
          <w:rFonts w:ascii="Times New Roman" w:hAnsi="Times New Roman"/>
        </w:rPr>
        <w:t xml:space="preserve"> </w:t>
      </w:r>
      <w:r w:rsidR="00AC305C" w:rsidRPr="00E168A1">
        <w:rPr>
          <w:rFonts w:ascii="Times New Roman" w:hAnsi="Times New Roman"/>
        </w:rPr>
        <w:t>Other</w:t>
      </w:r>
      <w:r w:rsidR="00900061" w:rsidRPr="00E168A1">
        <w:rPr>
          <w:rFonts w:ascii="Times New Roman" w:hAnsi="Times New Roman"/>
        </w:rPr>
        <w:t xml:space="preserve"> </w:t>
      </w:r>
      <w:r w:rsidR="00AC305C" w:rsidRPr="00E168A1">
        <w:rPr>
          <w:rFonts w:ascii="Times New Roman" w:hAnsi="Times New Roman"/>
        </w:rPr>
        <w:t>procedures</w:t>
      </w:r>
      <w:r w:rsidR="00900061" w:rsidRPr="00E168A1">
        <w:rPr>
          <w:rFonts w:ascii="Times New Roman" w:hAnsi="Times New Roman"/>
        </w:rPr>
        <w:t xml:space="preserve"> </w:t>
      </w:r>
      <w:r w:rsidR="00AC305C" w:rsidRPr="00E168A1">
        <w:rPr>
          <w:rFonts w:ascii="Times New Roman" w:hAnsi="Times New Roman"/>
        </w:rPr>
        <w:t>are</w:t>
      </w:r>
      <w:r w:rsidR="00900061" w:rsidRPr="00E168A1">
        <w:rPr>
          <w:rFonts w:ascii="Times New Roman" w:hAnsi="Times New Roman"/>
        </w:rPr>
        <w:t xml:space="preserve"> </w:t>
      </w:r>
      <w:r w:rsidR="00AC305C" w:rsidRPr="00E168A1">
        <w:rPr>
          <w:rFonts w:ascii="Times New Roman" w:hAnsi="Times New Roman"/>
        </w:rPr>
        <w:t>restrictive</w:t>
      </w:r>
      <w:r w:rsidR="00900061" w:rsidRPr="00E168A1">
        <w:rPr>
          <w:rFonts w:ascii="Times New Roman" w:hAnsi="Times New Roman"/>
        </w:rPr>
        <w:t xml:space="preserve"> </w:t>
      </w:r>
      <w:r w:rsidR="00AC305C" w:rsidRPr="00E168A1">
        <w:rPr>
          <w:rFonts w:ascii="Times New Roman" w:hAnsi="Times New Roman"/>
        </w:rPr>
        <w:t>(includes</w:t>
      </w:r>
      <w:r w:rsidR="00900061" w:rsidRPr="00E168A1">
        <w:rPr>
          <w:rFonts w:ascii="Times New Roman" w:hAnsi="Times New Roman"/>
        </w:rPr>
        <w:t xml:space="preserve"> </w:t>
      </w:r>
      <w:r w:rsidR="00AC305C" w:rsidRPr="00E168A1">
        <w:rPr>
          <w:rFonts w:ascii="Times New Roman" w:hAnsi="Times New Roman"/>
        </w:rPr>
        <w:t>prequalification),</w:t>
      </w:r>
      <w:r w:rsidR="00900061" w:rsidRPr="00E168A1">
        <w:rPr>
          <w:rFonts w:ascii="Times New Roman" w:hAnsi="Times New Roman"/>
        </w:rPr>
        <w:t xml:space="preserve"> </w:t>
      </w:r>
      <w:r w:rsidR="00AC305C" w:rsidRPr="00E168A1">
        <w:rPr>
          <w:rFonts w:ascii="Times New Roman" w:hAnsi="Times New Roman"/>
        </w:rPr>
        <w:t>qualification,</w:t>
      </w:r>
      <w:r w:rsidR="00900061" w:rsidRPr="00E168A1">
        <w:rPr>
          <w:rFonts w:ascii="Times New Roman" w:hAnsi="Times New Roman"/>
        </w:rPr>
        <w:t xml:space="preserve"> </w:t>
      </w:r>
      <w:r w:rsidR="00AC305C" w:rsidRPr="00E168A1">
        <w:rPr>
          <w:rFonts w:ascii="Times New Roman" w:hAnsi="Times New Roman"/>
        </w:rPr>
        <w:t>negotiated</w:t>
      </w:r>
      <w:r w:rsidR="00900061" w:rsidRPr="00E168A1">
        <w:rPr>
          <w:rFonts w:ascii="Times New Roman" w:hAnsi="Times New Roman"/>
        </w:rPr>
        <w:t xml:space="preserve"> </w:t>
      </w:r>
      <w:r w:rsidR="00AC305C" w:rsidRPr="00E168A1">
        <w:rPr>
          <w:rFonts w:ascii="Times New Roman" w:hAnsi="Times New Roman"/>
        </w:rPr>
        <w:t>with</w:t>
      </w:r>
      <w:r w:rsidR="00900061" w:rsidRPr="00E168A1">
        <w:rPr>
          <w:rFonts w:ascii="Times New Roman" w:hAnsi="Times New Roman"/>
        </w:rPr>
        <w:t xml:space="preserve"> </w:t>
      </w:r>
      <w:r w:rsidR="00AC305C" w:rsidRPr="00E168A1">
        <w:rPr>
          <w:rFonts w:ascii="Times New Roman" w:hAnsi="Times New Roman"/>
        </w:rPr>
        <w:t>invitation</w:t>
      </w:r>
      <w:r w:rsidR="00900061" w:rsidRPr="00E168A1">
        <w:rPr>
          <w:rFonts w:ascii="Times New Roman" w:hAnsi="Times New Roman"/>
        </w:rPr>
        <w:t xml:space="preserve"> </w:t>
      </w:r>
      <w:r w:rsidR="00AC305C" w:rsidRPr="00E168A1">
        <w:rPr>
          <w:rFonts w:ascii="Times New Roman" w:hAnsi="Times New Roman"/>
        </w:rPr>
        <w:t>to</w:t>
      </w:r>
      <w:r w:rsidR="00900061" w:rsidRPr="00E168A1">
        <w:rPr>
          <w:rFonts w:ascii="Times New Roman" w:hAnsi="Times New Roman"/>
        </w:rPr>
        <w:t xml:space="preserve"> </w:t>
      </w:r>
      <w:r w:rsidR="00AC305C" w:rsidRPr="00E168A1">
        <w:rPr>
          <w:rFonts w:ascii="Times New Roman" w:hAnsi="Times New Roman"/>
        </w:rPr>
        <w:t>bid,</w:t>
      </w:r>
      <w:r w:rsidR="00900061" w:rsidRPr="00E168A1">
        <w:rPr>
          <w:rFonts w:ascii="Times New Roman" w:hAnsi="Times New Roman"/>
        </w:rPr>
        <w:t xml:space="preserve"> </w:t>
      </w:r>
      <w:r w:rsidR="00AC305C" w:rsidRPr="00E168A1">
        <w:rPr>
          <w:rFonts w:ascii="Times New Roman" w:hAnsi="Times New Roman"/>
        </w:rPr>
        <w:t>negotiated</w:t>
      </w:r>
      <w:r w:rsidR="00900061" w:rsidRPr="00E168A1">
        <w:rPr>
          <w:rFonts w:ascii="Times New Roman" w:hAnsi="Times New Roman"/>
        </w:rPr>
        <w:t xml:space="preserve"> </w:t>
      </w:r>
      <w:r w:rsidR="00AC305C" w:rsidRPr="00E168A1">
        <w:rPr>
          <w:rFonts w:ascii="Times New Roman" w:hAnsi="Times New Roman"/>
        </w:rPr>
        <w:t>without</w:t>
      </w:r>
      <w:r w:rsidR="00900061" w:rsidRPr="00E168A1">
        <w:rPr>
          <w:rFonts w:ascii="Times New Roman" w:hAnsi="Times New Roman"/>
        </w:rPr>
        <w:t xml:space="preserve"> </w:t>
      </w:r>
      <w:r w:rsidR="00AC305C" w:rsidRPr="00E168A1">
        <w:rPr>
          <w:rFonts w:ascii="Times New Roman" w:hAnsi="Times New Roman"/>
        </w:rPr>
        <w:t>invitation</w:t>
      </w:r>
      <w:r w:rsidR="00900061" w:rsidRPr="00E168A1">
        <w:rPr>
          <w:rFonts w:ascii="Times New Roman" w:hAnsi="Times New Roman"/>
        </w:rPr>
        <w:t xml:space="preserve"> </w:t>
      </w:r>
      <w:r w:rsidR="00AC305C" w:rsidRPr="00E168A1">
        <w:rPr>
          <w:rFonts w:ascii="Times New Roman" w:hAnsi="Times New Roman"/>
        </w:rPr>
        <w:t>to</w:t>
      </w:r>
      <w:r w:rsidR="00900061" w:rsidRPr="00E168A1">
        <w:rPr>
          <w:rFonts w:ascii="Times New Roman" w:hAnsi="Times New Roman"/>
        </w:rPr>
        <w:t xml:space="preserve"> </w:t>
      </w:r>
      <w:r w:rsidR="00AC305C" w:rsidRPr="00E168A1">
        <w:rPr>
          <w:rFonts w:ascii="Times New Roman" w:hAnsi="Times New Roman"/>
        </w:rPr>
        <w:t>bid,</w:t>
      </w:r>
      <w:r w:rsidR="00900061" w:rsidRPr="00E168A1">
        <w:rPr>
          <w:rFonts w:ascii="Times New Roman" w:hAnsi="Times New Roman"/>
        </w:rPr>
        <w:t xml:space="preserve"> </w:t>
      </w:r>
      <w:r w:rsidR="00AC305C" w:rsidRPr="00E168A1">
        <w:rPr>
          <w:rFonts w:ascii="Times New Roman" w:hAnsi="Times New Roman"/>
        </w:rPr>
        <w:t>competitive</w:t>
      </w:r>
      <w:r w:rsidR="00900061" w:rsidRPr="00E168A1">
        <w:rPr>
          <w:rFonts w:ascii="Times New Roman" w:hAnsi="Times New Roman"/>
        </w:rPr>
        <w:t xml:space="preserve"> </w:t>
      </w:r>
      <w:r w:rsidR="00AC305C" w:rsidRPr="00E168A1">
        <w:rPr>
          <w:rFonts w:ascii="Times New Roman" w:hAnsi="Times New Roman"/>
        </w:rPr>
        <w:t>dialogue,</w:t>
      </w:r>
      <w:r w:rsidR="00900061" w:rsidRPr="00E168A1">
        <w:rPr>
          <w:rFonts w:ascii="Times New Roman" w:hAnsi="Times New Roman"/>
        </w:rPr>
        <w:t xml:space="preserve"> </w:t>
      </w:r>
      <w:r w:rsidR="00AC305C" w:rsidRPr="00E168A1">
        <w:rPr>
          <w:rFonts w:ascii="Times New Roman" w:hAnsi="Times New Roman"/>
        </w:rPr>
        <w:t>design</w:t>
      </w:r>
      <w:r w:rsidR="00900061" w:rsidRPr="00E168A1">
        <w:rPr>
          <w:rFonts w:ascii="Times New Roman" w:hAnsi="Times New Roman"/>
        </w:rPr>
        <w:t xml:space="preserve"> </w:t>
      </w:r>
      <w:r w:rsidR="00AC305C" w:rsidRPr="00E168A1">
        <w:rPr>
          <w:rFonts w:ascii="Times New Roman" w:hAnsi="Times New Roman"/>
        </w:rPr>
        <w:t>contest,</w:t>
      </w:r>
      <w:r w:rsidR="00900061" w:rsidRPr="00E168A1">
        <w:rPr>
          <w:rFonts w:ascii="Times New Roman" w:hAnsi="Times New Roman"/>
        </w:rPr>
        <w:t xml:space="preserve"> </w:t>
      </w:r>
      <w:r w:rsidR="00AC305C" w:rsidRPr="00E168A1">
        <w:rPr>
          <w:rFonts w:ascii="Times New Roman" w:hAnsi="Times New Roman"/>
        </w:rPr>
        <w:t>shopping,</w:t>
      </w:r>
      <w:r w:rsidR="00900061" w:rsidRPr="00E168A1">
        <w:rPr>
          <w:rFonts w:ascii="Times New Roman" w:hAnsi="Times New Roman"/>
        </w:rPr>
        <w:t xml:space="preserve"> </w:t>
      </w:r>
      <w:r w:rsidR="005D1694" w:rsidRPr="00E168A1">
        <w:rPr>
          <w:rFonts w:ascii="Times New Roman" w:hAnsi="Times New Roman"/>
        </w:rPr>
        <w:t xml:space="preserve">and </w:t>
      </w:r>
      <w:r w:rsidR="00AC305C" w:rsidRPr="00E168A1">
        <w:rPr>
          <w:rFonts w:ascii="Times New Roman" w:hAnsi="Times New Roman"/>
        </w:rPr>
        <w:t>framework</w:t>
      </w:r>
      <w:r w:rsidR="00900061" w:rsidRPr="00E168A1">
        <w:rPr>
          <w:rFonts w:ascii="Times New Roman" w:hAnsi="Times New Roman"/>
        </w:rPr>
        <w:t xml:space="preserve"> </w:t>
      </w:r>
      <w:r w:rsidR="00AC305C" w:rsidRPr="00E168A1">
        <w:rPr>
          <w:rFonts w:ascii="Times New Roman" w:hAnsi="Times New Roman"/>
        </w:rPr>
        <w:t>agreement.</w:t>
      </w:r>
      <w:r w:rsidR="00900061" w:rsidRPr="00E168A1">
        <w:rPr>
          <w:rFonts w:ascii="Times New Roman" w:hAnsi="Times New Roman"/>
        </w:rPr>
        <w:t xml:space="preserve"> </w:t>
      </w:r>
      <w:r w:rsidR="00AC305C" w:rsidRPr="00E168A1">
        <w:rPr>
          <w:rFonts w:ascii="Times New Roman" w:hAnsi="Times New Roman"/>
        </w:rPr>
        <w:t>To</w:t>
      </w:r>
      <w:r w:rsidR="00900061" w:rsidRPr="00E168A1">
        <w:rPr>
          <w:rFonts w:ascii="Times New Roman" w:hAnsi="Times New Roman"/>
        </w:rPr>
        <w:t xml:space="preserve"> </w:t>
      </w:r>
      <w:r w:rsidR="00AC305C" w:rsidRPr="00A90FD9">
        <w:rPr>
          <w:rFonts w:ascii="Times New Roman" w:hAnsi="Times New Roman"/>
        </w:rPr>
        <w:t>use</w:t>
      </w:r>
      <w:r w:rsidR="00900061" w:rsidRPr="00A90FD9">
        <w:rPr>
          <w:rFonts w:ascii="Times New Roman" w:hAnsi="Times New Roman"/>
        </w:rPr>
        <w:t xml:space="preserve"> </w:t>
      </w:r>
      <w:r w:rsidR="00AC305C" w:rsidRPr="00A90FD9">
        <w:rPr>
          <w:rFonts w:ascii="Times New Roman" w:hAnsi="Times New Roman"/>
        </w:rPr>
        <w:t>less</w:t>
      </w:r>
      <w:r w:rsidR="00900061" w:rsidRPr="00A90FD9">
        <w:rPr>
          <w:rFonts w:ascii="Times New Roman" w:hAnsi="Times New Roman"/>
        </w:rPr>
        <w:t xml:space="preserve"> </w:t>
      </w:r>
      <w:r w:rsidR="00AC305C" w:rsidRPr="00A90FD9">
        <w:rPr>
          <w:rFonts w:ascii="Times New Roman" w:hAnsi="Times New Roman"/>
        </w:rPr>
        <w:t>competitive</w:t>
      </w:r>
      <w:r w:rsidR="00900061" w:rsidRPr="00A90FD9">
        <w:rPr>
          <w:rFonts w:ascii="Times New Roman" w:hAnsi="Times New Roman"/>
        </w:rPr>
        <w:t xml:space="preserve"> </w:t>
      </w:r>
      <w:r w:rsidR="00AC305C" w:rsidRPr="00A90FD9">
        <w:rPr>
          <w:rFonts w:ascii="Times New Roman" w:hAnsi="Times New Roman"/>
        </w:rPr>
        <w:t>public</w:t>
      </w:r>
      <w:r w:rsidR="00900061" w:rsidRPr="00A90FD9">
        <w:rPr>
          <w:rFonts w:ascii="Times New Roman" w:hAnsi="Times New Roman"/>
        </w:rPr>
        <w:t xml:space="preserve"> </w:t>
      </w:r>
      <w:r w:rsidR="00AC305C" w:rsidRPr="00A90FD9">
        <w:rPr>
          <w:rFonts w:ascii="Times New Roman" w:hAnsi="Times New Roman"/>
        </w:rPr>
        <w:t>procurement</w:t>
      </w:r>
      <w:r w:rsidR="00900061" w:rsidRPr="00E67C6B">
        <w:rPr>
          <w:rFonts w:ascii="Times New Roman" w:hAnsi="Times New Roman"/>
        </w:rPr>
        <w:t xml:space="preserve"> </w:t>
      </w:r>
      <w:r w:rsidR="00AC305C" w:rsidRPr="00E168A1">
        <w:rPr>
          <w:rFonts w:ascii="Times New Roman" w:hAnsi="Times New Roman"/>
        </w:rPr>
        <w:t>procedures</w:t>
      </w:r>
      <w:r w:rsidR="00900061" w:rsidRPr="00E168A1">
        <w:rPr>
          <w:rFonts w:ascii="Times New Roman" w:hAnsi="Times New Roman"/>
        </w:rPr>
        <w:t xml:space="preserve"> </w:t>
      </w:r>
      <w:r w:rsidR="00AC305C" w:rsidRPr="00E168A1">
        <w:rPr>
          <w:rFonts w:ascii="Times New Roman" w:hAnsi="Times New Roman"/>
        </w:rPr>
        <w:t>such</w:t>
      </w:r>
      <w:r w:rsidR="00900061" w:rsidRPr="00E168A1">
        <w:rPr>
          <w:rFonts w:ascii="Times New Roman" w:hAnsi="Times New Roman"/>
        </w:rPr>
        <w:t xml:space="preserve"> </w:t>
      </w:r>
      <w:r w:rsidR="00AC305C" w:rsidRPr="00E168A1">
        <w:rPr>
          <w:rFonts w:ascii="Times New Roman" w:hAnsi="Times New Roman"/>
        </w:rPr>
        <w:t>as</w:t>
      </w:r>
      <w:r w:rsidR="00900061" w:rsidRPr="00E168A1">
        <w:rPr>
          <w:rFonts w:ascii="Times New Roman" w:hAnsi="Times New Roman"/>
        </w:rPr>
        <w:t xml:space="preserve"> </w:t>
      </w:r>
      <w:r w:rsidR="00AC305C" w:rsidRPr="00E168A1">
        <w:rPr>
          <w:rFonts w:ascii="Times New Roman" w:hAnsi="Times New Roman"/>
        </w:rPr>
        <w:t>negotiated</w:t>
      </w:r>
      <w:r w:rsidR="00900061" w:rsidRPr="00E168A1">
        <w:rPr>
          <w:rFonts w:ascii="Times New Roman" w:hAnsi="Times New Roman"/>
        </w:rPr>
        <w:t xml:space="preserve"> </w:t>
      </w:r>
      <w:r w:rsidR="00AC305C" w:rsidRPr="00E168A1">
        <w:rPr>
          <w:rFonts w:ascii="Times New Roman" w:hAnsi="Times New Roman"/>
        </w:rPr>
        <w:t>procedure</w:t>
      </w:r>
      <w:r w:rsidR="00900061" w:rsidRPr="00E168A1">
        <w:rPr>
          <w:rFonts w:ascii="Times New Roman" w:hAnsi="Times New Roman"/>
        </w:rPr>
        <w:t xml:space="preserve"> </w:t>
      </w:r>
      <w:r w:rsidR="00AC305C" w:rsidRPr="00E168A1">
        <w:rPr>
          <w:rFonts w:ascii="Times New Roman" w:hAnsi="Times New Roman"/>
        </w:rPr>
        <w:t>without</w:t>
      </w:r>
      <w:r w:rsidR="00900061" w:rsidRPr="00E168A1">
        <w:rPr>
          <w:rFonts w:ascii="Times New Roman" w:hAnsi="Times New Roman"/>
        </w:rPr>
        <w:t xml:space="preserve"> </w:t>
      </w:r>
      <w:r w:rsidR="00AC305C" w:rsidRPr="00E168A1">
        <w:rPr>
          <w:rFonts w:ascii="Times New Roman" w:hAnsi="Times New Roman"/>
        </w:rPr>
        <w:t>invitation</w:t>
      </w:r>
      <w:r w:rsidR="00900061" w:rsidRPr="00E168A1">
        <w:rPr>
          <w:rFonts w:ascii="Times New Roman" w:hAnsi="Times New Roman"/>
        </w:rPr>
        <w:t xml:space="preserve"> </w:t>
      </w:r>
      <w:r w:rsidR="00AC305C" w:rsidRPr="00E168A1">
        <w:rPr>
          <w:rFonts w:ascii="Times New Roman" w:hAnsi="Times New Roman"/>
        </w:rPr>
        <w:t>to</w:t>
      </w:r>
      <w:r w:rsidR="00900061" w:rsidRPr="00E168A1">
        <w:rPr>
          <w:rFonts w:ascii="Times New Roman" w:hAnsi="Times New Roman"/>
        </w:rPr>
        <w:t xml:space="preserve"> </w:t>
      </w:r>
      <w:r w:rsidR="00AC305C" w:rsidRPr="00E168A1">
        <w:rPr>
          <w:rFonts w:ascii="Times New Roman" w:hAnsi="Times New Roman"/>
        </w:rPr>
        <w:t>bid</w:t>
      </w:r>
      <w:r w:rsidR="00900061" w:rsidRPr="00E168A1">
        <w:rPr>
          <w:rFonts w:ascii="Times New Roman" w:hAnsi="Times New Roman"/>
        </w:rPr>
        <w:t xml:space="preserve"> </w:t>
      </w:r>
      <w:r w:rsidR="00AC305C" w:rsidRPr="00E168A1">
        <w:rPr>
          <w:rFonts w:ascii="Times New Roman" w:hAnsi="Times New Roman"/>
        </w:rPr>
        <w:t>and</w:t>
      </w:r>
      <w:r w:rsidR="00900061" w:rsidRPr="00E168A1">
        <w:rPr>
          <w:rFonts w:ascii="Times New Roman" w:hAnsi="Times New Roman"/>
        </w:rPr>
        <w:t xml:space="preserve"> </w:t>
      </w:r>
      <w:r w:rsidR="00AC305C" w:rsidRPr="00E168A1">
        <w:rPr>
          <w:rFonts w:ascii="Times New Roman" w:hAnsi="Times New Roman"/>
        </w:rPr>
        <w:t>competitive</w:t>
      </w:r>
      <w:r w:rsidR="00900061" w:rsidRPr="00E168A1">
        <w:rPr>
          <w:rFonts w:ascii="Times New Roman" w:hAnsi="Times New Roman"/>
        </w:rPr>
        <w:t xml:space="preserve"> </w:t>
      </w:r>
      <w:r w:rsidR="00AC305C" w:rsidRPr="00E168A1">
        <w:rPr>
          <w:rFonts w:ascii="Times New Roman" w:hAnsi="Times New Roman"/>
        </w:rPr>
        <w:t>dialogue,</w:t>
      </w:r>
      <w:r w:rsidR="00900061" w:rsidRPr="00E168A1">
        <w:rPr>
          <w:rFonts w:ascii="Times New Roman" w:hAnsi="Times New Roman"/>
        </w:rPr>
        <w:t xml:space="preserve"> </w:t>
      </w:r>
      <w:r w:rsidR="00AC305C" w:rsidRPr="00E168A1">
        <w:rPr>
          <w:rFonts w:ascii="Times New Roman" w:hAnsi="Times New Roman"/>
        </w:rPr>
        <w:t>contracting</w:t>
      </w:r>
      <w:r w:rsidR="00900061" w:rsidRPr="00E168A1">
        <w:rPr>
          <w:rFonts w:ascii="Times New Roman" w:hAnsi="Times New Roman"/>
        </w:rPr>
        <w:t xml:space="preserve"> </w:t>
      </w:r>
      <w:r w:rsidR="00AC305C" w:rsidRPr="00E168A1">
        <w:rPr>
          <w:rFonts w:ascii="Times New Roman" w:hAnsi="Times New Roman"/>
        </w:rPr>
        <w:t>authorities</w:t>
      </w:r>
      <w:r w:rsidR="00900061" w:rsidRPr="00E168A1">
        <w:rPr>
          <w:rFonts w:ascii="Times New Roman" w:hAnsi="Times New Roman"/>
        </w:rPr>
        <w:t xml:space="preserve"> </w:t>
      </w:r>
      <w:r w:rsidR="00AC305C" w:rsidRPr="00E168A1">
        <w:rPr>
          <w:rFonts w:ascii="Times New Roman" w:hAnsi="Times New Roman"/>
        </w:rPr>
        <w:t>m</w:t>
      </w:r>
      <w:r w:rsidRPr="00E168A1">
        <w:rPr>
          <w:rFonts w:ascii="Times New Roman" w:hAnsi="Times New Roman"/>
        </w:rPr>
        <w:t>ust</w:t>
      </w:r>
      <w:r w:rsidR="00900061" w:rsidRPr="00E168A1">
        <w:rPr>
          <w:rFonts w:ascii="Times New Roman" w:hAnsi="Times New Roman"/>
        </w:rPr>
        <w:t xml:space="preserve"> </w:t>
      </w:r>
      <w:r w:rsidRPr="00E168A1">
        <w:rPr>
          <w:rFonts w:ascii="Times New Roman" w:hAnsi="Times New Roman"/>
        </w:rPr>
        <w:t>obtain</w:t>
      </w:r>
      <w:r w:rsidR="00900061" w:rsidRPr="00E168A1">
        <w:rPr>
          <w:rFonts w:ascii="Times New Roman" w:hAnsi="Times New Roman"/>
        </w:rPr>
        <w:t xml:space="preserve"> </w:t>
      </w:r>
      <w:r w:rsidRPr="00E168A1">
        <w:rPr>
          <w:rFonts w:ascii="Times New Roman" w:hAnsi="Times New Roman"/>
        </w:rPr>
        <w:t>prior</w:t>
      </w:r>
      <w:r w:rsidR="00900061" w:rsidRPr="00E168A1">
        <w:rPr>
          <w:rFonts w:ascii="Times New Roman" w:hAnsi="Times New Roman"/>
        </w:rPr>
        <w:t xml:space="preserve"> </w:t>
      </w:r>
      <w:r w:rsidRPr="00E168A1">
        <w:rPr>
          <w:rFonts w:ascii="Times New Roman" w:hAnsi="Times New Roman"/>
        </w:rPr>
        <w:t>approval</w:t>
      </w:r>
      <w:r w:rsidR="00900061" w:rsidRPr="00E168A1">
        <w:rPr>
          <w:rFonts w:ascii="Times New Roman" w:hAnsi="Times New Roman"/>
        </w:rPr>
        <w:t xml:space="preserve"> </w:t>
      </w:r>
      <w:r w:rsidR="005D1694" w:rsidRPr="00E168A1">
        <w:rPr>
          <w:rFonts w:ascii="Times New Roman" w:hAnsi="Times New Roman"/>
        </w:rPr>
        <w:t xml:space="preserve">from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rule</w:t>
      </w:r>
      <w:r w:rsidR="00900061" w:rsidRPr="00E168A1">
        <w:rPr>
          <w:rFonts w:ascii="Times New Roman" w:hAnsi="Times New Roman"/>
        </w:rPr>
        <w:t xml:space="preserve"> </w:t>
      </w:r>
      <w:r w:rsidRPr="00E168A1">
        <w:rPr>
          <w:rFonts w:ascii="Times New Roman" w:hAnsi="Times New Roman"/>
        </w:rPr>
        <w:t>was</w:t>
      </w:r>
      <w:r w:rsidR="00900061" w:rsidRPr="00E168A1">
        <w:rPr>
          <w:rFonts w:ascii="Times New Roman" w:hAnsi="Times New Roman"/>
        </w:rPr>
        <w:t xml:space="preserve"> </w:t>
      </w:r>
      <w:r w:rsidRPr="00E168A1">
        <w:rPr>
          <w:rFonts w:ascii="Times New Roman" w:hAnsi="Times New Roman"/>
        </w:rPr>
        <w:t>introduced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current</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open</w:t>
      </w:r>
      <w:r w:rsidR="00900061" w:rsidRPr="00E168A1">
        <w:rPr>
          <w:rFonts w:ascii="Times New Roman" w:hAnsi="Times New Roman"/>
        </w:rPr>
        <w:t xml:space="preserve"> </w:t>
      </w:r>
      <w:r w:rsidRPr="00E168A1">
        <w:rPr>
          <w:rFonts w:ascii="Times New Roman" w:hAnsi="Times New Roman"/>
        </w:rPr>
        <w:lastRenderedPageBreak/>
        <w:t>procedure</w:t>
      </w:r>
      <w:r w:rsidR="00900061" w:rsidRPr="00E168A1">
        <w:rPr>
          <w:rFonts w:ascii="Times New Roman" w:hAnsi="Times New Roman"/>
        </w:rPr>
        <w:t xml:space="preserve"> </w:t>
      </w:r>
      <w:r w:rsidRPr="00E168A1">
        <w:rPr>
          <w:rFonts w:ascii="Times New Roman" w:hAnsi="Times New Roman"/>
        </w:rPr>
        <w:t>increased</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66</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85</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r w:rsidRPr="00E168A1">
        <w:rPr>
          <w:rFonts w:ascii="Times New Roman" w:hAnsi="Times New Roman"/>
        </w:rPr>
        <w:t>while</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negotiated</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without</w:t>
      </w:r>
      <w:r w:rsidR="00900061" w:rsidRPr="00E168A1">
        <w:rPr>
          <w:rFonts w:ascii="Times New Roman" w:hAnsi="Times New Roman"/>
        </w:rPr>
        <w:t xml:space="preserve"> </w:t>
      </w:r>
      <w:r w:rsidRPr="00E168A1">
        <w:rPr>
          <w:rFonts w:ascii="Times New Roman" w:hAnsi="Times New Roman"/>
        </w:rPr>
        <w:t>invitation</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bid</w:t>
      </w:r>
      <w:r w:rsidR="00900061" w:rsidRPr="00E168A1">
        <w:rPr>
          <w:rFonts w:ascii="Times New Roman" w:hAnsi="Times New Roman"/>
        </w:rPr>
        <w:t xml:space="preserve"> </w:t>
      </w:r>
      <w:r w:rsidRPr="00E168A1">
        <w:rPr>
          <w:rFonts w:ascii="Times New Roman" w:hAnsi="Times New Roman"/>
        </w:rPr>
        <w:t>decreased</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17</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5</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p>
    <w:p w14:paraId="0CB10A35" w14:textId="02E4A074" w:rsidR="004C0935" w:rsidRPr="00A90FD9" w:rsidRDefault="00B03657" w:rsidP="00645878">
      <w:pPr>
        <w:pStyle w:val="ListParagraph"/>
        <w:numPr>
          <w:ilvl w:val="0"/>
          <w:numId w:val="9"/>
        </w:numPr>
        <w:ind w:left="0" w:firstLine="0"/>
        <w:contextualSpacing w:val="0"/>
        <w:rPr>
          <w:rStyle w:val="Hyperlink"/>
          <w:rFonts w:ascii="Times New Roman" w:hAnsi="Times New Roman"/>
          <w:color w:val="auto"/>
          <w:u w:val="none"/>
        </w:rPr>
      </w:pP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rules</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procedures</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clearly</w:t>
      </w:r>
      <w:r w:rsidR="00900061" w:rsidRPr="00E168A1">
        <w:rPr>
          <w:rFonts w:ascii="Times New Roman" w:hAnsi="Times New Roman"/>
          <w:b/>
        </w:rPr>
        <w:t xml:space="preserve"> </w:t>
      </w:r>
      <w:r w:rsidRPr="00E168A1">
        <w:rPr>
          <w:rFonts w:ascii="Times New Roman" w:hAnsi="Times New Roman"/>
          <w:b/>
        </w:rPr>
        <w:t>established</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easily</w:t>
      </w:r>
      <w:r w:rsidR="00900061" w:rsidRPr="00E168A1">
        <w:rPr>
          <w:rFonts w:ascii="Times New Roman" w:hAnsi="Times New Roman"/>
          <w:b/>
        </w:rPr>
        <w:t xml:space="preserve"> </w:t>
      </w:r>
      <w:r w:rsidRPr="00E168A1">
        <w:rPr>
          <w:rFonts w:ascii="Times New Roman" w:hAnsi="Times New Roman"/>
          <w:b/>
        </w:rPr>
        <w:t>accessible</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rPr>
        <w:t xml:space="preserve"> </w:t>
      </w:r>
      <w:r w:rsidRPr="00E168A1">
        <w:rPr>
          <w:rFonts w:ascii="Times New Roman" w:hAnsi="Times New Roman"/>
        </w:rPr>
        <w:t>Bidding</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advertised</w:t>
      </w:r>
      <w:r w:rsidR="00900061" w:rsidRPr="00E168A1">
        <w:rPr>
          <w:rFonts w:ascii="Times New Roman" w:hAnsi="Times New Roman"/>
        </w:rPr>
        <w:t xml:space="preserve"> </w:t>
      </w:r>
      <w:r w:rsidRPr="00E168A1">
        <w:rPr>
          <w:rFonts w:ascii="Times New Roman" w:hAnsi="Times New Roman"/>
        </w:rPr>
        <w:t>through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95EE0"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395EE0"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395EE0"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rPr>
        <w:t>Publication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bidding</w:t>
      </w:r>
      <w:r w:rsidR="00900061" w:rsidRPr="00E168A1">
        <w:rPr>
          <w:rFonts w:ascii="Times New Roman" w:hAnsi="Times New Roman"/>
        </w:rPr>
        <w:t xml:space="preserve"> </w:t>
      </w:r>
      <w:r w:rsidRPr="00E168A1">
        <w:rPr>
          <w:rFonts w:ascii="Times New Roman" w:hAnsi="Times New Roman"/>
        </w:rPr>
        <w:t>documents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0A4AB9"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0A4AB9"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0A4AB9"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mandatory.</w:t>
      </w:r>
      <w:r w:rsidR="00900061" w:rsidRPr="00E168A1">
        <w:rPr>
          <w:rFonts w:ascii="Times New Roman" w:hAnsi="Times New Roman"/>
        </w:rPr>
        <w:t xml:space="preserve"> </w:t>
      </w:r>
      <w:r w:rsidRPr="00E168A1">
        <w:rPr>
          <w:rFonts w:ascii="Times New Roman" w:hAnsi="Times New Roman"/>
        </w:rPr>
        <w:t>T</w:t>
      </w:r>
      <w:r w:rsidR="00A7170B" w:rsidRPr="00E168A1">
        <w:rPr>
          <w:rStyle w:val="Hyperlink"/>
          <w:rFonts w:ascii="Times New Roman" w:hAnsi="Times New Roman"/>
          <w:color w:val="auto"/>
          <w:u w:val="none"/>
        </w:rPr>
        <w: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model</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bidding</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documents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are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provided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by</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PPO.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content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bidding</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documents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prescribed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by</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law</w:t>
      </w:r>
      <w:r w:rsidR="00DF4628" w:rsidRPr="00E168A1">
        <w:rPr>
          <w:rStyle w:val="Hyperlink"/>
          <w:rFonts w:ascii="Times New Roman" w:hAnsi="Times New Roman"/>
          <w:color w:val="auto"/>
          <w:u w:val="none"/>
        </w:rPr>
        <w:t>—</w:t>
      </w:r>
      <w:r w:rsidR="00A7170B" w:rsidRPr="00E168A1">
        <w:rPr>
          <w:rStyle w:val="Hyperlink"/>
          <w:rFonts w:ascii="Times New Roman" w:hAnsi="Times New Roman"/>
          <w:color w:val="auto"/>
          <w:u w:val="none"/>
        </w:rPr>
        <w:t>it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must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contain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instruction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bidders,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bid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submission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form,</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qualification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requirements,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instructions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prove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fullfilment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requirements,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model</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contract,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technical</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specifications/bill</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quantity/terms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references</w:t>
      </w:r>
      <w:r w:rsidR="007E72F2" w:rsidRPr="00E168A1">
        <w:rPr>
          <w:rStyle w:val="Hyperlink"/>
          <w:rFonts w:ascii="Times New Roman" w:hAnsi="Times New Roman"/>
          <w:color w:val="auto"/>
          <w:u w:val="none"/>
        </w:rPr>
        <w: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and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declaration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independent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bid.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contracting</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authorities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are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not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obliged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follow</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standard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PPO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tender</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documentation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although</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template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often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used.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relatively</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high</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share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procedures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that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not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use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lowest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price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criterion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exclusively</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(according</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data</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PPO)</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indicates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that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public</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procurement</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officers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are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interested</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in</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achieving</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objectives</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7170B" w:rsidRPr="00E168A1">
        <w:rPr>
          <w:rStyle w:val="Hyperlink"/>
          <w:rFonts w:ascii="Times New Roman" w:hAnsi="Times New Roman"/>
          <w:color w:val="auto"/>
          <w:u w:val="none"/>
        </w:rPr>
        <w:t>procur</w:t>
      </w:r>
      <w:r w:rsidR="00942712" w:rsidRPr="00E168A1">
        <w:rPr>
          <w:rStyle w:val="Hyperlink"/>
          <w:rFonts w:ascii="Times New Roman" w:hAnsi="Times New Roman"/>
          <w:color w:val="auto"/>
          <w:u w:val="none"/>
        </w:rPr>
        <w:t>e</w:t>
      </w:r>
      <w:r w:rsidR="00AC305C" w:rsidRPr="00E168A1">
        <w:rPr>
          <w:rStyle w:val="Hyperlink"/>
          <w:rFonts w:ascii="Times New Roman" w:hAnsi="Times New Roman"/>
          <w:color w:val="auto"/>
          <w:u w:val="none"/>
        </w:rPr>
        <w:t>ment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rather</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than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lowest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possible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expenditure.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more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detailed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analysis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reveals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most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used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award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criteria:</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time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delivery</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service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performance,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guarantee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period</w:t>
      </w:r>
      <w:r w:rsidR="00BA4275" w:rsidRPr="00E168A1">
        <w:rPr>
          <w:rStyle w:val="Hyperlink"/>
          <w:rFonts w:ascii="Times New Roman" w:hAnsi="Times New Roman"/>
          <w:color w:val="auto"/>
          <w:u w:val="none"/>
        </w:rPr>
        <w: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and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method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payment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still</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focus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strictly</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economic</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aspects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procurement.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introduction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PPL</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w:t>
      </w:r>
      <w:r w:rsidR="00BA4275" w:rsidRPr="00E168A1">
        <w:rPr>
          <w:rStyle w:val="Hyperlink"/>
          <w:rFonts w:ascii="Times New Roman" w:hAnsi="Times New Roman"/>
          <w:color w:val="auto"/>
          <w:u w:val="none"/>
        </w:rPr>
        <w:t>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2013</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did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not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increase</w:t>
      </w:r>
      <w:r w:rsidR="00900061" w:rsidRPr="00E168A1">
        <w:rPr>
          <w:rStyle w:val="Hyperlink"/>
          <w:rFonts w:ascii="Times New Roman" w:hAnsi="Times New Roman"/>
          <w:color w:val="auto"/>
          <w:u w:val="none"/>
        </w:rPr>
        <w:t xml:space="preserve"> </w:t>
      </w:r>
      <w:r w:rsidR="007E72F2" w:rsidRPr="00E168A1">
        <w:rPr>
          <w:rStyle w:val="Hyperlink"/>
          <w:rFonts w:ascii="Times New Roman" w:hAnsi="Times New Roman"/>
          <w:color w:val="auto"/>
          <w:u w:val="none"/>
        </w:rPr>
        <w:t xml:space="preserve">the </w:t>
      </w:r>
      <w:r w:rsidR="00AC305C" w:rsidRPr="00E168A1">
        <w:rPr>
          <w:rStyle w:val="Hyperlink"/>
          <w:rFonts w:ascii="Times New Roman" w:hAnsi="Times New Roman"/>
          <w:color w:val="auto"/>
          <w:u w:val="none"/>
        </w:rPr>
        <w:t>level</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competition.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2014,</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average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number</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of</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bids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submitted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per</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tender</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was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2.6</w:t>
      </w:r>
      <w:r w:rsidR="00B96CB7" w:rsidRPr="00E168A1">
        <w:rPr>
          <w:rStyle w:val="Hyperlink"/>
          <w:rFonts w:ascii="Times New Roman" w:hAnsi="Times New Roman"/>
          <w:color w:val="auto"/>
          <w:u w:val="none"/>
        </w:rPr>
        <w:t>.</w:t>
      </w:r>
      <w:r w:rsidR="00AC305C" w:rsidRPr="00E168A1">
        <w:rPr>
          <w:rStyle w:val="FootnoteReference"/>
          <w:rFonts w:ascii="Times New Roman" w:hAnsi="Times New Roman"/>
        </w:rPr>
        <w:footnoteReference w:id="15"/>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competitiveness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procedures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with</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prior</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publication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is</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at</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medium</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level</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compared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with</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EU</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average</w:t>
      </w:r>
      <w:r w:rsidR="00AC305C" w:rsidRPr="00E168A1">
        <w:rPr>
          <w:rStyle w:val="FootnoteReference"/>
          <w:rFonts w:ascii="Times New Roman" w:hAnsi="Times New Roman"/>
        </w:rPr>
        <w:footnoteReference w:id="16"/>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and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even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decreased</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in</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AC305C" w:rsidRPr="00E168A1">
        <w:rPr>
          <w:rStyle w:val="Hyperlink"/>
          <w:rFonts w:ascii="Times New Roman" w:hAnsi="Times New Roman"/>
          <w:color w:val="auto"/>
          <w:u w:val="none"/>
        </w:rPr>
        <w:t>past</w:t>
      </w:r>
      <w:r w:rsidR="00900061" w:rsidRPr="00E168A1">
        <w:rPr>
          <w:rStyle w:val="Hyperlink"/>
          <w:rFonts w:ascii="Times New Roman" w:hAnsi="Times New Roman"/>
          <w:color w:val="auto"/>
          <w:u w:val="none"/>
        </w:rPr>
        <w:t xml:space="preserve"> </w:t>
      </w:r>
      <w:r w:rsidR="003B3151">
        <w:rPr>
          <w:rStyle w:val="Hyperlink"/>
          <w:rFonts w:ascii="Times New Roman" w:hAnsi="Times New Roman"/>
          <w:color w:val="auto"/>
          <w:u w:val="none"/>
        </w:rPr>
        <w:t>2013</w:t>
      </w:r>
      <w:r w:rsidR="00900061" w:rsidRPr="00A90FD9">
        <w:rPr>
          <w:rStyle w:val="Hyperlink"/>
          <w:rFonts w:ascii="Times New Roman" w:hAnsi="Times New Roman"/>
          <w:color w:val="auto"/>
          <w:u w:val="none"/>
        </w:rPr>
        <w:t xml:space="preserve"> </w:t>
      </w:r>
      <w:r w:rsidR="00BE394F" w:rsidRPr="00A90FD9">
        <w:rPr>
          <w:rStyle w:val="Hyperlink"/>
          <w:rFonts w:ascii="Times New Roman" w:hAnsi="Times New Roman"/>
          <w:color w:val="auto"/>
          <w:u w:val="none"/>
        </w:rPr>
        <w:t>The r</w:t>
      </w:r>
      <w:r w:rsidR="00B36EE1" w:rsidRPr="00A90FD9">
        <w:rPr>
          <w:rStyle w:val="Hyperlink"/>
          <w:rFonts w:ascii="Times New Roman" w:hAnsi="Times New Roman"/>
          <w:color w:val="auto"/>
          <w:u w:val="none"/>
        </w:rPr>
        <w:t>egister</w:t>
      </w:r>
      <w:r w:rsidR="00900061" w:rsidRPr="00A90FD9">
        <w:rPr>
          <w:rStyle w:val="Hyperlink"/>
          <w:rFonts w:ascii="Times New Roman" w:hAnsi="Times New Roman"/>
          <w:color w:val="auto"/>
          <w:u w:val="none"/>
        </w:rPr>
        <w:t xml:space="preserve"> </w:t>
      </w:r>
      <w:r w:rsidR="00B36EE1" w:rsidRPr="00A90FD9">
        <w:rPr>
          <w:rStyle w:val="Hyperlink"/>
          <w:rFonts w:ascii="Times New Roman" w:hAnsi="Times New Roman"/>
          <w:color w:val="auto"/>
          <w:u w:val="none"/>
        </w:rPr>
        <w:t>of</w:t>
      </w:r>
      <w:r w:rsidR="00900061" w:rsidRPr="00A90FD9">
        <w:rPr>
          <w:rStyle w:val="Hyperlink"/>
          <w:rFonts w:ascii="Times New Roman" w:hAnsi="Times New Roman"/>
          <w:color w:val="auto"/>
          <w:u w:val="none"/>
        </w:rPr>
        <w:t xml:space="preserve"> </w:t>
      </w:r>
      <w:r w:rsidR="00B36EE1" w:rsidRPr="00A90FD9">
        <w:rPr>
          <w:rStyle w:val="Hyperlink"/>
          <w:rFonts w:ascii="Times New Roman" w:hAnsi="Times New Roman"/>
          <w:color w:val="auto"/>
          <w:u w:val="none"/>
        </w:rPr>
        <w:t>bidders</w:t>
      </w:r>
      <w:r w:rsidR="00900061" w:rsidRPr="00A90FD9">
        <w:rPr>
          <w:rStyle w:val="Hyperlink"/>
          <w:rFonts w:ascii="Times New Roman" w:hAnsi="Times New Roman"/>
          <w:color w:val="auto"/>
          <w:u w:val="none"/>
        </w:rPr>
        <w:t xml:space="preserve"> </w:t>
      </w:r>
      <w:r w:rsidR="00B36EE1" w:rsidRPr="00A90FD9">
        <w:rPr>
          <w:rStyle w:val="Hyperlink"/>
          <w:rFonts w:ascii="Times New Roman" w:hAnsi="Times New Roman"/>
          <w:color w:val="auto"/>
          <w:u w:val="none"/>
        </w:rPr>
        <w:t>was</w:t>
      </w:r>
      <w:r w:rsidR="00900061" w:rsidRPr="00A90FD9">
        <w:rPr>
          <w:rStyle w:val="Hyperlink"/>
          <w:rFonts w:ascii="Times New Roman" w:hAnsi="Times New Roman"/>
          <w:color w:val="auto"/>
          <w:u w:val="none"/>
        </w:rPr>
        <w:t xml:space="preserve"> </w:t>
      </w:r>
      <w:r w:rsidR="00B36EE1" w:rsidRPr="00A90FD9">
        <w:rPr>
          <w:rStyle w:val="Hyperlink"/>
          <w:rFonts w:ascii="Times New Roman" w:hAnsi="Times New Roman"/>
          <w:color w:val="auto"/>
          <w:u w:val="none"/>
        </w:rPr>
        <w:t>introduced</w:t>
      </w:r>
      <w:r w:rsidR="00900061" w:rsidRPr="00A90FD9">
        <w:rPr>
          <w:rStyle w:val="Hyperlink"/>
          <w:rFonts w:ascii="Times New Roman" w:hAnsi="Times New Roman"/>
          <w:color w:val="auto"/>
          <w:u w:val="none"/>
        </w:rPr>
        <w:t xml:space="preserve"> </w:t>
      </w:r>
      <w:r w:rsidR="00B36EE1" w:rsidRPr="00A90FD9">
        <w:rPr>
          <w:rStyle w:val="Hyperlink"/>
          <w:rFonts w:ascii="Times New Roman" w:hAnsi="Times New Roman"/>
          <w:color w:val="auto"/>
          <w:u w:val="none"/>
        </w:rPr>
        <w:t>in</w:t>
      </w:r>
      <w:r w:rsidR="00900061" w:rsidRPr="005769EE">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September</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2013</w:t>
      </w:r>
      <w:r w:rsidR="00C82317" w:rsidRPr="00E168A1">
        <w:rPr>
          <w:rStyle w:val="Hyperlink"/>
          <w:rFonts w:ascii="Times New Roman" w:hAnsi="Times New Roman"/>
          <w:color w:val="auto"/>
          <w:u w:val="none"/>
        </w:rPr>
        <w:t>;</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it</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is</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maintained</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by</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the</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Serbian</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Business</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Registers</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Agency</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and</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is</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available</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online</w:t>
      </w:r>
      <w:r w:rsidR="00900061" w:rsidRPr="00E168A1">
        <w:rPr>
          <w:rStyle w:val="Hyperlink"/>
          <w:rFonts w:ascii="Times New Roman" w:hAnsi="Times New Roman"/>
          <w:color w:val="auto"/>
          <w:u w:val="none"/>
        </w:rPr>
        <w:t xml:space="preserve"> </w:t>
      </w:r>
      <w:r w:rsidR="00B36EE1" w:rsidRPr="00E168A1">
        <w:rPr>
          <w:rStyle w:val="Hyperlink"/>
          <w:rFonts w:ascii="Times New Roman" w:hAnsi="Times New Roman"/>
          <w:color w:val="auto"/>
          <w:u w:val="none"/>
        </w:rPr>
        <w:t>at</w:t>
      </w:r>
      <w:r w:rsidR="00900061" w:rsidRPr="00E168A1">
        <w:rPr>
          <w:rStyle w:val="Hyperlink"/>
          <w:rFonts w:ascii="Times New Roman" w:hAnsi="Times New Roman"/>
          <w:color w:val="auto"/>
          <w:u w:val="none"/>
        </w:rPr>
        <w:t xml:space="preserve"> </w:t>
      </w:r>
      <w:hyperlink r:id="rId16" w:history="1">
        <w:r w:rsidR="00A7170B" w:rsidRPr="00A90FD9">
          <w:rPr>
            <w:rStyle w:val="Hyperlink"/>
            <w:rFonts w:ascii="Times New Roman" w:hAnsi="Times New Roman"/>
            <w:color w:val="auto"/>
            <w:u w:val="none"/>
          </w:rPr>
          <w:t>www.apr.gov.rs</w:t>
        </w:r>
      </w:hyperlink>
      <w:r w:rsidR="00A7170B" w:rsidRPr="00A90FD9">
        <w:rPr>
          <w:rStyle w:val="Hyperlink"/>
          <w:rFonts w:ascii="Times New Roman" w:hAnsi="Times New Roman"/>
          <w:color w:val="auto"/>
          <w:u w:val="none"/>
        </w:rPr>
        <w:t>.</w:t>
      </w:r>
    </w:p>
    <w:p w14:paraId="7EE13D6F" w14:textId="7D68C841" w:rsidR="000D6531" w:rsidRPr="00645878" w:rsidRDefault="000D6531" w:rsidP="00DF4628">
      <w:pPr>
        <w:pStyle w:val="Caption"/>
        <w:keepLines/>
        <w:rPr>
          <w:rFonts w:ascii="Times New Roman" w:hAnsi="Times New Roman"/>
          <w:sz w:val="24"/>
          <w:szCs w:val="24"/>
          <w:lang w:val="en-US"/>
        </w:rPr>
      </w:pPr>
      <w:bookmarkStart w:id="17" w:name="_Toc442384169"/>
      <w:r w:rsidRPr="00645878">
        <w:rPr>
          <w:rFonts w:ascii="Times New Roman" w:hAnsi="Times New Roman"/>
          <w:sz w:val="24"/>
          <w:szCs w:val="24"/>
          <w:lang w:val="en-US"/>
        </w:rPr>
        <w:t xml:space="preserve">Table </w:t>
      </w:r>
      <w:r w:rsidRPr="00645878">
        <w:rPr>
          <w:rFonts w:ascii="Times New Roman" w:hAnsi="Times New Roman"/>
          <w:sz w:val="24"/>
          <w:szCs w:val="24"/>
          <w:lang w:val="en-US"/>
        </w:rPr>
        <w:fldChar w:fldCharType="begin"/>
      </w:r>
      <w:r w:rsidRPr="00645878">
        <w:rPr>
          <w:rFonts w:ascii="Times New Roman" w:hAnsi="Times New Roman"/>
          <w:sz w:val="24"/>
          <w:szCs w:val="24"/>
          <w:lang w:val="en-US"/>
        </w:rPr>
        <w:instrText xml:space="preserve"> SEQ Table \* ARABIC </w:instrText>
      </w:r>
      <w:r w:rsidRPr="00645878">
        <w:rPr>
          <w:rFonts w:ascii="Times New Roman" w:hAnsi="Times New Roman"/>
          <w:sz w:val="24"/>
          <w:szCs w:val="24"/>
          <w:lang w:val="en-US"/>
        </w:rPr>
        <w:fldChar w:fldCharType="separate"/>
      </w:r>
      <w:r w:rsidR="00FF4790" w:rsidRPr="00645878">
        <w:rPr>
          <w:rFonts w:ascii="Times New Roman" w:hAnsi="Times New Roman"/>
          <w:sz w:val="24"/>
          <w:szCs w:val="24"/>
          <w:lang w:val="en-US"/>
        </w:rPr>
        <w:t>2</w:t>
      </w:r>
      <w:r w:rsidRPr="00645878">
        <w:rPr>
          <w:rFonts w:ascii="Times New Roman" w:hAnsi="Times New Roman"/>
          <w:sz w:val="24"/>
          <w:szCs w:val="24"/>
          <w:lang w:val="en-US"/>
        </w:rPr>
        <w:fldChar w:fldCharType="end"/>
      </w:r>
      <w:r w:rsidRPr="00645878">
        <w:rPr>
          <w:rFonts w:ascii="Times New Roman" w:hAnsi="Times New Roman"/>
          <w:sz w:val="24"/>
          <w:szCs w:val="24"/>
          <w:lang w:val="en-US"/>
        </w:rPr>
        <w:t>. Average Number of Bids Submitted Per Tender</w:t>
      </w:r>
      <w:bookmarkEnd w:id="17"/>
    </w:p>
    <w:tbl>
      <w:tblPr>
        <w:tblStyle w:val="TableGrid"/>
        <w:tblW w:w="0" w:type="auto"/>
        <w:jc w:val="center"/>
        <w:tblLook w:val="04A0" w:firstRow="1" w:lastRow="0" w:firstColumn="1" w:lastColumn="0" w:noHBand="0" w:noVBand="1"/>
      </w:tblPr>
      <w:tblGrid>
        <w:gridCol w:w="2337"/>
        <w:gridCol w:w="2337"/>
        <w:gridCol w:w="2338"/>
        <w:gridCol w:w="2338"/>
      </w:tblGrid>
      <w:tr w:rsidR="00CF0E70" w:rsidRPr="00E168A1" w14:paraId="4705FC22" w14:textId="77777777" w:rsidTr="00C57218">
        <w:trPr>
          <w:jc w:val="center"/>
        </w:trPr>
        <w:tc>
          <w:tcPr>
            <w:tcW w:w="2337" w:type="dxa"/>
            <w:vAlign w:val="center"/>
          </w:tcPr>
          <w:p w14:paraId="21FED5A5" w14:textId="77777777" w:rsidR="00AC305C" w:rsidRPr="00E168A1" w:rsidRDefault="00AC305C" w:rsidP="00C57218">
            <w:pPr>
              <w:keepNext/>
              <w:keepLines/>
              <w:ind w:left="522"/>
              <w:jc w:val="center"/>
              <w:outlineLvl w:val="0"/>
              <w:rPr>
                <w:rStyle w:val="Hyperlink"/>
                <w:rFonts w:ascii="Times New Roman" w:hAnsi="Times New Roman"/>
                <w:color w:val="auto"/>
                <w:sz w:val="20"/>
                <w:szCs w:val="20"/>
                <w:u w:val="none"/>
              </w:rPr>
            </w:pPr>
          </w:p>
        </w:tc>
        <w:tc>
          <w:tcPr>
            <w:tcW w:w="2337" w:type="dxa"/>
            <w:vAlign w:val="center"/>
          </w:tcPr>
          <w:p w14:paraId="4856DA68" w14:textId="77777777" w:rsidR="00AC305C" w:rsidRPr="00E168A1" w:rsidRDefault="00A7170B" w:rsidP="00C57218">
            <w:pPr>
              <w:keepNext/>
              <w:keepLines/>
              <w:jc w:val="center"/>
              <w:rPr>
                <w:rStyle w:val="Hyperlink"/>
                <w:rFonts w:ascii="Times New Roman" w:hAnsi="Times New Roman"/>
                <w:b/>
                <w:color w:val="auto"/>
                <w:sz w:val="20"/>
                <w:szCs w:val="20"/>
                <w:u w:val="none"/>
              </w:rPr>
            </w:pPr>
            <w:r w:rsidRPr="00E168A1">
              <w:rPr>
                <w:rStyle w:val="Hyperlink"/>
                <w:rFonts w:ascii="Times New Roman" w:hAnsi="Times New Roman"/>
                <w:b/>
                <w:color w:val="auto"/>
                <w:sz w:val="20"/>
                <w:szCs w:val="20"/>
                <w:u w:val="none"/>
              </w:rPr>
              <w:t>2012</w:t>
            </w:r>
          </w:p>
        </w:tc>
        <w:tc>
          <w:tcPr>
            <w:tcW w:w="2338" w:type="dxa"/>
            <w:vAlign w:val="center"/>
          </w:tcPr>
          <w:p w14:paraId="47059BDA" w14:textId="77777777" w:rsidR="00AC305C" w:rsidRPr="00E168A1" w:rsidRDefault="00A7170B" w:rsidP="00C57218">
            <w:pPr>
              <w:keepNext/>
              <w:keepLines/>
              <w:jc w:val="center"/>
              <w:rPr>
                <w:rStyle w:val="Hyperlink"/>
                <w:rFonts w:ascii="Times New Roman" w:hAnsi="Times New Roman"/>
                <w:b/>
                <w:color w:val="auto"/>
                <w:sz w:val="20"/>
                <w:szCs w:val="20"/>
                <w:u w:val="none"/>
              </w:rPr>
            </w:pPr>
            <w:r w:rsidRPr="00E168A1">
              <w:rPr>
                <w:rStyle w:val="Hyperlink"/>
                <w:rFonts w:ascii="Times New Roman" w:hAnsi="Times New Roman"/>
                <w:b/>
                <w:color w:val="auto"/>
                <w:sz w:val="20"/>
                <w:szCs w:val="20"/>
                <w:u w:val="none"/>
              </w:rPr>
              <w:t>2013</w:t>
            </w:r>
          </w:p>
        </w:tc>
        <w:tc>
          <w:tcPr>
            <w:tcW w:w="2338" w:type="dxa"/>
            <w:vAlign w:val="center"/>
          </w:tcPr>
          <w:p w14:paraId="3D38CC64" w14:textId="77777777" w:rsidR="00AC305C" w:rsidRPr="00E168A1" w:rsidRDefault="00A7170B" w:rsidP="00C57218">
            <w:pPr>
              <w:keepNext/>
              <w:keepLines/>
              <w:jc w:val="center"/>
              <w:rPr>
                <w:rStyle w:val="Hyperlink"/>
                <w:rFonts w:ascii="Times New Roman" w:hAnsi="Times New Roman"/>
                <w:b/>
                <w:color w:val="auto"/>
                <w:sz w:val="20"/>
                <w:szCs w:val="20"/>
                <w:u w:val="none"/>
              </w:rPr>
            </w:pPr>
            <w:r w:rsidRPr="00E168A1">
              <w:rPr>
                <w:rStyle w:val="Hyperlink"/>
                <w:rFonts w:ascii="Times New Roman" w:hAnsi="Times New Roman"/>
                <w:b/>
                <w:color w:val="auto"/>
                <w:sz w:val="20"/>
                <w:szCs w:val="20"/>
                <w:u w:val="none"/>
              </w:rPr>
              <w:t>2014</w:t>
            </w:r>
          </w:p>
        </w:tc>
      </w:tr>
      <w:tr w:rsidR="00CF0E70" w:rsidRPr="00E168A1" w14:paraId="1D0F7D5F" w14:textId="77777777" w:rsidTr="00C57218">
        <w:trPr>
          <w:jc w:val="center"/>
        </w:trPr>
        <w:tc>
          <w:tcPr>
            <w:tcW w:w="2337" w:type="dxa"/>
            <w:vAlign w:val="center"/>
          </w:tcPr>
          <w:p w14:paraId="4BA67C18" w14:textId="77777777" w:rsidR="00AC305C" w:rsidRPr="000C3335" w:rsidRDefault="00A7170B" w:rsidP="00C57218">
            <w:pPr>
              <w:keepNext/>
              <w:keepLines/>
              <w:rPr>
                <w:rStyle w:val="Hyperlink"/>
                <w:rFonts w:ascii="Times New Roman" w:hAnsi="Times New Roman"/>
                <w:b/>
                <w:color w:val="auto"/>
                <w:sz w:val="20"/>
                <w:szCs w:val="20"/>
                <w:u w:val="none"/>
              </w:rPr>
            </w:pPr>
            <w:r w:rsidRPr="000C3335">
              <w:rPr>
                <w:rStyle w:val="Hyperlink"/>
                <w:rFonts w:ascii="Times New Roman" w:hAnsi="Times New Roman"/>
                <w:b/>
                <w:color w:val="auto"/>
                <w:sz w:val="20"/>
                <w:szCs w:val="20"/>
                <w:u w:val="none"/>
              </w:rPr>
              <w:t>All</w:t>
            </w:r>
            <w:r w:rsidR="00900061" w:rsidRPr="000C3335">
              <w:rPr>
                <w:rStyle w:val="Hyperlink"/>
                <w:rFonts w:ascii="Times New Roman" w:hAnsi="Times New Roman"/>
                <w:b/>
                <w:color w:val="auto"/>
                <w:sz w:val="20"/>
                <w:szCs w:val="20"/>
                <w:u w:val="none"/>
              </w:rPr>
              <w:t xml:space="preserve"> </w:t>
            </w:r>
            <w:r w:rsidRPr="000C3335">
              <w:rPr>
                <w:rStyle w:val="Hyperlink"/>
                <w:rFonts w:ascii="Times New Roman" w:hAnsi="Times New Roman"/>
                <w:b/>
                <w:color w:val="auto"/>
                <w:sz w:val="20"/>
                <w:szCs w:val="20"/>
                <w:u w:val="none"/>
              </w:rPr>
              <w:t>contracts</w:t>
            </w:r>
          </w:p>
        </w:tc>
        <w:tc>
          <w:tcPr>
            <w:tcW w:w="2337" w:type="dxa"/>
            <w:vAlign w:val="center"/>
          </w:tcPr>
          <w:p w14:paraId="4CF37318"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c>
          <w:tcPr>
            <w:tcW w:w="2338" w:type="dxa"/>
            <w:vAlign w:val="center"/>
          </w:tcPr>
          <w:p w14:paraId="32933969"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c>
          <w:tcPr>
            <w:tcW w:w="2338" w:type="dxa"/>
            <w:vAlign w:val="center"/>
          </w:tcPr>
          <w:p w14:paraId="550E34E1"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2.6</w:t>
            </w:r>
          </w:p>
        </w:tc>
      </w:tr>
      <w:tr w:rsidR="00CF0E70" w:rsidRPr="00E168A1" w14:paraId="7570F70C" w14:textId="77777777" w:rsidTr="00C57218">
        <w:trPr>
          <w:jc w:val="center"/>
        </w:trPr>
        <w:tc>
          <w:tcPr>
            <w:tcW w:w="2337" w:type="dxa"/>
            <w:vAlign w:val="center"/>
          </w:tcPr>
          <w:p w14:paraId="764972FC" w14:textId="77777777" w:rsidR="00AC305C" w:rsidRPr="000C3335" w:rsidRDefault="00A7170B" w:rsidP="00C57218">
            <w:pPr>
              <w:keepNext/>
              <w:keepLines/>
              <w:rPr>
                <w:rStyle w:val="Hyperlink"/>
                <w:rFonts w:ascii="Times New Roman" w:hAnsi="Times New Roman"/>
                <w:b/>
                <w:color w:val="auto"/>
                <w:sz w:val="20"/>
                <w:szCs w:val="20"/>
                <w:u w:val="none"/>
              </w:rPr>
            </w:pPr>
            <w:r w:rsidRPr="000C3335">
              <w:rPr>
                <w:rStyle w:val="Hyperlink"/>
                <w:rFonts w:ascii="Times New Roman" w:hAnsi="Times New Roman"/>
                <w:b/>
                <w:color w:val="auto"/>
                <w:sz w:val="20"/>
                <w:szCs w:val="20"/>
                <w:u w:val="none"/>
              </w:rPr>
              <w:t>Services</w:t>
            </w:r>
          </w:p>
        </w:tc>
        <w:tc>
          <w:tcPr>
            <w:tcW w:w="2337" w:type="dxa"/>
            <w:vAlign w:val="center"/>
          </w:tcPr>
          <w:p w14:paraId="7ACD26B4"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2.3</w:t>
            </w:r>
          </w:p>
        </w:tc>
        <w:tc>
          <w:tcPr>
            <w:tcW w:w="2338" w:type="dxa"/>
            <w:vAlign w:val="center"/>
          </w:tcPr>
          <w:p w14:paraId="2B52BCA8"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2.4</w:t>
            </w:r>
          </w:p>
        </w:tc>
        <w:tc>
          <w:tcPr>
            <w:tcW w:w="2338" w:type="dxa"/>
            <w:vAlign w:val="center"/>
          </w:tcPr>
          <w:p w14:paraId="201C36D9"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2.3</w:t>
            </w:r>
          </w:p>
        </w:tc>
      </w:tr>
      <w:tr w:rsidR="00CF0E70" w:rsidRPr="00E168A1" w14:paraId="46C2E675" w14:textId="77777777" w:rsidTr="00C57218">
        <w:trPr>
          <w:jc w:val="center"/>
        </w:trPr>
        <w:tc>
          <w:tcPr>
            <w:tcW w:w="2337" w:type="dxa"/>
            <w:vAlign w:val="center"/>
          </w:tcPr>
          <w:p w14:paraId="09C28DDC" w14:textId="77777777" w:rsidR="00AC305C" w:rsidRPr="000C3335" w:rsidRDefault="00A7170B" w:rsidP="00C57218">
            <w:pPr>
              <w:keepNext/>
              <w:keepLines/>
              <w:rPr>
                <w:rStyle w:val="Hyperlink"/>
                <w:rFonts w:ascii="Times New Roman" w:hAnsi="Times New Roman"/>
                <w:b/>
                <w:color w:val="auto"/>
                <w:sz w:val="20"/>
                <w:szCs w:val="20"/>
                <w:u w:val="none"/>
              </w:rPr>
            </w:pPr>
            <w:r w:rsidRPr="000C3335">
              <w:rPr>
                <w:rStyle w:val="Hyperlink"/>
                <w:rFonts w:ascii="Times New Roman" w:hAnsi="Times New Roman"/>
                <w:b/>
                <w:color w:val="auto"/>
                <w:sz w:val="20"/>
                <w:szCs w:val="20"/>
                <w:u w:val="none"/>
              </w:rPr>
              <w:t>Supplies</w:t>
            </w:r>
          </w:p>
        </w:tc>
        <w:tc>
          <w:tcPr>
            <w:tcW w:w="2337" w:type="dxa"/>
            <w:vAlign w:val="center"/>
          </w:tcPr>
          <w:p w14:paraId="07C8E633"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c>
          <w:tcPr>
            <w:tcW w:w="2338" w:type="dxa"/>
            <w:vAlign w:val="center"/>
          </w:tcPr>
          <w:p w14:paraId="4133EB9F"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c>
          <w:tcPr>
            <w:tcW w:w="2338" w:type="dxa"/>
            <w:vAlign w:val="center"/>
          </w:tcPr>
          <w:p w14:paraId="7FE31C55"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r>
      <w:tr w:rsidR="00CF0E70" w:rsidRPr="00E168A1" w14:paraId="5E4403B8" w14:textId="77777777" w:rsidTr="00C57218">
        <w:trPr>
          <w:jc w:val="center"/>
        </w:trPr>
        <w:tc>
          <w:tcPr>
            <w:tcW w:w="2337" w:type="dxa"/>
            <w:vAlign w:val="center"/>
          </w:tcPr>
          <w:p w14:paraId="3E1000D4" w14:textId="77777777" w:rsidR="00AC305C" w:rsidRPr="000C3335" w:rsidRDefault="00A7170B" w:rsidP="00C57218">
            <w:pPr>
              <w:keepNext/>
              <w:keepLines/>
              <w:rPr>
                <w:rStyle w:val="Hyperlink"/>
                <w:rFonts w:ascii="Times New Roman" w:hAnsi="Times New Roman"/>
                <w:b/>
                <w:color w:val="auto"/>
                <w:sz w:val="20"/>
                <w:szCs w:val="20"/>
                <w:u w:val="none"/>
              </w:rPr>
            </w:pPr>
            <w:r w:rsidRPr="000C3335">
              <w:rPr>
                <w:rStyle w:val="Hyperlink"/>
                <w:rFonts w:ascii="Times New Roman" w:hAnsi="Times New Roman"/>
                <w:b/>
                <w:color w:val="auto"/>
                <w:sz w:val="20"/>
                <w:szCs w:val="20"/>
                <w:u w:val="none"/>
              </w:rPr>
              <w:t>Goods</w:t>
            </w:r>
          </w:p>
        </w:tc>
        <w:tc>
          <w:tcPr>
            <w:tcW w:w="2337" w:type="dxa"/>
            <w:vAlign w:val="center"/>
          </w:tcPr>
          <w:p w14:paraId="06FC9531"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3.2</w:t>
            </w:r>
          </w:p>
        </w:tc>
        <w:tc>
          <w:tcPr>
            <w:tcW w:w="2338" w:type="dxa"/>
            <w:vAlign w:val="center"/>
          </w:tcPr>
          <w:p w14:paraId="22F439EA"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3.6</w:t>
            </w:r>
          </w:p>
        </w:tc>
        <w:tc>
          <w:tcPr>
            <w:tcW w:w="2338" w:type="dxa"/>
            <w:vAlign w:val="center"/>
          </w:tcPr>
          <w:p w14:paraId="0E5E99EE" w14:textId="77777777" w:rsidR="00AC305C" w:rsidRPr="00E168A1" w:rsidRDefault="00A7170B" w:rsidP="00C57218">
            <w:pPr>
              <w:keepNext/>
              <w:keepLines/>
              <w:jc w:val="center"/>
              <w:rPr>
                <w:rStyle w:val="Hyperlink"/>
                <w:rFonts w:ascii="Times New Roman" w:hAnsi="Times New Roman"/>
                <w:color w:val="auto"/>
                <w:sz w:val="20"/>
                <w:szCs w:val="20"/>
                <w:u w:val="none"/>
              </w:rPr>
            </w:pPr>
            <w:r w:rsidRPr="00E168A1">
              <w:rPr>
                <w:rStyle w:val="Hyperlink"/>
                <w:rFonts w:ascii="Times New Roman" w:hAnsi="Times New Roman"/>
                <w:color w:val="auto"/>
                <w:sz w:val="20"/>
                <w:szCs w:val="20"/>
                <w:u w:val="none"/>
              </w:rPr>
              <w:t>2.7</w:t>
            </w:r>
          </w:p>
        </w:tc>
      </w:tr>
    </w:tbl>
    <w:p w14:paraId="724F95E3" w14:textId="4D24A35F" w:rsidR="00B36EE1" w:rsidRPr="00A90FD9" w:rsidRDefault="00A7170B" w:rsidP="006134B0">
      <w:pPr>
        <w:spacing w:after="0" w:line="0" w:lineRule="atLeast"/>
        <w:rPr>
          <w:rStyle w:val="Hyperlink"/>
          <w:rFonts w:ascii="Times New Roman" w:hAnsi="Times New Roman"/>
          <w:color w:val="auto"/>
          <w:sz w:val="20"/>
          <w:szCs w:val="20"/>
          <w:u w:val="none"/>
        </w:rPr>
      </w:pPr>
      <w:r w:rsidRPr="00E168A1">
        <w:rPr>
          <w:rStyle w:val="Hyperlink"/>
          <w:rFonts w:ascii="Times New Roman" w:hAnsi="Times New Roman"/>
          <w:i/>
          <w:color w:val="auto"/>
          <w:sz w:val="20"/>
          <w:szCs w:val="20"/>
          <w:u w:val="none"/>
        </w:rPr>
        <w:t>Source:</w:t>
      </w:r>
      <w:r w:rsidR="00900061" w:rsidRPr="00A90FD9">
        <w:rPr>
          <w:rStyle w:val="Hyperlink"/>
          <w:rFonts w:ascii="Times New Roman" w:hAnsi="Times New Roman"/>
          <w:color w:val="auto"/>
          <w:sz w:val="20"/>
          <w:szCs w:val="20"/>
          <w:u w:val="none"/>
        </w:rPr>
        <w:t xml:space="preserve"> </w:t>
      </w:r>
      <w:r w:rsidR="005F3BAA" w:rsidRPr="00A90FD9">
        <w:rPr>
          <w:rStyle w:val="Hyperlink"/>
          <w:rFonts w:ascii="Times New Roman" w:hAnsi="Times New Roman"/>
          <w:color w:val="auto"/>
          <w:sz w:val="20"/>
          <w:szCs w:val="20"/>
          <w:u w:val="none"/>
        </w:rPr>
        <w:t>PPO</w:t>
      </w:r>
      <w:r w:rsidR="000D6531" w:rsidRPr="00A90FD9">
        <w:rPr>
          <w:rStyle w:val="Hyperlink"/>
          <w:rFonts w:ascii="Times New Roman" w:hAnsi="Times New Roman"/>
          <w:color w:val="auto"/>
          <w:sz w:val="20"/>
          <w:szCs w:val="20"/>
          <w:u w:val="none"/>
        </w:rPr>
        <w:t>.</w:t>
      </w:r>
    </w:p>
    <w:p w14:paraId="21E2A7C9" w14:textId="586624A2" w:rsidR="00AE54E5" w:rsidRPr="00E168A1" w:rsidRDefault="00B03657" w:rsidP="00645878">
      <w:pPr>
        <w:pStyle w:val="ListParagraph"/>
        <w:numPr>
          <w:ilvl w:val="0"/>
          <w:numId w:val="9"/>
        </w:numPr>
        <w:ind w:left="0" w:firstLine="0"/>
        <w:contextualSpacing w:val="0"/>
        <w:rPr>
          <w:rFonts w:ascii="Times New Roman" w:hAnsi="Times New Roman"/>
        </w:rPr>
      </w:pPr>
      <w:r w:rsidRPr="001D0F93">
        <w:rPr>
          <w:rFonts w:ascii="Times New Roman" w:hAnsi="Times New Roman"/>
          <w:b/>
        </w:rPr>
        <w:t>If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annual</w:t>
      </w:r>
      <w:r w:rsidR="00900061" w:rsidRPr="00E168A1">
        <w:rPr>
          <w:rFonts w:ascii="Times New Roman" w:hAnsi="Times New Roman"/>
          <w:b/>
        </w:rPr>
        <w:t xml:space="preserve"> </w:t>
      </w:r>
      <w:r w:rsidRPr="00E168A1">
        <w:rPr>
          <w:rFonts w:ascii="Times New Roman" w:hAnsi="Times New Roman"/>
          <w:b/>
        </w:rPr>
        <w:t>estimated</w:t>
      </w:r>
      <w:r w:rsidR="00900061" w:rsidRPr="00E168A1">
        <w:rPr>
          <w:rFonts w:ascii="Times New Roman" w:hAnsi="Times New Roman"/>
          <w:b/>
        </w:rPr>
        <w:t xml:space="preserve"> </w:t>
      </w:r>
      <w:r w:rsidRPr="00E168A1">
        <w:rPr>
          <w:rFonts w:ascii="Times New Roman" w:hAnsi="Times New Roman"/>
          <w:b/>
        </w:rPr>
        <w:t>value</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purchase</w:t>
      </w:r>
      <w:r w:rsidR="00900061" w:rsidRPr="00E168A1">
        <w:rPr>
          <w:rFonts w:ascii="Times New Roman" w:hAnsi="Times New Roman"/>
          <w:b/>
        </w:rPr>
        <w:t xml:space="preserve"> </w:t>
      </w:r>
      <w:r w:rsidRPr="00E168A1">
        <w:rPr>
          <w:rFonts w:ascii="Times New Roman" w:hAnsi="Times New Roman"/>
          <w:b/>
        </w:rPr>
        <w:t>is</w:t>
      </w:r>
      <w:r w:rsidR="00900061" w:rsidRPr="00E168A1">
        <w:rPr>
          <w:rFonts w:ascii="Times New Roman" w:hAnsi="Times New Roman"/>
          <w:b/>
        </w:rPr>
        <w:t xml:space="preserve"> </w:t>
      </w:r>
      <w:r w:rsidRPr="00E168A1">
        <w:rPr>
          <w:rFonts w:ascii="Times New Roman" w:hAnsi="Times New Roman"/>
          <w:b/>
        </w:rPr>
        <w:t>less</w:t>
      </w:r>
      <w:r w:rsidR="00900061" w:rsidRPr="00E168A1">
        <w:rPr>
          <w:rFonts w:ascii="Times New Roman" w:hAnsi="Times New Roman"/>
          <w:b/>
        </w:rPr>
        <w:t xml:space="preserve"> </w:t>
      </w:r>
      <w:r w:rsidRPr="00E168A1">
        <w:rPr>
          <w:rFonts w:ascii="Times New Roman" w:hAnsi="Times New Roman"/>
          <w:b/>
        </w:rPr>
        <w:t>than</w:t>
      </w:r>
      <w:r w:rsidR="00900061" w:rsidRPr="00E168A1">
        <w:rPr>
          <w:rFonts w:ascii="Times New Roman" w:hAnsi="Times New Roman"/>
          <w:b/>
        </w:rPr>
        <w:t xml:space="preserve"> </w:t>
      </w:r>
      <w:r w:rsidRPr="00E168A1">
        <w:rPr>
          <w:rFonts w:ascii="Times New Roman" w:hAnsi="Times New Roman"/>
          <w:b/>
        </w:rPr>
        <w:t>RSD</w:t>
      </w:r>
      <w:r w:rsidR="00900061" w:rsidRPr="00E168A1">
        <w:rPr>
          <w:rFonts w:ascii="Times New Roman" w:hAnsi="Times New Roman"/>
          <w:b/>
        </w:rPr>
        <w:t xml:space="preserve"> </w:t>
      </w:r>
      <w:r w:rsidR="00C22E58" w:rsidRPr="00E168A1">
        <w:rPr>
          <w:rFonts w:ascii="Times New Roman" w:hAnsi="Times New Roman"/>
          <w:b/>
        </w:rPr>
        <w:t>5</w:t>
      </w:r>
      <w:r w:rsidRPr="00E168A1">
        <w:rPr>
          <w:rFonts w:ascii="Times New Roman" w:hAnsi="Times New Roman"/>
          <w:b/>
        </w:rPr>
        <w:t>00,000</w:t>
      </w:r>
      <w:r w:rsidR="00900061" w:rsidRPr="00E168A1">
        <w:rPr>
          <w:rFonts w:ascii="Times New Roman" w:hAnsi="Times New Roman"/>
          <w:b/>
        </w:rPr>
        <w:t xml:space="preserve"> </w:t>
      </w:r>
      <w:r w:rsidRPr="00E168A1">
        <w:rPr>
          <w:rFonts w:ascii="Times New Roman" w:hAnsi="Times New Roman"/>
          <w:b/>
        </w:rPr>
        <w:t>(approximately</w:t>
      </w:r>
      <w:r w:rsidR="00900061" w:rsidRPr="00E168A1">
        <w:rPr>
          <w:rFonts w:ascii="Times New Roman" w:hAnsi="Times New Roman"/>
          <w:b/>
        </w:rPr>
        <w:t xml:space="preserve"> </w:t>
      </w:r>
      <w:r w:rsidR="00B71C7F" w:rsidRPr="00E168A1">
        <w:rPr>
          <w:rFonts w:ascii="Times New Roman" w:hAnsi="Times New Roman"/>
        </w:rPr>
        <w:t>€</w:t>
      </w:r>
      <w:r w:rsidR="000A6C5E" w:rsidRPr="00E168A1">
        <w:rPr>
          <w:rFonts w:ascii="Times New Roman" w:hAnsi="Times New Roman"/>
          <w:b/>
        </w:rPr>
        <w:t>4,200</w:t>
      </w:r>
      <w:r w:rsidRPr="00E168A1">
        <w:rPr>
          <w:rFonts w:ascii="Times New Roman" w:hAnsi="Times New Roman"/>
          <w:b/>
        </w:rPr>
        <w:t>),</w:t>
      </w:r>
      <w:r w:rsidR="00900061" w:rsidRPr="00E168A1">
        <w:rPr>
          <w:rFonts w:ascii="Times New Roman" w:hAnsi="Times New Roman"/>
        </w:rPr>
        <w:t xml:space="preserve"> </w:t>
      </w:r>
      <w:r w:rsidRPr="00E168A1">
        <w:rPr>
          <w:rFonts w:ascii="Times New Roman" w:hAnsi="Times New Roman"/>
          <w:b/>
        </w:rPr>
        <w:t>contracting</w:t>
      </w:r>
      <w:r w:rsidR="00900061" w:rsidRPr="00E168A1">
        <w:rPr>
          <w:rFonts w:ascii="Times New Roman" w:hAnsi="Times New Roman"/>
          <w:b/>
        </w:rPr>
        <w:t xml:space="preserve"> </w:t>
      </w:r>
      <w:r w:rsidRPr="00E168A1">
        <w:rPr>
          <w:rFonts w:ascii="Times New Roman" w:hAnsi="Times New Roman"/>
          <w:b/>
        </w:rPr>
        <w:t>authorities</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not</w:t>
      </w:r>
      <w:r w:rsidR="00900061" w:rsidRPr="00E168A1">
        <w:rPr>
          <w:rFonts w:ascii="Times New Roman" w:hAnsi="Times New Roman"/>
          <w:b/>
        </w:rPr>
        <w:t xml:space="preserve"> </w:t>
      </w:r>
      <w:r w:rsidRPr="00E168A1">
        <w:rPr>
          <w:rFonts w:ascii="Times New Roman" w:hAnsi="Times New Roman"/>
          <w:b/>
        </w:rPr>
        <w:t>obliged</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apply</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goods,</w:t>
      </w:r>
      <w:r w:rsidR="00900061" w:rsidRPr="00E168A1">
        <w:rPr>
          <w:rFonts w:ascii="Times New Roman" w:hAnsi="Times New Roman"/>
          <w:b/>
        </w:rPr>
        <w:t xml:space="preserve"> </w:t>
      </w:r>
      <w:r w:rsidRPr="00E168A1">
        <w:rPr>
          <w:rFonts w:ascii="Times New Roman" w:hAnsi="Times New Roman"/>
          <w:b/>
        </w:rPr>
        <w:t>services</w:t>
      </w:r>
      <w:r w:rsidR="00436D40" w:rsidRPr="00E168A1">
        <w:rPr>
          <w:rFonts w:ascii="Times New Roman" w:hAnsi="Times New Roman"/>
          <w:b/>
        </w:rPr>
        <w:t>,</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works.</w:t>
      </w:r>
      <w:r w:rsidR="00900061" w:rsidRPr="00E168A1">
        <w:rPr>
          <w:rFonts w:ascii="Times New Roman" w:hAnsi="Times New Roman"/>
        </w:rPr>
        <w:t xml:space="preserve"> </w:t>
      </w:r>
      <w:r w:rsidRPr="00E168A1">
        <w:rPr>
          <w:rFonts w:ascii="Times New Roman" w:hAnsi="Times New Roman"/>
        </w:rPr>
        <w:t>However,</w:t>
      </w:r>
      <w:r w:rsidR="00900061" w:rsidRPr="00E168A1">
        <w:rPr>
          <w:rFonts w:ascii="Times New Roman" w:hAnsi="Times New Roman"/>
        </w:rPr>
        <w:t xml:space="preserve"> </w:t>
      </w:r>
      <w:r w:rsidRPr="00E168A1">
        <w:rPr>
          <w:rFonts w:ascii="Times New Roman" w:hAnsi="Times New Roman"/>
        </w:rPr>
        <w:t>they</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obliged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00515DFF" w:rsidRPr="00E168A1">
        <w:rPr>
          <w:rFonts w:ascii="Times New Roman" w:hAnsi="Times New Roman"/>
        </w:rPr>
        <w:t>L</w:t>
      </w:r>
      <w:r w:rsidRPr="00E168A1">
        <w:rPr>
          <w:rFonts w:ascii="Times New Roman" w:hAnsi="Times New Roman"/>
        </w:rPr>
        <w:t>aw</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prevent</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conflict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interest,</w:t>
      </w:r>
      <w:r w:rsidR="00900061" w:rsidRPr="00E168A1">
        <w:rPr>
          <w:rFonts w:ascii="Times New Roman" w:hAnsi="Times New Roman"/>
        </w:rPr>
        <w:t xml:space="preserve"> </w:t>
      </w:r>
      <w:r w:rsidRPr="00E168A1">
        <w:rPr>
          <w:rFonts w:ascii="Times New Roman" w:hAnsi="Times New Roman"/>
        </w:rPr>
        <w:t>ensure</w:t>
      </w:r>
      <w:r w:rsidR="00900061" w:rsidRPr="00E168A1">
        <w:rPr>
          <w:rFonts w:ascii="Times New Roman" w:hAnsi="Times New Roman"/>
        </w:rPr>
        <w:t xml:space="preserve"> </w:t>
      </w:r>
      <w:r w:rsidRPr="00E168A1">
        <w:rPr>
          <w:rFonts w:ascii="Times New Roman" w:hAnsi="Times New Roman"/>
        </w:rPr>
        <w:t>competition</w:t>
      </w:r>
      <w:r w:rsidR="00C24CE7"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ensure</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price</w:t>
      </w:r>
      <w:r w:rsidR="00900061" w:rsidRPr="00E168A1">
        <w:rPr>
          <w:rFonts w:ascii="Times New Roman" w:hAnsi="Times New Roman"/>
        </w:rPr>
        <w:t xml:space="preserve"> </w:t>
      </w:r>
      <w:r w:rsidRPr="00E168A1">
        <w:rPr>
          <w:rFonts w:ascii="Times New Roman" w:hAnsi="Times New Roman"/>
        </w:rPr>
        <w:t>does</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exceed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comparable</w:t>
      </w:r>
      <w:r w:rsidR="00900061" w:rsidRPr="00E168A1">
        <w:rPr>
          <w:rFonts w:ascii="Times New Roman" w:hAnsi="Times New Roman"/>
        </w:rPr>
        <w:t xml:space="preserve"> </w:t>
      </w:r>
      <w:r w:rsidRPr="00E168A1">
        <w:rPr>
          <w:rFonts w:ascii="Times New Roman" w:hAnsi="Times New Roman"/>
        </w:rPr>
        <w:t>market</w:t>
      </w:r>
      <w:r w:rsidR="00900061" w:rsidRPr="00E168A1">
        <w:rPr>
          <w:rFonts w:ascii="Times New Roman" w:hAnsi="Times New Roman"/>
        </w:rPr>
        <w:t xml:space="preserve"> </w:t>
      </w:r>
      <w:r w:rsidRPr="00E168A1">
        <w:rPr>
          <w:rFonts w:ascii="Times New Roman" w:hAnsi="Times New Roman"/>
        </w:rPr>
        <w:t>price.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low-value</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(annual</w:t>
      </w:r>
      <w:r w:rsidR="00900061" w:rsidRPr="00E168A1">
        <w:rPr>
          <w:rFonts w:ascii="Times New Roman" w:hAnsi="Times New Roman"/>
        </w:rPr>
        <w:t xml:space="preserve"> </w:t>
      </w:r>
      <w:r w:rsidRPr="00E168A1">
        <w:rPr>
          <w:rFonts w:ascii="Times New Roman" w:hAnsi="Times New Roman"/>
        </w:rPr>
        <w:t>estimated</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below</w:t>
      </w:r>
      <w:r w:rsidR="00900061" w:rsidRPr="00E168A1">
        <w:rPr>
          <w:rFonts w:ascii="Times New Roman" w:hAnsi="Times New Roman"/>
        </w:rPr>
        <w:t xml:space="preserve"> </w:t>
      </w:r>
      <w:r w:rsidR="005A1DDA" w:rsidRPr="00E168A1">
        <w:rPr>
          <w:rFonts w:ascii="Times New Roman" w:hAnsi="Times New Roman"/>
        </w:rPr>
        <w:t>RSD</w:t>
      </w:r>
      <w:r w:rsidR="00900061" w:rsidRPr="00E168A1">
        <w:rPr>
          <w:rFonts w:ascii="Times New Roman" w:hAnsi="Times New Roman"/>
        </w:rPr>
        <w:t xml:space="preserve"> </w:t>
      </w:r>
      <w:r w:rsidR="00816C6B" w:rsidRPr="00E168A1">
        <w:rPr>
          <w:rFonts w:ascii="Times New Roman" w:hAnsi="Times New Roman"/>
        </w:rPr>
        <w:t>5</w:t>
      </w:r>
      <w:r w:rsidRPr="00E168A1">
        <w:rPr>
          <w:rFonts w:ascii="Times New Roman" w:hAnsi="Times New Roman"/>
        </w:rPr>
        <w:t>,000,000</w:t>
      </w:r>
      <w:r w:rsidR="00900061" w:rsidRPr="00E168A1">
        <w:rPr>
          <w:rFonts w:ascii="Times New Roman" w:hAnsi="Times New Roman"/>
        </w:rPr>
        <w:t xml:space="preserve"> </w:t>
      </w:r>
      <w:r w:rsidRPr="00E168A1">
        <w:rPr>
          <w:rFonts w:ascii="Times New Roman" w:hAnsi="Times New Roman"/>
        </w:rPr>
        <w:t>(</w:t>
      </w:r>
      <w:r w:rsidR="00B71C7F" w:rsidRPr="00E168A1">
        <w:rPr>
          <w:rFonts w:ascii="Times New Roman" w:hAnsi="Times New Roman"/>
        </w:rPr>
        <w:t>€</w:t>
      </w:r>
      <w:r w:rsidR="00816C6B" w:rsidRPr="00E168A1">
        <w:rPr>
          <w:rFonts w:ascii="Times New Roman" w:hAnsi="Times New Roman"/>
        </w:rPr>
        <w:t>40</w:t>
      </w:r>
      <w:r w:rsidRPr="00E168A1">
        <w:rPr>
          <w:rFonts w:ascii="Times New Roman" w:hAnsi="Times New Roman"/>
        </w:rPr>
        <w:t>,000),</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81C8C" w:rsidRPr="00E168A1">
        <w:rPr>
          <w:rFonts w:ascii="Times New Roman" w:hAnsi="Times New Roman"/>
        </w:rPr>
        <w:t>‘</w:t>
      </w:r>
      <w:r w:rsidRPr="00E168A1">
        <w:rPr>
          <w:rFonts w:ascii="Times New Roman" w:hAnsi="Times New Roman"/>
        </w:rPr>
        <w:t>shopping</w:t>
      </w:r>
      <w:r w:rsidR="00900061" w:rsidRPr="00E168A1">
        <w:rPr>
          <w:rFonts w:ascii="Times New Roman" w:hAnsi="Times New Roman"/>
        </w:rPr>
        <w:t xml:space="preserve"> </w:t>
      </w:r>
      <w:r w:rsidRPr="00E168A1">
        <w:rPr>
          <w:rFonts w:ascii="Times New Roman" w:hAnsi="Times New Roman"/>
        </w:rPr>
        <w:t>method</w:t>
      </w:r>
      <w:r w:rsidR="00381C8C"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but</w:t>
      </w:r>
      <w:r w:rsidR="00900061" w:rsidRPr="00E168A1">
        <w:rPr>
          <w:rFonts w:ascii="Times New Roman" w:hAnsi="Times New Roman"/>
        </w:rPr>
        <w:t xml:space="preserve"> </w:t>
      </w:r>
      <w:r w:rsidRPr="00E168A1">
        <w:rPr>
          <w:rFonts w:ascii="Times New Roman" w:hAnsi="Times New Roman"/>
        </w:rPr>
        <w:t>need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publish</w:t>
      </w:r>
      <w:r w:rsidR="00900061" w:rsidRPr="00E168A1">
        <w:rPr>
          <w:rFonts w:ascii="Times New Roman" w:hAnsi="Times New Roman"/>
        </w:rPr>
        <w:t xml:space="preserve"> </w:t>
      </w:r>
      <w:r w:rsidRPr="00E168A1">
        <w:rPr>
          <w:rFonts w:ascii="Times New Roman" w:hAnsi="Times New Roman"/>
        </w:rPr>
        <w:t>notice</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bidding</w:t>
      </w:r>
      <w:r w:rsidR="00900061" w:rsidRPr="00E168A1">
        <w:rPr>
          <w:rFonts w:ascii="Times New Roman" w:hAnsi="Times New Roman"/>
        </w:rPr>
        <w:t xml:space="preserve"> </w:t>
      </w:r>
      <w:r w:rsidRPr="00E168A1">
        <w:rPr>
          <w:rFonts w:ascii="Times New Roman" w:hAnsi="Times New Roman"/>
        </w:rPr>
        <w:t>documents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81C8C"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381C8C"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381C8C"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rPr>
        <w:t>Above</w:t>
      </w:r>
      <w:r w:rsidR="00900061" w:rsidRPr="00E168A1">
        <w:rPr>
          <w:rFonts w:ascii="Times New Roman" w:hAnsi="Times New Roman"/>
        </w:rPr>
        <w:t xml:space="preserve"> </w:t>
      </w:r>
      <w:r w:rsidRPr="00E168A1">
        <w:rPr>
          <w:rFonts w:ascii="Times New Roman" w:hAnsi="Times New Roman"/>
        </w:rPr>
        <w:t>these</w:t>
      </w:r>
      <w:r w:rsidR="00900061" w:rsidRPr="00E168A1">
        <w:rPr>
          <w:rFonts w:ascii="Times New Roman" w:hAnsi="Times New Roman"/>
        </w:rPr>
        <w:t xml:space="preserve"> </w:t>
      </w:r>
      <w:r w:rsidRPr="00E168A1">
        <w:rPr>
          <w:rFonts w:ascii="Times New Roman" w:hAnsi="Times New Roman"/>
        </w:rPr>
        <w:t>thresholds,</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who</w:t>
      </w:r>
      <w:r w:rsidR="00900061" w:rsidRPr="00E168A1">
        <w:rPr>
          <w:rFonts w:ascii="Times New Roman" w:hAnsi="Times New Roman"/>
        </w:rPr>
        <w:t xml:space="preserve"> </w:t>
      </w:r>
      <w:r w:rsidRPr="00E168A1">
        <w:rPr>
          <w:rFonts w:ascii="Times New Roman" w:hAnsi="Times New Roman"/>
        </w:rPr>
        <w:t>wish</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less</w:t>
      </w:r>
      <w:r w:rsidR="00900061" w:rsidRPr="00E168A1">
        <w:rPr>
          <w:rFonts w:ascii="Times New Roman" w:hAnsi="Times New Roman"/>
        </w:rPr>
        <w:t xml:space="preserve"> </w:t>
      </w:r>
      <w:r w:rsidRPr="00E168A1">
        <w:rPr>
          <w:rFonts w:ascii="Times New Roman" w:hAnsi="Times New Roman"/>
        </w:rPr>
        <w:t>competitive</w:t>
      </w:r>
      <w:r w:rsidR="00900061" w:rsidRPr="00E168A1">
        <w:rPr>
          <w:rFonts w:ascii="Times New Roman" w:hAnsi="Times New Roman"/>
        </w:rPr>
        <w:t xml:space="preserve"> </w:t>
      </w:r>
      <w:r w:rsidRPr="00E168A1">
        <w:rPr>
          <w:rFonts w:ascii="Times New Roman" w:hAnsi="Times New Roman"/>
        </w:rPr>
        <w:t>methods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w:t>
      </w:r>
      <w:r w:rsidR="00234CF2" w:rsidRPr="00E168A1">
        <w:rPr>
          <w:rFonts w:ascii="Times New Roman" w:hAnsi="Times New Roman"/>
        </w:rPr>
        <w:t>for example,</w:t>
      </w:r>
      <w:r w:rsidR="00900061" w:rsidRPr="00E168A1">
        <w:rPr>
          <w:rFonts w:ascii="Times New Roman" w:hAnsi="Times New Roman"/>
        </w:rPr>
        <w:t xml:space="preserve"> </w:t>
      </w:r>
      <w:r w:rsidR="00381C8C" w:rsidRPr="00E168A1">
        <w:rPr>
          <w:rFonts w:ascii="Times New Roman" w:hAnsi="Times New Roman"/>
        </w:rPr>
        <w:t>n</w:t>
      </w:r>
      <w:r w:rsidRPr="00E168A1">
        <w:rPr>
          <w:rFonts w:ascii="Times New Roman" w:hAnsi="Times New Roman"/>
        </w:rPr>
        <w:t>egotiated</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without</w:t>
      </w:r>
      <w:r w:rsidR="00900061" w:rsidRPr="00E168A1">
        <w:rPr>
          <w:rFonts w:ascii="Times New Roman" w:hAnsi="Times New Roman"/>
        </w:rPr>
        <w:t xml:space="preserve"> </w:t>
      </w:r>
      <w:r w:rsidRPr="00E168A1">
        <w:rPr>
          <w:rFonts w:ascii="Times New Roman" w:hAnsi="Times New Roman"/>
        </w:rPr>
        <w:t>invitation</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bid,</w:t>
      </w:r>
      <w:r w:rsidR="00900061" w:rsidRPr="00E168A1">
        <w:rPr>
          <w:rFonts w:ascii="Times New Roman" w:hAnsi="Times New Roman"/>
        </w:rPr>
        <w:t xml:space="preserve"> </w:t>
      </w:r>
      <w:r w:rsidRPr="00E168A1">
        <w:rPr>
          <w:rFonts w:ascii="Times New Roman" w:hAnsi="Times New Roman"/>
        </w:rPr>
        <w:t>Article</w:t>
      </w:r>
      <w:r w:rsidR="00900061" w:rsidRPr="00E168A1">
        <w:rPr>
          <w:rFonts w:ascii="Times New Roman" w:hAnsi="Times New Roman"/>
        </w:rPr>
        <w:t xml:space="preserve"> </w:t>
      </w:r>
      <w:r w:rsidRPr="00E168A1">
        <w:rPr>
          <w:rFonts w:ascii="Times New Roman" w:hAnsi="Times New Roman"/>
        </w:rPr>
        <w:t>36</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8504FC"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007B7581" w:rsidRPr="00E168A1">
        <w:rPr>
          <w:rFonts w:ascii="Times New Roman" w:hAnsi="Times New Roman"/>
        </w:rPr>
        <w:t>c</w:t>
      </w:r>
      <w:r w:rsidRPr="00E168A1">
        <w:rPr>
          <w:rFonts w:ascii="Times New Roman" w:hAnsi="Times New Roman"/>
        </w:rPr>
        <w:t>ompetitive</w:t>
      </w:r>
      <w:r w:rsidR="00900061" w:rsidRPr="00E168A1">
        <w:rPr>
          <w:rFonts w:ascii="Times New Roman" w:hAnsi="Times New Roman"/>
        </w:rPr>
        <w:t xml:space="preserve"> </w:t>
      </w:r>
      <w:r w:rsidRPr="00E168A1">
        <w:rPr>
          <w:rFonts w:ascii="Times New Roman" w:hAnsi="Times New Roman"/>
        </w:rPr>
        <w:t>dialogue,</w:t>
      </w:r>
      <w:r w:rsidR="00900061" w:rsidRPr="00E168A1">
        <w:rPr>
          <w:rFonts w:ascii="Times New Roman" w:hAnsi="Times New Roman"/>
        </w:rPr>
        <w:t xml:space="preserve"> </w:t>
      </w:r>
      <w:r w:rsidRPr="00E168A1">
        <w:rPr>
          <w:rFonts w:ascii="Times New Roman" w:hAnsi="Times New Roman"/>
        </w:rPr>
        <w:t>Article</w:t>
      </w:r>
      <w:r w:rsidR="00900061" w:rsidRPr="00E168A1">
        <w:rPr>
          <w:rFonts w:ascii="Times New Roman" w:hAnsi="Times New Roman"/>
        </w:rPr>
        <w:t xml:space="preserve"> </w:t>
      </w:r>
      <w:r w:rsidRPr="00E168A1">
        <w:rPr>
          <w:rFonts w:ascii="Times New Roman" w:hAnsi="Times New Roman"/>
        </w:rPr>
        <w:t>37</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lastRenderedPageBreak/>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must</w:t>
      </w:r>
      <w:r w:rsidR="00900061" w:rsidRPr="00E168A1">
        <w:rPr>
          <w:rFonts w:ascii="Times New Roman" w:hAnsi="Times New Roman"/>
        </w:rPr>
        <w:t xml:space="preserve"> </w:t>
      </w:r>
      <w:r w:rsidRPr="00E168A1">
        <w:rPr>
          <w:rFonts w:ascii="Times New Roman" w:hAnsi="Times New Roman"/>
        </w:rPr>
        <w:t>obtain</w:t>
      </w:r>
      <w:r w:rsidR="00900061" w:rsidRPr="00E168A1">
        <w:rPr>
          <w:rFonts w:ascii="Times New Roman" w:hAnsi="Times New Roman"/>
        </w:rPr>
        <w:t xml:space="preserve"> </w:t>
      </w:r>
      <w:r w:rsidRPr="00E168A1">
        <w:rPr>
          <w:rFonts w:ascii="Times New Roman" w:hAnsi="Times New Roman"/>
        </w:rPr>
        <w:t>prior</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approval.</w:t>
      </w:r>
      <w:r w:rsidRPr="00E168A1">
        <w:rPr>
          <w:rFonts w:ascii="Times New Roman" w:hAnsi="Times New Roman"/>
          <w:vertAlign w:val="superscript"/>
        </w:rPr>
        <w:footnoteReference w:id="17"/>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provision</w:t>
      </w:r>
      <w:r w:rsidR="00900061" w:rsidRPr="00E168A1">
        <w:rPr>
          <w:rFonts w:ascii="Times New Roman" w:hAnsi="Times New Roman"/>
        </w:rPr>
        <w:t xml:space="preserve">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reduced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incidence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5B133B" w:rsidRPr="00E168A1">
        <w:rPr>
          <w:rFonts w:ascii="Times New Roman" w:hAnsi="Times New Roman"/>
        </w:rPr>
        <w:t>n</w:t>
      </w:r>
      <w:r w:rsidRPr="00E168A1">
        <w:rPr>
          <w:rFonts w:ascii="Times New Roman" w:hAnsi="Times New Roman"/>
        </w:rPr>
        <w:t>egotiated</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00816C6B" w:rsidRPr="00E168A1">
        <w:rPr>
          <w:rFonts w:ascii="Times New Roman" w:hAnsi="Times New Roman"/>
        </w:rPr>
        <w:t>without</w:t>
      </w:r>
      <w:r w:rsidR="00900061" w:rsidRPr="00E168A1">
        <w:rPr>
          <w:rFonts w:ascii="Times New Roman" w:hAnsi="Times New Roman"/>
        </w:rPr>
        <w:t xml:space="preserve"> </w:t>
      </w:r>
      <w:r w:rsidR="00816C6B" w:rsidRPr="00E168A1">
        <w:rPr>
          <w:rFonts w:ascii="Times New Roman" w:hAnsi="Times New Roman"/>
        </w:rPr>
        <w:t>invitation</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24</w:t>
      </w:r>
      <w:r w:rsidR="00950355" w:rsidRPr="00E168A1">
        <w:rPr>
          <w:rFonts w:ascii="Times New Roman" w:hAnsi="Times New Roman"/>
        </w:rPr>
        <w:t xml:space="preserve"> percent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total</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11</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second</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4</w:t>
      </w:r>
      <w:r w:rsidR="00950355" w:rsidRPr="00E168A1">
        <w:rPr>
          <w:rFonts w:ascii="Times New Roman" w:hAnsi="Times New Roman"/>
        </w:rPr>
        <w:t xml:space="preserve"> percent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total</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tenders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2014</w:t>
      </w:r>
      <w:r w:rsidR="00610D50" w:rsidRPr="00E168A1">
        <w:rPr>
          <w:rFonts w:ascii="Times New Roman" w:hAnsi="Times New Roman"/>
        </w:rPr>
        <w:t>.</w:t>
      </w:r>
      <w:r w:rsidRPr="00E168A1">
        <w:rPr>
          <w:rStyle w:val="FootnoteReference"/>
          <w:rFonts w:ascii="Times New Roman" w:hAnsi="Times New Roman"/>
        </w:rPr>
        <w:footnoteReference w:id="18"/>
      </w:r>
      <w:r w:rsidR="00900061" w:rsidRPr="00E168A1">
        <w:rPr>
          <w:rFonts w:ascii="Times New Roman" w:hAnsi="Times New Roman"/>
        </w:rPr>
        <w:t xml:space="preserve"> </w:t>
      </w:r>
      <w:r w:rsidRPr="00E168A1">
        <w:rPr>
          <w:rFonts w:ascii="Times New Roman" w:hAnsi="Times New Roman"/>
        </w:rPr>
        <w:t>Correspondingly,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open</w:t>
      </w:r>
      <w:r w:rsidR="00900061" w:rsidRPr="00E168A1">
        <w:rPr>
          <w:rFonts w:ascii="Times New Roman" w:hAnsi="Times New Roman"/>
        </w:rPr>
        <w:t xml:space="preserve"> </w:t>
      </w:r>
      <w:r w:rsidRPr="00E168A1">
        <w:rPr>
          <w:rFonts w:ascii="Times New Roman" w:hAnsi="Times New Roman"/>
        </w:rPr>
        <w:t>competitive</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increased</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54</w:t>
      </w:r>
      <w:r w:rsidR="00950355" w:rsidRPr="00E168A1">
        <w:rPr>
          <w:rFonts w:ascii="Times New Roman" w:hAnsi="Times New Roman"/>
        </w:rPr>
        <w:t xml:space="preserve"> percent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total</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79</w:t>
      </w:r>
      <w:r w:rsidR="00950355" w:rsidRPr="00E168A1">
        <w:rPr>
          <w:rFonts w:ascii="Times New Roman" w:hAnsi="Times New Roman"/>
        </w:rPr>
        <w:t xml:space="preserve"> percent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second</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2013</w:t>
      </w:r>
      <w:r w:rsidRPr="00E168A1">
        <w:rPr>
          <w:rFonts w:ascii="Times New Roman" w:hAnsi="Times New Roman"/>
          <w:vertAlign w:val="superscript"/>
        </w:rPr>
        <w:footnoteReference w:id="19"/>
      </w:r>
      <w:r w:rsidR="00900061" w:rsidRPr="00E168A1">
        <w:rPr>
          <w:rFonts w:ascii="Times New Roman" w:hAnsi="Times New Roman"/>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86</w:t>
      </w:r>
      <w:r w:rsidR="00950355" w:rsidRPr="00E168A1">
        <w:rPr>
          <w:rFonts w:ascii="Times New Roman" w:hAnsi="Times New Roman"/>
          <w:color w:val="000000"/>
        </w:rPr>
        <w:t xml:space="preserve"> percent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2014,</w:t>
      </w:r>
      <w:r w:rsidR="00900061" w:rsidRPr="00E168A1">
        <w:rPr>
          <w:rFonts w:ascii="Times New Roman" w:hAnsi="Times New Roman"/>
          <w:color w:val="000000"/>
        </w:rPr>
        <w:t xml:space="preserve"> </w:t>
      </w:r>
      <w:r w:rsidRPr="00E168A1">
        <w:rPr>
          <w:rFonts w:ascii="Times New Roman" w:hAnsi="Times New Roman"/>
          <w:color w:val="000000"/>
        </w:rPr>
        <w:t>according</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2F1834" w:rsidRPr="00E168A1">
        <w:rPr>
          <w:rFonts w:ascii="Times New Roman" w:hAnsi="Times New Roman"/>
          <w:color w:val="000000"/>
        </w:rPr>
        <w:t>A</w:t>
      </w:r>
      <w:r w:rsidRPr="00E168A1">
        <w:rPr>
          <w:rFonts w:ascii="Times New Roman" w:hAnsi="Times New Roman"/>
          <w:color w:val="000000"/>
        </w:rPr>
        <w:t>nnual</w:t>
      </w:r>
      <w:r w:rsidR="00900061" w:rsidRPr="00E168A1">
        <w:rPr>
          <w:rFonts w:ascii="Times New Roman" w:hAnsi="Times New Roman"/>
          <w:color w:val="000000"/>
        </w:rPr>
        <w:t xml:space="preserve"> </w:t>
      </w:r>
      <w:r w:rsidR="002F1834" w:rsidRPr="00E168A1">
        <w:rPr>
          <w:rFonts w:ascii="Times New Roman" w:hAnsi="Times New Roman"/>
          <w:color w:val="000000"/>
        </w:rPr>
        <w:t>R</w:t>
      </w:r>
      <w:r w:rsidRPr="00E168A1">
        <w:rPr>
          <w:rFonts w:ascii="Times New Roman" w:hAnsi="Times New Roman"/>
          <w:color w:val="000000"/>
        </w:rPr>
        <w:t>eport</w:t>
      </w:r>
      <w:r w:rsidR="00900061" w:rsidRPr="00E168A1">
        <w:rPr>
          <w:rFonts w:ascii="Times New Roman" w:hAnsi="Times New Roman"/>
          <w:color w:val="000000"/>
        </w:rPr>
        <w:t xml:space="preserve"> </w:t>
      </w:r>
      <w:r w:rsidRPr="00E168A1">
        <w:rPr>
          <w:rFonts w:ascii="Times New Roman" w:hAnsi="Times New Roman"/>
          <w:color w:val="000000"/>
        </w:rPr>
        <w:t>2014</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5F3BAA" w:rsidRPr="00E168A1">
        <w:rPr>
          <w:rFonts w:ascii="Times New Roman" w:hAnsi="Times New Roman"/>
          <w:color w:val="000000"/>
        </w:rPr>
        <w:t>PPO</w:t>
      </w:r>
      <w:r w:rsidRPr="00E168A1">
        <w:rPr>
          <w:rFonts w:ascii="Times New Roman" w:hAnsi="Times New Roman"/>
          <w:color w:val="000000"/>
        </w:rPr>
        <w:t>.</w:t>
      </w:r>
      <w:r w:rsidR="00AE54E5" w:rsidRPr="00E168A1">
        <w:rPr>
          <w:rFonts w:ascii="Times New Roman" w:hAnsi="Times New Roman"/>
          <w:color w:val="000000"/>
          <w:vertAlign w:val="superscript"/>
        </w:rPr>
        <w:footnoteReference w:id="20"/>
      </w:r>
      <w:r w:rsidR="00950355"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average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bids</w:t>
      </w:r>
      <w:r w:rsidR="00900061" w:rsidRPr="00E168A1">
        <w:rPr>
          <w:rFonts w:ascii="Times New Roman" w:eastAsia="Times New Roman" w:hAnsi="Times New Roman"/>
        </w:rPr>
        <w:t xml:space="preserve"> </w:t>
      </w:r>
      <w:r w:rsidRPr="00E168A1">
        <w:rPr>
          <w:rFonts w:ascii="Times New Roman" w:eastAsia="Times New Roman" w:hAnsi="Times New Roman"/>
        </w:rPr>
        <w:t>per</w:t>
      </w:r>
      <w:r w:rsidR="00900061" w:rsidRPr="00E168A1">
        <w:rPr>
          <w:rFonts w:ascii="Times New Roman" w:eastAsia="Times New Roman" w:hAnsi="Times New Roman"/>
        </w:rPr>
        <w:t xml:space="preserve"> </w:t>
      </w:r>
      <w:r w:rsidRPr="00E168A1">
        <w:rPr>
          <w:rFonts w:ascii="Times New Roman" w:eastAsia="Times New Roman" w:hAnsi="Times New Roman"/>
        </w:rPr>
        <w:t>tender</w:t>
      </w:r>
      <w:r w:rsidR="00900061" w:rsidRPr="00E168A1">
        <w:rPr>
          <w:rFonts w:ascii="Times New Roman" w:eastAsia="Times New Roman" w:hAnsi="Times New Roman"/>
        </w:rPr>
        <w:t xml:space="preserve"> </w:t>
      </w:r>
      <w:r w:rsidRPr="00E168A1">
        <w:rPr>
          <w:rFonts w:ascii="Times New Roman" w:eastAsia="Times New Roman" w:hAnsi="Times New Roman"/>
        </w:rPr>
        <w:t>remained</w:t>
      </w:r>
      <w:r w:rsidR="00900061" w:rsidRPr="00E168A1">
        <w:rPr>
          <w:rFonts w:ascii="Times New Roman" w:eastAsia="Times New Roman" w:hAnsi="Times New Roman"/>
        </w:rPr>
        <w:t xml:space="preserve"> </w:t>
      </w:r>
      <w:r w:rsidRPr="00E168A1">
        <w:rPr>
          <w:rFonts w:ascii="Times New Roman" w:eastAsia="Times New Roman" w:hAnsi="Times New Roman"/>
        </w:rPr>
        <w:t>stable,</w:t>
      </w:r>
      <w:r w:rsidR="00900061" w:rsidRPr="00E168A1">
        <w:rPr>
          <w:rFonts w:ascii="Times New Roman" w:eastAsia="Times New Roman" w:hAnsi="Times New Roman"/>
        </w:rPr>
        <w:t xml:space="preserve"> </w:t>
      </w:r>
      <w:r w:rsidRPr="00E168A1">
        <w:rPr>
          <w:rFonts w:ascii="Times New Roman" w:eastAsia="Times New Roman" w:hAnsi="Times New Roman"/>
        </w:rPr>
        <w:t>at</w:t>
      </w:r>
      <w:r w:rsidR="00900061" w:rsidRPr="00E168A1">
        <w:rPr>
          <w:rFonts w:ascii="Times New Roman" w:eastAsia="Times New Roman" w:hAnsi="Times New Roman"/>
        </w:rPr>
        <w:t xml:space="preserve"> </w:t>
      </w:r>
      <w:r w:rsidRPr="00E168A1">
        <w:rPr>
          <w:rFonts w:ascii="Times New Roman" w:eastAsia="Times New Roman" w:hAnsi="Times New Roman"/>
        </w:rPr>
        <w:t>2.7</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first</w:t>
      </w:r>
      <w:r w:rsidR="00900061" w:rsidRPr="00E168A1">
        <w:rPr>
          <w:rFonts w:ascii="Times New Roman" w:eastAsia="Times New Roman" w:hAnsi="Times New Roman"/>
        </w:rPr>
        <w:t xml:space="preserve"> </w:t>
      </w:r>
      <w:r w:rsidRPr="00E168A1">
        <w:rPr>
          <w:rFonts w:ascii="Times New Roman" w:eastAsia="Times New Roman" w:hAnsi="Times New Roman"/>
        </w:rPr>
        <w:t>half</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900061" w:rsidRPr="00E168A1">
        <w:rPr>
          <w:rFonts w:ascii="Times New Roman" w:eastAsia="Times New Roman" w:hAnsi="Times New Roman"/>
        </w:rPr>
        <w:t xml:space="preserve"> </w:t>
      </w:r>
      <w:r w:rsidRPr="00E168A1">
        <w:rPr>
          <w:rFonts w:ascii="Times New Roman" w:eastAsia="Times New Roman" w:hAnsi="Times New Roman"/>
        </w:rPr>
        <w:t>against</w:t>
      </w:r>
      <w:r w:rsidR="00900061" w:rsidRPr="00E168A1">
        <w:rPr>
          <w:rFonts w:ascii="Times New Roman" w:eastAsia="Times New Roman" w:hAnsi="Times New Roman"/>
        </w:rPr>
        <w:t xml:space="preserve"> </w:t>
      </w:r>
      <w:r w:rsidRPr="00E168A1">
        <w:rPr>
          <w:rFonts w:ascii="Times New Roman" w:eastAsia="Times New Roman" w:hAnsi="Times New Roman"/>
        </w:rPr>
        <w:t>2.6</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3706AB" w:rsidRPr="00E168A1">
        <w:rPr>
          <w:rFonts w:ascii="Times New Roman" w:eastAsia="Times New Roman" w:hAnsi="Times New Roman"/>
        </w:rPr>
        <w:t>.</w:t>
      </w:r>
      <w:r w:rsidRPr="00E168A1">
        <w:rPr>
          <w:rStyle w:val="FootnoteReference"/>
          <w:rFonts w:ascii="Times New Roman" w:eastAsia="Times New Roman" w:hAnsi="Times New Roman"/>
        </w:rPr>
        <w:footnoteReference w:id="21"/>
      </w:r>
    </w:p>
    <w:p w14:paraId="0F4B873D" w14:textId="2A72A41D" w:rsidR="000D6531" w:rsidRPr="00A90FD9" w:rsidRDefault="000D6531" w:rsidP="000D6531">
      <w:pPr>
        <w:pStyle w:val="Caption"/>
        <w:rPr>
          <w:rFonts w:ascii="Times New Roman" w:hAnsi="Times New Roman"/>
          <w:lang w:val="en-US"/>
        </w:rPr>
      </w:pPr>
      <w:bookmarkStart w:id="18" w:name="_Toc442384166"/>
      <w:r w:rsidRPr="00A90FD9">
        <w:rPr>
          <w:rFonts w:ascii="Times New Roman" w:hAnsi="Times New Roman"/>
          <w:lang w:val="en-US"/>
        </w:rPr>
        <w:t xml:space="preserve">Figure </w:t>
      </w:r>
      <w:r w:rsidRPr="00A90FD9">
        <w:rPr>
          <w:rFonts w:ascii="Times New Roman" w:hAnsi="Times New Roman"/>
          <w:lang w:val="en-US"/>
        </w:rPr>
        <w:fldChar w:fldCharType="begin"/>
      </w:r>
      <w:r w:rsidRPr="00A90FD9">
        <w:rPr>
          <w:rFonts w:ascii="Times New Roman" w:hAnsi="Times New Roman"/>
          <w:lang w:val="en-US"/>
        </w:rPr>
        <w:instrText xml:space="preserve"> SEQ Figure \* ARABIC </w:instrText>
      </w:r>
      <w:r w:rsidRPr="00A90FD9">
        <w:rPr>
          <w:rFonts w:ascii="Times New Roman" w:hAnsi="Times New Roman"/>
          <w:lang w:val="en-US"/>
        </w:rPr>
        <w:fldChar w:fldCharType="separate"/>
      </w:r>
      <w:r w:rsidR="00FF4790" w:rsidRPr="00A90FD9">
        <w:rPr>
          <w:rFonts w:ascii="Times New Roman" w:hAnsi="Times New Roman"/>
          <w:lang w:val="en-US"/>
        </w:rPr>
        <w:t>1</w:t>
      </w:r>
      <w:r w:rsidRPr="00A90FD9">
        <w:rPr>
          <w:rFonts w:ascii="Times New Roman" w:hAnsi="Times New Roman"/>
          <w:lang w:val="en-US"/>
        </w:rPr>
        <w:fldChar w:fldCharType="end"/>
      </w:r>
      <w:r w:rsidRPr="00A90FD9">
        <w:rPr>
          <w:rFonts w:ascii="Times New Roman" w:hAnsi="Times New Roman"/>
          <w:lang w:val="en-US"/>
        </w:rPr>
        <w:t>. Structure of Concluded Contracts by Type of Procedure in Q3 2012</w:t>
      </w:r>
      <w:bookmarkEnd w:id="18"/>
    </w:p>
    <w:p w14:paraId="5F8FF1FF" w14:textId="77777777" w:rsidR="00940D9E" w:rsidRPr="00E168A1" w:rsidRDefault="00741D7C" w:rsidP="00940D9E">
      <w:pPr>
        <w:pStyle w:val="Default"/>
        <w:spacing w:line="0" w:lineRule="atLeast"/>
        <w:jc w:val="center"/>
        <w:rPr>
          <w:rFonts w:ascii="Times New Roman" w:hAnsi="Times New Roman" w:cs="Times New Roman"/>
          <w:noProof/>
        </w:rPr>
      </w:pPr>
      <w:r w:rsidRPr="00E168A1">
        <w:rPr>
          <w:rFonts w:ascii="Times New Roman" w:hAnsi="Times New Roman" w:cs="Times New Roman"/>
          <w:noProof/>
        </w:rPr>
        <w:drawing>
          <wp:inline distT="0" distB="0" distL="0" distR="0" wp14:anchorId="5703F523" wp14:editId="4DE031FB">
            <wp:extent cx="4267200" cy="1625600"/>
            <wp:effectExtent l="0" t="0" r="0" b="127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439E60" w14:textId="1381B0AF" w:rsidR="00AE54E5" w:rsidRPr="00E168A1" w:rsidRDefault="00B03657" w:rsidP="00A92256">
      <w:pPr>
        <w:pStyle w:val="Default"/>
        <w:spacing w:line="0" w:lineRule="atLeast"/>
        <w:ind w:left="720"/>
        <w:rPr>
          <w:rFonts w:ascii="Times New Roman" w:hAnsi="Times New Roman" w:cs="Times New Roman"/>
          <w:noProof/>
          <w:sz w:val="20"/>
        </w:rPr>
      </w:pPr>
      <w:r w:rsidRPr="00E168A1">
        <w:rPr>
          <w:rFonts w:ascii="Times New Roman" w:hAnsi="Times New Roman" w:cs="Times New Roman"/>
          <w:i/>
          <w:noProof/>
          <w:sz w:val="20"/>
        </w:rPr>
        <w:t>Source:</w:t>
      </w:r>
      <w:r w:rsidR="00900061" w:rsidRPr="00E168A1">
        <w:rPr>
          <w:rFonts w:ascii="Times New Roman" w:hAnsi="Times New Roman" w:cs="Times New Roman"/>
          <w:noProof/>
          <w:sz w:val="20"/>
        </w:rPr>
        <w:t xml:space="preserve"> </w:t>
      </w:r>
      <w:r w:rsidRPr="00E168A1">
        <w:rPr>
          <w:rFonts w:ascii="Times New Roman" w:hAnsi="Times New Roman" w:cs="Times New Roman"/>
          <w:noProof/>
          <w:sz w:val="20"/>
        </w:rPr>
        <w:t>PPO,</w:t>
      </w:r>
      <w:r w:rsidR="00900061" w:rsidRPr="00E168A1">
        <w:rPr>
          <w:rFonts w:ascii="Times New Roman" w:hAnsi="Times New Roman" w:cs="Times New Roman"/>
          <w:noProof/>
          <w:sz w:val="20"/>
        </w:rPr>
        <w:t xml:space="preserve"> </w:t>
      </w:r>
      <w:r w:rsidR="006B3AAB" w:rsidRPr="00E168A1">
        <w:rPr>
          <w:rFonts w:ascii="Times New Roman" w:hAnsi="Times New Roman" w:cs="Times New Roman"/>
          <w:noProof/>
          <w:sz w:val="20"/>
        </w:rPr>
        <w:t>Support for Improvement in Governance and Management (</w:t>
      </w:r>
      <w:r w:rsidR="002F1834" w:rsidRPr="00E168A1">
        <w:rPr>
          <w:rFonts w:ascii="Times New Roman" w:hAnsi="Times New Roman" w:cs="Times New Roman"/>
          <w:noProof/>
          <w:sz w:val="20"/>
        </w:rPr>
        <w:t>SIGMA</w:t>
      </w:r>
      <w:r w:rsidR="006B3AAB" w:rsidRPr="00E168A1">
        <w:rPr>
          <w:rFonts w:ascii="Times New Roman" w:hAnsi="Times New Roman" w:cs="Times New Roman"/>
          <w:noProof/>
          <w:sz w:val="20"/>
        </w:rPr>
        <w:t>)</w:t>
      </w:r>
      <w:r w:rsidR="002F1834" w:rsidRPr="00E168A1">
        <w:rPr>
          <w:rFonts w:ascii="Times New Roman" w:hAnsi="Times New Roman" w:cs="Times New Roman"/>
          <w:noProof/>
          <w:sz w:val="20"/>
        </w:rPr>
        <w:t xml:space="preserve"> </w:t>
      </w:r>
      <w:r w:rsidRPr="00E168A1">
        <w:rPr>
          <w:rFonts w:ascii="Times New Roman" w:hAnsi="Times New Roman" w:cs="Times New Roman"/>
          <w:noProof/>
          <w:sz w:val="20"/>
        </w:rPr>
        <w:t>Assessment</w:t>
      </w:r>
      <w:r w:rsidR="00900061" w:rsidRPr="00E168A1">
        <w:rPr>
          <w:rFonts w:ascii="Times New Roman" w:hAnsi="Times New Roman" w:cs="Times New Roman"/>
          <w:noProof/>
          <w:sz w:val="20"/>
        </w:rPr>
        <w:t xml:space="preserve"> </w:t>
      </w:r>
      <w:r w:rsidRPr="00E168A1">
        <w:rPr>
          <w:rFonts w:ascii="Times New Roman" w:hAnsi="Times New Roman" w:cs="Times New Roman"/>
          <w:noProof/>
          <w:sz w:val="20"/>
        </w:rPr>
        <w:t>2014</w:t>
      </w:r>
      <w:r w:rsidR="000D6531" w:rsidRPr="00E168A1">
        <w:rPr>
          <w:rFonts w:ascii="Times New Roman" w:hAnsi="Times New Roman" w:cs="Times New Roman"/>
          <w:noProof/>
          <w:sz w:val="20"/>
        </w:rPr>
        <w:t>.</w:t>
      </w:r>
    </w:p>
    <w:p w14:paraId="2D1FA171" w14:textId="77777777" w:rsidR="00AE54E5" w:rsidRPr="00A90FD9" w:rsidRDefault="00AE54E5" w:rsidP="006134B0">
      <w:pPr>
        <w:pStyle w:val="Default"/>
        <w:spacing w:line="0" w:lineRule="atLeast"/>
        <w:rPr>
          <w:rFonts w:ascii="Times New Roman" w:hAnsi="Times New Roman" w:cs="Times New Roman"/>
          <w:b/>
          <w:bCs/>
          <w:noProof/>
        </w:rPr>
      </w:pPr>
    </w:p>
    <w:p w14:paraId="31813A5A" w14:textId="2AD98E72" w:rsidR="00FF4790" w:rsidRPr="00645878" w:rsidRDefault="00FF4790" w:rsidP="00FF4790">
      <w:pPr>
        <w:pStyle w:val="Caption"/>
        <w:ind w:left="720" w:hanging="720"/>
        <w:rPr>
          <w:rFonts w:ascii="Times New Roman" w:hAnsi="Times New Roman"/>
          <w:sz w:val="24"/>
          <w:szCs w:val="24"/>
          <w:lang w:val="en-US"/>
        </w:rPr>
      </w:pPr>
      <w:bookmarkStart w:id="19" w:name="_Toc442384167"/>
      <w:r w:rsidRPr="00645878">
        <w:rPr>
          <w:rFonts w:ascii="Times New Roman" w:hAnsi="Times New Roman"/>
          <w:sz w:val="24"/>
          <w:szCs w:val="24"/>
          <w:lang w:val="en-US"/>
        </w:rPr>
        <w:t xml:space="preserve">Figure </w:t>
      </w:r>
      <w:r w:rsidRPr="00645878">
        <w:rPr>
          <w:rFonts w:ascii="Times New Roman" w:hAnsi="Times New Roman"/>
          <w:sz w:val="24"/>
          <w:szCs w:val="24"/>
          <w:lang w:val="en-US"/>
        </w:rPr>
        <w:fldChar w:fldCharType="begin"/>
      </w:r>
      <w:r w:rsidRPr="00645878">
        <w:rPr>
          <w:rFonts w:ascii="Times New Roman" w:hAnsi="Times New Roman"/>
          <w:sz w:val="24"/>
          <w:szCs w:val="24"/>
          <w:lang w:val="en-US"/>
        </w:rPr>
        <w:instrText xml:space="preserve"> SEQ Figure \* ARABIC </w:instrText>
      </w:r>
      <w:r w:rsidRPr="00645878">
        <w:rPr>
          <w:rFonts w:ascii="Times New Roman" w:hAnsi="Times New Roman"/>
          <w:sz w:val="24"/>
          <w:szCs w:val="24"/>
          <w:lang w:val="en-US"/>
        </w:rPr>
        <w:fldChar w:fldCharType="separate"/>
      </w:r>
      <w:r w:rsidRPr="00645878">
        <w:rPr>
          <w:rFonts w:ascii="Times New Roman" w:hAnsi="Times New Roman"/>
          <w:sz w:val="24"/>
          <w:szCs w:val="24"/>
          <w:lang w:val="en-US"/>
        </w:rPr>
        <w:t>2</w:t>
      </w:r>
      <w:r w:rsidRPr="00645878">
        <w:rPr>
          <w:rFonts w:ascii="Times New Roman" w:hAnsi="Times New Roman"/>
          <w:sz w:val="24"/>
          <w:szCs w:val="24"/>
          <w:lang w:val="en-US"/>
        </w:rPr>
        <w:fldChar w:fldCharType="end"/>
      </w:r>
      <w:r w:rsidRPr="00645878">
        <w:rPr>
          <w:rFonts w:ascii="Times New Roman" w:hAnsi="Times New Roman"/>
          <w:sz w:val="24"/>
          <w:szCs w:val="24"/>
          <w:lang w:val="en-US"/>
        </w:rPr>
        <w:t xml:space="preserve">. Structure of Concluded Contracts by Type of Procedure in </w:t>
      </w:r>
      <w:r w:rsidR="002F1834" w:rsidRPr="00645878">
        <w:rPr>
          <w:rFonts w:ascii="Times New Roman" w:hAnsi="Times New Roman"/>
          <w:sz w:val="24"/>
          <w:szCs w:val="24"/>
          <w:lang w:val="en-US"/>
        </w:rPr>
        <w:t>Q3</w:t>
      </w:r>
      <w:r w:rsidRPr="00645878">
        <w:rPr>
          <w:rFonts w:ascii="Times New Roman" w:hAnsi="Times New Roman"/>
          <w:sz w:val="24"/>
          <w:szCs w:val="24"/>
          <w:lang w:val="en-US"/>
        </w:rPr>
        <w:t xml:space="preserve"> 2013</w:t>
      </w:r>
      <w:bookmarkEnd w:id="19"/>
    </w:p>
    <w:p w14:paraId="45A8616B" w14:textId="77777777" w:rsidR="00AE54E5" w:rsidRPr="00E168A1" w:rsidRDefault="00AE54E5" w:rsidP="006134B0">
      <w:pPr>
        <w:spacing w:after="0" w:line="0" w:lineRule="atLeast"/>
        <w:jc w:val="center"/>
        <w:rPr>
          <w:rFonts w:ascii="Times New Roman" w:hAnsi="Times New Roman"/>
        </w:rPr>
      </w:pPr>
      <w:r w:rsidRPr="00E168A1">
        <w:rPr>
          <w:rFonts w:ascii="Times New Roman" w:hAnsi="Times New Roman"/>
          <w:lang w:eastAsia="en-US"/>
        </w:rPr>
        <w:drawing>
          <wp:inline distT="0" distB="0" distL="0" distR="0" wp14:anchorId="2CEA4419" wp14:editId="32434BB9">
            <wp:extent cx="4819650" cy="1895475"/>
            <wp:effectExtent l="0" t="0" r="0"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AE0DBA" w14:textId="347F2CCC" w:rsidR="00AE54E5" w:rsidRPr="00E168A1" w:rsidRDefault="00AE54E5" w:rsidP="006134B0">
      <w:pPr>
        <w:spacing w:after="0" w:line="0" w:lineRule="atLeast"/>
        <w:ind w:firstLine="720"/>
        <w:rPr>
          <w:rFonts w:ascii="Times New Roman" w:hAnsi="Times New Roman"/>
          <w:sz w:val="20"/>
        </w:rPr>
      </w:pPr>
      <w:r w:rsidRPr="00E168A1">
        <w:rPr>
          <w:rFonts w:ascii="Times New Roman" w:hAnsi="Times New Roman"/>
          <w:i/>
          <w:sz w:val="20"/>
        </w:rPr>
        <w:t>Source:</w:t>
      </w:r>
      <w:r w:rsidR="00900061" w:rsidRPr="00E168A1">
        <w:rPr>
          <w:rFonts w:ascii="Times New Roman" w:hAnsi="Times New Roman"/>
          <w:sz w:val="20"/>
        </w:rPr>
        <w:t xml:space="preserve"> </w:t>
      </w:r>
      <w:r w:rsidRPr="00E168A1">
        <w:rPr>
          <w:rFonts w:ascii="Times New Roman" w:hAnsi="Times New Roman"/>
          <w:sz w:val="20"/>
        </w:rPr>
        <w:t>PPO,</w:t>
      </w:r>
      <w:r w:rsidR="00900061" w:rsidRPr="00E168A1">
        <w:rPr>
          <w:rFonts w:ascii="Times New Roman" w:hAnsi="Times New Roman"/>
          <w:sz w:val="20"/>
        </w:rPr>
        <w:t xml:space="preserve"> </w:t>
      </w:r>
      <w:r w:rsidR="002F1834" w:rsidRPr="00E168A1">
        <w:rPr>
          <w:rFonts w:ascii="Times New Roman" w:hAnsi="Times New Roman"/>
          <w:sz w:val="20"/>
        </w:rPr>
        <w:t xml:space="preserve">SIGMA </w:t>
      </w:r>
      <w:r w:rsidRPr="00E168A1">
        <w:rPr>
          <w:rFonts w:ascii="Times New Roman" w:hAnsi="Times New Roman"/>
          <w:sz w:val="20"/>
        </w:rPr>
        <w:t>Assessment</w:t>
      </w:r>
      <w:r w:rsidR="00900061" w:rsidRPr="00E168A1">
        <w:rPr>
          <w:rFonts w:ascii="Times New Roman" w:hAnsi="Times New Roman"/>
          <w:sz w:val="20"/>
        </w:rPr>
        <w:t xml:space="preserve"> </w:t>
      </w:r>
      <w:r w:rsidRPr="00E168A1">
        <w:rPr>
          <w:rFonts w:ascii="Times New Roman" w:hAnsi="Times New Roman"/>
          <w:sz w:val="20"/>
        </w:rPr>
        <w:t>2014</w:t>
      </w:r>
      <w:r w:rsidR="000D6531" w:rsidRPr="00E168A1">
        <w:rPr>
          <w:rFonts w:ascii="Times New Roman" w:hAnsi="Times New Roman"/>
          <w:sz w:val="20"/>
        </w:rPr>
        <w:t>.</w:t>
      </w:r>
    </w:p>
    <w:p w14:paraId="1B5179D4" w14:textId="77777777" w:rsidR="00AE54E5" w:rsidRPr="00E168A1" w:rsidRDefault="00AE54E5" w:rsidP="006134B0">
      <w:pPr>
        <w:spacing w:after="0" w:line="0" w:lineRule="atLeast"/>
        <w:rPr>
          <w:rFonts w:ascii="Times New Roman" w:hAnsi="Times New Roman"/>
        </w:rPr>
      </w:pPr>
    </w:p>
    <w:p w14:paraId="1FBB8B04" w14:textId="1CF93F31" w:rsidR="00D163B3" w:rsidRPr="00E168A1" w:rsidRDefault="00AE54E5" w:rsidP="00645878">
      <w:pPr>
        <w:pStyle w:val="ListParagraph"/>
        <w:numPr>
          <w:ilvl w:val="0"/>
          <w:numId w:val="9"/>
        </w:numPr>
        <w:ind w:left="0" w:firstLine="0"/>
        <w:contextualSpacing w:val="0"/>
        <w:rPr>
          <w:rFonts w:ascii="Times New Roman" w:hAnsi="Times New Roman"/>
          <w:i/>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contracting</w:t>
      </w:r>
      <w:r w:rsidR="00900061" w:rsidRPr="00E168A1">
        <w:rPr>
          <w:rFonts w:ascii="Times New Roman" w:hAnsi="Times New Roman"/>
          <w:b/>
        </w:rPr>
        <w:t xml:space="preserve"> </w:t>
      </w:r>
      <w:r w:rsidRPr="00E168A1">
        <w:rPr>
          <w:rFonts w:ascii="Times New Roman" w:hAnsi="Times New Roman"/>
          <w:b/>
        </w:rPr>
        <w:t>authorities</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responsible</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implementation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contracts</w:t>
      </w:r>
      <w:r w:rsidR="00900061" w:rsidRPr="00E168A1">
        <w:rPr>
          <w:rFonts w:ascii="Times New Roman" w:hAnsi="Times New Roman"/>
          <w:b/>
        </w:rPr>
        <w:t xml:space="preserve"> </w:t>
      </w:r>
      <w:r w:rsidRPr="00E168A1">
        <w:rPr>
          <w:rFonts w:ascii="Times New Roman" w:hAnsi="Times New Roman"/>
          <w:b/>
        </w:rPr>
        <w:t>that</w:t>
      </w:r>
      <w:r w:rsidR="00900061" w:rsidRPr="00E168A1">
        <w:rPr>
          <w:rFonts w:ascii="Times New Roman" w:hAnsi="Times New Roman"/>
          <w:b/>
        </w:rPr>
        <w:t xml:space="preserve"> </w:t>
      </w:r>
      <w:r w:rsidRPr="00E168A1">
        <w:rPr>
          <w:rFonts w:ascii="Times New Roman" w:hAnsi="Times New Roman"/>
          <w:b/>
        </w:rPr>
        <w:t>originate</w:t>
      </w:r>
      <w:r w:rsidR="00900061" w:rsidRPr="00A90FD9">
        <w:rPr>
          <w:rFonts w:ascii="Times New Roman" w:hAnsi="Times New Roman"/>
          <w:b/>
        </w:rPr>
        <w:t xml:space="preserve"> </w:t>
      </w:r>
      <w:r w:rsidRPr="00A90FD9">
        <w:rPr>
          <w:rFonts w:ascii="Times New Roman" w:hAnsi="Times New Roman"/>
          <w:b/>
        </w:rPr>
        <w:t>from</w:t>
      </w:r>
      <w:r w:rsidR="00900061" w:rsidRPr="00A90FD9">
        <w:rPr>
          <w:rFonts w:ascii="Times New Roman" w:hAnsi="Times New Roman"/>
          <w:b/>
        </w:rPr>
        <w:t xml:space="preserve"> </w:t>
      </w:r>
      <w:r w:rsidRPr="00A90FD9">
        <w:rPr>
          <w:rFonts w:ascii="Times New Roman" w:hAnsi="Times New Roman"/>
          <w:b/>
        </w:rPr>
        <w:t>public</w:t>
      </w:r>
      <w:r w:rsidR="00900061" w:rsidRPr="00A90FD9">
        <w:rPr>
          <w:rFonts w:ascii="Times New Roman" w:hAnsi="Times New Roman"/>
          <w:b/>
        </w:rPr>
        <w:t xml:space="preserve"> </w:t>
      </w:r>
      <w:r w:rsidRPr="00A90FD9">
        <w:rPr>
          <w:rFonts w:ascii="Times New Roman" w:hAnsi="Times New Roman"/>
          <w:b/>
        </w:rPr>
        <w:t>procurement</w:t>
      </w:r>
      <w:r w:rsidR="00900061" w:rsidRPr="00A90FD9">
        <w:rPr>
          <w:rFonts w:ascii="Times New Roman" w:hAnsi="Times New Roman"/>
          <w:b/>
        </w:rPr>
        <w:t xml:space="preserve"> </w:t>
      </w:r>
      <w:r w:rsidRPr="00A90FD9">
        <w:rPr>
          <w:rFonts w:ascii="Times New Roman" w:hAnsi="Times New Roman"/>
          <w:b/>
        </w:rPr>
        <w:t>procedures</w:t>
      </w:r>
      <w:r w:rsidR="00B03657" w:rsidRPr="00A90FD9">
        <w:rPr>
          <w:rFonts w:ascii="Times New Roman" w:hAnsi="Times New Roman"/>
        </w:rPr>
        <w:t>.</w:t>
      </w:r>
      <w:r w:rsidR="00900061" w:rsidRPr="00A90FD9">
        <w:rPr>
          <w:rFonts w:ascii="Times New Roman" w:hAnsi="Times New Roman"/>
        </w:rPr>
        <w:t xml:space="preserve"> </w:t>
      </w:r>
      <w:r w:rsidR="00B03657" w:rsidRPr="005769EE">
        <w:rPr>
          <w:rFonts w:ascii="Times New Roman" w:hAnsi="Times New Roman"/>
        </w:rPr>
        <w:t>As</w:t>
      </w:r>
      <w:r w:rsidR="00900061" w:rsidRPr="00E168A1">
        <w:rPr>
          <w:rFonts w:ascii="Times New Roman" w:hAnsi="Times New Roman"/>
        </w:rPr>
        <w:t xml:space="preserve"> </w:t>
      </w:r>
      <w:r w:rsidR="00B03657" w:rsidRPr="00E168A1">
        <w:rPr>
          <w:rFonts w:ascii="Times New Roman" w:hAnsi="Times New Roman"/>
        </w:rPr>
        <w:t>part</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their</w:t>
      </w:r>
      <w:r w:rsidR="00900061" w:rsidRPr="00E168A1">
        <w:rPr>
          <w:rFonts w:ascii="Times New Roman" w:hAnsi="Times New Roman"/>
        </w:rPr>
        <w:t xml:space="preserve"> </w:t>
      </w:r>
      <w:r w:rsidR="00B03657" w:rsidRPr="00E168A1">
        <w:rPr>
          <w:rFonts w:ascii="Times New Roman" w:hAnsi="Times New Roman"/>
        </w:rPr>
        <w:t>bidding</w:t>
      </w:r>
      <w:r w:rsidR="00900061" w:rsidRPr="00E168A1">
        <w:rPr>
          <w:rFonts w:ascii="Times New Roman" w:hAnsi="Times New Roman"/>
        </w:rPr>
        <w:t xml:space="preserve"> </w:t>
      </w:r>
      <w:r w:rsidR="00B03657" w:rsidRPr="00E168A1">
        <w:rPr>
          <w:rFonts w:ascii="Times New Roman" w:hAnsi="Times New Roman"/>
        </w:rPr>
        <w:t>document,</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authorities</w:t>
      </w:r>
      <w:r w:rsidR="00900061" w:rsidRPr="00E168A1">
        <w:rPr>
          <w:rFonts w:ascii="Times New Roman" w:hAnsi="Times New Roman"/>
        </w:rPr>
        <w:t xml:space="preserve"> </w:t>
      </w:r>
      <w:r w:rsidR="00B03657" w:rsidRPr="00E168A1">
        <w:rPr>
          <w:rFonts w:ascii="Times New Roman" w:hAnsi="Times New Roman"/>
        </w:rPr>
        <w:t>need</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include</w:t>
      </w:r>
      <w:r w:rsidR="00900061" w:rsidRPr="00E168A1">
        <w:rPr>
          <w:rFonts w:ascii="Times New Roman" w:hAnsi="Times New Roman"/>
        </w:rPr>
        <w:t xml:space="preserve"> </w:t>
      </w:r>
      <w:r w:rsidR="00B03657" w:rsidRPr="00E168A1">
        <w:rPr>
          <w:rFonts w:ascii="Times New Roman" w:hAnsi="Times New Roman"/>
        </w:rPr>
        <w:t>a</w:t>
      </w:r>
      <w:r w:rsidR="00900061" w:rsidRPr="00E168A1">
        <w:rPr>
          <w:rFonts w:ascii="Times New Roman" w:hAnsi="Times New Roman"/>
        </w:rPr>
        <w:t xml:space="preserve"> </w:t>
      </w:r>
      <w:r w:rsidR="00B03657" w:rsidRPr="00E168A1">
        <w:rPr>
          <w:rFonts w:ascii="Times New Roman" w:hAnsi="Times New Roman"/>
        </w:rPr>
        <w:t>model</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contract</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be</w:t>
      </w:r>
      <w:r w:rsidR="00900061" w:rsidRPr="00E168A1">
        <w:rPr>
          <w:rFonts w:ascii="Times New Roman" w:hAnsi="Times New Roman"/>
        </w:rPr>
        <w:t xml:space="preserve"> </w:t>
      </w:r>
      <w:r w:rsidR="00B03657" w:rsidRPr="00E168A1">
        <w:rPr>
          <w:rFonts w:ascii="Times New Roman" w:hAnsi="Times New Roman"/>
        </w:rPr>
        <w:t>signed.</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addition</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lastRenderedPageBreak/>
        <w:t>contract</w:t>
      </w:r>
      <w:r w:rsidR="00900061" w:rsidRPr="00E168A1">
        <w:rPr>
          <w:rFonts w:ascii="Times New Roman" w:hAnsi="Times New Roman"/>
        </w:rPr>
        <w:t xml:space="preserve"> </w:t>
      </w:r>
      <w:r w:rsidR="00B03657" w:rsidRPr="00E168A1">
        <w:rPr>
          <w:rFonts w:ascii="Times New Roman" w:hAnsi="Times New Roman"/>
        </w:rPr>
        <w:t>notice</w:t>
      </w:r>
      <w:r w:rsidR="00900061" w:rsidRPr="00E168A1">
        <w:rPr>
          <w:rFonts w:ascii="Times New Roman" w:hAnsi="Times New Roman"/>
        </w:rPr>
        <w:t xml:space="preserve"> </w:t>
      </w:r>
      <w:r w:rsidR="00B03657" w:rsidRPr="00E168A1">
        <w:rPr>
          <w:rFonts w:ascii="Times New Roman" w:hAnsi="Times New Roman"/>
        </w:rPr>
        <w:t>award,</w:t>
      </w:r>
      <w:r w:rsidR="00900061" w:rsidRPr="00E168A1">
        <w:rPr>
          <w:rFonts w:ascii="Times New Roman" w:hAnsi="Times New Roman"/>
        </w:rPr>
        <w:t xml:space="preserve"> </w:t>
      </w:r>
      <w:r w:rsidR="00B03657" w:rsidRPr="00E168A1">
        <w:rPr>
          <w:rFonts w:ascii="Times New Roman" w:hAnsi="Times New Roman"/>
        </w:rPr>
        <w:t>they</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also</w:t>
      </w:r>
      <w:r w:rsidR="00900061" w:rsidRPr="00E168A1">
        <w:rPr>
          <w:rFonts w:ascii="Times New Roman" w:hAnsi="Times New Roman"/>
        </w:rPr>
        <w:t xml:space="preserve"> </w:t>
      </w:r>
      <w:r w:rsidR="00B03657" w:rsidRPr="00E168A1">
        <w:rPr>
          <w:rFonts w:ascii="Times New Roman" w:hAnsi="Times New Roman"/>
        </w:rPr>
        <w:t>obliged</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publish</w:t>
      </w:r>
      <w:r w:rsidR="00900061" w:rsidRPr="00E168A1">
        <w:rPr>
          <w:rFonts w:ascii="Times New Roman" w:hAnsi="Times New Roman"/>
        </w:rPr>
        <w:t xml:space="preserve"> </w:t>
      </w:r>
      <w:r w:rsidR="00B03657" w:rsidRPr="00E168A1">
        <w:rPr>
          <w:rFonts w:ascii="Times New Roman" w:hAnsi="Times New Roman"/>
        </w:rPr>
        <w:t>a</w:t>
      </w:r>
      <w:r w:rsidR="00900061" w:rsidRPr="00E168A1">
        <w:rPr>
          <w:rFonts w:ascii="Times New Roman" w:hAnsi="Times New Roman"/>
        </w:rPr>
        <w:t xml:space="preserve"> </w:t>
      </w:r>
      <w:r w:rsidR="00B03657" w:rsidRPr="00E168A1">
        <w:rPr>
          <w:rFonts w:ascii="Times New Roman" w:hAnsi="Times New Roman"/>
        </w:rPr>
        <w:t>notice</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concluded</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case</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contractual</w:t>
      </w:r>
      <w:r w:rsidR="00900061" w:rsidRPr="00E168A1">
        <w:rPr>
          <w:rFonts w:ascii="Times New Roman" w:hAnsi="Times New Roman"/>
        </w:rPr>
        <w:t xml:space="preserve"> </w:t>
      </w:r>
      <w:r w:rsidR="00B03657" w:rsidRPr="00E168A1">
        <w:rPr>
          <w:rFonts w:ascii="Times New Roman" w:hAnsi="Times New Roman"/>
        </w:rPr>
        <w:t>changes,</w:t>
      </w:r>
      <w:r w:rsidR="00900061" w:rsidRPr="00E168A1">
        <w:rPr>
          <w:rFonts w:ascii="Times New Roman" w:hAnsi="Times New Roman"/>
        </w:rPr>
        <w:t xml:space="preserve"> </w:t>
      </w:r>
      <w:r w:rsidR="00B03657" w:rsidRPr="00E168A1">
        <w:rPr>
          <w:rFonts w:ascii="Times New Roman" w:hAnsi="Times New Roman"/>
        </w:rPr>
        <w:t>they</w:t>
      </w:r>
      <w:r w:rsidR="00900061" w:rsidRPr="00E168A1">
        <w:rPr>
          <w:rFonts w:ascii="Times New Roman" w:hAnsi="Times New Roman"/>
        </w:rPr>
        <w:t xml:space="preserve"> </w:t>
      </w:r>
      <w:r w:rsidR="00B03657" w:rsidRPr="00E168A1">
        <w:rPr>
          <w:rFonts w:ascii="Times New Roman" w:hAnsi="Times New Roman"/>
        </w:rPr>
        <w:t>must</w:t>
      </w:r>
      <w:r w:rsidR="00900061" w:rsidRPr="00E168A1">
        <w:rPr>
          <w:rFonts w:ascii="Times New Roman" w:hAnsi="Times New Roman"/>
        </w:rPr>
        <w:t xml:space="preserve"> </w:t>
      </w:r>
      <w:r w:rsidR="00B03657" w:rsidRPr="00E168A1">
        <w:rPr>
          <w:rFonts w:ascii="Times New Roman" w:hAnsi="Times New Roman"/>
        </w:rPr>
        <w:t>make</w:t>
      </w:r>
      <w:r w:rsidR="00900061" w:rsidRPr="00E168A1">
        <w:rPr>
          <w:rFonts w:ascii="Times New Roman" w:hAnsi="Times New Roman"/>
        </w:rPr>
        <w:t xml:space="preserve"> </w:t>
      </w:r>
      <w:r w:rsidR="00B03657" w:rsidRPr="00E168A1">
        <w:rPr>
          <w:rFonts w:ascii="Times New Roman" w:hAnsi="Times New Roman"/>
        </w:rPr>
        <w:t>a</w:t>
      </w:r>
      <w:r w:rsidR="00900061" w:rsidRPr="00E168A1">
        <w:rPr>
          <w:rFonts w:ascii="Times New Roman" w:hAnsi="Times New Roman"/>
        </w:rPr>
        <w:t xml:space="preserve"> </w:t>
      </w:r>
      <w:r w:rsidR="00B03657" w:rsidRPr="00E168A1">
        <w:rPr>
          <w:rFonts w:ascii="Times New Roman" w:hAnsi="Times New Roman"/>
        </w:rPr>
        <w:t>decision</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contract</w:t>
      </w:r>
      <w:r w:rsidR="00900061" w:rsidRPr="00E168A1">
        <w:rPr>
          <w:rFonts w:ascii="Times New Roman" w:hAnsi="Times New Roman"/>
        </w:rPr>
        <w:t xml:space="preserve"> </w:t>
      </w:r>
      <w:r w:rsidR="00B03657" w:rsidRPr="00E168A1">
        <w:rPr>
          <w:rFonts w:ascii="Times New Roman" w:hAnsi="Times New Roman"/>
        </w:rPr>
        <w:t>modification,</w:t>
      </w:r>
      <w:r w:rsidR="00900061" w:rsidRPr="00E168A1">
        <w:rPr>
          <w:rFonts w:ascii="Times New Roman" w:hAnsi="Times New Roman"/>
        </w:rPr>
        <w:t xml:space="preserve"> </w:t>
      </w:r>
      <w:r w:rsidR="00B03657" w:rsidRPr="00E168A1">
        <w:rPr>
          <w:rFonts w:ascii="Times New Roman" w:hAnsi="Times New Roman"/>
        </w:rPr>
        <w:t>publish</w:t>
      </w:r>
      <w:r w:rsidR="00900061" w:rsidRPr="00E168A1">
        <w:rPr>
          <w:rFonts w:ascii="Times New Roman" w:hAnsi="Times New Roman"/>
        </w:rPr>
        <w:t xml:space="preserve"> </w:t>
      </w:r>
      <w:r w:rsidR="00B03657" w:rsidRPr="00E168A1">
        <w:rPr>
          <w:rFonts w:ascii="Times New Roman" w:hAnsi="Times New Roman"/>
        </w:rPr>
        <w:t>it</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ublic</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ortal,</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notify</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PPO</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SAI.</w:t>
      </w:r>
      <w:r w:rsidR="00900061" w:rsidRPr="00E168A1">
        <w:rPr>
          <w:rFonts w:ascii="Times New Roman" w:hAnsi="Times New Roman"/>
        </w:rPr>
        <w:t xml:space="preserve"> </w:t>
      </w:r>
      <w:r w:rsidR="00B03657" w:rsidRPr="00E168A1">
        <w:rPr>
          <w:rFonts w:ascii="Times New Roman" w:hAnsi="Times New Roman"/>
        </w:rPr>
        <w:t>While</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currently</w:t>
      </w:r>
      <w:r w:rsidR="00900061" w:rsidRPr="00E168A1">
        <w:rPr>
          <w:rFonts w:ascii="Times New Roman" w:hAnsi="Times New Roman"/>
        </w:rPr>
        <w:t xml:space="preserve"> </w:t>
      </w:r>
      <w:r w:rsidR="00B03657" w:rsidRPr="00E168A1">
        <w:rPr>
          <w:rFonts w:ascii="Times New Roman" w:hAnsi="Times New Roman"/>
        </w:rPr>
        <w:t>not</w:t>
      </w:r>
      <w:r w:rsidR="00900061" w:rsidRPr="00E168A1">
        <w:rPr>
          <w:rFonts w:ascii="Times New Roman" w:hAnsi="Times New Roman"/>
        </w:rPr>
        <w:t xml:space="preserve"> </w:t>
      </w:r>
      <w:r w:rsidR="00B03657" w:rsidRPr="00E168A1">
        <w:rPr>
          <w:rFonts w:ascii="Times New Roman" w:hAnsi="Times New Roman"/>
        </w:rPr>
        <w:t>publicly</w:t>
      </w:r>
      <w:r w:rsidR="00900061" w:rsidRPr="00E168A1">
        <w:rPr>
          <w:rFonts w:ascii="Times New Roman" w:hAnsi="Times New Roman"/>
        </w:rPr>
        <w:t xml:space="preserve"> </w:t>
      </w:r>
      <w:r w:rsidR="00B03657" w:rsidRPr="00E168A1">
        <w:rPr>
          <w:rFonts w:ascii="Times New Roman" w:hAnsi="Times New Roman"/>
        </w:rPr>
        <w:t>available,</w:t>
      </w:r>
      <w:r w:rsidR="00900061" w:rsidRPr="00E168A1">
        <w:rPr>
          <w:rFonts w:ascii="Times New Roman" w:hAnsi="Times New Roman"/>
        </w:rPr>
        <w:t xml:space="preserve"> </w:t>
      </w:r>
      <w:r w:rsidR="00B03657" w:rsidRPr="00E168A1">
        <w:rPr>
          <w:rFonts w:ascii="Times New Roman" w:hAnsi="Times New Roman"/>
        </w:rPr>
        <w:t>it</w:t>
      </w:r>
      <w:r w:rsidR="00900061" w:rsidRPr="00E168A1">
        <w:rPr>
          <w:rFonts w:ascii="Times New Roman" w:hAnsi="Times New Roman"/>
        </w:rPr>
        <w:t xml:space="preserve"> </w:t>
      </w:r>
      <w:r w:rsidR="00B03657" w:rsidRPr="00E168A1">
        <w:rPr>
          <w:rFonts w:ascii="Times New Roman" w:hAnsi="Times New Roman"/>
        </w:rPr>
        <w:t>is</w:t>
      </w:r>
      <w:r w:rsidR="00900061" w:rsidRPr="00E168A1">
        <w:rPr>
          <w:rFonts w:ascii="Times New Roman" w:hAnsi="Times New Roman"/>
        </w:rPr>
        <w:t xml:space="preserve"> </w:t>
      </w:r>
      <w:r w:rsidR="00B03657" w:rsidRPr="00E168A1">
        <w:rPr>
          <w:rFonts w:ascii="Times New Roman" w:hAnsi="Times New Roman"/>
        </w:rPr>
        <w:t>foreseen</w:t>
      </w:r>
      <w:r w:rsidR="00900061" w:rsidRPr="00E168A1">
        <w:rPr>
          <w:rFonts w:ascii="Times New Roman" w:hAnsi="Times New Roman"/>
        </w:rPr>
        <w:t xml:space="preserve"> </w:t>
      </w:r>
      <w:r w:rsidR="00B03657" w:rsidRPr="00E168A1">
        <w:rPr>
          <w:rFonts w:ascii="Times New Roman" w:hAnsi="Times New Roman"/>
        </w:rPr>
        <w:t>that</w:t>
      </w:r>
      <w:r w:rsidR="00900061" w:rsidRPr="00E168A1">
        <w:rPr>
          <w:rFonts w:ascii="Times New Roman" w:hAnsi="Times New Roman"/>
        </w:rPr>
        <w:t xml:space="preserve"> </w:t>
      </w:r>
      <w:r w:rsidR="00B03657" w:rsidRPr="00E168A1">
        <w:rPr>
          <w:rFonts w:ascii="Times New Roman" w:hAnsi="Times New Roman"/>
        </w:rPr>
        <w:t>a</w:t>
      </w:r>
      <w:r w:rsidR="00900061" w:rsidRPr="00E168A1">
        <w:rPr>
          <w:rFonts w:ascii="Times New Roman" w:hAnsi="Times New Roman"/>
        </w:rPr>
        <w:t xml:space="preserve"> </w:t>
      </w:r>
      <w:r w:rsidR="00B03657" w:rsidRPr="00E168A1">
        <w:rPr>
          <w:rFonts w:ascii="Times New Roman" w:hAnsi="Times New Roman"/>
        </w:rPr>
        <w:t>register</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shall</w:t>
      </w:r>
      <w:r w:rsidR="00900061" w:rsidRPr="00E168A1">
        <w:rPr>
          <w:rFonts w:ascii="Times New Roman" w:hAnsi="Times New Roman"/>
        </w:rPr>
        <w:t xml:space="preserve"> </w:t>
      </w:r>
      <w:r w:rsidR="00B03657" w:rsidRPr="00E168A1">
        <w:rPr>
          <w:rFonts w:ascii="Times New Roman" w:hAnsi="Times New Roman"/>
        </w:rPr>
        <w:t>be</w:t>
      </w:r>
      <w:r w:rsidR="00900061" w:rsidRPr="00E168A1">
        <w:rPr>
          <w:rFonts w:ascii="Times New Roman" w:hAnsi="Times New Roman"/>
        </w:rPr>
        <w:t xml:space="preserve"> </w:t>
      </w:r>
      <w:r w:rsidR="00B03657" w:rsidRPr="00E168A1">
        <w:rPr>
          <w:rFonts w:ascii="Times New Roman" w:hAnsi="Times New Roman"/>
        </w:rPr>
        <w:t>created</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made</w:t>
      </w:r>
      <w:r w:rsidR="00900061" w:rsidRPr="00E168A1">
        <w:rPr>
          <w:rFonts w:ascii="Times New Roman" w:hAnsi="Times New Roman"/>
        </w:rPr>
        <w:t xml:space="preserve"> </w:t>
      </w:r>
      <w:r w:rsidR="00B03657" w:rsidRPr="00E168A1">
        <w:rPr>
          <w:rFonts w:ascii="Times New Roman" w:hAnsi="Times New Roman"/>
        </w:rPr>
        <w:t>available</w:t>
      </w:r>
      <w:r w:rsidR="00900061" w:rsidRPr="00E168A1">
        <w:rPr>
          <w:rFonts w:ascii="Times New Roman" w:hAnsi="Times New Roman"/>
        </w:rPr>
        <w:t xml:space="preserve"> </w:t>
      </w:r>
      <w:r w:rsidR="00B03657" w:rsidRPr="00E168A1">
        <w:rPr>
          <w:rFonts w:ascii="Times New Roman" w:hAnsi="Times New Roman"/>
        </w:rPr>
        <w:t>through</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ublic</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2F1834" w:rsidRPr="00E168A1">
        <w:rPr>
          <w:rFonts w:ascii="Times New Roman" w:hAnsi="Times New Roman"/>
        </w:rPr>
        <w:t>p</w:t>
      </w:r>
      <w:r w:rsidR="00B03657" w:rsidRPr="00E168A1">
        <w:rPr>
          <w:rFonts w:ascii="Times New Roman" w:hAnsi="Times New Roman"/>
        </w:rPr>
        <w:t>ortal</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last</w:t>
      </w:r>
      <w:r w:rsidR="00900061" w:rsidRPr="00E168A1">
        <w:rPr>
          <w:rFonts w:ascii="Times New Roman" w:hAnsi="Times New Roman"/>
        </w:rPr>
        <w:t xml:space="preserve"> </w:t>
      </w:r>
      <w:r w:rsidR="00B03657" w:rsidRPr="00E168A1">
        <w:rPr>
          <w:rFonts w:ascii="Times New Roman" w:hAnsi="Times New Roman"/>
        </w:rPr>
        <w:t>quarter</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2015.</w:t>
      </w:r>
      <w:r w:rsidR="00900061" w:rsidRPr="00E168A1">
        <w:rPr>
          <w:rFonts w:ascii="Times New Roman" w:hAnsi="Times New Roman"/>
        </w:rPr>
        <w:t xml:space="preserve"> </w:t>
      </w:r>
    </w:p>
    <w:p w14:paraId="78D0D97D" w14:textId="3AD50FEA" w:rsidR="00AC305C" w:rsidRPr="00E168A1" w:rsidRDefault="00AE54E5" w:rsidP="00645878">
      <w:pPr>
        <w:pStyle w:val="ListParagraph"/>
        <w:numPr>
          <w:ilvl w:val="0"/>
          <w:numId w:val="9"/>
        </w:numPr>
        <w:ind w:left="0" w:firstLine="0"/>
        <w:contextualSpacing w:val="0"/>
        <w:rPr>
          <w:rFonts w:ascii="Times New Roman" w:hAnsi="Times New Roman"/>
          <w:i/>
        </w:rPr>
      </w:pPr>
      <w:r w:rsidRPr="00E168A1">
        <w:rPr>
          <w:rFonts w:ascii="Times New Roman" w:hAnsi="Times New Roman"/>
          <w:b/>
        </w:rPr>
        <w:t>The</w:t>
      </w:r>
      <w:r w:rsidR="00900061" w:rsidRPr="00E168A1">
        <w:rPr>
          <w:rFonts w:ascii="Times New Roman" w:hAnsi="Times New Roman"/>
          <w:b/>
        </w:rPr>
        <w:t xml:space="preserve"> </w:t>
      </w:r>
      <w:r w:rsidR="00B301A9" w:rsidRPr="00E168A1">
        <w:rPr>
          <w:rFonts w:ascii="Times New Roman" w:hAnsi="Times New Roman"/>
          <w:b/>
        </w:rPr>
        <w:t>P</w:t>
      </w:r>
      <w:r w:rsidRPr="00E168A1">
        <w:rPr>
          <w:rFonts w:ascii="Times New Roman" w:hAnsi="Times New Roman"/>
          <w:b/>
        </w:rPr>
        <w:t>ublic</w:t>
      </w:r>
      <w:r w:rsidR="00900061" w:rsidRPr="00E168A1">
        <w:rPr>
          <w:rFonts w:ascii="Times New Roman" w:hAnsi="Times New Roman"/>
          <w:b/>
        </w:rPr>
        <w:t xml:space="preserve"> </w:t>
      </w:r>
      <w:r w:rsidR="00B301A9" w:rsidRPr="00E168A1">
        <w:rPr>
          <w:rFonts w:ascii="Times New Roman" w:hAnsi="Times New Roman"/>
          <w:b/>
        </w:rPr>
        <w:t>P</w:t>
      </w:r>
      <w:r w:rsidRPr="00E168A1">
        <w:rPr>
          <w:rFonts w:ascii="Times New Roman" w:hAnsi="Times New Roman"/>
          <w:b/>
        </w:rPr>
        <w:t>rocurement</w:t>
      </w:r>
      <w:r w:rsidR="00900061" w:rsidRPr="00E168A1">
        <w:rPr>
          <w:rFonts w:ascii="Times New Roman" w:hAnsi="Times New Roman"/>
          <w:b/>
        </w:rPr>
        <w:t xml:space="preserve"> </w:t>
      </w:r>
      <w:r w:rsidR="00B301A9" w:rsidRPr="00E168A1">
        <w:rPr>
          <w:rFonts w:ascii="Times New Roman" w:hAnsi="Times New Roman"/>
          <w:b/>
        </w:rPr>
        <w:t>S</w:t>
      </w:r>
      <w:r w:rsidRPr="00E168A1">
        <w:rPr>
          <w:rFonts w:ascii="Times New Roman" w:hAnsi="Times New Roman"/>
          <w:b/>
        </w:rPr>
        <w:t>trategy</w:t>
      </w:r>
      <w:r w:rsidR="00900061" w:rsidRPr="00E168A1">
        <w:rPr>
          <w:rFonts w:ascii="Times New Roman" w:hAnsi="Times New Roman"/>
          <w:b/>
        </w:rPr>
        <w:t xml:space="preserve"> </w:t>
      </w:r>
      <w:r w:rsidRPr="00E168A1">
        <w:rPr>
          <w:rFonts w:ascii="Times New Roman" w:hAnsi="Times New Roman"/>
          <w:b/>
        </w:rPr>
        <w:t>2014</w:t>
      </w:r>
      <w:r w:rsidR="001C207D" w:rsidRPr="00E168A1">
        <w:rPr>
          <w:rFonts w:ascii="Times New Roman" w:hAnsi="Times New Roman"/>
          <w:b/>
        </w:rPr>
        <w:t>–</w:t>
      </w:r>
      <w:r w:rsidRPr="00E168A1">
        <w:rPr>
          <w:rFonts w:ascii="Times New Roman" w:hAnsi="Times New Roman"/>
          <w:b/>
        </w:rPr>
        <w:t>2018</w:t>
      </w:r>
      <w:r w:rsidR="00900061" w:rsidRPr="00E168A1">
        <w:rPr>
          <w:rFonts w:ascii="Times New Roman" w:hAnsi="Times New Roman"/>
          <w:b/>
        </w:rPr>
        <w:t xml:space="preserve"> </w:t>
      </w:r>
      <w:r w:rsidRPr="00E168A1">
        <w:rPr>
          <w:rFonts w:ascii="Times New Roman" w:hAnsi="Times New Roman"/>
          <w:b/>
        </w:rPr>
        <w:t>foresees</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promotion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framework</w:t>
      </w:r>
      <w:r w:rsidR="00900061" w:rsidRPr="00E168A1">
        <w:rPr>
          <w:rFonts w:ascii="Times New Roman" w:hAnsi="Times New Roman"/>
          <w:b/>
        </w:rPr>
        <w:t xml:space="preserve"> </w:t>
      </w:r>
      <w:r w:rsidRPr="00E168A1">
        <w:rPr>
          <w:rFonts w:ascii="Times New Roman" w:hAnsi="Times New Roman"/>
          <w:b/>
        </w:rPr>
        <w:t>agreements</w:t>
      </w:r>
      <w:r w:rsidR="00900061" w:rsidRPr="00E168A1">
        <w:rPr>
          <w:rFonts w:ascii="Times New Roman" w:hAnsi="Times New Roman"/>
          <w:b/>
        </w:rPr>
        <w:t xml:space="preserve"> </w:t>
      </w:r>
      <w:r w:rsidRPr="00E168A1">
        <w:rPr>
          <w:rFonts w:ascii="Times New Roman" w:hAnsi="Times New Roman"/>
          <w:b/>
        </w:rPr>
        <w:t>over</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coming</w:t>
      </w:r>
      <w:r w:rsidR="00900061" w:rsidRPr="00E168A1">
        <w:rPr>
          <w:rFonts w:ascii="Times New Roman" w:hAnsi="Times New Roman"/>
          <w:b/>
        </w:rPr>
        <w:t xml:space="preserve"> </w:t>
      </w:r>
      <w:r w:rsidRPr="00E168A1">
        <w:rPr>
          <w:rFonts w:ascii="Times New Roman" w:hAnsi="Times New Roman"/>
          <w:b/>
        </w:rPr>
        <w:t>years.</w:t>
      </w:r>
      <w:r w:rsidR="00900061" w:rsidRPr="00E168A1">
        <w:rPr>
          <w:rFonts w:ascii="Times New Roman" w:hAnsi="Times New Roman"/>
          <w:b/>
        </w:rPr>
        <w:t xml:space="preserve"> </w:t>
      </w:r>
      <w:r w:rsidRPr="00E168A1">
        <w:rPr>
          <w:rFonts w:ascii="Times New Roman" w:hAnsi="Times New Roman"/>
        </w:rPr>
        <w:t>These</w:t>
      </w:r>
      <w:r w:rsidR="00900061" w:rsidRPr="00E168A1">
        <w:rPr>
          <w:rFonts w:ascii="Times New Roman" w:hAnsi="Times New Roman"/>
        </w:rPr>
        <w:t xml:space="preserve"> </w:t>
      </w:r>
      <w:r w:rsidRPr="00E168A1">
        <w:rPr>
          <w:rFonts w:ascii="Times New Roman" w:hAnsi="Times New Roman"/>
        </w:rPr>
        <w:t>reduce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administrative</w:t>
      </w:r>
      <w:r w:rsidR="00900061" w:rsidRPr="00E168A1">
        <w:rPr>
          <w:rFonts w:ascii="Times New Roman" w:hAnsi="Times New Roman"/>
        </w:rPr>
        <w:t xml:space="preserve"> </w:t>
      </w:r>
      <w:r w:rsidRPr="00E168A1">
        <w:rPr>
          <w:rFonts w:ascii="Times New Roman" w:hAnsi="Times New Roman"/>
        </w:rPr>
        <w:t>burden</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allow</w:t>
      </w:r>
      <w:r w:rsidR="00900061" w:rsidRPr="00E168A1">
        <w:rPr>
          <w:rFonts w:ascii="Times New Roman" w:hAnsi="Times New Roman"/>
        </w:rPr>
        <w:t xml:space="preserve"> </w:t>
      </w:r>
      <w:r w:rsidRPr="00E168A1">
        <w:rPr>
          <w:rFonts w:ascii="Times New Roman" w:hAnsi="Times New Roman"/>
        </w:rPr>
        <w:t>them</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save</w:t>
      </w:r>
      <w:r w:rsidR="00900061" w:rsidRPr="00E168A1">
        <w:rPr>
          <w:rFonts w:ascii="Times New Roman" w:hAnsi="Times New Roman"/>
        </w:rPr>
        <w:t xml:space="preserve"> </w:t>
      </w:r>
      <w:r w:rsidRPr="00E168A1">
        <w:rPr>
          <w:rFonts w:ascii="Times New Roman" w:hAnsi="Times New Roman"/>
        </w:rPr>
        <w:t>time</w:t>
      </w:r>
      <w:r w:rsidR="00900061" w:rsidRPr="00E168A1">
        <w:rPr>
          <w:rFonts w:ascii="Times New Roman" w:hAnsi="Times New Roman"/>
        </w:rPr>
        <w:t xml:space="preserve"> </w:t>
      </w:r>
      <w:r w:rsidR="008504FC" w:rsidRPr="00E168A1">
        <w:rPr>
          <w:rFonts w:ascii="Times New Roman" w:hAnsi="Times New Roman"/>
        </w:rPr>
        <w:t xml:space="preserve">on </w:t>
      </w:r>
      <w:r w:rsidRPr="00E168A1">
        <w:rPr>
          <w:rFonts w:ascii="Times New Roman" w:hAnsi="Times New Roman"/>
        </w:rPr>
        <w:t>procurements</w:t>
      </w:r>
      <w:r w:rsidR="00900061" w:rsidRPr="00E168A1">
        <w:rPr>
          <w:rFonts w:ascii="Times New Roman" w:hAnsi="Times New Roman"/>
        </w:rPr>
        <w:t xml:space="preserve"> </w:t>
      </w:r>
      <w:r w:rsidR="008504FC" w:rsidRPr="00E168A1">
        <w:rPr>
          <w:rFonts w:ascii="Times New Roman" w:hAnsi="Times New Roman"/>
        </w:rPr>
        <w:t xml:space="preserve">that are </w:t>
      </w:r>
      <w:r w:rsidRPr="00E168A1">
        <w:rPr>
          <w:rFonts w:ascii="Times New Roman" w:hAnsi="Times New Roman"/>
        </w:rPr>
        <w:t>likely</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repeated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multiyear</w:t>
      </w:r>
      <w:r w:rsidR="00900061" w:rsidRPr="00E168A1">
        <w:rPr>
          <w:rFonts w:ascii="Times New Roman" w:hAnsi="Times New Roman"/>
        </w:rPr>
        <w:t xml:space="preserve"> </w:t>
      </w:r>
      <w:r w:rsidRPr="00E168A1">
        <w:rPr>
          <w:rFonts w:ascii="Times New Roman" w:hAnsi="Times New Roman"/>
        </w:rPr>
        <w:t>basis.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strategy</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notes</w:t>
      </w:r>
      <w:r w:rsidR="00900061" w:rsidRPr="00E168A1">
        <w:rPr>
          <w:rFonts w:ascii="Times New Roman" w:hAnsi="Times New Roman"/>
        </w:rPr>
        <w:t xml:space="preserve"> </w:t>
      </w:r>
      <w:r w:rsidRPr="00E168A1">
        <w:rPr>
          <w:rFonts w:ascii="Times New Roman" w:hAnsi="Times New Roman"/>
        </w:rPr>
        <w:t>that</w:t>
      </w:r>
      <w:r w:rsidR="00F93102" w:rsidRPr="00E168A1">
        <w:rPr>
          <w:rFonts w:ascii="Times New Roman" w:hAnsi="Times New Roman"/>
        </w:rPr>
        <w:t>,</w:t>
      </w:r>
      <w:r w:rsidR="00900061" w:rsidRPr="00E168A1">
        <w:rPr>
          <w:rFonts w:ascii="Times New Roman" w:hAnsi="Times New Roman"/>
        </w:rPr>
        <w:t xml:space="preserve"> </w:t>
      </w:r>
      <w:r w:rsidR="008504FC" w:rsidRPr="00E168A1">
        <w:rPr>
          <w:rFonts w:ascii="Times New Roman" w:hAnsi="Times New Roman"/>
        </w:rPr>
        <w:t>“</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year</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there</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142</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signed</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framework</w:t>
      </w:r>
      <w:r w:rsidR="00900061" w:rsidRPr="00E168A1">
        <w:rPr>
          <w:rFonts w:ascii="Times New Roman" w:hAnsi="Times New Roman"/>
        </w:rPr>
        <w:t xml:space="preserve"> </w:t>
      </w:r>
      <w:r w:rsidRPr="00E168A1">
        <w:rPr>
          <w:rFonts w:ascii="Times New Roman" w:hAnsi="Times New Roman"/>
        </w:rPr>
        <w:t>agreements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204</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centralised</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8504FC" w:rsidRPr="00E168A1">
        <w:rPr>
          <w:rFonts w:ascii="Times New Roman" w:hAnsi="Times New Roman"/>
        </w:rPr>
        <w:t>”</w:t>
      </w:r>
      <w:r w:rsidR="00900061" w:rsidRPr="00E168A1">
        <w:rPr>
          <w:rFonts w:ascii="Times New Roman" w:hAnsi="Times New Roman"/>
        </w:rPr>
        <w:t xml:space="preserve"> </w:t>
      </w:r>
    </w:p>
    <w:p w14:paraId="7F3483B9" w14:textId="359EFCE1" w:rsidR="00AE54E5" w:rsidRPr="00E168A1" w:rsidRDefault="00900061" w:rsidP="00645878">
      <w:pPr>
        <w:pStyle w:val="Heading2"/>
        <w:spacing w:before="120" w:after="120" w:line="240" w:lineRule="auto"/>
        <w:ind w:left="0" w:firstLine="0"/>
        <w:rPr>
          <w:color w:val="2F5496" w:themeColor="accent5" w:themeShade="BF"/>
        </w:rPr>
      </w:pPr>
      <w:bookmarkStart w:id="20" w:name="_Toc305833850"/>
      <w:r w:rsidRPr="00E168A1">
        <w:t xml:space="preserve"> </w:t>
      </w:r>
      <w:bookmarkStart w:id="21" w:name="_Toc442428958"/>
      <w:r w:rsidR="00AE54E5" w:rsidRPr="00E168A1">
        <w:t>Procurement</w:t>
      </w:r>
      <w:r w:rsidRPr="00E168A1">
        <w:t xml:space="preserve"> </w:t>
      </w:r>
      <w:r w:rsidR="001C207D" w:rsidRPr="00E168A1">
        <w:t>P</w:t>
      </w:r>
      <w:r w:rsidR="00AE54E5" w:rsidRPr="00E168A1">
        <w:t>lanning</w:t>
      </w:r>
      <w:r w:rsidRPr="00E168A1">
        <w:t xml:space="preserve"> </w:t>
      </w:r>
      <w:r w:rsidR="00AE54E5" w:rsidRPr="00E168A1">
        <w:t>and</w:t>
      </w:r>
      <w:r w:rsidRPr="00E168A1">
        <w:t xml:space="preserve"> </w:t>
      </w:r>
      <w:r w:rsidR="001C207D" w:rsidRPr="00E168A1">
        <w:t>O</w:t>
      </w:r>
      <w:r w:rsidR="00AE54E5" w:rsidRPr="00E168A1">
        <w:t>verall</w:t>
      </w:r>
      <w:r w:rsidRPr="00E168A1">
        <w:t xml:space="preserve"> </w:t>
      </w:r>
      <w:r w:rsidR="001C207D" w:rsidRPr="00E168A1">
        <w:t>V</w:t>
      </w:r>
      <w:r w:rsidR="00AE54E5" w:rsidRPr="00E168A1">
        <w:t>alue</w:t>
      </w:r>
      <w:bookmarkEnd w:id="20"/>
      <w:bookmarkEnd w:id="21"/>
    </w:p>
    <w:p w14:paraId="1CAE3F07" w14:textId="0912FCC6" w:rsidR="00AE54E5"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planning</w:t>
      </w:r>
      <w:r w:rsidR="00900061" w:rsidRPr="00E168A1">
        <w:rPr>
          <w:rFonts w:ascii="Times New Roman" w:hAnsi="Times New Roman"/>
          <w:b/>
        </w:rPr>
        <w:t xml:space="preserve"> </w:t>
      </w:r>
      <w:r w:rsidRPr="00E168A1">
        <w:rPr>
          <w:rFonts w:ascii="Times New Roman" w:hAnsi="Times New Roman"/>
          <w:b/>
        </w:rPr>
        <w:t>is</w:t>
      </w:r>
      <w:r w:rsidR="00900061" w:rsidRPr="00E168A1">
        <w:rPr>
          <w:rFonts w:ascii="Times New Roman" w:hAnsi="Times New Roman"/>
          <w:b/>
        </w:rPr>
        <w:t xml:space="preserve"> </w:t>
      </w:r>
      <w:r w:rsidRPr="00E168A1">
        <w:rPr>
          <w:rFonts w:ascii="Times New Roman" w:hAnsi="Times New Roman"/>
          <w:b/>
        </w:rPr>
        <w:t>incorporated</w:t>
      </w:r>
      <w:r w:rsidR="00900061" w:rsidRPr="00E168A1">
        <w:rPr>
          <w:rFonts w:ascii="Times New Roman" w:hAnsi="Times New Roman"/>
          <w:b/>
        </w:rPr>
        <w:t xml:space="preserve"> </w:t>
      </w:r>
      <w:r w:rsidRPr="00E168A1">
        <w:rPr>
          <w:rFonts w:ascii="Times New Roman" w:hAnsi="Times New Roman"/>
          <w:b/>
        </w:rPr>
        <w:t>into</w:t>
      </w:r>
      <w:r w:rsidR="00900061" w:rsidRPr="00E168A1">
        <w:rPr>
          <w:rFonts w:ascii="Times New Roman" w:hAnsi="Times New Roman"/>
          <w:b/>
        </w:rPr>
        <w:t xml:space="preserve"> </w:t>
      </w:r>
      <w:r w:rsidRPr="00E168A1">
        <w:rPr>
          <w:rFonts w:ascii="Times New Roman" w:hAnsi="Times New Roman"/>
          <w:b/>
        </w:rPr>
        <w:t>legislation.</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planning</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linked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available</w:t>
      </w:r>
      <w:r w:rsidR="00900061" w:rsidRPr="00E168A1">
        <w:rPr>
          <w:rFonts w:ascii="Times New Roman" w:hAnsi="Times New Roman"/>
        </w:rPr>
        <w:t xml:space="preserve"> </w:t>
      </w:r>
      <w:r w:rsidRPr="00E168A1">
        <w:rPr>
          <w:rFonts w:ascii="Times New Roman" w:hAnsi="Times New Roman"/>
        </w:rPr>
        <w:t>budget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cannot</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launched</w:t>
      </w:r>
      <w:r w:rsidR="00900061" w:rsidRPr="00E168A1">
        <w:rPr>
          <w:rFonts w:ascii="Times New Roman" w:hAnsi="Times New Roman"/>
        </w:rPr>
        <w:t xml:space="preserve"> </w:t>
      </w:r>
      <w:r w:rsidRPr="00E168A1">
        <w:rPr>
          <w:rFonts w:ascii="Times New Roman" w:hAnsi="Times New Roman"/>
        </w:rPr>
        <w:t>if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budget</w:t>
      </w:r>
      <w:r w:rsidR="00900061" w:rsidRPr="00E168A1">
        <w:rPr>
          <w:rFonts w:ascii="Times New Roman" w:hAnsi="Times New Roman"/>
        </w:rPr>
        <w:t xml:space="preserve"> </w:t>
      </w:r>
      <w:r w:rsidR="00DE0F71"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available.</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ministries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prepare</w:t>
      </w:r>
      <w:r w:rsidR="00900061" w:rsidRPr="00E168A1">
        <w:rPr>
          <w:rFonts w:ascii="Times New Roman" w:hAnsi="Times New Roman"/>
        </w:rPr>
        <w:t xml:space="preserve"> </w:t>
      </w:r>
      <w:r w:rsidRPr="00E168A1">
        <w:rPr>
          <w:rFonts w:ascii="Times New Roman" w:hAnsi="Times New Roman"/>
        </w:rPr>
        <w:t>annual</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January</w:t>
      </w:r>
      <w:r w:rsidR="00900061" w:rsidRPr="00E168A1">
        <w:rPr>
          <w:rFonts w:ascii="Times New Roman" w:hAnsi="Times New Roman"/>
        </w:rPr>
        <w:t xml:space="preserve"> </w:t>
      </w:r>
      <w:r w:rsidRPr="00E168A1">
        <w:rPr>
          <w:rFonts w:ascii="Times New Roman" w:hAnsi="Times New Roman"/>
        </w:rPr>
        <w:t>31</w:t>
      </w:r>
      <w:r w:rsidR="00900061" w:rsidRPr="00E168A1">
        <w:rPr>
          <w:rFonts w:ascii="Times New Roman" w:hAnsi="Times New Roman"/>
        </w:rPr>
        <w:t xml:space="preserve"> </w:t>
      </w:r>
      <w:r w:rsidR="00530FB5" w:rsidRPr="00E168A1">
        <w:rPr>
          <w:rFonts w:ascii="Times New Roman" w:hAnsi="Times New Roman"/>
        </w:rPr>
        <w:t xml:space="preserve">of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planned</w:t>
      </w:r>
      <w:r w:rsidR="00900061" w:rsidRPr="00E168A1">
        <w:rPr>
          <w:rFonts w:ascii="Times New Roman" w:hAnsi="Times New Roman"/>
        </w:rPr>
        <w:t xml:space="preserve"> </w:t>
      </w:r>
      <w:r w:rsidRPr="00E168A1">
        <w:rPr>
          <w:rFonts w:ascii="Times New Roman" w:hAnsi="Times New Roman"/>
        </w:rPr>
        <w:t>year</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submit</w:t>
      </w:r>
      <w:r w:rsidR="00900061" w:rsidRPr="00E168A1">
        <w:rPr>
          <w:rFonts w:ascii="Times New Roman" w:hAnsi="Times New Roman"/>
        </w:rPr>
        <w:t xml:space="preserve"> </w:t>
      </w:r>
      <w:r w:rsidRPr="00E168A1">
        <w:rPr>
          <w:rFonts w:ascii="Times New Roman" w:hAnsi="Times New Roman"/>
        </w:rPr>
        <w:t>them</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10</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day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adoption.</w:t>
      </w:r>
      <w:r w:rsidR="00900061" w:rsidRPr="00E168A1">
        <w:rPr>
          <w:rFonts w:ascii="Times New Roman" w:hAnsi="Times New Roman"/>
        </w:rPr>
        <w:t xml:space="preserve"> </w:t>
      </w:r>
      <w:r w:rsidR="008504FC" w:rsidRPr="00E168A1">
        <w:rPr>
          <w:rFonts w:ascii="Times New Roman" w:hAnsi="Times New Roman"/>
        </w:rPr>
        <w:t>“</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change</w:t>
      </w:r>
      <w:r w:rsidR="00900061" w:rsidRPr="00E168A1">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plan</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case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revised</w:t>
      </w:r>
      <w:r w:rsidR="00900061" w:rsidRPr="00E168A1">
        <w:rPr>
          <w:rFonts w:ascii="Times New Roman" w:hAnsi="Times New Roman"/>
        </w:rPr>
        <w:t xml:space="preserve"> </w:t>
      </w:r>
      <w:r w:rsidRPr="00E168A1">
        <w:rPr>
          <w:rFonts w:ascii="Times New Roman" w:hAnsi="Times New Roman"/>
        </w:rPr>
        <w:t>budget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amended</w:t>
      </w:r>
      <w:r w:rsidR="00900061" w:rsidRPr="00E168A1">
        <w:rPr>
          <w:rFonts w:ascii="Times New Roman" w:hAnsi="Times New Roman"/>
        </w:rPr>
        <w:t xml:space="preserve"> </w:t>
      </w:r>
      <w:r w:rsidRPr="00E168A1">
        <w:rPr>
          <w:rFonts w:ascii="Times New Roman" w:hAnsi="Times New Roman"/>
        </w:rPr>
        <w:t>financial</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00B03657" w:rsidRPr="00E168A1">
        <w:rPr>
          <w:rFonts w:ascii="Times New Roman" w:hAnsi="Times New Roman"/>
        </w:rPr>
        <w:t>but</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PPL</w:t>
      </w:r>
      <w:r w:rsidR="00900061" w:rsidRPr="00E168A1">
        <w:rPr>
          <w:rFonts w:ascii="Times New Roman" w:hAnsi="Times New Roman"/>
        </w:rPr>
        <w:t xml:space="preserve"> </w:t>
      </w:r>
      <w:r w:rsidR="00B03657" w:rsidRPr="00E168A1">
        <w:rPr>
          <w:rFonts w:ascii="Times New Roman" w:hAnsi="Times New Roman"/>
        </w:rPr>
        <w:t>encourages</w:t>
      </w:r>
      <w:r w:rsidR="00900061" w:rsidRPr="00E168A1">
        <w:rPr>
          <w:rFonts w:ascii="Times New Roman" w:hAnsi="Times New Roman"/>
        </w:rPr>
        <w:t xml:space="preserve"> </w:t>
      </w:r>
      <w:r w:rsidR="00B03657" w:rsidRPr="00E168A1">
        <w:rPr>
          <w:rFonts w:ascii="Times New Roman" w:hAnsi="Times New Roman"/>
        </w:rPr>
        <w:t>them</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do</w:t>
      </w:r>
      <w:r w:rsidR="00900061" w:rsidRPr="00E168A1">
        <w:rPr>
          <w:rFonts w:ascii="Times New Roman" w:hAnsi="Times New Roman"/>
        </w:rPr>
        <w:t xml:space="preserve"> </w:t>
      </w:r>
      <w:r w:rsidR="00B03657" w:rsidRPr="00E168A1">
        <w:rPr>
          <w:rFonts w:ascii="Times New Roman" w:hAnsi="Times New Roman"/>
        </w:rPr>
        <w:t>so</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a</w:t>
      </w:r>
      <w:r w:rsidR="00900061" w:rsidRPr="00E168A1">
        <w:rPr>
          <w:rFonts w:ascii="Times New Roman" w:hAnsi="Times New Roman"/>
        </w:rPr>
        <w:t xml:space="preserve"> </w:t>
      </w:r>
      <w:r w:rsidR="00B03657" w:rsidRPr="00E168A1">
        <w:rPr>
          <w:rFonts w:ascii="Times New Roman" w:hAnsi="Times New Roman"/>
        </w:rPr>
        <w:t>transparent</w:t>
      </w:r>
      <w:r w:rsidR="00900061" w:rsidRPr="00E168A1">
        <w:rPr>
          <w:rFonts w:ascii="Times New Roman" w:hAnsi="Times New Roman"/>
        </w:rPr>
        <w:t xml:space="preserve"> </w:t>
      </w:r>
      <w:r w:rsidR="00B03657" w:rsidRPr="00E168A1">
        <w:rPr>
          <w:rFonts w:ascii="Times New Roman" w:hAnsi="Times New Roman"/>
        </w:rPr>
        <w:t>manner</w:t>
      </w:r>
      <w:r w:rsidR="00900061" w:rsidRPr="00E168A1">
        <w:rPr>
          <w:rFonts w:ascii="Times New Roman" w:hAnsi="Times New Roman"/>
        </w:rPr>
        <w:t xml:space="preserve"> </w:t>
      </w:r>
      <w:r w:rsidR="00B03657" w:rsidRPr="00E168A1">
        <w:rPr>
          <w:rFonts w:ascii="Times New Roman" w:hAnsi="Times New Roman"/>
        </w:rPr>
        <w:t>that</w:t>
      </w:r>
      <w:r w:rsidR="00900061" w:rsidRPr="00E168A1">
        <w:rPr>
          <w:rFonts w:ascii="Times New Roman" w:hAnsi="Times New Roman"/>
        </w:rPr>
        <w:t xml:space="preserve"> </w:t>
      </w:r>
      <w:r w:rsidR="00B03657" w:rsidRPr="00E168A1">
        <w:rPr>
          <w:rFonts w:ascii="Times New Roman" w:hAnsi="Times New Roman"/>
        </w:rPr>
        <w:t>highlights</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specific</w:t>
      </w:r>
      <w:r w:rsidR="00900061" w:rsidRPr="00E168A1">
        <w:rPr>
          <w:rFonts w:ascii="Times New Roman" w:hAnsi="Times New Roman"/>
        </w:rPr>
        <w:t xml:space="preserve"> </w:t>
      </w:r>
      <w:r w:rsidR="00B03657" w:rsidRPr="00E168A1">
        <w:rPr>
          <w:rFonts w:ascii="Times New Roman" w:hAnsi="Times New Roman"/>
        </w:rPr>
        <w:t>changes</w:t>
      </w:r>
      <w:r w:rsidR="00900061" w:rsidRPr="00E168A1">
        <w:rPr>
          <w:rFonts w:ascii="Times New Roman" w:hAnsi="Times New Roman"/>
        </w:rPr>
        <w:t xml:space="preserve"> </w:t>
      </w:r>
      <w:r w:rsidR="00B03657" w:rsidRPr="00E168A1">
        <w:rPr>
          <w:rFonts w:ascii="Times New Roman" w:hAnsi="Times New Roman"/>
        </w:rPr>
        <w:t>relative</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original</w:t>
      </w:r>
      <w:r w:rsidR="00900061" w:rsidRPr="00E168A1">
        <w:rPr>
          <w:rFonts w:ascii="Times New Roman" w:hAnsi="Times New Roman"/>
        </w:rPr>
        <w:t xml:space="preserve"> </w:t>
      </w:r>
      <w:r w:rsidR="00B03657" w:rsidRPr="00E168A1">
        <w:rPr>
          <w:rFonts w:ascii="Times New Roman" w:hAnsi="Times New Roman"/>
        </w:rPr>
        <w:t>plan</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that</w:t>
      </w:r>
      <w:r w:rsidR="00900061" w:rsidRPr="00E168A1">
        <w:rPr>
          <w:rFonts w:ascii="Times New Roman" w:hAnsi="Times New Roman"/>
        </w:rPr>
        <w:t xml:space="preserve"> </w:t>
      </w:r>
      <w:r w:rsidR="00B03657" w:rsidRPr="00E168A1">
        <w:rPr>
          <w:rFonts w:ascii="Times New Roman" w:hAnsi="Times New Roman"/>
        </w:rPr>
        <w:t>provides</w:t>
      </w:r>
      <w:r w:rsidR="00900061" w:rsidRPr="00E168A1">
        <w:rPr>
          <w:rFonts w:ascii="Times New Roman" w:hAnsi="Times New Roman"/>
        </w:rPr>
        <w:t xml:space="preserve"> </w:t>
      </w:r>
      <w:r w:rsidR="00B03657" w:rsidRPr="00E168A1">
        <w:rPr>
          <w:rFonts w:ascii="Times New Roman" w:hAnsi="Times New Roman"/>
        </w:rPr>
        <w:t>accompanying</w:t>
      </w:r>
      <w:r w:rsidR="00900061" w:rsidRPr="00E168A1">
        <w:rPr>
          <w:rFonts w:ascii="Times New Roman" w:hAnsi="Times New Roman"/>
        </w:rPr>
        <w:t xml:space="preserve"> </w:t>
      </w:r>
      <w:r w:rsidR="00B03657" w:rsidRPr="00E168A1">
        <w:rPr>
          <w:rFonts w:ascii="Times New Roman" w:hAnsi="Times New Roman"/>
        </w:rPr>
        <w:t>justifications.</w:t>
      </w:r>
      <w:r w:rsidR="00900061" w:rsidRPr="00E168A1">
        <w:rPr>
          <w:rFonts w:ascii="Times New Roman" w:hAnsi="Times New Roman"/>
        </w:rPr>
        <w:t xml:space="preserve"> </w:t>
      </w:r>
      <w:r w:rsidR="00B03657" w:rsidRPr="00E168A1">
        <w:rPr>
          <w:rFonts w:ascii="Times New Roman" w:hAnsi="Times New Roman"/>
        </w:rPr>
        <w:t>Changes</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plans</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submitted</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PPO</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SAI,</w:t>
      </w:r>
      <w:r w:rsidR="00900061" w:rsidRPr="00E168A1">
        <w:rPr>
          <w:rFonts w:ascii="Times New Roman" w:hAnsi="Times New Roman"/>
        </w:rPr>
        <w:t xml:space="preserve"> </w:t>
      </w:r>
      <w:r w:rsidR="00B03657" w:rsidRPr="00E168A1">
        <w:rPr>
          <w:rFonts w:ascii="Times New Roman" w:hAnsi="Times New Roman"/>
        </w:rPr>
        <w:t>prominently</w:t>
      </w:r>
      <w:r w:rsidR="00900061" w:rsidRPr="00E168A1">
        <w:rPr>
          <w:rFonts w:ascii="Times New Roman" w:hAnsi="Times New Roman"/>
        </w:rPr>
        <w:t xml:space="preserve"> </w:t>
      </w:r>
      <w:r w:rsidR="00B03657" w:rsidRPr="00E168A1">
        <w:rPr>
          <w:rFonts w:ascii="Times New Roman" w:hAnsi="Times New Roman"/>
        </w:rPr>
        <w:t>including</w:t>
      </w:r>
      <w:r w:rsidR="00900061" w:rsidRPr="00E168A1">
        <w:rPr>
          <w:rFonts w:ascii="Times New Roman" w:hAnsi="Times New Roman"/>
        </w:rPr>
        <w:t xml:space="preserve"> </w:t>
      </w:r>
      <w:r w:rsidR="00B03657" w:rsidRPr="00E168A1">
        <w:rPr>
          <w:rFonts w:ascii="Times New Roman" w:hAnsi="Times New Roman"/>
        </w:rPr>
        <w:t>changes</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contract</w:t>
      </w:r>
      <w:r w:rsidR="00900061" w:rsidRPr="00E168A1">
        <w:rPr>
          <w:rFonts w:ascii="Times New Roman" w:hAnsi="Times New Roman"/>
        </w:rPr>
        <w:t xml:space="preserve"> </w:t>
      </w:r>
      <w:r w:rsidR="00B03657" w:rsidRPr="00E168A1">
        <w:rPr>
          <w:rFonts w:ascii="Times New Roman" w:hAnsi="Times New Roman"/>
        </w:rPr>
        <w:t>elements</w:t>
      </w:r>
      <w:r w:rsidR="00900061" w:rsidRPr="00E168A1">
        <w:rPr>
          <w:rFonts w:ascii="Times New Roman" w:hAnsi="Times New Roman"/>
        </w:rPr>
        <w:t xml:space="preserve"> </w:t>
      </w:r>
      <w:r w:rsidR="00B03657" w:rsidRPr="00E168A1">
        <w:rPr>
          <w:rFonts w:ascii="Times New Roman" w:hAnsi="Times New Roman"/>
        </w:rPr>
        <w:t>such</w:t>
      </w:r>
      <w:r w:rsidR="00900061" w:rsidRPr="00E168A1">
        <w:rPr>
          <w:rFonts w:ascii="Times New Roman" w:hAnsi="Times New Roman"/>
        </w:rPr>
        <w:t xml:space="preserve"> </w:t>
      </w:r>
      <w:r w:rsidR="00B03657" w:rsidRPr="00E168A1">
        <w:rPr>
          <w:rFonts w:ascii="Times New Roman" w:hAnsi="Times New Roman"/>
        </w:rPr>
        <w:t>as</w:t>
      </w:r>
      <w:r w:rsidR="00900061" w:rsidRPr="00E168A1">
        <w:rPr>
          <w:rFonts w:ascii="Times New Roman" w:hAnsi="Times New Roman"/>
        </w:rPr>
        <w:t xml:space="preserve"> </w:t>
      </w:r>
      <w:r w:rsidR="00B03657" w:rsidRPr="00E168A1">
        <w:rPr>
          <w:rFonts w:ascii="Times New Roman" w:hAnsi="Times New Roman"/>
        </w:rPr>
        <w:t>price</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contract</w:t>
      </w:r>
      <w:r w:rsidR="00900061" w:rsidRPr="00E168A1">
        <w:rPr>
          <w:rFonts w:ascii="Times New Roman" w:hAnsi="Times New Roman"/>
        </w:rPr>
        <w:t xml:space="preserve"> </w:t>
      </w:r>
      <w:r w:rsidR="00B03657" w:rsidRPr="00E168A1">
        <w:rPr>
          <w:rFonts w:ascii="Times New Roman" w:hAnsi="Times New Roman"/>
        </w:rPr>
        <w:t>duration.</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authorities</w:t>
      </w:r>
      <w:r w:rsidR="00900061" w:rsidRPr="00E168A1">
        <w:rPr>
          <w:rFonts w:ascii="Times New Roman" w:hAnsi="Times New Roman"/>
        </w:rPr>
        <w:t xml:space="preserve"> </w:t>
      </w:r>
      <w:r w:rsidR="00B03657" w:rsidRPr="00E168A1">
        <w:rPr>
          <w:rFonts w:ascii="Times New Roman" w:hAnsi="Times New Roman"/>
        </w:rPr>
        <w:t>must</w:t>
      </w:r>
      <w:r w:rsidR="00900061" w:rsidRPr="00E168A1">
        <w:rPr>
          <w:rFonts w:ascii="Times New Roman" w:hAnsi="Times New Roman"/>
        </w:rPr>
        <w:t xml:space="preserve"> </w:t>
      </w:r>
      <w:r w:rsidR="00B03657" w:rsidRPr="00E168A1">
        <w:rPr>
          <w:rFonts w:ascii="Times New Roman" w:hAnsi="Times New Roman"/>
        </w:rPr>
        <w:t>also</w:t>
      </w:r>
      <w:r w:rsidR="00900061" w:rsidRPr="00E168A1">
        <w:rPr>
          <w:rFonts w:ascii="Times New Roman" w:hAnsi="Times New Roman"/>
        </w:rPr>
        <w:t xml:space="preserve"> </w:t>
      </w:r>
      <w:r w:rsidR="00B03657" w:rsidRPr="00E168A1">
        <w:rPr>
          <w:rFonts w:ascii="Times New Roman" w:hAnsi="Times New Roman"/>
        </w:rPr>
        <w:t>report</w:t>
      </w:r>
      <w:r w:rsidR="00900061" w:rsidRPr="00E168A1">
        <w:rPr>
          <w:rFonts w:ascii="Times New Roman" w:hAnsi="Times New Roman"/>
        </w:rPr>
        <w:t xml:space="preserve"> </w:t>
      </w:r>
      <w:r w:rsidR="00B03657" w:rsidRPr="00E168A1">
        <w:rPr>
          <w:rFonts w:ascii="Times New Roman" w:hAnsi="Times New Roman"/>
        </w:rPr>
        <w:t>quarterly</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PPO</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conducted</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procedures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awarded.</w:t>
      </w:r>
      <w:r w:rsidR="00900061" w:rsidRPr="00E168A1">
        <w:rPr>
          <w:rFonts w:ascii="Times New Roman" w:hAnsi="Times New Roman"/>
        </w:rPr>
        <w:t xml:space="preserve"> </w:t>
      </w:r>
      <w:r w:rsidR="00B03657" w:rsidRPr="00E168A1">
        <w:rPr>
          <w:rFonts w:ascii="Times New Roman" w:hAnsi="Times New Roman"/>
        </w:rPr>
        <w:t>Exemptions</w:t>
      </w:r>
      <w:r w:rsidR="00900061" w:rsidRPr="00E168A1">
        <w:rPr>
          <w:rFonts w:ascii="Times New Roman" w:hAnsi="Times New Roman"/>
        </w:rPr>
        <w:t xml:space="preserve"> </w:t>
      </w:r>
      <w:r w:rsidR="00B03657" w:rsidRPr="00E168A1">
        <w:rPr>
          <w:rFonts w:ascii="Times New Roman" w:hAnsi="Times New Roman"/>
        </w:rPr>
        <w:t>from</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PPL</w:t>
      </w:r>
      <w:r w:rsidR="00900061" w:rsidRPr="00E168A1">
        <w:rPr>
          <w:rFonts w:ascii="Times New Roman" w:hAnsi="Times New Roman"/>
        </w:rPr>
        <w:t xml:space="preserve"> </w:t>
      </w:r>
      <w:r w:rsidR="00B03657" w:rsidRPr="00E168A1">
        <w:rPr>
          <w:rFonts w:ascii="Times New Roman" w:hAnsi="Times New Roman"/>
        </w:rPr>
        <w:t>are</w:t>
      </w:r>
      <w:r w:rsidR="00900061" w:rsidRPr="00E168A1">
        <w:rPr>
          <w:rFonts w:ascii="Times New Roman" w:hAnsi="Times New Roman"/>
        </w:rPr>
        <w:t xml:space="preserve"> </w:t>
      </w:r>
      <w:r w:rsidR="00B03657" w:rsidRPr="00E168A1">
        <w:rPr>
          <w:rFonts w:ascii="Times New Roman" w:hAnsi="Times New Roman"/>
        </w:rPr>
        <w:t>clearly</w:t>
      </w:r>
      <w:r w:rsidR="00900061" w:rsidRPr="00E168A1">
        <w:rPr>
          <w:rFonts w:ascii="Times New Roman" w:hAnsi="Times New Roman"/>
        </w:rPr>
        <w:t xml:space="preserve"> </w:t>
      </w:r>
      <w:r w:rsidR="00B03657" w:rsidRPr="00E168A1">
        <w:rPr>
          <w:rFonts w:ascii="Times New Roman" w:hAnsi="Times New Roman"/>
        </w:rPr>
        <w:t>defined</w:t>
      </w:r>
      <w:r w:rsidR="00900061" w:rsidRPr="00E168A1">
        <w:rPr>
          <w:rFonts w:ascii="Times New Roman" w:hAnsi="Times New Roman"/>
        </w:rPr>
        <w:t xml:space="preserve"> </w:t>
      </w:r>
      <w:r w:rsidR="00B03657" w:rsidRPr="00E168A1">
        <w:rPr>
          <w:rFonts w:ascii="Times New Roman" w:hAnsi="Times New Roman"/>
        </w:rPr>
        <w:t>by</w:t>
      </w:r>
      <w:r w:rsidR="00900061" w:rsidRPr="00E168A1">
        <w:rPr>
          <w:rFonts w:ascii="Times New Roman" w:hAnsi="Times New Roman"/>
        </w:rPr>
        <w:t xml:space="preserve"> </w:t>
      </w:r>
      <w:r w:rsidR="00B03657" w:rsidRPr="00E168A1">
        <w:rPr>
          <w:rFonts w:ascii="Times New Roman" w:hAnsi="Times New Roman"/>
        </w:rPr>
        <w:t>Article</w:t>
      </w:r>
      <w:r w:rsidR="00900061" w:rsidRPr="00E168A1">
        <w:rPr>
          <w:rFonts w:ascii="Times New Roman" w:hAnsi="Times New Roman"/>
        </w:rPr>
        <w:t xml:space="preserve"> </w:t>
      </w:r>
      <w:r w:rsidR="00B03657" w:rsidRPr="00E168A1">
        <w:rPr>
          <w:rFonts w:ascii="Times New Roman" w:hAnsi="Times New Roman"/>
        </w:rPr>
        <w:t>7.</w:t>
      </w:r>
      <w:r w:rsidR="008504FC" w:rsidRPr="00E168A1">
        <w:rPr>
          <w:rFonts w:ascii="Times New Roman" w:hAnsi="Times New Roman"/>
        </w:rPr>
        <w:t>”</w:t>
      </w:r>
      <w:r w:rsidR="00A7170B" w:rsidRPr="00E168A1">
        <w:rPr>
          <w:rStyle w:val="FootnoteReference"/>
          <w:rFonts w:ascii="Times New Roman" w:hAnsi="Times New Roman"/>
        </w:rPr>
        <w:footnoteReference w:id="22"/>
      </w:r>
      <w:r w:rsidR="00900061" w:rsidRPr="00E168A1">
        <w:rPr>
          <w:rFonts w:ascii="Times New Roman" w:hAnsi="Times New Roman"/>
        </w:rPr>
        <w:t xml:space="preserve"> </w:t>
      </w:r>
      <w:r w:rsidR="00B03657" w:rsidRPr="00E168A1">
        <w:rPr>
          <w:rFonts w:ascii="Times New Roman" w:hAnsi="Times New Roman"/>
        </w:rPr>
        <w:t>With</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implementation</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recent</w:t>
      </w:r>
      <w:r w:rsidR="00900061" w:rsidRPr="00E168A1">
        <w:rPr>
          <w:rFonts w:ascii="Times New Roman" w:hAnsi="Times New Roman"/>
        </w:rPr>
        <w:t xml:space="preserve"> </w:t>
      </w:r>
      <w:r w:rsidR="00B03657" w:rsidRPr="00E168A1">
        <w:rPr>
          <w:rFonts w:ascii="Times New Roman" w:hAnsi="Times New Roman"/>
        </w:rPr>
        <w:t>PPL</w:t>
      </w:r>
      <w:r w:rsidR="00900061" w:rsidRPr="00E168A1">
        <w:rPr>
          <w:rFonts w:ascii="Times New Roman" w:hAnsi="Times New Roman"/>
        </w:rPr>
        <w:t xml:space="preserve"> </w:t>
      </w:r>
      <w:r w:rsidR="00B03657" w:rsidRPr="00E168A1">
        <w:rPr>
          <w:rFonts w:ascii="Times New Roman" w:hAnsi="Times New Roman"/>
        </w:rPr>
        <w:t>Amendment,</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plans</w:t>
      </w:r>
      <w:r w:rsidR="00900061" w:rsidRPr="00E168A1">
        <w:rPr>
          <w:rFonts w:ascii="Times New Roman" w:hAnsi="Times New Roman"/>
        </w:rPr>
        <w:t xml:space="preserve"> </w:t>
      </w:r>
      <w:r w:rsidR="00B03657" w:rsidRPr="00E168A1">
        <w:rPr>
          <w:rFonts w:ascii="Times New Roman" w:hAnsi="Times New Roman"/>
        </w:rPr>
        <w:t>will</w:t>
      </w:r>
      <w:r w:rsidR="00900061" w:rsidRPr="00E168A1">
        <w:rPr>
          <w:rFonts w:ascii="Times New Roman" w:hAnsi="Times New Roman"/>
        </w:rPr>
        <w:t xml:space="preserve"> </w:t>
      </w:r>
      <w:r w:rsidR="00B03657" w:rsidRPr="00E168A1">
        <w:rPr>
          <w:rFonts w:ascii="Times New Roman" w:hAnsi="Times New Roman"/>
        </w:rPr>
        <w:t>be</w:t>
      </w:r>
      <w:r w:rsidR="00900061" w:rsidRPr="00E168A1">
        <w:rPr>
          <w:rFonts w:ascii="Times New Roman" w:hAnsi="Times New Roman"/>
        </w:rPr>
        <w:t xml:space="preserve"> </w:t>
      </w:r>
      <w:r w:rsidR="00B03657" w:rsidRPr="00E168A1">
        <w:rPr>
          <w:rFonts w:ascii="Times New Roman" w:hAnsi="Times New Roman"/>
        </w:rPr>
        <w:t>published</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ublic</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ortal</w:t>
      </w:r>
      <w:r w:rsidR="00900061" w:rsidRPr="00E168A1">
        <w:rPr>
          <w:rFonts w:ascii="Times New Roman" w:hAnsi="Times New Roman"/>
        </w:rPr>
        <w:t xml:space="preserve"> </w:t>
      </w:r>
      <w:r w:rsidR="00B03657" w:rsidRPr="00E168A1">
        <w:rPr>
          <w:rFonts w:ascii="Times New Roman" w:hAnsi="Times New Roman"/>
        </w:rPr>
        <w:t>as</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January</w:t>
      </w:r>
      <w:r w:rsidR="00900061" w:rsidRPr="00E168A1">
        <w:rPr>
          <w:rFonts w:ascii="Times New Roman" w:hAnsi="Times New Roman"/>
        </w:rPr>
        <w:t xml:space="preserve"> </w:t>
      </w:r>
      <w:r w:rsidR="00B03657" w:rsidRPr="00E168A1">
        <w:rPr>
          <w:rFonts w:ascii="Times New Roman" w:hAnsi="Times New Roman"/>
        </w:rPr>
        <w:t>2016</w:t>
      </w:r>
      <w:r w:rsidR="00900061" w:rsidRPr="00E168A1">
        <w:rPr>
          <w:rFonts w:ascii="Times New Roman" w:hAnsi="Times New Roman"/>
        </w:rPr>
        <w:t xml:space="preserve"> </w:t>
      </w:r>
      <w:r w:rsidR="00B03657" w:rsidRPr="00E168A1">
        <w:rPr>
          <w:rFonts w:ascii="Times New Roman" w:hAnsi="Times New Roman"/>
        </w:rPr>
        <w:t>(for</w:t>
      </w:r>
      <w:r w:rsidR="00900061" w:rsidRPr="00E168A1">
        <w:rPr>
          <w:rFonts w:ascii="Times New Roman" w:hAnsi="Times New Roman"/>
        </w:rPr>
        <w:t xml:space="preserve"> </w:t>
      </w:r>
      <w:r w:rsidR="00B03657" w:rsidRPr="00E168A1">
        <w:rPr>
          <w:rFonts w:ascii="Times New Roman" w:hAnsi="Times New Roman"/>
        </w:rPr>
        <w:t>now,</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plans</w:t>
      </w:r>
      <w:r w:rsidR="00900061" w:rsidRPr="00E168A1">
        <w:rPr>
          <w:rFonts w:ascii="Times New Roman" w:hAnsi="Times New Roman"/>
        </w:rPr>
        <w:t xml:space="preserve"> </w:t>
      </w:r>
      <w:r w:rsidR="00B03657" w:rsidRPr="00E168A1">
        <w:rPr>
          <w:rFonts w:ascii="Times New Roman" w:hAnsi="Times New Roman"/>
        </w:rPr>
        <w:t>were</w:t>
      </w:r>
      <w:r w:rsidR="00900061" w:rsidRPr="00E168A1">
        <w:rPr>
          <w:rFonts w:ascii="Times New Roman" w:hAnsi="Times New Roman"/>
        </w:rPr>
        <w:t xml:space="preserve"> </w:t>
      </w:r>
      <w:r w:rsidR="00B03657" w:rsidRPr="00E168A1">
        <w:rPr>
          <w:rFonts w:ascii="Times New Roman" w:hAnsi="Times New Roman"/>
        </w:rPr>
        <w:t>not</w:t>
      </w:r>
      <w:r w:rsidR="00900061" w:rsidRPr="00E168A1">
        <w:rPr>
          <w:rFonts w:ascii="Times New Roman" w:hAnsi="Times New Roman"/>
        </w:rPr>
        <w:t xml:space="preserve"> </w:t>
      </w:r>
      <w:r w:rsidR="00B03657" w:rsidRPr="00E168A1">
        <w:rPr>
          <w:rFonts w:ascii="Times New Roman" w:hAnsi="Times New Roman"/>
        </w:rPr>
        <w:t>published</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ublic</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3E7A4A" w:rsidRPr="00E168A1">
        <w:rPr>
          <w:rFonts w:ascii="Times New Roman" w:hAnsi="Times New Roman"/>
        </w:rPr>
        <w:t>p</w:t>
      </w:r>
      <w:r w:rsidR="00B03657" w:rsidRPr="00E168A1">
        <w:rPr>
          <w:rFonts w:ascii="Times New Roman" w:hAnsi="Times New Roman"/>
        </w:rPr>
        <w:t>ortal;</w:t>
      </w:r>
      <w:r w:rsidR="00900061" w:rsidRPr="00E168A1">
        <w:rPr>
          <w:rFonts w:ascii="Times New Roman" w:hAnsi="Times New Roman"/>
        </w:rPr>
        <w:t xml:space="preserve"> </w:t>
      </w:r>
      <w:r w:rsidR="00B03657" w:rsidRPr="00E168A1">
        <w:rPr>
          <w:rFonts w:ascii="Times New Roman" w:hAnsi="Times New Roman"/>
        </w:rPr>
        <w:t>instead,</w:t>
      </w:r>
      <w:r w:rsidR="00900061" w:rsidRPr="00E168A1">
        <w:rPr>
          <w:rFonts w:ascii="Times New Roman" w:hAnsi="Times New Roman"/>
        </w:rPr>
        <w:t xml:space="preserve"> </w:t>
      </w:r>
      <w:r w:rsidR="00B03657" w:rsidRPr="00E168A1">
        <w:rPr>
          <w:rFonts w:ascii="Times New Roman" w:hAnsi="Times New Roman"/>
        </w:rPr>
        <w:t>each</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authority</w:t>
      </w:r>
      <w:r w:rsidR="00900061" w:rsidRPr="00E168A1">
        <w:rPr>
          <w:rFonts w:ascii="Times New Roman" w:hAnsi="Times New Roman"/>
        </w:rPr>
        <w:t xml:space="preserve"> </w:t>
      </w:r>
      <w:r w:rsidR="00B03657" w:rsidRPr="00E168A1">
        <w:rPr>
          <w:rFonts w:ascii="Times New Roman" w:hAnsi="Times New Roman"/>
        </w:rPr>
        <w:t>was</w:t>
      </w:r>
      <w:r w:rsidR="00900061" w:rsidRPr="00E168A1">
        <w:rPr>
          <w:rFonts w:ascii="Times New Roman" w:hAnsi="Times New Roman"/>
        </w:rPr>
        <w:t xml:space="preserve"> </w:t>
      </w:r>
      <w:r w:rsidR="00B03657" w:rsidRPr="00E168A1">
        <w:rPr>
          <w:rFonts w:ascii="Times New Roman" w:hAnsi="Times New Roman"/>
        </w:rPr>
        <w:t>encouraged</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B03657" w:rsidRPr="00E168A1">
        <w:rPr>
          <w:rFonts w:ascii="Times New Roman" w:hAnsi="Times New Roman"/>
        </w:rPr>
        <w:t>publish</w:t>
      </w:r>
      <w:r w:rsidR="00900061" w:rsidRPr="00E168A1">
        <w:rPr>
          <w:rFonts w:ascii="Times New Roman" w:hAnsi="Times New Roman"/>
        </w:rPr>
        <w:t xml:space="preserve"> </w:t>
      </w:r>
      <w:r w:rsidR="00B03657" w:rsidRPr="00E168A1">
        <w:rPr>
          <w:rFonts w:ascii="Times New Roman" w:hAnsi="Times New Roman"/>
        </w:rPr>
        <w:t>it</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its</w:t>
      </w:r>
      <w:r w:rsidR="00900061" w:rsidRPr="00E168A1">
        <w:rPr>
          <w:rFonts w:ascii="Times New Roman" w:hAnsi="Times New Roman"/>
        </w:rPr>
        <w:t xml:space="preserve"> </w:t>
      </w:r>
      <w:r w:rsidR="00B03657" w:rsidRPr="00E168A1">
        <w:rPr>
          <w:rFonts w:ascii="Times New Roman" w:hAnsi="Times New Roman"/>
        </w:rPr>
        <w:t>own</w:t>
      </w:r>
      <w:r w:rsidR="00900061" w:rsidRPr="00E168A1">
        <w:rPr>
          <w:rFonts w:ascii="Times New Roman" w:hAnsi="Times New Roman"/>
        </w:rPr>
        <w:t xml:space="preserve"> </w:t>
      </w:r>
      <w:r w:rsidR="00B03657" w:rsidRPr="00E168A1">
        <w:rPr>
          <w:rFonts w:ascii="Times New Roman" w:hAnsi="Times New Roman"/>
        </w:rPr>
        <w:t>website).</w:t>
      </w:r>
      <w:r w:rsidR="00900061" w:rsidRPr="00E168A1">
        <w:rPr>
          <w:rFonts w:ascii="Times New Roman" w:hAnsi="Times New Roman"/>
        </w:rPr>
        <w:t xml:space="preserve"> </w:t>
      </w:r>
      <w:r w:rsidR="00B03657" w:rsidRPr="00E168A1">
        <w:rPr>
          <w:rFonts w:ascii="Times New Roman" w:hAnsi="Times New Roman"/>
        </w:rPr>
        <w:t>According</w:t>
      </w:r>
      <w:r w:rsidR="00900061" w:rsidRPr="00E168A1">
        <w:rPr>
          <w:rFonts w:ascii="Times New Roman" w:hAnsi="Times New Roman"/>
        </w:rPr>
        <w:t xml:space="preserve"> </w:t>
      </w:r>
      <w:r w:rsidR="00B03657" w:rsidRPr="00E168A1">
        <w:rPr>
          <w:rFonts w:ascii="Times New Roman" w:hAnsi="Times New Roman"/>
        </w:rPr>
        <w:t>to</w:t>
      </w:r>
      <w:r w:rsidR="00900061" w:rsidRPr="00E168A1">
        <w:rPr>
          <w:rFonts w:ascii="Times New Roman" w:hAnsi="Times New Roman"/>
        </w:rPr>
        <w:t xml:space="preserve"> </w:t>
      </w:r>
      <w:r w:rsidR="003E7A4A" w:rsidRPr="00E168A1">
        <w:rPr>
          <w:rFonts w:ascii="Times New Roman" w:hAnsi="Times New Roman"/>
        </w:rPr>
        <w:t xml:space="preserve">the </w:t>
      </w:r>
      <w:r w:rsidR="00B03657" w:rsidRPr="00E168A1">
        <w:rPr>
          <w:rFonts w:ascii="Times New Roman" w:hAnsi="Times New Roman"/>
        </w:rPr>
        <w:t>statistics</w:t>
      </w:r>
      <w:r w:rsidR="00900061" w:rsidRPr="00E168A1">
        <w:rPr>
          <w:rFonts w:ascii="Times New Roman" w:hAnsi="Times New Roman"/>
        </w:rPr>
        <w:t xml:space="preserve"> </w:t>
      </w:r>
      <w:r w:rsidR="00B03657" w:rsidRPr="00E168A1">
        <w:rPr>
          <w:rFonts w:ascii="Times New Roman" w:hAnsi="Times New Roman"/>
        </w:rPr>
        <w:t>provided</w:t>
      </w:r>
      <w:r w:rsidR="00900061" w:rsidRPr="00E168A1">
        <w:rPr>
          <w:rFonts w:ascii="Times New Roman" w:hAnsi="Times New Roman"/>
        </w:rPr>
        <w:t xml:space="preserve"> </w:t>
      </w:r>
      <w:r w:rsidR="00B03657" w:rsidRPr="00E168A1">
        <w:rPr>
          <w:rFonts w:ascii="Times New Roman" w:hAnsi="Times New Roman"/>
        </w:rPr>
        <w:t>by</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PPO,</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total</w:t>
      </w:r>
      <w:r w:rsidR="00900061" w:rsidRPr="00E168A1">
        <w:rPr>
          <w:rFonts w:ascii="Times New Roman" w:hAnsi="Times New Roman"/>
        </w:rPr>
        <w:t xml:space="preserve"> </w:t>
      </w:r>
      <w:r w:rsidR="00B03657" w:rsidRPr="00E168A1">
        <w:rPr>
          <w:rFonts w:ascii="Times New Roman" w:hAnsi="Times New Roman"/>
        </w:rPr>
        <w:t>number</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purchasing</w:t>
      </w:r>
      <w:r w:rsidR="00900061" w:rsidRPr="00E168A1">
        <w:rPr>
          <w:rFonts w:ascii="Times New Roman" w:hAnsi="Times New Roman"/>
        </w:rPr>
        <w:t xml:space="preserve"> </w:t>
      </w:r>
      <w:r w:rsidR="00B03657" w:rsidRPr="00E168A1">
        <w:rPr>
          <w:rFonts w:ascii="Times New Roman" w:hAnsi="Times New Roman"/>
        </w:rPr>
        <w:t>entities</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2012</w:t>
      </w:r>
      <w:r w:rsidR="00900061" w:rsidRPr="00E168A1">
        <w:rPr>
          <w:rFonts w:ascii="Times New Roman" w:hAnsi="Times New Roman"/>
        </w:rPr>
        <w:t xml:space="preserve"> </w:t>
      </w:r>
      <w:r w:rsidR="00B03657" w:rsidRPr="00E168A1">
        <w:rPr>
          <w:rFonts w:ascii="Times New Roman" w:hAnsi="Times New Roman"/>
        </w:rPr>
        <w:t>was</w:t>
      </w:r>
      <w:r w:rsidR="00900061" w:rsidRPr="00E168A1">
        <w:rPr>
          <w:rFonts w:ascii="Times New Roman" w:hAnsi="Times New Roman"/>
        </w:rPr>
        <w:t xml:space="preserve"> </w:t>
      </w:r>
      <w:r w:rsidR="00B03657" w:rsidRPr="00E168A1">
        <w:rPr>
          <w:rFonts w:ascii="Times New Roman" w:hAnsi="Times New Roman"/>
        </w:rPr>
        <w:t>3</w:t>
      </w:r>
      <w:r w:rsidR="003706AB" w:rsidRPr="00E168A1">
        <w:rPr>
          <w:rFonts w:ascii="Times New Roman" w:hAnsi="Times New Roman"/>
        </w:rPr>
        <w:t>,</w:t>
      </w:r>
      <w:r w:rsidRPr="00E168A1">
        <w:rPr>
          <w:rFonts w:ascii="Times New Roman" w:hAnsi="Times New Roman"/>
        </w:rPr>
        <w:t>529</w:t>
      </w:r>
      <w:r w:rsidR="003706AB" w:rsidRPr="00E168A1">
        <w:rPr>
          <w:rFonts w:ascii="Times New Roman" w:hAnsi="Times New Roman"/>
        </w:rPr>
        <w:t>.</w:t>
      </w:r>
      <w:r w:rsidRPr="00E168A1">
        <w:rPr>
          <w:rStyle w:val="FootnoteReference"/>
          <w:rFonts w:ascii="Times New Roman" w:hAnsi="Times New Roman"/>
        </w:rPr>
        <w:footnoteReference w:id="23"/>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approximately</w:t>
      </w:r>
      <w:r w:rsidR="00900061" w:rsidRPr="00E168A1">
        <w:rPr>
          <w:rFonts w:ascii="Times New Roman" w:hAnsi="Times New Roman"/>
        </w:rPr>
        <w:t xml:space="preserve"> </w:t>
      </w:r>
      <w:r w:rsidRPr="00E168A1">
        <w:rPr>
          <w:rFonts w:ascii="Times New Roman" w:hAnsi="Times New Roman"/>
        </w:rPr>
        <w:t>83,000</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awarded,</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approximate</w:t>
      </w:r>
      <w:r w:rsidR="00900061" w:rsidRPr="00E168A1">
        <w:rPr>
          <w:rFonts w:ascii="Times New Roman" w:hAnsi="Times New Roman"/>
        </w:rPr>
        <w:t xml:space="preserve"> </w:t>
      </w:r>
      <w:r w:rsidRPr="00E168A1">
        <w:rPr>
          <w:rFonts w:ascii="Times New Roman" w:hAnsi="Times New Roman"/>
        </w:rPr>
        <w:t>total</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RSD</w:t>
      </w:r>
      <w:r w:rsidR="00900061" w:rsidRPr="00E168A1">
        <w:rPr>
          <w:rFonts w:ascii="Times New Roman" w:hAnsi="Times New Roman"/>
        </w:rPr>
        <w:t xml:space="preserve"> </w:t>
      </w:r>
      <w:r w:rsidRPr="00E168A1">
        <w:rPr>
          <w:rFonts w:ascii="Times New Roman" w:hAnsi="Times New Roman"/>
        </w:rPr>
        <w:t>262,938,735,000</w:t>
      </w:r>
      <w:r w:rsidR="00900061" w:rsidRPr="00E168A1">
        <w:rPr>
          <w:rFonts w:ascii="Times New Roman" w:hAnsi="Times New Roman"/>
        </w:rPr>
        <w:t xml:space="preserve"> </w:t>
      </w:r>
      <w:r w:rsidRPr="00E168A1">
        <w:rPr>
          <w:rFonts w:ascii="Times New Roman" w:hAnsi="Times New Roman"/>
        </w:rPr>
        <w:t>(approximately</w:t>
      </w:r>
      <w:r w:rsidR="00900061" w:rsidRPr="00E168A1">
        <w:rPr>
          <w:rFonts w:ascii="Times New Roman" w:hAnsi="Times New Roman"/>
        </w:rPr>
        <w:t xml:space="preserve"> </w:t>
      </w:r>
      <w:r w:rsidR="00B71C7F" w:rsidRPr="00E168A1">
        <w:rPr>
          <w:rFonts w:ascii="Times New Roman" w:hAnsi="Times New Roman"/>
        </w:rPr>
        <w:t>€</w:t>
      </w:r>
      <w:r w:rsidRPr="00E168A1">
        <w:rPr>
          <w:rFonts w:ascii="Times New Roman" w:hAnsi="Times New Roman"/>
        </w:rPr>
        <w:t>2,390,352,000.00).</w:t>
      </w:r>
      <w:r w:rsidRPr="00E168A1">
        <w:rPr>
          <w:rFonts w:ascii="Times New Roman" w:hAnsi="Times New Roman"/>
          <w:vertAlign w:val="superscript"/>
        </w:rPr>
        <w:footnoteReference w:id="24"/>
      </w:r>
      <w:r w:rsidR="00900061" w:rsidRPr="00E168A1">
        <w:rPr>
          <w:rFonts w:ascii="Times New Roman" w:hAnsi="Times New Roman"/>
          <w:vertAlign w:val="superscript"/>
        </w:rPr>
        <w:t xml:space="preserve"> </w:t>
      </w:r>
    </w:p>
    <w:p w14:paraId="63B4BBE5" w14:textId="77777777" w:rsidR="004C0935" w:rsidRPr="00E168A1" w:rsidRDefault="00AE54E5" w:rsidP="00645878">
      <w:pPr>
        <w:pStyle w:val="Heading2"/>
        <w:spacing w:before="120" w:after="120" w:line="240" w:lineRule="auto"/>
        <w:ind w:left="0" w:firstLine="0"/>
      </w:pPr>
      <w:bookmarkStart w:id="22" w:name="_Toc305833851"/>
      <w:bookmarkStart w:id="23" w:name="_Toc442428959"/>
      <w:r w:rsidRPr="00E168A1">
        <w:t>E-procurement</w:t>
      </w:r>
      <w:bookmarkEnd w:id="22"/>
      <w:bookmarkEnd w:id="23"/>
    </w:p>
    <w:p w14:paraId="27991D8E" w14:textId="0EB92290" w:rsidR="00D163B3"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envisages</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possibility</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submitting</w:t>
      </w:r>
      <w:r w:rsidR="00900061" w:rsidRPr="00E168A1">
        <w:rPr>
          <w:rFonts w:ascii="Times New Roman" w:hAnsi="Times New Roman"/>
          <w:b/>
        </w:rPr>
        <w:t xml:space="preserve"> </w:t>
      </w:r>
      <w:r w:rsidRPr="00E168A1">
        <w:rPr>
          <w:rFonts w:ascii="Times New Roman" w:hAnsi="Times New Roman"/>
          <w:b/>
        </w:rPr>
        <w:t>bids</w:t>
      </w:r>
      <w:r w:rsidR="00900061" w:rsidRPr="00E168A1">
        <w:rPr>
          <w:rFonts w:ascii="Times New Roman" w:hAnsi="Times New Roman"/>
          <w:b/>
        </w:rPr>
        <w:t xml:space="preserve"> </w:t>
      </w:r>
      <w:r w:rsidRPr="00E168A1">
        <w:rPr>
          <w:rFonts w:ascii="Times New Roman" w:hAnsi="Times New Roman"/>
          <w:b/>
        </w:rPr>
        <w:t>electronically</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provides</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introduction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rPr>
        <w:t xml:space="preserve"> </w:t>
      </w:r>
      <w:r w:rsidRPr="00E168A1">
        <w:rPr>
          <w:rFonts w:ascii="Times New Roman" w:hAnsi="Times New Roman"/>
          <w:b/>
          <w:bCs/>
        </w:rPr>
        <w:t>special</w:t>
      </w:r>
      <w:r w:rsidR="00900061" w:rsidRPr="00E168A1">
        <w:rPr>
          <w:rFonts w:ascii="Times New Roman" w:hAnsi="Times New Roman"/>
          <w:b/>
          <w:bCs/>
        </w:rPr>
        <w:t xml:space="preserve"> </w:t>
      </w:r>
      <w:r w:rsidRPr="00E168A1">
        <w:rPr>
          <w:rFonts w:ascii="Times New Roman" w:hAnsi="Times New Roman"/>
          <w:b/>
          <w:bCs/>
        </w:rPr>
        <w:t>e-procurement</w:t>
      </w:r>
      <w:r w:rsidR="00900061" w:rsidRPr="00E168A1">
        <w:rPr>
          <w:rFonts w:ascii="Times New Roman" w:hAnsi="Times New Roman"/>
          <w:b/>
          <w:bCs/>
        </w:rPr>
        <w:t xml:space="preserve"> </w:t>
      </w:r>
      <w:r w:rsidRPr="00E168A1">
        <w:rPr>
          <w:rFonts w:ascii="Times New Roman" w:hAnsi="Times New Roman"/>
          <w:b/>
          <w:bCs/>
        </w:rPr>
        <w:t>techniques</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electronic</w:t>
      </w:r>
      <w:r w:rsidR="00900061" w:rsidRPr="00E168A1">
        <w:rPr>
          <w:rFonts w:ascii="Times New Roman" w:hAnsi="Times New Roman"/>
        </w:rPr>
        <w:t xml:space="preserve"> </w:t>
      </w:r>
      <w:r w:rsidRPr="00E168A1">
        <w:rPr>
          <w:rFonts w:ascii="Times New Roman" w:hAnsi="Times New Roman"/>
        </w:rPr>
        <w:t>auctions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dynamic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207FD3"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207FD3"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207FD3" w:rsidRPr="00E168A1">
        <w:rPr>
          <w:rFonts w:ascii="Times New Roman" w:hAnsi="Times New Roman"/>
        </w:rPr>
        <w:t>S</w:t>
      </w:r>
      <w:r w:rsidRPr="00E168A1">
        <w:rPr>
          <w:rFonts w:ascii="Times New Roman" w:hAnsi="Times New Roman"/>
        </w:rPr>
        <w:t>trategy</w:t>
      </w:r>
      <w:r w:rsidR="00900061" w:rsidRPr="00E168A1">
        <w:rPr>
          <w:rFonts w:ascii="Times New Roman" w:hAnsi="Times New Roman"/>
        </w:rPr>
        <w:t xml:space="preserve"> </w:t>
      </w:r>
      <w:r w:rsidRPr="00E168A1">
        <w:rPr>
          <w:rFonts w:ascii="Times New Roman" w:hAnsi="Times New Roman"/>
        </w:rPr>
        <w:t>2014</w:t>
      </w:r>
      <w:r w:rsidR="001C207D" w:rsidRPr="00E168A1">
        <w:rPr>
          <w:rFonts w:ascii="Times New Roman" w:hAnsi="Times New Roman"/>
        </w:rPr>
        <w:t>–</w:t>
      </w:r>
      <w:r w:rsidRPr="00E168A1">
        <w:rPr>
          <w:rFonts w:ascii="Times New Roman" w:hAnsi="Times New Roman"/>
        </w:rPr>
        <w:t>2018</w:t>
      </w:r>
      <w:r w:rsidR="00900061" w:rsidRPr="00E168A1">
        <w:rPr>
          <w:rFonts w:ascii="Times New Roman" w:hAnsi="Times New Roman"/>
        </w:rPr>
        <w:t xml:space="preserve"> </w:t>
      </w:r>
      <w:r w:rsidRPr="00E168A1">
        <w:rPr>
          <w:rFonts w:ascii="Times New Roman" w:hAnsi="Times New Roman"/>
        </w:rPr>
        <w:t>specifies</w:t>
      </w:r>
      <w:r w:rsidR="00900061" w:rsidRPr="00E168A1">
        <w:rPr>
          <w:rFonts w:ascii="Times New Roman" w:hAnsi="Times New Roman"/>
        </w:rPr>
        <w:t xml:space="preserve"> </w:t>
      </w:r>
      <w:r w:rsidRPr="00E168A1">
        <w:rPr>
          <w:rFonts w:ascii="Times New Roman" w:hAnsi="Times New Roman"/>
        </w:rPr>
        <w:t>that</w:t>
      </w:r>
      <w:r w:rsidR="001C207D" w:rsidRPr="00E168A1">
        <w:rPr>
          <w:rFonts w:ascii="Times New Roman" w:hAnsi="Times New Roman"/>
        </w:rPr>
        <w:t>,</w:t>
      </w:r>
      <w:r w:rsidR="00900061" w:rsidRPr="00E168A1">
        <w:rPr>
          <w:rFonts w:ascii="Times New Roman" w:hAnsi="Times New Roman"/>
        </w:rPr>
        <w:t xml:space="preserve"> </w:t>
      </w:r>
      <w:r w:rsidR="001C207D" w:rsidRPr="00E168A1">
        <w:rPr>
          <w:rFonts w:ascii="Times New Roman" w:hAnsi="Times New Roman"/>
        </w:rPr>
        <w:t>“</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regards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e-procurement,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stipulates</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Administration</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Joint</w:t>
      </w:r>
      <w:r w:rsidR="00900061" w:rsidRPr="00E168A1">
        <w:rPr>
          <w:rFonts w:ascii="Times New Roman" w:hAnsi="Times New Roman"/>
        </w:rPr>
        <w:t xml:space="preserve"> </w:t>
      </w:r>
      <w:r w:rsidRPr="00E168A1">
        <w:rPr>
          <w:rFonts w:ascii="Times New Roman" w:hAnsi="Times New Roman"/>
        </w:rPr>
        <w:t>Services</w:t>
      </w:r>
      <w:r w:rsidR="00900061" w:rsidRPr="00E168A1">
        <w:rPr>
          <w:rFonts w:ascii="Times New Roman" w:hAnsi="Times New Roman"/>
        </w:rPr>
        <w:t xml:space="preserve"> </w:t>
      </w:r>
      <w:r w:rsidRPr="00E168A1">
        <w:rPr>
          <w:rFonts w:ascii="Times New Roman" w:hAnsi="Times New Roman"/>
        </w:rPr>
        <w:t>Office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Republic</w:t>
      </w:r>
      <w:r w:rsidR="00900061" w:rsidRPr="00E168A1">
        <w:rPr>
          <w:rFonts w:ascii="Times New Roman" w:hAnsi="Times New Roman"/>
        </w:rPr>
        <w:t xml:space="preserve"> </w:t>
      </w:r>
      <w:r w:rsidRPr="00E168A1">
        <w:rPr>
          <w:rFonts w:ascii="Times New Roman" w:hAnsi="Times New Roman"/>
        </w:rPr>
        <w:t>Bodies,</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body</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charge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centralised</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purposes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organisations,</w:t>
      </w:r>
      <w:r w:rsidR="00900061" w:rsidRPr="00E168A1">
        <w:rPr>
          <w:rFonts w:ascii="Times New Roman" w:hAnsi="Times New Roman"/>
        </w:rPr>
        <w:t xml:space="preserve"> </w:t>
      </w:r>
      <w:r w:rsidRPr="00E168A1">
        <w:rPr>
          <w:rFonts w:ascii="Times New Roman" w:hAnsi="Times New Roman"/>
        </w:rPr>
        <w:t>must</w:t>
      </w:r>
      <w:r w:rsidR="00900061" w:rsidRPr="00E168A1">
        <w:rPr>
          <w:rFonts w:ascii="Times New Roman" w:hAnsi="Times New Roman"/>
        </w:rPr>
        <w:t xml:space="preserve"> </w:t>
      </w:r>
      <w:r w:rsidRPr="00E168A1">
        <w:rPr>
          <w:rFonts w:ascii="Times New Roman" w:hAnsi="Times New Roman"/>
        </w:rPr>
        <w:t>establish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information</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dynamic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electronic</w:t>
      </w:r>
      <w:r w:rsidR="00900061" w:rsidRPr="00E168A1">
        <w:rPr>
          <w:rFonts w:ascii="Times New Roman" w:hAnsi="Times New Roman"/>
        </w:rPr>
        <w:t xml:space="preserve"> </w:t>
      </w:r>
      <w:r w:rsidRPr="00E168A1">
        <w:rPr>
          <w:rFonts w:ascii="Times New Roman" w:hAnsi="Times New Roman"/>
        </w:rPr>
        <w:t>auctions</w:t>
      </w:r>
      <w:r w:rsidR="00900061" w:rsidRPr="00E168A1">
        <w:rPr>
          <w:rFonts w:ascii="Times New Roman" w:hAnsi="Times New Roman"/>
        </w:rPr>
        <w:t xml:space="preserve"> </w:t>
      </w:r>
      <w:r w:rsidRPr="00E168A1">
        <w:rPr>
          <w:rFonts w:ascii="Times New Roman" w:hAnsi="Times New Roman"/>
        </w:rPr>
        <w:t>whenever</w:t>
      </w:r>
      <w:r w:rsidR="00900061" w:rsidRPr="00E168A1">
        <w:rPr>
          <w:rFonts w:ascii="Times New Roman" w:hAnsi="Times New Roman"/>
        </w:rPr>
        <w:t xml:space="preserve"> </w:t>
      </w:r>
      <w:r w:rsidRPr="00E168A1">
        <w:rPr>
          <w:rFonts w:ascii="Times New Roman" w:hAnsi="Times New Roman"/>
        </w:rPr>
        <w:t>feasible</w:t>
      </w:r>
      <w:r w:rsidR="001C207D"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However,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lastRenderedPageBreak/>
        <w:t>does</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set</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specific</w:t>
      </w:r>
      <w:r w:rsidR="00900061" w:rsidRPr="00E168A1">
        <w:rPr>
          <w:rFonts w:ascii="Times New Roman" w:hAnsi="Times New Roman"/>
        </w:rPr>
        <w:t xml:space="preserve"> </w:t>
      </w:r>
      <w:r w:rsidRPr="00E168A1">
        <w:rPr>
          <w:rFonts w:ascii="Times New Roman" w:hAnsi="Times New Roman"/>
        </w:rPr>
        <w:t>time</w:t>
      </w:r>
      <w:r w:rsidR="00041336" w:rsidRPr="00E168A1">
        <w:rPr>
          <w:rFonts w:ascii="Times New Roman" w:hAnsi="Times New Roman"/>
        </w:rPr>
        <w:t xml:space="preserve"> </w:t>
      </w:r>
      <w:r w:rsidRPr="00E168A1">
        <w:rPr>
          <w:rFonts w:ascii="Times New Roman" w:hAnsi="Times New Roman"/>
        </w:rPr>
        <w:t>frame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these</w:t>
      </w:r>
      <w:r w:rsidR="00900061" w:rsidRPr="00E168A1">
        <w:rPr>
          <w:rFonts w:ascii="Times New Roman" w:hAnsi="Times New Roman"/>
        </w:rPr>
        <w:t xml:space="preserve"> </w:t>
      </w:r>
      <w:r w:rsidRPr="00E168A1">
        <w:rPr>
          <w:rFonts w:ascii="Times New Roman" w:hAnsi="Times New Roman"/>
        </w:rPr>
        <w:t>systems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w:t>
      </w:r>
      <w:r w:rsidR="00D163B3" w:rsidRPr="00E168A1">
        <w:rPr>
          <w:rFonts w:ascii="Times New Roman" w:hAnsi="Times New Roman"/>
        </w:rPr>
        <w:t>thorities</w:t>
      </w:r>
      <w:r w:rsidR="00900061" w:rsidRPr="00E168A1">
        <w:rPr>
          <w:rFonts w:ascii="Times New Roman" w:hAnsi="Times New Roman"/>
        </w:rPr>
        <w:t xml:space="preserve"> </w:t>
      </w:r>
      <w:r w:rsidR="00D163B3" w:rsidRPr="00E168A1">
        <w:rPr>
          <w:rFonts w:ascii="Times New Roman" w:hAnsi="Times New Roman"/>
        </w:rPr>
        <w:t>would</w:t>
      </w:r>
      <w:r w:rsidR="00900061" w:rsidRPr="00E168A1">
        <w:rPr>
          <w:rFonts w:ascii="Times New Roman" w:hAnsi="Times New Roman"/>
        </w:rPr>
        <w:t xml:space="preserve"> </w:t>
      </w:r>
      <w:r w:rsidR="00D163B3" w:rsidRPr="00E168A1">
        <w:rPr>
          <w:rFonts w:ascii="Times New Roman" w:hAnsi="Times New Roman"/>
        </w:rPr>
        <w:t>have</w:t>
      </w:r>
      <w:r w:rsidR="00900061" w:rsidRPr="00E168A1">
        <w:rPr>
          <w:rFonts w:ascii="Times New Roman" w:hAnsi="Times New Roman"/>
        </w:rPr>
        <w:t xml:space="preserve"> </w:t>
      </w:r>
      <w:r w:rsidR="00D163B3" w:rsidRPr="00E168A1">
        <w:rPr>
          <w:rFonts w:ascii="Times New Roman" w:hAnsi="Times New Roman"/>
        </w:rPr>
        <w:t>to</w:t>
      </w:r>
      <w:r w:rsidR="00900061" w:rsidRPr="00E168A1">
        <w:rPr>
          <w:rFonts w:ascii="Times New Roman" w:hAnsi="Times New Roman"/>
        </w:rPr>
        <w:t xml:space="preserve"> </w:t>
      </w:r>
      <w:r w:rsidR="00D163B3" w:rsidRPr="00E168A1">
        <w:rPr>
          <w:rFonts w:ascii="Times New Roman" w:hAnsi="Times New Roman"/>
        </w:rPr>
        <w:t>adhere.</w:t>
      </w:r>
    </w:p>
    <w:p w14:paraId="380F9080" w14:textId="77777777" w:rsidR="00AE54E5"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practice</w:t>
      </w:r>
      <w:r w:rsidR="00900061" w:rsidRPr="00E168A1">
        <w:rPr>
          <w:rFonts w:ascii="Times New Roman" w:hAnsi="Times New Roman"/>
          <w:b/>
        </w:rPr>
        <w:t xml:space="preserve"> </w:t>
      </w:r>
      <w:r w:rsidRPr="00E168A1">
        <w:rPr>
          <w:rFonts w:ascii="Times New Roman" w:hAnsi="Times New Roman"/>
          <w:b/>
        </w:rPr>
        <w:t>there</w:t>
      </w:r>
      <w:r w:rsidR="00900061" w:rsidRPr="00E168A1">
        <w:rPr>
          <w:rFonts w:ascii="Times New Roman" w:hAnsi="Times New Roman"/>
          <w:b/>
        </w:rPr>
        <w:t xml:space="preserve"> </w:t>
      </w:r>
      <w:r w:rsidRPr="00E168A1">
        <w:rPr>
          <w:rFonts w:ascii="Times New Roman" w:hAnsi="Times New Roman"/>
          <w:b/>
        </w:rPr>
        <w:t>has</w:t>
      </w:r>
      <w:r w:rsidR="00900061" w:rsidRPr="00E168A1">
        <w:rPr>
          <w:rFonts w:ascii="Times New Roman" w:hAnsi="Times New Roman"/>
          <w:b/>
        </w:rPr>
        <w:t xml:space="preserve"> </w:t>
      </w:r>
      <w:r w:rsidRPr="00E168A1">
        <w:rPr>
          <w:rFonts w:ascii="Times New Roman" w:hAnsi="Times New Roman"/>
          <w:b/>
        </w:rPr>
        <w:t>been</w:t>
      </w:r>
      <w:r w:rsidR="00900061" w:rsidRPr="00E168A1">
        <w:rPr>
          <w:rFonts w:ascii="Times New Roman" w:hAnsi="Times New Roman"/>
          <w:b/>
        </w:rPr>
        <w:t xml:space="preserve"> </w:t>
      </w:r>
      <w:r w:rsidRPr="00E168A1">
        <w:rPr>
          <w:rFonts w:ascii="Times New Roman" w:hAnsi="Times New Roman"/>
          <w:b/>
        </w:rPr>
        <w:t>no</w:t>
      </w:r>
      <w:r w:rsidR="00900061" w:rsidRPr="00E168A1">
        <w:rPr>
          <w:rFonts w:ascii="Times New Roman" w:hAnsi="Times New Roman"/>
          <w:b/>
        </w:rPr>
        <w:t xml:space="preserve"> </w:t>
      </w:r>
      <w:r w:rsidRPr="00E168A1">
        <w:rPr>
          <w:rFonts w:ascii="Times New Roman" w:hAnsi="Times New Roman"/>
          <w:b/>
        </w:rPr>
        <w:t>experience</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date</w:t>
      </w:r>
      <w:r w:rsidR="00900061" w:rsidRPr="00E168A1">
        <w:rPr>
          <w:rFonts w:ascii="Times New Roman" w:hAnsi="Times New Roman"/>
          <w:b/>
        </w:rPr>
        <w:t xml:space="preserve"> </w:t>
      </w:r>
      <w:r w:rsidRPr="00E168A1">
        <w:rPr>
          <w:rFonts w:ascii="Times New Roman" w:hAnsi="Times New Roman"/>
          <w:b/>
        </w:rPr>
        <w:t>with</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use</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color w:val="000000"/>
        </w:rPr>
        <w:t>e-bidding,</w:t>
      </w:r>
      <w:r w:rsidR="00900061" w:rsidRPr="00E168A1">
        <w:rPr>
          <w:rFonts w:ascii="Times New Roman" w:hAnsi="Times New Roman"/>
          <w:b/>
          <w:color w:val="000000"/>
        </w:rPr>
        <w:t xml:space="preserve"> </w:t>
      </w:r>
      <w:r w:rsidRPr="00E168A1">
        <w:rPr>
          <w:rFonts w:ascii="Times New Roman" w:hAnsi="Times New Roman"/>
          <w:b/>
          <w:color w:val="000000"/>
        </w:rPr>
        <w:t>e-auctions</w:t>
      </w:r>
      <w:r w:rsidR="001F39DC" w:rsidRPr="00E168A1">
        <w:rPr>
          <w:rFonts w:ascii="Times New Roman" w:hAnsi="Times New Roman"/>
          <w:b/>
          <w:color w:val="000000"/>
        </w:rPr>
        <w:t>,</w:t>
      </w:r>
      <w:r w:rsidR="00900061" w:rsidRPr="00E168A1">
        <w:rPr>
          <w:rFonts w:ascii="Times New Roman" w:hAnsi="Times New Roman"/>
          <w:b/>
          <w:color w:val="000000"/>
        </w:rPr>
        <w:t xml:space="preserve"> </w:t>
      </w:r>
      <w:r w:rsidRPr="00E168A1">
        <w:rPr>
          <w:rFonts w:ascii="Times New Roman" w:hAnsi="Times New Roman"/>
          <w:b/>
          <w:color w:val="000000"/>
        </w:rPr>
        <w:t>and</w:t>
      </w:r>
      <w:r w:rsidR="00900061" w:rsidRPr="00E168A1">
        <w:rPr>
          <w:rFonts w:ascii="Times New Roman" w:hAnsi="Times New Roman"/>
          <w:b/>
          <w:color w:val="000000"/>
        </w:rPr>
        <w:t xml:space="preserve"> </w:t>
      </w:r>
      <w:r w:rsidRPr="00E168A1">
        <w:rPr>
          <w:rFonts w:ascii="Times New Roman" w:hAnsi="Times New Roman"/>
          <w:b/>
          <w:color w:val="000000"/>
        </w:rPr>
        <w:t>the</w:t>
      </w:r>
      <w:r w:rsidR="00900061" w:rsidRPr="00E168A1">
        <w:rPr>
          <w:rFonts w:ascii="Times New Roman" w:hAnsi="Times New Roman"/>
          <w:b/>
          <w:color w:val="000000"/>
        </w:rPr>
        <w:t xml:space="preserve"> </w:t>
      </w:r>
      <w:r w:rsidRPr="00E168A1">
        <w:rPr>
          <w:rFonts w:ascii="Times New Roman" w:hAnsi="Times New Roman"/>
          <w:b/>
          <w:color w:val="000000"/>
        </w:rPr>
        <w:t>dynamic</w:t>
      </w:r>
      <w:r w:rsidR="00900061" w:rsidRPr="00E168A1">
        <w:rPr>
          <w:rFonts w:ascii="Times New Roman" w:hAnsi="Times New Roman"/>
          <w:b/>
          <w:color w:val="000000"/>
        </w:rPr>
        <w:t xml:space="preserve"> </w:t>
      </w:r>
      <w:r w:rsidRPr="00E168A1">
        <w:rPr>
          <w:rFonts w:ascii="Times New Roman" w:hAnsi="Times New Roman"/>
          <w:b/>
          <w:color w:val="000000"/>
        </w:rPr>
        <w:t>procurement</w:t>
      </w:r>
      <w:r w:rsidR="00900061" w:rsidRPr="00E168A1">
        <w:rPr>
          <w:rFonts w:ascii="Times New Roman" w:hAnsi="Times New Roman"/>
          <w:b/>
          <w:color w:val="000000"/>
        </w:rPr>
        <w:t xml:space="preserve"> </w:t>
      </w:r>
      <w:r w:rsidRPr="00E168A1">
        <w:rPr>
          <w:rFonts w:ascii="Times New Roman" w:hAnsi="Times New Roman"/>
          <w:b/>
          <w:color w:val="000000"/>
        </w:rPr>
        <w:t>system</w:t>
      </w:r>
      <w:r w:rsidR="00900061" w:rsidRPr="00E168A1">
        <w:rPr>
          <w:rFonts w:ascii="Times New Roman" w:hAnsi="Times New Roman"/>
          <w:b/>
          <w:color w:val="000000"/>
        </w:rPr>
        <w:t xml:space="preserve"> </w:t>
      </w:r>
      <w:r w:rsidRPr="00E168A1">
        <w:rPr>
          <w:rFonts w:ascii="Times New Roman" w:hAnsi="Times New Roman"/>
          <w:b/>
          <w:color w:val="000000"/>
        </w:rPr>
        <w:t>in</w:t>
      </w:r>
      <w:r w:rsidR="00900061" w:rsidRPr="00E168A1">
        <w:rPr>
          <w:rFonts w:ascii="Times New Roman" w:hAnsi="Times New Roman"/>
          <w:b/>
          <w:color w:val="000000"/>
        </w:rPr>
        <w:t xml:space="preserve"> </w:t>
      </w:r>
      <w:r w:rsidRPr="00E168A1">
        <w:rPr>
          <w:rFonts w:ascii="Times New Roman" w:hAnsi="Times New Roman"/>
          <w:b/>
          <w:color w:val="000000"/>
        </w:rPr>
        <w:t>Serbia.</w:t>
      </w:r>
      <w:r w:rsidR="00900061" w:rsidRPr="00E168A1">
        <w:rPr>
          <w:rFonts w:ascii="Times New Roman" w:hAnsi="Times New Roman"/>
          <w:b/>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potential</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online</w:t>
      </w:r>
      <w:r w:rsidR="00900061" w:rsidRPr="00E168A1">
        <w:rPr>
          <w:rFonts w:ascii="Times New Roman" w:hAnsi="Times New Roman"/>
          <w:color w:val="000000"/>
        </w:rPr>
        <w:t xml:space="preserve"> </w:t>
      </w:r>
      <w:r w:rsidRPr="00E168A1">
        <w:rPr>
          <w:rFonts w:ascii="Times New Roman" w:hAnsi="Times New Roman"/>
          <w:color w:val="000000"/>
        </w:rPr>
        <w:t>tools</w:t>
      </w:r>
      <w:r w:rsidR="00900061" w:rsidRPr="00E168A1">
        <w:rPr>
          <w:rFonts w:ascii="Times New Roman" w:hAnsi="Times New Roman"/>
          <w:color w:val="000000"/>
        </w:rPr>
        <w:t xml:space="preserve"> </w:t>
      </w:r>
      <w:r w:rsidRPr="00E168A1">
        <w:rPr>
          <w:rFonts w:ascii="Times New Roman" w:hAnsi="Times New Roman"/>
          <w:color w:val="000000"/>
        </w:rPr>
        <w:t>is</w:t>
      </w:r>
      <w:r w:rsidR="00900061" w:rsidRPr="00E168A1">
        <w:rPr>
          <w:rFonts w:ascii="Times New Roman" w:hAnsi="Times New Roman"/>
          <w:color w:val="000000"/>
        </w:rPr>
        <w:t xml:space="preserve"> </w:t>
      </w:r>
      <w:r w:rsidRPr="00E168A1">
        <w:rPr>
          <w:rFonts w:ascii="Times New Roman" w:hAnsi="Times New Roman"/>
          <w:color w:val="000000"/>
        </w:rPr>
        <w:t>still</w:t>
      </w:r>
      <w:r w:rsidR="00900061" w:rsidRPr="00E168A1">
        <w:rPr>
          <w:rFonts w:ascii="Times New Roman" w:hAnsi="Times New Roman"/>
          <w:color w:val="000000"/>
        </w:rPr>
        <w:t xml:space="preserve"> </w:t>
      </w:r>
      <w:r w:rsidRPr="00E168A1">
        <w:rPr>
          <w:rFonts w:ascii="Times New Roman" w:hAnsi="Times New Roman"/>
          <w:color w:val="000000"/>
        </w:rPr>
        <w:t>underused</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objective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establishing</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operating</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bCs/>
        </w:rPr>
        <w:t>unified,</w:t>
      </w:r>
      <w:r w:rsidR="00900061" w:rsidRPr="00E168A1">
        <w:rPr>
          <w:rFonts w:ascii="Times New Roman" w:hAnsi="Times New Roman"/>
          <w:bCs/>
        </w:rPr>
        <w:t xml:space="preserve"> </w:t>
      </w:r>
      <w:r w:rsidRPr="00E168A1">
        <w:rPr>
          <w:rFonts w:ascii="Times New Roman" w:hAnsi="Times New Roman"/>
          <w:bCs/>
        </w:rPr>
        <w:t>comprehensive</w:t>
      </w:r>
      <w:r w:rsidR="00900061" w:rsidRPr="00E168A1">
        <w:rPr>
          <w:rFonts w:ascii="Times New Roman" w:hAnsi="Times New Roman"/>
          <w:bCs/>
        </w:rPr>
        <w:t xml:space="preserve"> </w:t>
      </w:r>
      <w:r w:rsidRPr="00E168A1">
        <w:rPr>
          <w:rFonts w:ascii="Times New Roman" w:hAnsi="Times New Roman"/>
          <w:bCs/>
        </w:rPr>
        <w:t>e-procurement</w:t>
      </w:r>
      <w:r w:rsidR="00900061" w:rsidRPr="00E168A1">
        <w:rPr>
          <w:rFonts w:ascii="Times New Roman" w:hAnsi="Times New Roman"/>
          <w:bCs/>
        </w:rPr>
        <w:t xml:space="preserve"> </w:t>
      </w:r>
      <w:r w:rsidRPr="00E168A1">
        <w:rPr>
          <w:rFonts w:ascii="Times New Roman" w:hAnsi="Times New Roman"/>
          <w:bCs/>
        </w:rPr>
        <w:t>platform</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would</w:t>
      </w:r>
      <w:r w:rsidR="00900061" w:rsidRPr="00E168A1">
        <w:rPr>
          <w:rFonts w:ascii="Times New Roman" w:hAnsi="Times New Roman"/>
        </w:rPr>
        <w:t xml:space="preserve"> </w:t>
      </w:r>
      <w:r w:rsidRPr="00E168A1">
        <w:rPr>
          <w:rFonts w:ascii="Times New Roman" w:hAnsi="Times New Roman"/>
        </w:rPr>
        <w:t>incorporate</w:t>
      </w:r>
      <w:r w:rsidR="00900061" w:rsidRPr="00E168A1">
        <w:rPr>
          <w:rFonts w:ascii="Times New Roman" w:hAnsi="Times New Roman"/>
        </w:rPr>
        <w:t xml:space="preserve"> </w:t>
      </w:r>
      <w:r w:rsidRPr="00E168A1">
        <w:rPr>
          <w:rFonts w:ascii="Times New Roman" w:hAnsi="Times New Roman"/>
        </w:rPr>
        <w:t>functionalities</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e-announcement,</w:t>
      </w:r>
      <w:r w:rsidR="00900061" w:rsidRPr="00E168A1">
        <w:rPr>
          <w:rFonts w:ascii="Times New Roman" w:hAnsi="Times New Roman"/>
        </w:rPr>
        <w:t xml:space="preserve"> </w:t>
      </w:r>
      <w:r w:rsidRPr="00E168A1">
        <w:rPr>
          <w:rFonts w:ascii="Times New Roman" w:hAnsi="Times New Roman"/>
        </w:rPr>
        <w:t>e-communication</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bidding,</w:t>
      </w:r>
      <w:r w:rsidR="00900061" w:rsidRPr="00E168A1">
        <w:rPr>
          <w:rFonts w:ascii="Times New Roman" w:hAnsi="Times New Roman"/>
        </w:rPr>
        <w:t xml:space="preserve"> </w:t>
      </w:r>
      <w:r w:rsidRPr="00E168A1">
        <w:rPr>
          <w:rFonts w:ascii="Times New Roman" w:hAnsi="Times New Roman"/>
        </w:rPr>
        <w:t>e-catalogue,</w:t>
      </w:r>
      <w:r w:rsidR="00900061" w:rsidRPr="00E168A1">
        <w:rPr>
          <w:rFonts w:ascii="Times New Roman" w:hAnsi="Times New Roman"/>
        </w:rPr>
        <w:t xml:space="preserve"> </w:t>
      </w:r>
      <w:r w:rsidRPr="00E168A1">
        <w:rPr>
          <w:rFonts w:ascii="Times New Roman" w:hAnsi="Times New Roman"/>
        </w:rPr>
        <w:t>e-auction</w:t>
      </w:r>
      <w:r w:rsidR="001F39DC"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e-dynamic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still</w:t>
      </w:r>
      <w:r w:rsidR="00900061" w:rsidRPr="00E168A1">
        <w:rPr>
          <w:rFonts w:ascii="Times New Roman" w:hAnsi="Times New Roman"/>
        </w:rPr>
        <w:t xml:space="preserve"> </w:t>
      </w:r>
      <w:r w:rsidRPr="00E168A1">
        <w:rPr>
          <w:rFonts w:ascii="Times New Roman" w:hAnsi="Times New Roman"/>
        </w:rPr>
        <w:t>far</w:t>
      </w:r>
      <w:r w:rsidR="00900061" w:rsidRPr="00E168A1">
        <w:rPr>
          <w:rFonts w:ascii="Times New Roman" w:hAnsi="Times New Roman"/>
        </w:rPr>
        <w:t xml:space="preserve"> </w:t>
      </w:r>
      <w:r w:rsidRPr="00E168A1">
        <w:rPr>
          <w:rFonts w:ascii="Times New Roman" w:hAnsi="Times New Roman"/>
        </w:rPr>
        <w:t>away</w:t>
      </w:r>
      <w:r w:rsidRPr="00E168A1">
        <w:rPr>
          <w:rFonts w:ascii="Times New Roman" w:hAnsi="Times New Roman"/>
          <w:color w:val="000000"/>
        </w:rPr>
        <w:t>.</w:t>
      </w:r>
      <w:r w:rsidRPr="00E168A1">
        <w:rPr>
          <w:rFonts w:ascii="Times New Roman" w:hAnsi="Times New Roman"/>
          <w:color w:val="000000"/>
          <w:vertAlign w:val="superscript"/>
        </w:rPr>
        <w:footnoteReference w:id="25"/>
      </w:r>
      <w:r w:rsidR="00900061" w:rsidRPr="00E168A1">
        <w:rPr>
          <w:rFonts w:ascii="Times New Roman" w:hAnsi="Times New Roman"/>
          <w:color w:val="000000"/>
        </w:rPr>
        <w:t xml:space="preserve"> </w:t>
      </w:r>
    </w:p>
    <w:p w14:paraId="48275604" w14:textId="77777777" w:rsidR="006134B0" w:rsidRPr="00E168A1" w:rsidRDefault="00AE54E5" w:rsidP="00645878">
      <w:pPr>
        <w:pStyle w:val="Heading1"/>
        <w:spacing w:before="120" w:after="120" w:line="240" w:lineRule="auto"/>
        <w:ind w:left="0" w:firstLine="0"/>
      </w:pPr>
      <w:bookmarkStart w:id="24" w:name="_Toc305833852"/>
      <w:bookmarkStart w:id="25" w:name="_Toc442428960"/>
      <w:r w:rsidRPr="00E168A1">
        <w:t>Integrity</w:t>
      </w:r>
      <w:r w:rsidR="00900061" w:rsidRPr="00E168A1">
        <w:t xml:space="preserve"> </w:t>
      </w:r>
      <w:r w:rsidRPr="00E168A1">
        <w:t>and</w:t>
      </w:r>
      <w:r w:rsidR="00900061" w:rsidRPr="00E168A1">
        <w:t xml:space="preserve"> </w:t>
      </w:r>
      <w:r w:rsidR="008268AE" w:rsidRPr="00E168A1">
        <w:t>T</w:t>
      </w:r>
      <w:r w:rsidRPr="00E168A1">
        <w:t>ransparency</w:t>
      </w:r>
      <w:r w:rsidR="00900061" w:rsidRPr="00E168A1">
        <w:t xml:space="preserve"> </w:t>
      </w:r>
      <w:r w:rsidRPr="00E168A1">
        <w:t>of</w:t>
      </w:r>
      <w:r w:rsidR="00900061" w:rsidRPr="00E168A1">
        <w:t xml:space="preserve"> </w:t>
      </w:r>
      <w:r w:rsidRPr="00E168A1">
        <w:t>the</w:t>
      </w:r>
      <w:r w:rsidR="00900061" w:rsidRPr="00E168A1">
        <w:t xml:space="preserve"> </w:t>
      </w:r>
      <w:r w:rsidR="008268AE" w:rsidRPr="00E168A1">
        <w:t>Public Procurement System</w:t>
      </w:r>
      <w:bookmarkEnd w:id="24"/>
      <w:bookmarkEnd w:id="25"/>
      <w:r w:rsidR="008268AE" w:rsidRPr="00E168A1">
        <w:t xml:space="preserve"> </w:t>
      </w:r>
    </w:p>
    <w:p w14:paraId="281BB74A" w14:textId="09D7A8A2" w:rsidR="00AE54E5" w:rsidRPr="00E168A1" w:rsidRDefault="00AE54E5" w:rsidP="00645878">
      <w:pPr>
        <w:pStyle w:val="Heading2"/>
        <w:spacing w:before="120" w:after="120" w:line="240" w:lineRule="auto"/>
        <w:ind w:left="0" w:firstLine="0"/>
      </w:pPr>
      <w:bookmarkStart w:id="26" w:name="_Toc305833853"/>
      <w:bookmarkStart w:id="27" w:name="_Toc442428961"/>
      <w:r w:rsidRPr="00E168A1">
        <w:t>Public</w:t>
      </w:r>
      <w:r w:rsidR="00900061" w:rsidRPr="00E168A1">
        <w:t xml:space="preserve"> </w:t>
      </w:r>
      <w:r w:rsidR="001C207D" w:rsidRPr="00E168A1">
        <w:t>A</w:t>
      </w:r>
      <w:r w:rsidRPr="00E168A1">
        <w:t>ccess</w:t>
      </w:r>
      <w:r w:rsidR="00900061" w:rsidRPr="00E168A1">
        <w:t xml:space="preserve"> </w:t>
      </w:r>
      <w:r w:rsidRPr="00E168A1">
        <w:t>to</w:t>
      </w:r>
      <w:r w:rsidR="00900061" w:rsidRPr="00E168A1">
        <w:t xml:space="preserve"> </w:t>
      </w:r>
      <w:r w:rsidR="001C207D" w:rsidRPr="00E168A1">
        <w:t>P</w:t>
      </w:r>
      <w:r w:rsidRPr="00E168A1">
        <w:t>rocurement</w:t>
      </w:r>
      <w:r w:rsidR="00900061" w:rsidRPr="00E168A1">
        <w:t xml:space="preserve"> </w:t>
      </w:r>
      <w:r w:rsidR="001C207D" w:rsidRPr="00E168A1">
        <w:t>I</w:t>
      </w:r>
      <w:r w:rsidRPr="00E168A1">
        <w:t>nformation</w:t>
      </w:r>
      <w:bookmarkEnd w:id="26"/>
      <w:bookmarkEnd w:id="27"/>
    </w:p>
    <w:p w14:paraId="4A535192" w14:textId="75BADE17" w:rsidR="00A922F0"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laws</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regulations</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freely</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easily</w:t>
      </w:r>
      <w:r w:rsidR="00900061" w:rsidRPr="00E168A1">
        <w:rPr>
          <w:rFonts w:ascii="Times New Roman" w:hAnsi="Times New Roman"/>
          <w:b/>
        </w:rPr>
        <w:t xml:space="preserve"> </w:t>
      </w:r>
      <w:r w:rsidRPr="00E168A1">
        <w:rPr>
          <w:rFonts w:ascii="Times New Roman" w:hAnsi="Times New Roman"/>
          <w:b/>
        </w:rPr>
        <w:t>accessible</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public</w:t>
      </w:r>
      <w:r w:rsidR="00F93102" w:rsidRPr="00E168A1">
        <w:rPr>
          <w:rFonts w:ascii="Times New Roman" w:hAnsi="Times New Roman"/>
          <w:b/>
        </w:rPr>
        <w:t>.</w:t>
      </w:r>
      <w:r w:rsidR="00900061" w:rsidRPr="00E168A1">
        <w:rPr>
          <w:rFonts w:ascii="Times New Roman" w:hAnsi="Times New Roman"/>
        </w:rPr>
        <w:t xml:space="preserve"> </w:t>
      </w:r>
      <w:r w:rsidRPr="00E168A1">
        <w:rPr>
          <w:rFonts w:ascii="Times New Roman" w:hAnsi="Times New Roman"/>
        </w:rPr>
        <w:t>The</w:t>
      </w:r>
      <w:r w:rsidR="003B3151">
        <w:rPr>
          <w:rFonts w:ascii="Times New Roman" w:hAnsi="Times New Roman"/>
        </w:rPr>
        <w:t xml:space="preserve"> procurement</w:t>
      </w:r>
      <w:r w:rsidR="00900061" w:rsidRPr="00E168A1">
        <w:rPr>
          <w:rFonts w:ascii="Times New Roman" w:hAnsi="Times New Roman"/>
        </w:rPr>
        <w:t xml:space="preserve"> </w:t>
      </w:r>
      <w:r w:rsidR="003B3151">
        <w:rPr>
          <w:rFonts w:ascii="Times New Roman" w:hAnsi="Times New Roman"/>
        </w:rPr>
        <w:t>l</w:t>
      </w:r>
      <w:r w:rsidRPr="00E168A1">
        <w:rPr>
          <w:rFonts w:ascii="Times New Roman" w:hAnsi="Times New Roman"/>
        </w:rPr>
        <w:t>aw</w:t>
      </w:r>
      <w:r w:rsidR="00900061" w:rsidRPr="00E168A1">
        <w:rPr>
          <w:rFonts w:ascii="Times New Roman" w:hAnsi="Times New Roman"/>
        </w:rPr>
        <w:t xml:space="preserve"> </w:t>
      </w:r>
      <w:r w:rsidRPr="00A90FD9">
        <w:rPr>
          <w:rFonts w:ascii="Times New Roman" w:hAnsi="Times New Roman"/>
        </w:rPr>
        <w:t>and</w:t>
      </w:r>
      <w:r w:rsidR="00900061" w:rsidRPr="00A90FD9">
        <w:rPr>
          <w:rFonts w:ascii="Times New Roman" w:hAnsi="Times New Roman"/>
        </w:rPr>
        <w:t xml:space="preserve"> </w:t>
      </w:r>
      <w:r w:rsidRPr="00A90FD9">
        <w:rPr>
          <w:rFonts w:ascii="Times New Roman" w:hAnsi="Times New Roman"/>
        </w:rPr>
        <w:t>bylaws</w:t>
      </w:r>
      <w:r w:rsidR="00900061" w:rsidRPr="00A90FD9">
        <w:rPr>
          <w:rFonts w:ascii="Times New Roman" w:hAnsi="Times New Roman"/>
        </w:rPr>
        <w:t xml:space="preserve"> </w:t>
      </w:r>
      <w:r w:rsidRPr="00A90FD9">
        <w:rPr>
          <w:rFonts w:ascii="Times New Roman" w:hAnsi="Times New Roman"/>
        </w:rPr>
        <w:t>are</w:t>
      </w:r>
      <w:r w:rsidR="00900061" w:rsidRPr="00A90FD9">
        <w:rPr>
          <w:rFonts w:ascii="Times New Roman" w:hAnsi="Times New Roman"/>
        </w:rPr>
        <w:t xml:space="preserve"> </w:t>
      </w:r>
      <w:r w:rsidRPr="00A90FD9">
        <w:rPr>
          <w:rFonts w:ascii="Times New Roman" w:hAnsi="Times New Roman"/>
        </w:rPr>
        <w:t>published</w:t>
      </w:r>
      <w:r w:rsidR="00900061" w:rsidRPr="00A90FD9">
        <w:rPr>
          <w:rFonts w:ascii="Times New Roman" w:hAnsi="Times New Roman"/>
        </w:rPr>
        <w:t xml:space="preserve"> </w:t>
      </w:r>
      <w:r w:rsidRPr="00A90FD9">
        <w:rPr>
          <w:rFonts w:ascii="Times New Roman" w:hAnsi="Times New Roman"/>
        </w:rPr>
        <w:t>in</w:t>
      </w:r>
      <w:r w:rsidR="00900061" w:rsidRPr="00A90FD9">
        <w:rPr>
          <w:rFonts w:ascii="Times New Roman" w:hAnsi="Times New Roman"/>
        </w:rPr>
        <w:t xml:space="preserve"> </w:t>
      </w:r>
      <w:r w:rsidRPr="00A90FD9">
        <w:rPr>
          <w:rFonts w:ascii="Times New Roman" w:hAnsi="Times New Roman"/>
        </w:rPr>
        <w:t>the</w:t>
      </w:r>
      <w:r w:rsidR="00900061" w:rsidRPr="00A90FD9">
        <w:rPr>
          <w:rFonts w:ascii="Times New Roman" w:hAnsi="Times New Roman"/>
        </w:rPr>
        <w:t xml:space="preserve"> </w:t>
      </w:r>
      <w:r w:rsidRPr="00A90FD9">
        <w:rPr>
          <w:rFonts w:ascii="Times New Roman" w:hAnsi="Times New Roman"/>
        </w:rPr>
        <w:t>Official</w:t>
      </w:r>
      <w:r w:rsidR="00900061" w:rsidRPr="00A90FD9">
        <w:rPr>
          <w:rFonts w:ascii="Times New Roman" w:hAnsi="Times New Roman"/>
        </w:rPr>
        <w:t xml:space="preserve"> </w:t>
      </w:r>
      <w:r w:rsidRPr="00A90FD9">
        <w:rPr>
          <w:rFonts w:ascii="Times New Roman" w:hAnsi="Times New Roman"/>
        </w:rPr>
        <w:t>Gazette</w:t>
      </w:r>
      <w:r w:rsidR="00900061" w:rsidRPr="00A90FD9">
        <w:rPr>
          <w:rFonts w:ascii="Times New Roman" w:hAnsi="Times New Roman"/>
        </w:rPr>
        <w:t xml:space="preserve"> </w:t>
      </w:r>
      <w:r w:rsidRPr="00A90FD9">
        <w:rPr>
          <w:rFonts w:ascii="Times New Roman" w:hAnsi="Times New Roman"/>
        </w:rPr>
        <w:t>and</w:t>
      </w:r>
      <w:r w:rsidR="00900061" w:rsidRPr="00A90FD9">
        <w:rPr>
          <w:rFonts w:ascii="Times New Roman" w:hAnsi="Times New Roman"/>
        </w:rPr>
        <w:t xml:space="preserve"> </w:t>
      </w:r>
      <w:r w:rsidRPr="00A90FD9">
        <w:rPr>
          <w:rFonts w:ascii="Times New Roman" w:hAnsi="Times New Roman"/>
        </w:rPr>
        <w:t>can</w:t>
      </w:r>
      <w:r w:rsidR="00900061" w:rsidRPr="00A90FD9">
        <w:rPr>
          <w:rFonts w:ascii="Times New Roman" w:hAnsi="Times New Roman"/>
        </w:rPr>
        <w:t xml:space="preserve"> </w:t>
      </w:r>
      <w:r w:rsidRPr="00A90FD9">
        <w:rPr>
          <w:rFonts w:ascii="Times New Roman" w:hAnsi="Times New Roman"/>
        </w:rPr>
        <w:t>be</w:t>
      </w:r>
      <w:r w:rsidR="00900061" w:rsidRPr="005769EE">
        <w:rPr>
          <w:rFonts w:ascii="Times New Roman" w:hAnsi="Times New Roman"/>
        </w:rPr>
        <w:t xml:space="preserve"> </w:t>
      </w:r>
      <w:r w:rsidRPr="00E168A1">
        <w:rPr>
          <w:rFonts w:ascii="Times New Roman" w:hAnsi="Times New Roman"/>
        </w:rPr>
        <w:t>downloaded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website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5F3BAA"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w:t>
      </w:r>
      <w:hyperlink r:id="rId19" w:history="1">
        <w:r w:rsidRPr="00A90FD9">
          <w:rPr>
            <w:rStyle w:val="Hyperlink"/>
            <w:rFonts w:ascii="Times New Roman" w:hAnsi="Times New Roman"/>
          </w:rPr>
          <w:t>www.unj.gov.rs</w:t>
        </w:r>
      </w:hyperlink>
      <w:r w:rsidRPr="00A90FD9">
        <w:rPr>
          <w:rStyle w:val="Hyperlink"/>
          <w:rFonts w:ascii="Times New Roman" w:hAnsi="Times New Roman"/>
        </w:rPr>
        <w:t>)</w:t>
      </w:r>
      <w:r w:rsidRPr="00A90FD9">
        <w:rPr>
          <w:rFonts w:ascii="Times New Roman" w:hAnsi="Times New Roman"/>
        </w:rPr>
        <w:t>.</w:t>
      </w:r>
      <w:r w:rsidR="00900061" w:rsidRPr="00A90FD9">
        <w:rPr>
          <w:rFonts w:ascii="Times New Roman" w:hAnsi="Times New Roman"/>
        </w:rPr>
        <w:t xml:space="preserve"> </w:t>
      </w:r>
      <w:r w:rsidRPr="00A90FD9">
        <w:rPr>
          <w:rFonts w:ascii="Times New Roman" w:hAnsi="Times New Roman"/>
        </w:rPr>
        <w:t>According</w:t>
      </w:r>
      <w:r w:rsidR="00900061" w:rsidRPr="00A90FD9">
        <w:rPr>
          <w:rFonts w:ascii="Times New Roman" w:hAnsi="Times New Roman"/>
        </w:rPr>
        <w:t xml:space="preserve"> </w:t>
      </w:r>
      <w:r w:rsidRPr="00A90FD9">
        <w:rPr>
          <w:rFonts w:ascii="Times New Roman" w:hAnsi="Times New Roman"/>
        </w:rPr>
        <w:t>to</w:t>
      </w:r>
      <w:r w:rsidR="00900061" w:rsidRPr="00A90FD9">
        <w:rPr>
          <w:rFonts w:ascii="Times New Roman" w:hAnsi="Times New Roman"/>
        </w:rPr>
        <w:t xml:space="preserve"> </w:t>
      </w:r>
      <w:r w:rsidRPr="00A90FD9">
        <w:rPr>
          <w:rFonts w:ascii="Times New Roman" w:hAnsi="Times New Roman"/>
        </w:rPr>
        <w:t>the</w:t>
      </w:r>
      <w:r w:rsidR="00900061" w:rsidRPr="00A90FD9">
        <w:rPr>
          <w:rFonts w:ascii="Times New Roman" w:hAnsi="Times New Roman"/>
        </w:rPr>
        <w:t xml:space="preserve"> </w:t>
      </w:r>
      <w:r w:rsidRPr="00A90FD9">
        <w:rPr>
          <w:rFonts w:ascii="Times New Roman" w:hAnsi="Times New Roman"/>
        </w:rPr>
        <w:t>PPL,</w:t>
      </w:r>
      <w:r w:rsidR="00900061" w:rsidRPr="00A90FD9">
        <w:rPr>
          <w:rFonts w:ascii="Times New Roman" w:hAnsi="Times New Roman"/>
        </w:rPr>
        <w:t xml:space="preserve"> </w:t>
      </w:r>
      <w:r w:rsidRPr="00A90FD9">
        <w:rPr>
          <w:rFonts w:ascii="Times New Roman" w:hAnsi="Times New Roman"/>
        </w:rPr>
        <w:t>all</w:t>
      </w:r>
      <w:r w:rsidR="00900061" w:rsidRPr="00A90FD9">
        <w:rPr>
          <w:rFonts w:ascii="Times New Roman" w:hAnsi="Times New Roman"/>
        </w:rPr>
        <w:t xml:space="preserve"> </w:t>
      </w:r>
      <w:r w:rsidRPr="00A90FD9">
        <w:rPr>
          <w:rFonts w:ascii="Times New Roman" w:hAnsi="Times New Roman"/>
        </w:rPr>
        <w:t>public</w:t>
      </w:r>
      <w:r w:rsidR="00900061" w:rsidRPr="00A90FD9">
        <w:rPr>
          <w:rFonts w:ascii="Times New Roman" w:hAnsi="Times New Roman"/>
        </w:rPr>
        <w:t xml:space="preserve"> </w:t>
      </w:r>
      <w:r w:rsidRPr="00E168A1">
        <w:rPr>
          <w:rFonts w:ascii="Times New Roman" w:hAnsi="Times New Roman"/>
        </w:rPr>
        <w:t>procurements</w:t>
      </w:r>
      <w:r w:rsidR="00900061" w:rsidRPr="00E168A1">
        <w:rPr>
          <w:rFonts w:ascii="Times New Roman" w:hAnsi="Times New Roman"/>
        </w:rPr>
        <w:t xml:space="preserve"> </w:t>
      </w:r>
      <w:r w:rsidRPr="00E168A1">
        <w:rPr>
          <w:rFonts w:ascii="Times New Roman" w:hAnsi="Times New Roman"/>
        </w:rPr>
        <w:t>announcements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i/>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awards</w:t>
      </w:r>
      <w:r w:rsidR="00900061" w:rsidRPr="00E168A1">
        <w:rPr>
          <w:rFonts w:ascii="Times New Roman" w:hAnsi="Times New Roman"/>
        </w:rPr>
        <w:t xml:space="preserve"> </w:t>
      </w:r>
      <w:r w:rsidRPr="00E168A1">
        <w:rPr>
          <w:rFonts w:ascii="Times New Roman" w:hAnsi="Times New Roman"/>
        </w:rPr>
        <w:t>must</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published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bCs/>
        </w:rPr>
        <w:t>the</w:t>
      </w:r>
      <w:r w:rsidR="00900061" w:rsidRPr="00E168A1">
        <w:rPr>
          <w:rFonts w:ascii="Times New Roman" w:hAnsi="Times New Roman"/>
          <w:bCs/>
        </w:rPr>
        <w:t xml:space="preserve"> </w:t>
      </w:r>
      <w:r w:rsidR="00B44764" w:rsidRPr="00E168A1">
        <w:rPr>
          <w:rFonts w:ascii="Times New Roman" w:hAnsi="Times New Roman"/>
          <w:bCs/>
        </w:rPr>
        <w:t>p</w:t>
      </w:r>
      <w:r w:rsidRPr="00E168A1">
        <w:rPr>
          <w:rFonts w:ascii="Times New Roman" w:hAnsi="Times New Roman"/>
          <w:bCs/>
        </w:rPr>
        <w:t>ublic</w:t>
      </w:r>
      <w:r w:rsidR="00900061" w:rsidRPr="00E168A1">
        <w:rPr>
          <w:rFonts w:ascii="Times New Roman" w:hAnsi="Times New Roman"/>
          <w:bCs/>
        </w:rPr>
        <w:t xml:space="preserve"> </w:t>
      </w:r>
      <w:r w:rsidR="00B44764" w:rsidRPr="00E168A1">
        <w:rPr>
          <w:rFonts w:ascii="Times New Roman" w:hAnsi="Times New Roman"/>
          <w:bCs/>
        </w:rPr>
        <w:t>p</w:t>
      </w:r>
      <w:r w:rsidRPr="00E168A1">
        <w:rPr>
          <w:rFonts w:ascii="Times New Roman" w:hAnsi="Times New Roman"/>
          <w:bCs/>
        </w:rPr>
        <w:t>rocurement</w:t>
      </w:r>
      <w:r w:rsidR="00900061" w:rsidRPr="00E168A1">
        <w:rPr>
          <w:rFonts w:ascii="Times New Roman" w:hAnsi="Times New Roman"/>
          <w:bCs/>
        </w:rPr>
        <w:t xml:space="preserve"> </w:t>
      </w:r>
      <w:r w:rsidR="00B44764" w:rsidRPr="00E168A1">
        <w:rPr>
          <w:rFonts w:ascii="Times New Roman" w:hAnsi="Times New Roman"/>
          <w:bCs/>
        </w:rPr>
        <w:t>p</w:t>
      </w:r>
      <w:r w:rsidRPr="00E168A1">
        <w:rPr>
          <w:rFonts w:ascii="Times New Roman" w:hAnsi="Times New Roman"/>
          <w:bCs/>
        </w:rPr>
        <w:t>ortal</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types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including</w:t>
      </w:r>
      <w:r w:rsidR="00900061" w:rsidRPr="00E168A1">
        <w:rPr>
          <w:rFonts w:ascii="Times New Roman" w:hAnsi="Times New Roman"/>
        </w:rPr>
        <w:t xml:space="preserve"> </w:t>
      </w:r>
      <w:r w:rsidRPr="00E168A1">
        <w:rPr>
          <w:rFonts w:ascii="Times New Roman" w:hAnsi="Times New Roman"/>
        </w:rPr>
        <w:t>small-value</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Furthermore,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introduced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mandatory</w:t>
      </w:r>
      <w:r w:rsidR="00900061" w:rsidRPr="00E168A1">
        <w:rPr>
          <w:rFonts w:ascii="Times New Roman" w:hAnsi="Times New Roman"/>
        </w:rPr>
        <w:t xml:space="preserve"> </w:t>
      </w:r>
      <w:r w:rsidRPr="00E168A1">
        <w:rPr>
          <w:rFonts w:ascii="Times New Roman" w:hAnsi="Times New Roman"/>
        </w:rPr>
        <w:t>publication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information</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amendments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execution;</w:t>
      </w:r>
      <w:r w:rsidR="00900061" w:rsidRPr="00E168A1">
        <w:rPr>
          <w:rFonts w:ascii="Times New Roman" w:hAnsi="Times New Roman"/>
        </w:rPr>
        <w:t xml:space="preserve"> </w:t>
      </w:r>
      <w:r w:rsidR="00564F24" w:rsidRPr="00E168A1">
        <w:rPr>
          <w:rFonts w:ascii="Times New Roman" w:hAnsi="Times New Roman"/>
        </w:rPr>
        <w:t xml:space="preserve">the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opinions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justifiability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negotiated</w:t>
      </w:r>
      <w:r w:rsidR="00900061" w:rsidRPr="00E168A1">
        <w:rPr>
          <w:rFonts w:ascii="Times New Roman" w:hAnsi="Times New Roman"/>
        </w:rPr>
        <w:t xml:space="preserve"> </w:t>
      </w:r>
      <w:r w:rsidRPr="00E168A1">
        <w:rPr>
          <w:rFonts w:ascii="Times New Roman" w:hAnsi="Times New Roman"/>
        </w:rPr>
        <w:t>procedures</w:t>
      </w:r>
      <w:r w:rsidR="0050718D"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negative</w:t>
      </w:r>
      <w:r w:rsidR="00900061" w:rsidRPr="00E168A1">
        <w:rPr>
          <w:rFonts w:ascii="Times New Roman" w:hAnsi="Times New Roman"/>
        </w:rPr>
        <w:t xml:space="preserve"> </w:t>
      </w:r>
      <w:r w:rsidRPr="00E168A1">
        <w:rPr>
          <w:rFonts w:ascii="Times New Roman" w:hAnsi="Times New Roman"/>
        </w:rPr>
        <w:t>references</w:t>
      </w:r>
      <w:r w:rsidR="0050718D"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filed</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bidders’</w:t>
      </w:r>
      <w:r w:rsidR="00900061" w:rsidRPr="00E168A1">
        <w:rPr>
          <w:rFonts w:ascii="Times New Roman" w:hAnsi="Times New Roman"/>
        </w:rPr>
        <w:t xml:space="preserve"> </w:t>
      </w:r>
      <w:r w:rsidRPr="00E168A1">
        <w:rPr>
          <w:rFonts w:ascii="Times New Roman" w:hAnsi="Times New Roman"/>
        </w:rPr>
        <w:t>rights</w:t>
      </w:r>
      <w:r w:rsidR="0050718D"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decisions;</w:t>
      </w:r>
      <w:r w:rsidR="0050718D" w:rsidRPr="00E168A1">
        <w:rPr>
          <w:rFonts w:ascii="Times New Roman" w:hAnsi="Times New Roman"/>
        </w:rPr>
        <w:t xml:space="preserve"> </w:t>
      </w:r>
      <w:r w:rsidRPr="00E168A1">
        <w:rPr>
          <w:rFonts w:ascii="Times New Roman" w:hAnsi="Times New Roman"/>
        </w:rPr>
        <w:t>quarterly</w:t>
      </w:r>
      <w:r w:rsidR="00900061" w:rsidRPr="00E168A1">
        <w:rPr>
          <w:rFonts w:ascii="Times New Roman" w:hAnsi="Times New Roman"/>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signed</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conducted</w:t>
      </w:r>
      <w:r w:rsidR="00A529E7" w:rsidRPr="00E168A1">
        <w:rPr>
          <w:rFonts w:ascii="Times New Roman" w:hAnsi="Times New Roman"/>
        </w:rPr>
        <w:t>;</w:t>
      </w:r>
      <w:r w:rsidR="00073464" w:rsidRPr="00E168A1">
        <w:rPr>
          <w:rFonts w:ascii="Times New Roman" w:hAnsi="Times New Roman"/>
        </w:rPr>
        <w:t xml:space="preserve"> and so on</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Access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content</w:t>
      </w:r>
      <w:r w:rsidR="00900061" w:rsidRPr="00E168A1">
        <w:rPr>
          <w:rFonts w:ascii="Times New Roman" w:hAnsi="Times New Roman"/>
        </w:rPr>
        <w:t xml:space="preserve"> </w:t>
      </w:r>
      <w:r w:rsidRPr="00E168A1">
        <w:rPr>
          <w:rFonts w:ascii="Times New Roman" w:hAnsi="Times New Roman"/>
        </w:rPr>
        <w:t>posted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50718D"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downloads</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bidders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other</w:t>
      </w:r>
      <w:r w:rsidR="00900061" w:rsidRPr="00E168A1">
        <w:rPr>
          <w:rFonts w:ascii="Times New Roman" w:hAnsi="Times New Roman"/>
        </w:rPr>
        <w:t xml:space="preserve"> </w:t>
      </w:r>
      <w:r w:rsidRPr="00E168A1">
        <w:rPr>
          <w:rFonts w:ascii="Times New Roman" w:hAnsi="Times New Roman"/>
        </w:rPr>
        <w:t>interested</w:t>
      </w:r>
      <w:r w:rsidR="00900061" w:rsidRPr="00E168A1">
        <w:rPr>
          <w:rFonts w:ascii="Times New Roman" w:hAnsi="Times New Roman"/>
        </w:rPr>
        <w:t xml:space="preserve"> </w:t>
      </w:r>
      <w:r w:rsidRPr="00E168A1">
        <w:rPr>
          <w:rFonts w:ascii="Times New Roman" w:hAnsi="Times New Roman"/>
        </w:rPr>
        <w:t>parties</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free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charge</w:t>
      </w:r>
      <w:r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practice,</w:t>
      </w:r>
      <w:r w:rsidR="00900061" w:rsidRPr="00E168A1">
        <w:rPr>
          <w:rFonts w:ascii="Times New Roman" w:hAnsi="Times New Roman"/>
        </w:rPr>
        <w:t xml:space="preserve"> </w:t>
      </w:r>
      <w:r w:rsidRPr="00E168A1">
        <w:rPr>
          <w:rFonts w:ascii="Times New Roman" w:hAnsi="Times New Roman"/>
        </w:rPr>
        <w:t>government</w:t>
      </w:r>
      <w:r w:rsidR="00900061" w:rsidRPr="00E168A1">
        <w:rPr>
          <w:rFonts w:ascii="Times New Roman" w:hAnsi="Times New Roman"/>
        </w:rPr>
        <w:t xml:space="preserve"> </w:t>
      </w:r>
      <w:r w:rsidRPr="00E168A1">
        <w:rPr>
          <w:rFonts w:ascii="Times New Roman" w:hAnsi="Times New Roman"/>
        </w:rPr>
        <w:t>bidding</w:t>
      </w:r>
      <w:r w:rsidR="00900061" w:rsidRPr="00E168A1">
        <w:rPr>
          <w:rFonts w:ascii="Times New Roman" w:hAnsi="Times New Roman"/>
        </w:rPr>
        <w:t xml:space="preserve"> </w:t>
      </w:r>
      <w:r w:rsidRPr="00E168A1">
        <w:rPr>
          <w:rFonts w:ascii="Times New Roman" w:hAnsi="Times New Roman"/>
        </w:rPr>
        <w:t>opportunities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awards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promptly</w:t>
      </w:r>
      <w:r w:rsidR="00900061" w:rsidRPr="00E168A1">
        <w:rPr>
          <w:rFonts w:ascii="Times New Roman" w:hAnsi="Times New Roman"/>
        </w:rPr>
        <w:t xml:space="preserve"> </w:t>
      </w:r>
      <w:r w:rsidRPr="00E168A1">
        <w:rPr>
          <w:rFonts w:ascii="Times New Roman" w:hAnsi="Times New Roman"/>
        </w:rPr>
        <w:t>posted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50718D"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50718D"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A529E7"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b/>
        </w:rPr>
        <w:t>(</w:t>
      </w:r>
      <w:hyperlink r:id="rId20" w:history="1">
        <w:r w:rsidRPr="00A90FD9">
          <w:rPr>
            <w:rStyle w:val="Hyperlink"/>
            <w:rFonts w:ascii="Times New Roman" w:hAnsi="Times New Roman"/>
          </w:rPr>
          <w:t>www.portal.ujn.gov.rs</w:t>
        </w:r>
      </w:hyperlink>
      <w:r w:rsidRPr="00A90FD9">
        <w:rPr>
          <w:rStyle w:val="Hyperlink"/>
          <w:rFonts w:ascii="Times New Roman" w:hAnsi="Times New Roman"/>
        </w:rPr>
        <w:t>)</w:t>
      </w:r>
      <w:r w:rsidRPr="00A90FD9">
        <w:rPr>
          <w:rFonts w:ascii="Times New Roman" w:hAnsi="Times New Roman"/>
        </w:rPr>
        <w:t>;</w:t>
      </w:r>
      <w:r w:rsidR="00900061" w:rsidRPr="00A90FD9">
        <w:rPr>
          <w:rFonts w:ascii="Times New Roman" w:hAnsi="Times New Roman"/>
        </w:rPr>
        <w:t xml:space="preserve"> </w:t>
      </w:r>
      <w:r w:rsidRPr="00A90FD9">
        <w:rPr>
          <w:rFonts w:ascii="Times New Roman" w:hAnsi="Times New Roman"/>
        </w:rPr>
        <w:t>while</w:t>
      </w:r>
      <w:r w:rsidR="00900061" w:rsidRPr="00A90FD9">
        <w:rPr>
          <w:rFonts w:ascii="Times New Roman" w:hAnsi="Times New Roman"/>
        </w:rPr>
        <w:t xml:space="preserve"> </w:t>
      </w:r>
      <w:r w:rsidRPr="00A90FD9">
        <w:rPr>
          <w:rFonts w:ascii="Times New Roman" w:hAnsi="Times New Roman"/>
        </w:rPr>
        <w:t>data</w:t>
      </w:r>
      <w:r w:rsidR="00900061" w:rsidRPr="00A90FD9">
        <w:rPr>
          <w:rFonts w:ascii="Times New Roman" w:hAnsi="Times New Roman"/>
        </w:rPr>
        <w:t xml:space="preserve"> </w:t>
      </w:r>
      <w:r w:rsidRPr="00A90FD9">
        <w:rPr>
          <w:rFonts w:ascii="Times New Roman" w:hAnsi="Times New Roman"/>
        </w:rPr>
        <w:t>on</w:t>
      </w:r>
      <w:r w:rsidR="00900061" w:rsidRPr="00A90FD9">
        <w:rPr>
          <w:rFonts w:ascii="Times New Roman" w:hAnsi="Times New Roman"/>
        </w:rPr>
        <w:t xml:space="preserve"> </w:t>
      </w:r>
      <w:r w:rsidRPr="00A90FD9">
        <w:rPr>
          <w:rFonts w:ascii="Times New Roman" w:hAnsi="Times New Roman"/>
        </w:rPr>
        <w:t>procurement</w:t>
      </w:r>
      <w:r w:rsidR="00900061" w:rsidRPr="00A90FD9">
        <w:rPr>
          <w:rFonts w:ascii="Times New Roman" w:hAnsi="Times New Roman"/>
        </w:rPr>
        <w:t xml:space="preserve"> </w:t>
      </w:r>
      <w:r w:rsidRPr="00A90FD9">
        <w:rPr>
          <w:rFonts w:ascii="Times New Roman" w:hAnsi="Times New Roman"/>
        </w:rPr>
        <w:t>complaints</w:t>
      </w:r>
      <w:r w:rsidR="00900061" w:rsidRPr="00A90FD9">
        <w:rPr>
          <w:rFonts w:ascii="Times New Roman" w:hAnsi="Times New Roman"/>
        </w:rPr>
        <w:t xml:space="preserve"> </w:t>
      </w:r>
      <w:r w:rsidRPr="00A90FD9">
        <w:rPr>
          <w:rFonts w:ascii="Times New Roman" w:hAnsi="Times New Roman"/>
        </w:rPr>
        <w:t>and</w:t>
      </w:r>
      <w:r w:rsidR="00900061" w:rsidRPr="005769EE">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resolution</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posted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portal</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w:t>
      </w:r>
      <w:hyperlink r:id="rId21" w:history="1">
        <w:r w:rsidR="00A7170B" w:rsidRPr="00A90FD9">
          <w:rPr>
            <w:rStyle w:val="Hyperlink"/>
            <w:rFonts w:ascii="Times New Roman" w:hAnsi="Times New Roman"/>
          </w:rPr>
          <w:t>www.kjn.gov.rs/sr/odluke</w:t>
        </w:r>
      </w:hyperlink>
      <w:r w:rsidR="00B03657" w:rsidRPr="00A90FD9">
        <w:rPr>
          <w:rFonts w:ascii="Times New Roman" w:hAnsi="Times New Roman"/>
        </w:rPr>
        <w:t>)</w:t>
      </w:r>
      <w:r w:rsidR="00900061" w:rsidRPr="00A90FD9">
        <w:rPr>
          <w:rFonts w:ascii="Times New Roman" w:hAnsi="Times New Roman"/>
        </w:rPr>
        <w:t xml:space="preserve"> </w:t>
      </w:r>
      <w:r w:rsidR="00B03657" w:rsidRPr="00A90FD9">
        <w:rPr>
          <w:rFonts w:ascii="Times New Roman" w:hAnsi="Times New Roman"/>
        </w:rPr>
        <w:t>and</w:t>
      </w:r>
      <w:r w:rsidR="00900061" w:rsidRPr="00A90FD9">
        <w:rPr>
          <w:rFonts w:ascii="Times New Roman" w:hAnsi="Times New Roman"/>
        </w:rPr>
        <w:t xml:space="preserve"> </w:t>
      </w:r>
      <w:r w:rsidR="00B03657" w:rsidRPr="00A90FD9">
        <w:rPr>
          <w:rFonts w:ascii="Times New Roman" w:hAnsi="Times New Roman"/>
        </w:rPr>
        <w:t>on</w:t>
      </w:r>
      <w:r w:rsidR="00900061" w:rsidRPr="00A90FD9">
        <w:rPr>
          <w:rFonts w:ascii="Times New Roman" w:hAnsi="Times New Roman"/>
        </w:rPr>
        <w:t xml:space="preserve"> </w:t>
      </w:r>
      <w:r w:rsidR="00B03657" w:rsidRPr="00A90FD9">
        <w:rPr>
          <w:rFonts w:ascii="Times New Roman" w:hAnsi="Times New Roman"/>
        </w:rPr>
        <w:t>the</w:t>
      </w:r>
      <w:r w:rsidR="00900061" w:rsidRPr="00A90FD9">
        <w:rPr>
          <w:rFonts w:ascii="Times New Roman" w:hAnsi="Times New Roman"/>
        </w:rPr>
        <w:t xml:space="preserve"> </w:t>
      </w:r>
      <w:r w:rsidR="0023102C" w:rsidRPr="00A90FD9">
        <w:rPr>
          <w:rFonts w:ascii="Times New Roman" w:hAnsi="Times New Roman"/>
        </w:rPr>
        <w:t>p</w:t>
      </w:r>
      <w:r w:rsidR="00B03657" w:rsidRPr="00A90FD9">
        <w:rPr>
          <w:rFonts w:ascii="Times New Roman" w:hAnsi="Times New Roman"/>
        </w:rPr>
        <w:t>ublic</w:t>
      </w:r>
      <w:r w:rsidR="00900061" w:rsidRPr="00A90FD9">
        <w:rPr>
          <w:rFonts w:ascii="Times New Roman" w:hAnsi="Times New Roman"/>
        </w:rPr>
        <w:t xml:space="preserve"> </w:t>
      </w:r>
      <w:r w:rsidR="0023102C" w:rsidRPr="005769EE">
        <w:rPr>
          <w:rFonts w:ascii="Times New Roman" w:hAnsi="Times New Roman"/>
        </w:rPr>
        <w:t>p</w:t>
      </w:r>
      <w:r w:rsidR="00B03657" w:rsidRPr="00E168A1">
        <w:rPr>
          <w:rFonts w:ascii="Times New Roman" w:hAnsi="Times New Roman"/>
        </w:rPr>
        <w:t>rocurement</w:t>
      </w:r>
      <w:r w:rsidR="00900061" w:rsidRPr="00E168A1">
        <w:rPr>
          <w:rFonts w:ascii="Times New Roman" w:hAnsi="Times New Roman"/>
        </w:rPr>
        <w:t xml:space="preserve"> </w:t>
      </w:r>
      <w:r w:rsidR="0023102C" w:rsidRPr="00E168A1">
        <w:rPr>
          <w:rFonts w:ascii="Times New Roman" w:hAnsi="Times New Roman"/>
        </w:rPr>
        <w:t>p</w:t>
      </w:r>
      <w:r w:rsidR="00B03657" w:rsidRPr="00E168A1">
        <w:rPr>
          <w:rFonts w:ascii="Times New Roman" w:hAnsi="Times New Roman"/>
        </w:rPr>
        <w:t>ortal</w:t>
      </w:r>
      <w:r w:rsidR="00A922F0" w:rsidRPr="00E168A1">
        <w:rPr>
          <w:rFonts w:ascii="Times New Roman" w:hAnsi="Times New Roman"/>
        </w:rPr>
        <w:t>.</w:t>
      </w:r>
    </w:p>
    <w:p w14:paraId="796D3703" w14:textId="7BD65A5F" w:rsidR="00CF175C" w:rsidRPr="00E168A1" w:rsidRDefault="00AE54E5" w:rsidP="00645878">
      <w:pPr>
        <w:pStyle w:val="ListParagraph"/>
        <w:numPr>
          <w:ilvl w:val="0"/>
          <w:numId w:val="9"/>
        </w:numPr>
        <w:ind w:left="0" w:firstLine="0"/>
        <w:contextualSpacing w:val="0"/>
        <w:rPr>
          <w:rFonts w:ascii="Times New Roman" w:hAnsi="Times New Roman"/>
          <w:b/>
        </w:rPr>
      </w:pPr>
      <w:r w:rsidRPr="00E168A1">
        <w:rPr>
          <w:rFonts w:ascii="Times New Roman" w:hAnsi="Times New Roman"/>
          <w:b/>
          <w:color w:val="000000"/>
        </w:rPr>
        <w:t>Significant</w:t>
      </w:r>
      <w:r w:rsidR="00900061" w:rsidRPr="00E168A1">
        <w:rPr>
          <w:rFonts w:ascii="Times New Roman" w:hAnsi="Times New Roman"/>
          <w:b/>
          <w:color w:val="000000"/>
        </w:rPr>
        <w:t xml:space="preserve"> </w:t>
      </w:r>
      <w:r w:rsidRPr="00E168A1">
        <w:rPr>
          <w:rFonts w:ascii="Times New Roman" w:hAnsi="Times New Roman"/>
          <w:b/>
          <w:color w:val="000000"/>
        </w:rPr>
        <w:t>progress</w:t>
      </w:r>
      <w:r w:rsidR="00900061" w:rsidRPr="00E168A1">
        <w:rPr>
          <w:rFonts w:ascii="Times New Roman" w:hAnsi="Times New Roman"/>
          <w:b/>
          <w:color w:val="000000"/>
        </w:rPr>
        <w:t xml:space="preserve"> </w:t>
      </w:r>
      <w:r w:rsidRPr="00E168A1">
        <w:rPr>
          <w:rFonts w:ascii="Times New Roman" w:hAnsi="Times New Roman"/>
          <w:b/>
          <w:color w:val="000000"/>
        </w:rPr>
        <w:t>has</w:t>
      </w:r>
      <w:r w:rsidR="00900061" w:rsidRPr="00E168A1">
        <w:rPr>
          <w:rFonts w:ascii="Times New Roman" w:hAnsi="Times New Roman"/>
          <w:b/>
          <w:color w:val="000000"/>
        </w:rPr>
        <w:t xml:space="preserve"> </w:t>
      </w:r>
      <w:r w:rsidRPr="00E168A1">
        <w:rPr>
          <w:rFonts w:ascii="Times New Roman" w:hAnsi="Times New Roman"/>
          <w:b/>
          <w:color w:val="000000"/>
        </w:rPr>
        <w:t>been</w:t>
      </w:r>
      <w:r w:rsidR="00900061" w:rsidRPr="00E168A1">
        <w:rPr>
          <w:rFonts w:ascii="Times New Roman" w:hAnsi="Times New Roman"/>
          <w:b/>
          <w:color w:val="000000"/>
        </w:rPr>
        <w:t xml:space="preserve"> </w:t>
      </w:r>
      <w:r w:rsidRPr="00E168A1">
        <w:rPr>
          <w:rFonts w:ascii="Times New Roman" w:hAnsi="Times New Roman"/>
          <w:b/>
          <w:color w:val="000000"/>
        </w:rPr>
        <w:t>achieved</w:t>
      </w:r>
      <w:r w:rsidR="00900061" w:rsidRPr="00E168A1">
        <w:rPr>
          <w:rFonts w:ascii="Times New Roman" w:hAnsi="Times New Roman"/>
          <w:b/>
          <w:color w:val="000000"/>
        </w:rPr>
        <w:t xml:space="preserve"> </w:t>
      </w:r>
      <w:r w:rsidRPr="00E168A1">
        <w:rPr>
          <w:rFonts w:ascii="Times New Roman" w:hAnsi="Times New Roman"/>
          <w:b/>
          <w:color w:val="000000"/>
        </w:rPr>
        <w:t>in</w:t>
      </w:r>
      <w:r w:rsidR="00900061" w:rsidRPr="00E168A1">
        <w:rPr>
          <w:rFonts w:ascii="Times New Roman" w:hAnsi="Times New Roman"/>
          <w:b/>
          <w:color w:val="000000"/>
        </w:rPr>
        <w:t xml:space="preserve"> </w:t>
      </w:r>
      <w:r w:rsidRPr="00E168A1">
        <w:rPr>
          <w:rFonts w:ascii="Times New Roman" w:hAnsi="Times New Roman"/>
          <w:b/>
          <w:color w:val="000000"/>
        </w:rPr>
        <w:t>the</w:t>
      </w:r>
      <w:r w:rsidR="00900061" w:rsidRPr="00E168A1">
        <w:rPr>
          <w:rFonts w:ascii="Times New Roman" w:hAnsi="Times New Roman"/>
          <w:b/>
          <w:color w:val="000000"/>
        </w:rPr>
        <w:t xml:space="preserve"> </w:t>
      </w:r>
      <w:r w:rsidRPr="00E168A1">
        <w:rPr>
          <w:rFonts w:ascii="Times New Roman" w:hAnsi="Times New Roman"/>
          <w:b/>
          <w:color w:val="000000"/>
        </w:rPr>
        <w:t>use</w:t>
      </w:r>
      <w:r w:rsidR="00900061" w:rsidRPr="00E168A1">
        <w:rPr>
          <w:rFonts w:ascii="Times New Roman" w:hAnsi="Times New Roman"/>
          <w:b/>
          <w:color w:val="000000"/>
        </w:rPr>
        <w:t xml:space="preserve"> </w:t>
      </w:r>
      <w:r w:rsidRPr="00E168A1">
        <w:rPr>
          <w:rFonts w:ascii="Times New Roman" w:hAnsi="Times New Roman"/>
          <w:b/>
          <w:color w:val="000000"/>
        </w:rPr>
        <w:t>of</w:t>
      </w:r>
      <w:r w:rsidR="00900061" w:rsidRPr="00E168A1">
        <w:rPr>
          <w:rFonts w:ascii="Times New Roman" w:hAnsi="Times New Roman"/>
          <w:b/>
          <w:color w:val="000000"/>
        </w:rPr>
        <w:t xml:space="preserve"> </w:t>
      </w:r>
      <w:r w:rsidRPr="00E168A1">
        <w:rPr>
          <w:rFonts w:ascii="Times New Roman" w:hAnsi="Times New Roman"/>
          <w:b/>
          <w:color w:val="000000"/>
        </w:rPr>
        <w:t>the</w:t>
      </w:r>
      <w:r w:rsidR="00900061" w:rsidRPr="00E168A1">
        <w:rPr>
          <w:rFonts w:ascii="Times New Roman" w:hAnsi="Times New Roman"/>
          <w:b/>
          <w:color w:val="000000"/>
        </w:rPr>
        <w:t xml:space="preserve"> </w:t>
      </w:r>
      <w:r w:rsidR="00B377F7" w:rsidRPr="00E168A1">
        <w:rPr>
          <w:rFonts w:ascii="Times New Roman" w:hAnsi="Times New Roman"/>
          <w:b/>
          <w:color w:val="000000"/>
        </w:rPr>
        <w:t>p</w:t>
      </w:r>
      <w:r w:rsidRPr="00E168A1">
        <w:rPr>
          <w:rFonts w:ascii="Times New Roman" w:hAnsi="Times New Roman"/>
          <w:b/>
          <w:color w:val="000000"/>
        </w:rPr>
        <w:t>ublic</w:t>
      </w:r>
      <w:r w:rsidR="00900061" w:rsidRPr="00E168A1">
        <w:rPr>
          <w:rFonts w:ascii="Times New Roman" w:hAnsi="Times New Roman"/>
          <w:b/>
          <w:color w:val="000000"/>
        </w:rPr>
        <w:t xml:space="preserve"> </w:t>
      </w:r>
      <w:r w:rsidR="00B377F7" w:rsidRPr="00E168A1">
        <w:rPr>
          <w:rFonts w:ascii="Times New Roman" w:hAnsi="Times New Roman"/>
          <w:b/>
          <w:color w:val="000000"/>
        </w:rPr>
        <w:t>p</w:t>
      </w:r>
      <w:r w:rsidRPr="00E168A1">
        <w:rPr>
          <w:rFonts w:ascii="Times New Roman" w:hAnsi="Times New Roman"/>
          <w:b/>
          <w:color w:val="000000"/>
        </w:rPr>
        <w:t>rocurement</w:t>
      </w:r>
      <w:r w:rsidR="00900061" w:rsidRPr="00E168A1">
        <w:rPr>
          <w:rFonts w:ascii="Times New Roman" w:hAnsi="Times New Roman"/>
          <w:b/>
          <w:color w:val="000000"/>
        </w:rPr>
        <w:t xml:space="preserve"> </w:t>
      </w:r>
      <w:r w:rsidR="00B377F7" w:rsidRPr="00E168A1">
        <w:rPr>
          <w:rFonts w:ascii="Times New Roman" w:hAnsi="Times New Roman"/>
          <w:b/>
          <w:color w:val="000000"/>
        </w:rPr>
        <w:t>p</w:t>
      </w:r>
      <w:r w:rsidRPr="00E168A1">
        <w:rPr>
          <w:rFonts w:ascii="Times New Roman" w:hAnsi="Times New Roman"/>
          <w:b/>
          <w:color w:val="000000"/>
        </w:rPr>
        <w:t>ortal,</w:t>
      </w:r>
      <w:r w:rsidR="00900061" w:rsidRPr="00E168A1">
        <w:rPr>
          <w:rFonts w:ascii="Times New Roman" w:hAnsi="Times New Roman"/>
          <w:b/>
          <w:color w:val="000000"/>
        </w:rPr>
        <w:t xml:space="preserve"> </w:t>
      </w:r>
      <w:r w:rsidRPr="00E168A1">
        <w:rPr>
          <w:rFonts w:ascii="Times New Roman" w:hAnsi="Times New Roman"/>
          <w:b/>
          <w:color w:val="000000"/>
        </w:rPr>
        <w:t>which</w:t>
      </w:r>
      <w:r w:rsidR="00900061" w:rsidRPr="00E168A1">
        <w:rPr>
          <w:rFonts w:ascii="Times New Roman" w:hAnsi="Times New Roman"/>
          <w:b/>
          <w:color w:val="000000"/>
        </w:rPr>
        <w:t xml:space="preserve"> </w:t>
      </w:r>
      <w:r w:rsidRPr="00E168A1">
        <w:rPr>
          <w:rFonts w:ascii="Times New Roman" w:hAnsi="Times New Roman"/>
          <w:b/>
          <w:color w:val="000000"/>
        </w:rPr>
        <w:t>became</w:t>
      </w:r>
      <w:r w:rsidR="00900061" w:rsidRPr="00E168A1">
        <w:rPr>
          <w:rFonts w:ascii="Times New Roman" w:hAnsi="Times New Roman"/>
          <w:b/>
          <w:color w:val="000000"/>
        </w:rPr>
        <w:t xml:space="preserve"> </w:t>
      </w:r>
      <w:r w:rsidRPr="00E168A1">
        <w:rPr>
          <w:rFonts w:ascii="Times New Roman" w:hAnsi="Times New Roman"/>
          <w:b/>
          <w:color w:val="000000"/>
        </w:rPr>
        <w:t>operational</w:t>
      </w:r>
      <w:r w:rsidR="00900061" w:rsidRPr="00E168A1">
        <w:rPr>
          <w:rFonts w:ascii="Times New Roman" w:hAnsi="Times New Roman"/>
          <w:b/>
          <w:color w:val="000000"/>
        </w:rPr>
        <w:t xml:space="preserve"> </w:t>
      </w:r>
      <w:r w:rsidRPr="00E168A1">
        <w:rPr>
          <w:rFonts w:ascii="Times New Roman" w:hAnsi="Times New Roman"/>
          <w:b/>
          <w:color w:val="000000"/>
        </w:rPr>
        <w:t>on</w:t>
      </w:r>
      <w:r w:rsidR="00900061" w:rsidRPr="00E168A1">
        <w:rPr>
          <w:rFonts w:ascii="Times New Roman" w:hAnsi="Times New Roman"/>
          <w:b/>
          <w:color w:val="000000"/>
        </w:rPr>
        <w:t xml:space="preserve"> </w:t>
      </w:r>
      <w:r w:rsidRPr="00E168A1">
        <w:rPr>
          <w:rFonts w:ascii="Times New Roman" w:hAnsi="Times New Roman"/>
          <w:b/>
          <w:color w:val="000000"/>
        </w:rPr>
        <w:t>April</w:t>
      </w:r>
      <w:r w:rsidR="00900061" w:rsidRPr="00E168A1">
        <w:rPr>
          <w:rFonts w:ascii="Times New Roman" w:hAnsi="Times New Roman"/>
          <w:b/>
          <w:color w:val="000000"/>
        </w:rPr>
        <w:t xml:space="preserve"> </w:t>
      </w:r>
      <w:r w:rsidRPr="00E168A1">
        <w:rPr>
          <w:rFonts w:ascii="Times New Roman" w:hAnsi="Times New Roman"/>
          <w:b/>
          <w:color w:val="000000"/>
        </w:rPr>
        <w:t>1,</w:t>
      </w:r>
      <w:r w:rsidR="00900061" w:rsidRPr="00E168A1">
        <w:rPr>
          <w:rFonts w:ascii="Times New Roman" w:hAnsi="Times New Roman"/>
          <w:b/>
          <w:color w:val="000000"/>
        </w:rPr>
        <w:t xml:space="preserve"> </w:t>
      </w:r>
      <w:r w:rsidRPr="00E168A1">
        <w:rPr>
          <w:rFonts w:ascii="Times New Roman" w:hAnsi="Times New Roman"/>
          <w:b/>
          <w:color w:val="000000"/>
        </w:rPr>
        <w:t>2013.</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first</w:t>
      </w:r>
      <w:r w:rsidR="00900061" w:rsidRPr="00E168A1">
        <w:rPr>
          <w:rFonts w:ascii="Times New Roman" w:hAnsi="Times New Roman"/>
          <w:color w:val="000000"/>
        </w:rPr>
        <w:t xml:space="preserve"> </w:t>
      </w:r>
      <w:r w:rsidRPr="00E168A1">
        <w:rPr>
          <w:rFonts w:ascii="Times New Roman" w:hAnsi="Times New Roman"/>
          <w:color w:val="000000"/>
        </w:rPr>
        <w:t>year</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its</w:t>
      </w:r>
      <w:r w:rsidR="00900061" w:rsidRPr="00E168A1">
        <w:rPr>
          <w:rFonts w:ascii="Times New Roman" w:hAnsi="Times New Roman"/>
          <w:color w:val="000000"/>
        </w:rPr>
        <w:t xml:space="preserve"> </w:t>
      </w:r>
      <w:r w:rsidRPr="00E168A1">
        <w:rPr>
          <w:rFonts w:ascii="Times New Roman" w:hAnsi="Times New Roman"/>
          <w:color w:val="000000"/>
        </w:rPr>
        <w:t>implementation,</w:t>
      </w:r>
      <w:r w:rsidR="00900061" w:rsidRPr="00E168A1">
        <w:rPr>
          <w:rFonts w:ascii="Times New Roman" w:hAnsi="Times New Roman"/>
          <w:color w:val="000000"/>
        </w:rPr>
        <w:t xml:space="preserve"> </w:t>
      </w:r>
      <w:r w:rsidRPr="00E168A1">
        <w:rPr>
          <w:rFonts w:ascii="Times New Roman" w:hAnsi="Times New Roman"/>
          <w:color w:val="000000"/>
        </w:rPr>
        <w:t>daily</w:t>
      </w:r>
      <w:r w:rsidR="00900061" w:rsidRPr="00E168A1">
        <w:rPr>
          <w:rFonts w:ascii="Times New Roman" w:hAnsi="Times New Roman"/>
          <w:color w:val="000000"/>
        </w:rPr>
        <w:t xml:space="preserve"> </w:t>
      </w:r>
      <w:r w:rsidRPr="00E168A1">
        <w:rPr>
          <w:rFonts w:ascii="Times New Roman" w:hAnsi="Times New Roman"/>
          <w:color w:val="000000"/>
        </w:rPr>
        <w:t>visits</w:t>
      </w:r>
      <w:r w:rsidR="00900061" w:rsidRPr="00E168A1">
        <w:rPr>
          <w:rFonts w:ascii="Times New Roman" w:hAnsi="Times New Roman"/>
          <w:color w:val="000000"/>
        </w:rPr>
        <w:t xml:space="preserve"> </w:t>
      </w:r>
      <w:r w:rsidRPr="00E168A1">
        <w:rPr>
          <w:rFonts w:ascii="Times New Roman" w:hAnsi="Times New Roman"/>
          <w:color w:val="000000"/>
        </w:rPr>
        <w:t>soared</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5,000</w:t>
      </w:r>
      <w:r w:rsidR="00950355" w:rsidRPr="00E168A1">
        <w:rPr>
          <w:rFonts w:ascii="Times New Roman" w:hAnsi="Times New Roman"/>
          <w:color w:val="000000"/>
        </w:rPr>
        <w:t>—</w:t>
      </w:r>
      <w:r w:rsidRPr="00E168A1">
        <w:rPr>
          <w:rFonts w:ascii="Times New Roman" w:hAnsi="Times New Roman"/>
          <w:color w:val="000000"/>
        </w:rPr>
        <w:t>more</w:t>
      </w:r>
      <w:r w:rsidR="00900061" w:rsidRPr="00E168A1">
        <w:rPr>
          <w:rFonts w:ascii="Times New Roman" w:hAnsi="Times New Roman"/>
          <w:color w:val="000000"/>
        </w:rPr>
        <w:t xml:space="preserve"> </w:t>
      </w:r>
      <w:r w:rsidRPr="00E168A1">
        <w:rPr>
          <w:rFonts w:ascii="Times New Roman" w:hAnsi="Times New Roman"/>
          <w:color w:val="000000"/>
        </w:rPr>
        <w:t>than</w:t>
      </w:r>
      <w:r w:rsidR="00900061" w:rsidRPr="00E168A1">
        <w:rPr>
          <w:rFonts w:ascii="Times New Roman" w:hAnsi="Times New Roman"/>
          <w:color w:val="000000"/>
        </w:rPr>
        <w:t xml:space="preserve"> </w:t>
      </w:r>
      <w:r w:rsidRPr="00E168A1">
        <w:rPr>
          <w:rFonts w:ascii="Times New Roman" w:hAnsi="Times New Roman"/>
          <w:color w:val="000000"/>
        </w:rPr>
        <w:t>600</w:t>
      </w:r>
      <w:r w:rsidR="00950355" w:rsidRPr="00E168A1">
        <w:rPr>
          <w:rFonts w:ascii="Times New Roman" w:hAnsi="Times New Roman"/>
          <w:color w:val="000000"/>
        </w:rPr>
        <w:t xml:space="preserve"> percent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number</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visits</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previous</w:t>
      </w:r>
      <w:r w:rsidR="00900061" w:rsidRPr="00E168A1">
        <w:rPr>
          <w:rFonts w:ascii="Times New Roman" w:hAnsi="Times New Roman"/>
          <w:color w:val="000000"/>
        </w:rPr>
        <w:t xml:space="preserve"> </w:t>
      </w:r>
      <w:r w:rsidRPr="00E168A1">
        <w:rPr>
          <w:rFonts w:ascii="Times New Roman" w:hAnsi="Times New Roman"/>
          <w:color w:val="000000"/>
        </w:rPr>
        <w:t>version</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B377F7" w:rsidRPr="00E168A1">
        <w:rPr>
          <w:rFonts w:ascii="Times New Roman" w:hAnsi="Times New Roman"/>
          <w:color w:val="000000"/>
        </w:rPr>
        <w:t>p</w:t>
      </w:r>
      <w:r w:rsidRPr="00E168A1">
        <w:rPr>
          <w:rFonts w:ascii="Times New Roman" w:hAnsi="Times New Roman"/>
          <w:color w:val="000000"/>
        </w:rPr>
        <w:t>ortal.</w:t>
      </w:r>
      <w:r w:rsidR="00900061" w:rsidRPr="00E168A1">
        <w:rPr>
          <w:rFonts w:ascii="Times New Roman" w:hAnsi="Times New Roman"/>
          <w:color w:val="000000"/>
        </w:rPr>
        <w:t xml:space="preserve"> </w:t>
      </w:r>
      <w:r w:rsidR="008020E7" w:rsidRPr="00E168A1">
        <w:rPr>
          <w:rFonts w:ascii="Times New Roman" w:hAnsi="Times New Roman"/>
          <w:color w:val="000000"/>
        </w:rPr>
        <w:t>“</w:t>
      </w:r>
      <w:r w:rsidRPr="00E168A1">
        <w:rPr>
          <w:rFonts w:ascii="Times New Roman" w:hAnsi="Times New Roman"/>
          <w:color w:val="000000"/>
        </w:rPr>
        <w:t>New</w:t>
      </w:r>
      <w:r w:rsidR="00900061" w:rsidRPr="00E168A1">
        <w:rPr>
          <w:rFonts w:ascii="Times New Roman" w:hAnsi="Times New Roman"/>
          <w:color w:val="000000"/>
        </w:rPr>
        <w:t xml:space="preserve"> </w:t>
      </w:r>
      <w:r w:rsidRPr="00E168A1">
        <w:rPr>
          <w:rFonts w:ascii="Times New Roman" w:hAnsi="Times New Roman"/>
          <w:color w:val="000000"/>
        </w:rPr>
        <w:t>software</w:t>
      </w:r>
      <w:r w:rsidR="00900061" w:rsidRPr="00E168A1">
        <w:rPr>
          <w:rFonts w:ascii="Times New Roman" w:hAnsi="Times New Roman"/>
          <w:color w:val="000000"/>
        </w:rPr>
        <w:t xml:space="preserve"> </w:t>
      </w:r>
      <w:r w:rsidRPr="00E168A1">
        <w:rPr>
          <w:rFonts w:ascii="Times New Roman" w:hAnsi="Times New Roman"/>
          <w:color w:val="000000"/>
        </w:rPr>
        <w:t>for</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electronic</w:t>
      </w:r>
      <w:r w:rsidR="00900061" w:rsidRPr="00E168A1">
        <w:rPr>
          <w:rFonts w:ascii="Times New Roman" w:hAnsi="Times New Roman"/>
          <w:color w:val="000000"/>
        </w:rPr>
        <w:t xml:space="preserve"> </w:t>
      </w:r>
      <w:r w:rsidRPr="00E168A1">
        <w:rPr>
          <w:rFonts w:ascii="Times New Roman" w:hAnsi="Times New Roman"/>
          <w:color w:val="000000"/>
        </w:rPr>
        <w:t>collection</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records</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plans</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been</w:t>
      </w:r>
      <w:r w:rsidR="00900061" w:rsidRPr="00E168A1">
        <w:rPr>
          <w:rFonts w:ascii="Times New Roman" w:hAnsi="Times New Roman"/>
          <w:color w:val="000000"/>
        </w:rPr>
        <w:t xml:space="preserve"> </w:t>
      </w:r>
      <w:r w:rsidRPr="00E168A1">
        <w:rPr>
          <w:rFonts w:ascii="Times New Roman" w:hAnsi="Times New Roman"/>
          <w:color w:val="000000"/>
        </w:rPr>
        <w:t>made</w:t>
      </w:r>
      <w:r w:rsidR="00900061" w:rsidRPr="00E168A1">
        <w:rPr>
          <w:rFonts w:ascii="Times New Roman" w:hAnsi="Times New Roman"/>
          <w:color w:val="000000"/>
        </w:rPr>
        <w:t xml:space="preserve"> </w:t>
      </w:r>
      <w:r w:rsidRPr="00E168A1">
        <w:rPr>
          <w:rFonts w:ascii="Times New Roman" w:hAnsi="Times New Roman"/>
          <w:color w:val="000000"/>
        </w:rPr>
        <w:t>available</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authorities</w:t>
      </w:r>
      <w:r w:rsidR="00471C7A" w:rsidRPr="00E168A1">
        <w:rPr>
          <w:rFonts w:ascii="Times New Roman" w:hAnsi="Times New Roman"/>
          <w:color w:val="000000"/>
        </w:rPr>
        <w:t>.</w:t>
      </w:r>
      <w:r w:rsidR="008020E7" w:rsidRPr="00E168A1">
        <w:rPr>
          <w:rFonts w:ascii="Times New Roman" w:hAnsi="Times New Roman"/>
          <w:color w:val="000000"/>
        </w:rPr>
        <w:t>”</w:t>
      </w:r>
      <w:r w:rsidRPr="00E168A1">
        <w:rPr>
          <w:rStyle w:val="FootnoteReference"/>
          <w:rFonts w:ascii="Times New Roman" w:hAnsi="Times New Roman"/>
          <w:color w:val="000000"/>
        </w:rPr>
        <w:footnoteReference w:id="26"/>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addition,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average</w:t>
      </w:r>
      <w:r w:rsidR="00900061" w:rsidRPr="00E168A1">
        <w:rPr>
          <w:rFonts w:ascii="Times New Roman" w:hAnsi="Times New Roman"/>
          <w:color w:val="000000"/>
        </w:rPr>
        <w:t xml:space="preserve"> </w:t>
      </w:r>
      <w:r w:rsidRPr="00E168A1">
        <w:rPr>
          <w:rFonts w:ascii="Times New Roman" w:hAnsi="Times New Roman"/>
          <w:color w:val="000000"/>
        </w:rPr>
        <w:t>number</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procedures</w:t>
      </w:r>
      <w:r w:rsidR="00900061" w:rsidRPr="00E168A1">
        <w:rPr>
          <w:rFonts w:ascii="Times New Roman" w:hAnsi="Times New Roman"/>
          <w:color w:val="000000"/>
        </w:rPr>
        <w:t xml:space="preserve"> </w:t>
      </w:r>
      <w:r w:rsidRPr="00E168A1">
        <w:rPr>
          <w:rFonts w:ascii="Times New Roman" w:hAnsi="Times New Roman"/>
          <w:color w:val="000000"/>
        </w:rPr>
        <w:t>announced</w:t>
      </w:r>
      <w:r w:rsidR="00900061" w:rsidRPr="00E168A1">
        <w:rPr>
          <w:rFonts w:ascii="Times New Roman" w:hAnsi="Times New Roman"/>
          <w:color w:val="000000"/>
        </w:rPr>
        <w:t xml:space="preserve"> </w:t>
      </w:r>
      <w:r w:rsidRPr="00E168A1">
        <w:rPr>
          <w:rFonts w:ascii="Times New Roman" w:hAnsi="Times New Roman"/>
          <w:color w:val="000000"/>
        </w:rPr>
        <w:t>daily</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been</w:t>
      </w:r>
      <w:r w:rsidR="00900061" w:rsidRPr="00E168A1">
        <w:rPr>
          <w:rFonts w:ascii="Times New Roman" w:hAnsi="Times New Roman"/>
          <w:color w:val="000000"/>
        </w:rPr>
        <w:t xml:space="preserve"> </w:t>
      </w:r>
      <w:r w:rsidRPr="00E168A1">
        <w:rPr>
          <w:rFonts w:ascii="Times New Roman" w:hAnsi="Times New Roman"/>
          <w:color w:val="000000"/>
        </w:rPr>
        <w:t>about</w:t>
      </w:r>
      <w:r w:rsidR="00900061" w:rsidRPr="00E168A1">
        <w:rPr>
          <w:rFonts w:ascii="Times New Roman" w:hAnsi="Times New Roman"/>
          <w:color w:val="000000"/>
        </w:rPr>
        <w:t xml:space="preserve"> </w:t>
      </w:r>
      <w:r w:rsidRPr="00E168A1">
        <w:rPr>
          <w:rFonts w:ascii="Times New Roman" w:hAnsi="Times New Roman"/>
          <w:color w:val="000000"/>
        </w:rPr>
        <w:t>130,</w:t>
      </w:r>
      <w:r w:rsidR="00900061" w:rsidRPr="00E168A1">
        <w:rPr>
          <w:rFonts w:ascii="Times New Roman" w:hAnsi="Times New Roman"/>
          <w:color w:val="000000"/>
        </w:rPr>
        <w:t xml:space="preserve"> </w:t>
      </w:r>
      <w:r w:rsidRPr="00E168A1">
        <w:rPr>
          <w:rFonts w:ascii="Times New Roman" w:hAnsi="Times New Roman"/>
          <w:color w:val="000000"/>
        </w:rPr>
        <w:t>about</w:t>
      </w:r>
      <w:r w:rsidR="00900061" w:rsidRPr="00E168A1">
        <w:rPr>
          <w:rFonts w:ascii="Times New Roman" w:hAnsi="Times New Roman"/>
          <w:color w:val="000000"/>
        </w:rPr>
        <w:t xml:space="preserve"> </w:t>
      </w:r>
      <w:r w:rsidRPr="00E168A1">
        <w:rPr>
          <w:rFonts w:ascii="Times New Roman" w:hAnsi="Times New Roman"/>
          <w:color w:val="000000"/>
        </w:rPr>
        <w:t>200</w:t>
      </w:r>
      <w:r w:rsidR="00950355" w:rsidRPr="00E168A1">
        <w:rPr>
          <w:rFonts w:ascii="Times New Roman" w:hAnsi="Times New Roman"/>
          <w:color w:val="000000"/>
        </w:rPr>
        <w:t xml:space="preserve"> percent </w:t>
      </w:r>
      <w:r w:rsidRPr="00E168A1">
        <w:rPr>
          <w:rFonts w:ascii="Times New Roman" w:hAnsi="Times New Roman"/>
          <w:color w:val="000000"/>
        </w:rPr>
        <w:t>higher</w:t>
      </w:r>
      <w:r w:rsidR="00900061" w:rsidRPr="00E168A1">
        <w:rPr>
          <w:rFonts w:ascii="Times New Roman" w:hAnsi="Times New Roman"/>
          <w:color w:val="000000"/>
        </w:rPr>
        <w:t xml:space="preserve"> </w:t>
      </w:r>
      <w:r w:rsidRPr="00E168A1">
        <w:rPr>
          <w:rFonts w:ascii="Times New Roman" w:hAnsi="Times New Roman"/>
          <w:color w:val="000000"/>
        </w:rPr>
        <w:t>than</w:t>
      </w:r>
      <w:r w:rsidR="00900061" w:rsidRPr="00E168A1">
        <w:rPr>
          <w:rFonts w:ascii="Times New Roman" w:hAnsi="Times New Roman"/>
          <w:color w:val="000000"/>
        </w:rPr>
        <w:t xml:space="preserve"> </w:t>
      </w:r>
      <w:r w:rsidRPr="00E168A1">
        <w:rPr>
          <w:rFonts w:ascii="Times New Roman" w:hAnsi="Times New Roman"/>
          <w:color w:val="000000"/>
        </w:rPr>
        <w:t>under</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previous</w:t>
      </w:r>
      <w:r w:rsidR="00900061" w:rsidRPr="00E168A1">
        <w:rPr>
          <w:rFonts w:ascii="Times New Roman" w:hAnsi="Times New Roman"/>
          <w:color w:val="000000"/>
        </w:rPr>
        <w:t xml:space="preserve"> </w:t>
      </w:r>
      <w:r w:rsidRPr="00E168A1">
        <w:rPr>
          <w:rFonts w:ascii="Times New Roman" w:hAnsi="Times New Roman"/>
          <w:color w:val="000000"/>
        </w:rPr>
        <w:t>PPL</w:t>
      </w:r>
      <w:r w:rsidR="00471C7A" w:rsidRPr="00E168A1">
        <w:rPr>
          <w:rFonts w:ascii="Times New Roman" w:hAnsi="Times New Roman"/>
          <w:color w:val="000000"/>
        </w:rPr>
        <w:t>.</w:t>
      </w:r>
      <w:r w:rsidRPr="00E168A1">
        <w:rPr>
          <w:rStyle w:val="FootnoteReference"/>
          <w:rFonts w:ascii="Times New Roman" w:hAnsi="Times New Roman"/>
          <w:color w:val="000000"/>
        </w:rPr>
        <w:footnoteReference w:id="27"/>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last</w:t>
      </w:r>
      <w:r w:rsidR="00900061" w:rsidRPr="00E168A1">
        <w:rPr>
          <w:rFonts w:ascii="Times New Roman" w:hAnsi="Times New Roman"/>
          <w:color w:val="000000"/>
        </w:rPr>
        <w:t xml:space="preserve"> </w:t>
      </w:r>
      <w:r w:rsidRPr="00E168A1">
        <w:rPr>
          <w:rFonts w:ascii="Times New Roman" w:hAnsi="Times New Roman"/>
          <w:color w:val="000000"/>
        </w:rPr>
        <w:t>quarter</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2014,</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portal</w:t>
      </w:r>
      <w:r w:rsidR="00900061" w:rsidRPr="00E168A1">
        <w:rPr>
          <w:rFonts w:ascii="Times New Roman" w:hAnsi="Times New Roman"/>
          <w:color w:val="000000"/>
        </w:rPr>
        <w:t xml:space="preserve"> </w:t>
      </w:r>
      <w:r w:rsidRPr="00E168A1">
        <w:rPr>
          <w:rFonts w:ascii="Times New Roman" w:hAnsi="Times New Roman"/>
          <w:color w:val="000000"/>
        </w:rPr>
        <w:t>had</w:t>
      </w:r>
      <w:r w:rsidR="00900061" w:rsidRPr="00E168A1">
        <w:rPr>
          <w:rFonts w:ascii="Times New Roman" w:hAnsi="Times New Roman"/>
          <w:color w:val="000000"/>
        </w:rPr>
        <w:t xml:space="preserve"> </w:t>
      </w:r>
      <w:r w:rsidRPr="00E168A1">
        <w:rPr>
          <w:rFonts w:ascii="Times New Roman" w:hAnsi="Times New Roman"/>
          <w:color w:val="000000"/>
        </w:rPr>
        <w:t>500,000</w:t>
      </w:r>
      <w:r w:rsidR="00900061" w:rsidRPr="00E168A1">
        <w:rPr>
          <w:rFonts w:ascii="Times New Roman" w:hAnsi="Times New Roman"/>
          <w:color w:val="000000"/>
        </w:rPr>
        <w:t xml:space="preserve"> </w:t>
      </w:r>
      <w:r w:rsidRPr="00E168A1">
        <w:rPr>
          <w:rFonts w:ascii="Times New Roman" w:hAnsi="Times New Roman"/>
          <w:color w:val="000000"/>
        </w:rPr>
        <w:t>visits.</w:t>
      </w:r>
      <w:r w:rsidRPr="00E168A1">
        <w:rPr>
          <w:rFonts w:ascii="Times New Roman" w:hAnsi="Times New Roman"/>
          <w:color w:val="000000"/>
          <w:vertAlign w:val="superscript"/>
        </w:rPr>
        <w:footnoteReference w:id="28"/>
      </w:r>
      <w:r w:rsidR="00900061" w:rsidRPr="00E168A1">
        <w:rPr>
          <w:rFonts w:ascii="Times New Roman" w:hAnsi="Times New Roman"/>
          <w:b/>
        </w:rPr>
        <w:t xml:space="preserve"> </w:t>
      </w:r>
    </w:p>
    <w:p w14:paraId="6DE45A49" w14:textId="6955F7A1" w:rsidR="00B025DC" w:rsidRPr="00645878" w:rsidRDefault="00B025DC" w:rsidP="00A90FD9">
      <w:pPr>
        <w:pStyle w:val="Caption"/>
        <w:tabs>
          <w:tab w:val="center" w:pos="4680"/>
          <w:tab w:val="left" w:pos="8152"/>
        </w:tabs>
        <w:rPr>
          <w:rFonts w:ascii="Times New Roman" w:hAnsi="Times New Roman"/>
          <w:sz w:val="24"/>
          <w:szCs w:val="24"/>
          <w:lang w:val="en-US"/>
        </w:rPr>
      </w:pPr>
      <w:bookmarkStart w:id="28" w:name="_Toc442384170"/>
      <w:r w:rsidRPr="00645878">
        <w:rPr>
          <w:rFonts w:ascii="Times New Roman" w:hAnsi="Times New Roman"/>
          <w:sz w:val="24"/>
          <w:szCs w:val="24"/>
          <w:lang w:val="en-US"/>
        </w:rPr>
        <w:lastRenderedPageBreak/>
        <w:t xml:space="preserve">Table </w:t>
      </w:r>
      <w:r w:rsidRPr="00645878">
        <w:rPr>
          <w:rFonts w:ascii="Times New Roman" w:hAnsi="Times New Roman"/>
          <w:sz w:val="24"/>
          <w:szCs w:val="24"/>
          <w:lang w:val="en-US"/>
        </w:rPr>
        <w:fldChar w:fldCharType="begin"/>
      </w:r>
      <w:r w:rsidRPr="00645878">
        <w:rPr>
          <w:rFonts w:ascii="Times New Roman" w:hAnsi="Times New Roman"/>
          <w:sz w:val="24"/>
          <w:szCs w:val="24"/>
          <w:lang w:val="en-US"/>
        </w:rPr>
        <w:instrText xml:space="preserve"> SEQ Table \* ARABIC </w:instrText>
      </w:r>
      <w:r w:rsidRPr="00645878">
        <w:rPr>
          <w:rFonts w:ascii="Times New Roman" w:hAnsi="Times New Roman"/>
          <w:sz w:val="24"/>
          <w:szCs w:val="24"/>
          <w:lang w:val="en-US"/>
        </w:rPr>
        <w:fldChar w:fldCharType="separate"/>
      </w:r>
      <w:r w:rsidR="00FF4790" w:rsidRPr="00645878">
        <w:rPr>
          <w:rFonts w:ascii="Times New Roman" w:hAnsi="Times New Roman"/>
          <w:sz w:val="24"/>
          <w:szCs w:val="24"/>
          <w:lang w:val="en-US"/>
        </w:rPr>
        <w:t>3</w:t>
      </w:r>
      <w:r w:rsidRPr="00645878">
        <w:rPr>
          <w:rFonts w:ascii="Times New Roman" w:hAnsi="Times New Roman"/>
          <w:sz w:val="24"/>
          <w:szCs w:val="24"/>
          <w:lang w:val="en-US"/>
        </w:rPr>
        <w:fldChar w:fldCharType="end"/>
      </w:r>
      <w:r w:rsidRPr="00645878">
        <w:rPr>
          <w:rFonts w:ascii="Times New Roman" w:hAnsi="Times New Roman"/>
          <w:sz w:val="24"/>
          <w:szCs w:val="24"/>
          <w:lang w:val="en-US"/>
        </w:rPr>
        <w:t>. Usage of the Public Procurement Portal, 2013–2014</w:t>
      </w:r>
      <w:bookmarkEnd w:id="28"/>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350"/>
      </w:tblGrid>
      <w:tr w:rsidR="00B025DC" w:rsidRPr="00E168A1" w14:paraId="01211408" w14:textId="77777777" w:rsidTr="00183FEC">
        <w:trPr>
          <w:jc w:val="center"/>
        </w:trPr>
        <w:tc>
          <w:tcPr>
            <w:tcW w:w="5000" w:type="pct"/>
            <w:vAlign w:val="center"/>
          </w:tcPr>
          <w:p w14:paraId="6C688772" w14:textId="3B2DD098" w:rsidR="00B025DC" w:rsidRPr="00E168A1" w:rsidRDefault="00B025DC" w:rsidP="00183FEC">
            <w:pPr>
              <w:pStyle w:val="NoSpacing"/>
              <w:keepNext/>
              <w:numPr>
                <w:ilvl w:val="0"/>
                <w:numId w:val="18"/>
              </w:numPr>
              <w:rPr>
                <w:rFonts w:ascii="Times New Roman" w:hAnsi="Times New Roman" w:cs="Times New Roman"/>
                <w:sz w:val="20"/>
                <w:szCs w:val="20"/>
                <w:lang w:eastAsia="fr-FR"/>
              </w:rPr>
            </w:pPr>
            <w:r w:rsidRPr="00E168A1">
              <w:rPr>
                <w:rFonts w:ascii="Times New Roman" w:hAnsi="Times New Roman" w:cs="Times New Roman"/>
                <w:sz w:val="20"/>
                <w:szCs w:val="20"/>
                <w:lang w:eastAsia="fr-FR"/>
              </w:rPr>
              <w:t>6</w:t>
            </w:r>
            <w:r w:rsidRPr="00E168A1">
              <w:rPr>
                <w:rFonts w:ascii="Times New Roman" w:hAnsi="Times New Roman" w:cs="Times New Roman"/>
                <w:noProof/>
                <w:sz w:val="20"/>
                <w:szCs w:val="20"/>
                <w:lang w:eastAsia="fr-FR"/>
              </w:rPr>
              <w:t>,</w:t>
            </w:r>
            <w:r w:rsidRPr="00E168A1">
              <w:rPr>
                <w:rFonts w:ascii="Times New Roman" w:hAnsi="Times New Roman" w:cs="Times New Roman"/>
                <w:sz w:val="20"/>
                <w:szCs w:val="20"/>
                <w:lang w:eastAsia="fr-FR"/>
              </w:rPr>
              <w:t>456 registered users—more th</w:t>
            </w:r>
            <w:r w:rsidR="00232A6E" w:rsidRPr="00E168A1">
              <w:rPr>
                <w:rFonts w:ascii="Times New Roman" w:hAnsi="Times New Roman" w:cs="Times New Roman"/>
                <w:sz w:val="20"/>
                <w:szCs w:val="20"/>
                <w:lang w:eastAsia="fr-FR"/>
              </w:rPr>
              <w:t>an twice as much as on the old p</w:t>
            </w:r>
            <w:r w:rsidRPr="00E168A1">
              <w:rPr>
                <w:rFonts w:ascii="Times New Roman" w:hAnsi="Times New Roman" w:cs="Times New Roman"/>
                <w:sz w:val="20"/>
                <w:szCs w:val="20"/>
                <w:lang w:eastAsia="fr-FR"/>
              </w:rPr>
              <w:t xml:space="preserve">ortal </w:t>
            </w:r>
          </w:p>
        </w:tc>
      </w:tr>
      <w:tr w:rsidR="00B025DC" w:rsidRPr="00E168A1" w14:paraId="3B9B312B" w14:textId="77777777" w:rsidTr="00183FEC">
        <w:trPr>
          <w:jc w:val="center"/>
        </w:trPr>
        <w:tc>
          <w:tcPr>
            <w:tcW w:w="5000" w:type="pct"/>
            <w:vAlign w:val="center"/>
          </w:tcPr>
          <w:p w14:paraId="6D0A34DF" w14:textId="77777777" w:rsidR="00B025DC" w:rsidRPr="00A90FD9" w:rsidRDefault="00B025DC" w:rsidP="00183FEC">
            <w:pPr>
              <w:pStyle w:val="NoSpacing"/>
              <w:keepNext/>
              <w:numPr>
                <w:ilvl w:val="0"/>
                <w:numId w:val="18"/>
              </w:numPr>
              <w:rPr>
                <w:rFonts w:ascii="Times New Roman" w:hAnsi="Times New Roman" w:cs="Times New Roman"/>
                <w:sz w:val="20"/>
                <w:szCs w:val="20"/>
                <w:lang w:eastAsia="fr-FR"/>
              </w:rPr>
            </w:pPr>
            <w:r w:rsidRPr="00E168A1">
              <w:rPr>
                <w:rFonts w:ascii="Times New Roman" w:hAnsi="Times New Roman" w:cs="Times New Roman"/>
                <w:sz w:val="20"/>
                <w:szCs w:val="20"/>
                <w:lang w:eastAsia="fr-FR"/>
              </w:rPr>
              <w:t>27</w:t>
            </w:r>
            <w:r w:rsidRPr="00A90FD9">
              <w:rPr>
                <w:rFonts w:ascii="Times New Roman" w:hAnsi="Times New Roman" w:cs="Times New Roman"/>
                <w:noProof/>
                <w:sz w:val="20"/>
                <w:szCs w:val="20"/>
                <w:lang w:eastAsia="fr-FR"/>
              </w:rPr>
              <w:t>,</w:t>
            </w:r>
            <w:r w:rsidRPr="00A90FD9">
              <w:rPr>
                <w:rFonts w:ascii="Times New Roman" w:hAnsi="Times New Roman" w:cs="Times New Roman"/>
                <w:sz w:val="20"/>
                <w:szCs w:val="20"/>
                <w:lang w:eastAsia="fr-FR"/>
              </w:rPr>
              <w:t xml:space="preserve">358 posted public procurement procedures </w:t>
            </w:r>
          </w:p>
        </w:tc>
      </w:tr>
      <w:tr w:rsidR="00B025DC" w:rsidRPr="00E168A1" w14:paraId="3EB927FC" w14:textId="77777777" w:rsidTr="00183FEC">
        <w:trPr>
          <w:jc w:val="center"/>
        </w:trPr>
        <w:tc>
          <w:tcPr>
            <w:tcW w:w="5000" w:type="pct"/>
            <w:vAlign w:val="center"/>
          </w:tcPr>
          <w:p w14:paraId="4BBA220D" w14:textId="77777777" w:rsidR="00B025DC" w:rsidRPr="00E168A1" w:rsidRDefault="00B025DC" w:rsidP="00183FEC">
            <w:pPr>
              <w:pStyle w:val="NoSpacing"/>
              <w:keepNext/>
              <w:numPr>
                <w:ilvl w:val="0"/>
                <w:numId w:val="18"/>
              </w:numPr>
              <w:rPr>
                <w:rFonts w:ascii="Times New Roman" w:hAnsi="Times New Roman" w:cs="Times New Roman"/>
                <w:noProof/>
                <w:sz w:val="20"/>
                <w:szCs w:val="20"/>
                <w:lang w:eastAsia="fr-FR"/>
              </w:rPr>
            </w:pPr>
            <w:r w:rsidRPr="00E168A1">
              <w:rPr>
                <w:rFonts w:ascii="Times New Roman" w:hAnsi="Times New Roman" w:cs="Times New Roman"/>
                <w:noProof/>
                <w:sz w:val="20"/>
                <w:szCs w:val="20"/>
                <w:lang w:eastAsia="fr-FR"/>
              </w:rPr>
              <w:t>161 published decisions by the RC</w:t>
            </w:r>
          </w:p>
        </w:tc>
      </w:tr>
      <w:tr w:rsidR="00B025DC" w:rsidRPr="00E168A1" w14:paraId="0B55FFDD" w14:textId="77777777" w:rsidTr="00183FEC">
        <w:trPr>
          <w:jc w:val="center"/>
        </w:trPr>
        <w:tc>
          <w:tcPr>
            <w:tcW w:w="5000" w:type="pct"/>
            <w:vAlign w:val="center"/>
          </w:tcPr>
          <w:p w14:paraId="603FD187" w14:textId="77777777" w:rsidR="00B025DC" w:rsidRPr="00A90FD9" w:rsidRDefault="00B025DC" w:rsidP="00183FEC">
            <w:pPr>
              <w:pStyle w:val="NoSpacing"/>
              <w:keepNext/>
              <w:numPr>
                <w:ilvl w:val="0"/>
                <w:numId w:val="18"/>
              </w:numPr>
              <w:rPr>
                <w:rFonts w:ascii="Times New Roman" w:hAnsi="Times New Roman" w:cs="Times New Roman"/>
                <w:sz w:val="20"/>
                <w:szCs w:val="20"/>
                <w:lang w:eastAsia="fr-FR"/>
              </w:rPr>
            </w:pPr>
            <w:r w:rsidRPr="00E168A1">
              <w:rPr>
                <w:rFonts w:ascii="Times New Roman" w:hAnsi="Times New Roman" w:cs="Times New Roman"/>
                <w:noProof/>
                <w:sz w:val="20"/>
                <w:szCs w:val="20"/>
                <w:lang w:eastAsia="fr-FR"/>
              </w:rPr>
              <w:t>2,</w:t>
            </w:r>
            <w:r w:rsidRPr="00A90FD9">
              <w:rPr>
                <w:rFonts w:ascii="Times New Roman" w:hAnsi="Times New Roman" w:cs="Times New Roman"/>
                <w:sz w:val="20"/>
                <w:szCs w:val="20"/>
                <w:lang w:eastAsia="fr-FR"/>
              </w:rPr>
              <w:t>150 opinions on negotiated procedure</w:t>
            </w:r>
          </w:p>
        </w:tc>
      </w:tr>
      <w:tr w:rsidR="00B025DC" w:rsidRPr="00E168A1" w14:paraId="6BF0B645" w14:textId="77777777" w:rsidTr="00183FEC">
        <w:trPr>
          <w:jc w:val="center"/>
        </w:trPr>
        <w:tc>
          <w:tcPr>
            <w:tcW w:w="5000" w:type="pct"/>
            <w:vAlign w:val="center"/>
          </w:tcPr>
          <w:p w14:paraId="7D457043" w14:textId="3949AB50" w:rsidR="00B025DC" w:rsidRPr="00E168A1" w:rsidRDefault="00B025DC" w:rsidP="00183FEC">
            <w:pPr>
              <w:pStyle w:val="NoSpacing"/>
              <w:keepNext/>
              <w:numPr>
                <w:ilvl w:val="0"/>
                <w:numId w:val="18"/>
              </w:numPr>
              <w:rPr>
                <w:rFonts w:ascii="Times New Roman" w:hAnsi="Times New Roman" w:cs="Times New Roman"/>
                <w:sz w:val="20"/>
                <w:szCs w:val="20"/>
                <w:lang w:eastAsia="fr-FR"/>
              </w:rPr>
            </w:pPr>
            <w:r w:rsidRPr="00E168A1">
              <w:rPr>
                <w:rFonts w:ascii="Times New Roman" w:hAnsi="Times New Roman" w:cs="Times New Roman"/>
                <w:sz w:val="20"/>
                <w:szCs w:val="20"/>
                <w:lang w:eastAsia="fr-FR"/>
              </w:rPr>
              <w:t>An average of 137 posted tenders per day</w:t>
            </w:r>
            <w:r w:rsidRPr="00A90FD9">
              <w:rPr>
                <w:rFonts w:ascii="Times New Roman" w:hAnsi="Times New Roman" w:cs="Times New Roman"/>
                <w:sz w:val="20"/>
                <w:szCs w:val="20"/>
                <w:lang w:eastAsia="fr-FR"/>
              </w:rPr>
              <w:t xml:space="preserve">—an increase of more than 60% when compared with the old </w:t>
            </w:r>
            <w:r w:rsidR="00232A6E" w:rsidRPr="00E168A1">
              <w:rPr>
                <w:rFonts w:ascii="Times New Roman" w:hAnsi="Times New Roman" w:cs="Times New Roman"/>
                <w:sz w:val="20"/>
                <w:szCs w:val="20"/>
                <w:lang w:eastAsia="fr-FR"/>
              </w:rPr>
              <w:t>p</w:t>
            </w:r>
            <w:r w:rsidRPr="00E168A1">
              <w:rPr>
                <w:rFonts w:ascii="Times New Roman" w:hAnsi="Times New Roman" w:cs="Times New Roman"/>
                <w:sz w:val="20"/>
                <w:szCs w:val="20"/>
                <w:lang w:eastAsia="fr-FR"/>
              </w:rPr>
              <w:t xml:space="preserve">ortal </w:t>
            </w:r>
          </w:p>
        </w:tc>
      </w:tr>
      <w:tr w:rsidR="00B025DC" w:rsidRPr="00E168A1" w14:paraId="269CCF10" w14:textId="77777777" w:rsidTr="00183FEC">
        <w:trPr>
          <w:jc w:val="center"/>
        </w:trPr>
        <w:tc>
          <w:tcPr>
            <w:tcW w:w="5000" w:type="pct"/>
            <w:vAlign w:val="center"/>
          </w:tcPr>
          <w:p w14:paraId="0C8D5FB1" w14:textId="268BBB70" w:rsidR="00B025DC" w:rsidRPr="00E168A1" w:rsidRDefault="00B025DC" w:rsidP="003B3151">
            <w:pPr>
              <w:pStyle w:val="NoSpacing"/>
              <w:keepNext/>
              <w:numPr>
                <w:ilvl w:val="0"/>
                <w:numId w:val="18"/>
              </w:numPr>
              <w:rPr>
                <w:rFonts w:ascii="Times New Roman" w:hAnsi="Times New Roman" w:cs="Times New Roman"/>
                <w:sz w:val="20"/>
                <w:szCs w:val="20"/>
              </w:rPr>
            </w:pPr>
            <w:r w:rsidRPr="00E168A1">
              <w:rPr>
                <w:rFonts w:ascii="Times New Roman" w:hAnsi="Times New Roman" w:cs="Times New Roman"/>
                <w:sz w:val="20"/>
                <w:szCs w:val="20"/>
                <w:lang w:eastAsia="fr-FR"/>
              </w:rPr>
              <w:t>An average of 6</w:t>
            </w:r>
            <w:r w:rsidRPr="00A90FD9">
              <w:rPr>
                <w:rFonts w:ascii="Times New Roman" w:hAnsi="Times New Roman" w:cs="Times New Roman"/>
                <w:noProof/>
                <w:sz w:val="20"/>
                <w:szCs w:val="20"/>
                <w:lang w:eastAsia="fr-FR"/>
              </w:rPr>
              <w:t>,</w:t>
            </w:r>
            <w:r w:rsidRPr="00A90FD9">
              <w:rPr>
                <w:rFonts w:ascii="Times New Roman" w:hAnsi="Times New Roman" w:cs="Times New Roman"/>
                <w:sz w:val="20"/>
                <w:szCs w:val="20"/>
                <w:lang w:eastAsia="fr-FR"/>
              </w:rPr>
              <w:t xml:space="preserve">170 daily visits—when compared with the old </w:t>
            </w:r>
            <w:r w:rsidR="00CC3B03" w:rsidRPr="00A90FD9">
              <w:rPr>
                <w:rFonts w:ascii="Times New Roman" w:hAnsi="Times New Roman" w:cs="Times New Roman"/>
                <w:sz w:val="20"/>
                <w:szCs w:val="20"/>
                <w:lang w:eastAsia="fr-FR"/>
              </w:rPr>
              <w:t>p</w:t>
            </w:r>
            <w:r w:rsidRPr="00A90FD9">
              <w:rPr>
                <w:rFonts w:ascii="Times New Roman" w:hAnsi="Times New Roman" w:cs="Times New Roman"/>
                <w:sz w:val="20"/>
                <w:szCs w:val="20"/>
                <w:lang w:eastAsia="fr-FR"/>
              </w:rPr>
              <w:t>ortal, this number reflects an increase of more than 700%.</w:t>
            </w:r>
          </w:p>
        </w:tc>
      </w:tr>
    </w:tbl>
    <w:p w14:paraId="68C05068" w14:textId="77777777" w:rsidR="00B025DC" w:rsidRPr="00E168A1" w:rsidRDefault="00B025DC" w:rsidP="00183FEC">
      <w:pPr>
        <w:spacing w:line="0" w:lineRule="atLeast"/>
        <w:rPr>
          <w:rFonts w:ascii="Times New Roman" w:hAnsi="Times New Roman"/>
          <w:b/>
        </w:rPr>
      </w:pPr>
      <w:r w:rsidRPr="00E168A1">
        <w:rPr>
          <w:rFonts w:ascii="Times New Roman" w:hAnsi="Times New Roman"/>
          <w:i/>
          <w:sz w:val="20"/>
        </w:rPr>
        <w:t>Source:</w:t>
      </w:r>
      <w:r w:rsidRPr="00A90FD9">
        <w:rPr>
          <w:rFonts w:ascii="Times New Roman" w:hAnsi="Times New Roman"/>
          <w:b/>
          <w:sz w:val="20"/>
        </w:rPr>
        <w:t xml:space="preserve"> </w:t>
      </w:r>
      <w:r w:rsidRPr="00A90FD9">
        <w:rPr>
          <w:rFonts w:ascii="Times New Roman" w:hAnsi="Times New Roman"/>
          <w:sz w:val="20"/>
        </w:rPr>
        <w:t xml:space="preserve">OECD-EU SIGMA. </w:t>
      </w:r>
      <w:r w:rsidRPr="00E168A1">
        <w:rPr>
          <w:rFonts w:ascii="Times New Roman" w:hAnsi="Times New Roman"/>
          <w:i/>
          <w:sz w:val="20"/>
        </w:rPr>
        <w:t>Public Administration Reform Assessment of Serbia</w:t>
      </w:r>
      <w:r w:rsidRPr="001D0F93">
        <w:rPr>
          <w:rFonts w:ascii="Times New Roman" w:hAnsi="Times New Roman"/>
          <w:i/>
          <w:sz w:val="20"/>
        </w:rPr>
        <w:t>, April 2014</w:t>
      </w:r>
      <w:r w:rsidRPr="00E168A1">
        <w:rPr>
          <w:rFonts w:ascii="Times New Roman" w:hAnsi="Times New Roman"/>
          <w:sz w:val="20"/>
        </w:rPr>
        <w:t>. p. 26</w:t>
      </w:r>
      <w:r w:rsidR="007E0062" w:rsidRPr="00E168A1">
        <w:rPr>
          <w:rFonts w:ascii="Times New Roman" w:hAnsi="Times New Roman"/>
          <w:sz w:val="20"/>
        </w:rPr>
        <w:t>.</w:t>
      </w:r>
    </w:p>
    <w:p w14:paraId="34D99D71" w14:textId="1CB0B883" w:rsidR="00AE54E5"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Further</w:t>
      </w:r>
      <w:r w:rsidR="00900061" w:rsidRPr="00A90FD9">
        <w:rPr>
          <w:rFonts w:ascii="Times New Roman" w:hAnsi="Times New Roman"/>
          <w:b/>
        </w:rPr>
        <w:t xml:space="preserve"> </w:t>
      </w:r>
      <w:r w:rsidRPr="00A90FD9">
        <w:rPr>
          <w:rFonts w:ascii="Times New Roman" w:hAnsi="Times New Roman"/>
          <w:b/>
        </w:rPr>
        <w:t>improvements</w:t>
      </w:r>
      <w:r w:rsidR="00900061" w:rsidRPr="00A90FD9">
        <w:rPr>
          <w:rFonts w:ascii="Times New Roman" w:hAnsi="Times New Roman"/>
          <w:b/>
        </w:rPr>
        <w:t xml:space="preserve"> </w:t>
      </w:r>
      <w:r w:rsidRPr="00A90FD9">
        <w:rPr>
          <w:rFonts w:ascii="Times New Roman" w:hAnsi="Times New Roman"/>
          <w:b/>
        </w:rPr>
        <w:t>of</w:t>
      </w:r>
      <w:r w:rsidR="00900061" w:rsidRPr="00A90FD9">
        <w:rPr>
          <w:rFonts w:ascii="Times New Roman" w:hAnsi="Times New Roman"/>
          <w:b/>
        </w:rPr>
        <w:t xml:space="preserve"> </w:t>
      </w:r>
      <w:r w:rsidRPr="00A90FD9">
        <w:rPr>
          <w:rFonts w:ascii="Times New Roman" w:hAnsi="Times New Roman"/>
          <w:b/>
        </w:rPr>
        <w:t>the</w:t>
      </w:r>
      <w:r w:rsidR="00900061" w:rsidRPr="00A90FD9">
        <w:rPr>
          <w:rFonts w:ascii="Times New Roman" w:hAnsi="Times New Roman"/>
          <w:b/>
        </w:rPr>
        <w:t xml:space="preserve"> </w:t>
      </w:r>
      <w:r w:rsidR="000713E1" w:rsidRPr="00A90FD9">
        <w:rPr>
          <w:rFonts w:ascii="Times New Roman" w:hAnsi="Times New Roman"/>
          <w:b/>
        </w:rPr>
        <w:t>p</w:t>
      </w:r>
      <w:r w:rsidRPr="00A90FD9">
        <w:rPr>
          <w:rFonts w:ascii="Times New Roman" w:hAnsi="Times New Roman"/>
          <w:b/>
        </w:rPr>
        <w:t>ortal</w:t>
      </w:r>
      <w:r w:rsidR="00900061" w:rsidRPr="00A90FD9">
        <w:rPr>
          <w:rFonts w:ascii="Times New Roman" w:hAnsi="Times New Roman"/>
          <w:b/>
        </w:rPr>
        <w:t xml:space="preserve"> </w:t>
      </w:r>
      <w:r w:rsidRPr="00A90FD9">
        <w:rPr>
          <w:rFonts w:ascii="Times New Roman" w:hAnsi="Times New Roman"/>
          <w:b/>
        </w:rPr>
        <w:t>are</w:t>
      </w:r>
      <w:r w:rsidR="00900061" w:rsidRPr="00A90FD9">
        <w:rPr>
          <w:rFonts w:ascii="Times New Roman" w:hAnsi="Times New Roman"/>
          <w:b/>
        </w:rPr>
        <w:t xml:space="preserve"> </w:t>
      </w:r>
      <w:r w:rsidRPr="00A90FD9">
        <w:rPr>
          <w:rFonts w:ascii="Times New Roman" w:hAnsi="Times New Roman"/>
          <w:b/>
        </w:rPr>
        <w:t>planned</w:t>
      </w:r>
      <w:r w:rsidR="00900061" w:rsidRPr="00A90FD9">
        <w:rPr>
          <w:rFonts w:ascii="Times New Roman" w:hAnsi="Times New Roman"/>
          <w:b/>
        </w:rPr>
        <w:t xml:space="preserve"> </w:t>
      </w:r>
      <w:r w:rsidRPr="00A90FD9">
        <w:rPr>
          <w:rFonts w:ascii="Times New Roman" w:hAnsi="Times New Roman"/>
          <w:b/>
        </w:rPr>
        <w:t>in</w:t>
      </w:r>
      <w:r w:rsidR="00900061" w:rsidRPr="00A90FD9">
        <w:rPr>
          <w:rFonts w:ascii="Times New Roman" w:hAnsi="Times New Roman"/>
          <w:b/>
        </w:rPr>
        <w:t xml:space="preserve"> </w:t>
      </w:r>
      <w:r w:rsidRPr="00A90FD9">
        <w:rPr>
          <w:rFonts w:ascii="Times New Roman" w:hAnsi="Times New Roman"/>
          <w:b/>
        </w:rPr>
        <w:t>the</w:t>
      </w:r>
      <w:r w:rsidR="00900061" w:rsidRPr="00A90FD9">
        <w:rPr>
          <w:rFonts w:ascii="Times New Roman" w:hAnsi="Times New Roman"/>
          <w:b/>
        </w:rPr>
        <w:t xml:space="preserve"> </w:t>
      </w:r>
      <w:r w:rsidRPr="00A90FD9">
        <w:rPr>
          <w:rFonts w:ascii="Times New Roman" w:hAnsi="Times New Roman"/>
          <w:b/>
        </w:rPr>
        <w:t>2014</w:t>
      </w:r>
      <w:r w:rsidR="001C207D" w:rsidRPr="005769EE">
        <w:rPr>
          <w:rFonts w:ascii="Times New Roman" w:hAnsi="Times New Roman"/>
          <w:b/>
        </w:rPr>
        <w:t>–</w:t>
      </w:r>
      <w:r w:rsidRPr="00E168A1">
        <w:rPr>
          <w:rFonts w:ascii="Times New Roman" w:hAnsi="Times New Roman"/>
          <w:b/>
        </w:rPr>
        <w:t>2015</w:t>
      </w:r>
      <w:r w:rsidR="00900061" w:rsidRPr="00E168A1">
        <w:rPr>
          <w:rFonts w:ascii="Times New Roman" w:hAnsi="Times New Roman"/>
          <w:b/>
        </w:rPr>
        <w:t xml:space="preserve"> </w:t>
      </w:r>
      <w:r w:rsidRPr="00E168A1">
        <w:rPr>
          <w:rFonts w:ascii="Times New Roman" w:hAnsi="Times New Roman"/>
          <w:b/>
        </w:rPr>
        <w:t>Open</w:t>
      </w:r>
      <w:r w:rsidR="00900061" w:rsidRPr="00E168A1">
        <w:rPr>
          <w:rFonts w:ascii="Times New Roman" w:hAnsi="Times New Roman"/>
          <w:b/>
        </w:rPr>
        <w:t xml:space="preserve"> </w:t>
      </w:r>
      <w:r w:rsidRPr="00E168A1">
        <w:rPr>
          <w:rFonts w:ascii="Times New Roman" w:hAnsi="Times New Roman"/>
          <w:b/>
        </w:rPr>
        <w:t>Government</w:t>
      </w:r>
      <w:r w:rsidR="00900061" w:rsidRPr="00E168A1">
        <w:rPr>
          <w:rFonts w:ascii="Times New Roman" w:hAnsi="Times New Roman"/>
          <w:b/>
        </w:rPr>
        <w:t xml:space="preserve"> </w:t>
      </w:r>
      <w:r w:rsidRPr="00E168A1">
        <w:rPr>
          <w:rFonts w:ascii="Times New Roman" w:hAnsi="Times New Roman"/>
          <w:b/>
        </w:rPr>
        <w:t>Partnership</w:t>
      </w:r>
      <w:r w:rsidR="00900061" w:rsidRPr="00E168A1">
        <w:rPr>
          <w:rFonts w:ascii="Times New Roman" w:hAnsi="Times New Roman"/>
          <w:b/>
        </w:rPr>
        <w:t xml:space="preserve"> </w:t>
      </w:r>
      <w:r w:rsidRPr="00E168A1">
        <w:rPr>
          <w:rFonts w:ascii="Times New Roman" w:hAnsi="Times New Roman"/>
          <w:b/>
        </w:rPr>
        <w:t>(OGP)</w:t>
      </w:r>
      <w:r w:rsidR="00900061" w:rsidRPr="00E168A1">
        <w:rPr>
          <w:rFonts w:ascii="Times New Roman" w:hAnsi="Times New Roman"/>
          <w:b/>
        </w:rPr>
        <w:t xml:space="preserve"> </w:t>
      </w:r>
      <w:r w:rsidRPr="00E168A1">
        <w:rPr>
          <w:rFonts w:ascii="Times New Roman" w:hAnsi="Times New Roman"/>
          <w:b/>
        </w:rPr>
        <w:t>Action</w:t>
      </w:r>
      <w:r w:rsidR="00900061" w:rsidRPr="00E168A1">
        <w:rPr>
          <w:rFonts w:ascii="Times New Roman" w:hAnsi="Times New Roman"/>
          <w:b/>
        </w:rPr>
        <w:t xml:space="preserve"> </w:t>
      </w:r>
      <w:r w:rsidRPr="00E168A1">
        <w:rPr>
          <w:rFonts w:ascii="Times New Roman" w:hAnsi="Times New Roman"/>
          <w:b/>
        </w:rPr>
        <w:t>Plan</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Serbia</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OGP</w:t>
      </w:r>
      <w:r w:rsidR="00900061" w:rsidRPr="00E168A1">
        <w:rPr>
          <w:rFonts w:ascii="Times New Roman" w:hAnsi="Times New Roman"/>
        </w:rPr>
        <w:t xml:space="preserve"> </w:t>
      </w:r>
      <w:r w:rsidRPr="00E168A1">
        <w:rPr>
          <w:rFonts w:ascii="Times New Roman" w:hAnsi="Times New Roman"/>
        </w:rPr>
        <w:t>Action</w:t>
      </w:r>
      <w:r w:rsidR="00900061" w:rsidRPr="00E168A1">
        <w:rPr>
          <w:rFonts w:ascii="Times New Roman" w:hAnsi="Times New Roman"/>
        </w:rPr>
        <w:t xml:space="preserve"> </w:t>
      </w:r>
      <w:r w:rsidRPr="00E168A1">
        <w:rPr>
          <w:rFonts w:ascii="Times New Roman" w:hAnsi="Times New Roman"/>
        </w:rPr>
        <w:t>Plan</w:t>
      </w:r>
      <w:r w:rsidR="00900061" w:rsidRPr="00E168A1">
        <w:rPr>
          <w:rFonts w:ascii="Times New Roman" w:hAnsi="Times New Roman"/>
        </w:rPr>
        <w:t xml:space="preserve"> </w:t>
      </w:r>
      <w:r w:rsidRPr="00E168A1">
        <w:rPr>
          <w:rFonts w:ascii="Times New Roman" w:hAnsi="Times New Roman"/>
        </w:rPr>
        <w:t>foresees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introduction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new</w:t>
      </w:r>
      <w:r w:rsidR="00900061" w:rsidRPr="00E168A1">
        <w:rPr>
          <w:rFonts w:ascii="Times New Roman" w:hAnsi="Times New Roman"/>
        </w:rPr>
        <w:t xml:space="preserve"> </w:t>
      </w:r>
      <w:r w:rsidRPr="00E168A1">
        <w:rPr>
          <w:rFonts w:ascii="Times New Roman" w:hAnsi="Times New Roman"/>
        </w:rPr>
        <w:t>features</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ability</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publish</w:t>
      </w:r>
      <w:r w:rsidR="00900061" w:rsidRPr="00E168A1">
        <w:rPr>
          <w:rFonts w:ascii="Times New Roman" w:hAnsi="Times New Roman"/>
        </w:rPr>
        <w:t xml:space="preserve"> </w:t>
      </w:r>
      <w:r w:rsidRPr="00E168A1">
        <w:rPr>
          <w:rFonts w:ascii="Times New Roman" w:hAnsi="Times New Roman"/>
        </w:rPr>
        <w:t>purchasers’</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English</w:t>
      </w:r>
      <w:r w:rsidR="00900061" w:rsidRPr="00E168A1">
        <w:rPr>
          <w:rFonts w:ascii="Times New Roman" w:hAnsi="Times New Roman"/>
        </w:rPr>
        <w:t xml:space="preserve"> </w:t>
      </w:r>
      <w:r w:rsidRPr="00E168A1">
        <w:rPr>
          <w:rFonts w:ascii="Times New Roman" w:hAnsi="Times New Roman"/>
        </w:rPr>
        <w:t>version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e</w:t>
      </w:r>
      <w:r w:rsidR="001D2D89" w:rsidRPr="00E168A1">
        <w:rPr>
          <w:rFonts w:ascii="Times New Roman" w:hAnsi="Times New Roman"/>
        </w:rPr>
        <w:t>-p</w:t>
      </w:r>
      <w:r w:rsidRPr="00E168A1">
        <w:rPr>
          <w:rFonts w:ascii="Times New Roman" w:hAnsi="Times New Roman"/>
        </w:rPr>
        <w:t>ortal,</w:t>
      </w:r>
      <w:r w:rsidR="00900061" w:rsidRPr="00E168A1">
        <w:rPr>
          <w:rFonts w:ascii="Times New Roman" w:hAnsi="Times New Roman"/>
        </w:rPr>
        <w:t xml:space="preserve"> </w:t>
      </w:r>
      <w:r w:rsidRPr="00E168A1">
        <w:rPr>
          <w:rFonts w:ascii="Times New Roman" w:hAnsi="Times New Roman"/>
        </w:rPr>
        <w:t>better</w:t>
      </w:r>
      <w:r w:rsidR="00900061" w:rsidRPr="00E168A1">
        <w:rPr>
          <w:rFonts w:ascii="Times New Roman" w:hAnsi="Times New Roman"/>
        </w:rPr>
        <w:t xml:space="preserve"> </w:t>
      </w:r>
      <w:r w:rsidRPr="00E168A1">
        <w:rPr>
          <w:rFonts w:ascii="Times New Roman" w:hAnsi="Times New Roman"/>
        </w:rPr>
        <w:t>tools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searching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registry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contracts</w:t>
      </w:r>
      <w:r w:rsidR="00984FCC"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reporting</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Trainings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assistance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users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en</w:t>
      </w:r>
      <w:r w:rsidR="00D163B3" w:rsidRPr="00E168A1">
        <w:rPr>
          <w:rFonts w:ascii="Times New Roman" w:hAnsi="Times New Roman"/>
        </w:rPr>
        <w:t>visaged</w:t>
      </w:r>
      <w:r w:rsidR="00900061" w:rsidRPr="00E168A1">
        <w:rPr>
          <w:rFonts w:ascii="Times New Roman" w:hAnsi="Times New Roman"/>
        </w:rPr>
        <w:t xml:space="preserve"> </w:t>
      </w:r>
      <w:r w:rsidR="00D163B3" w:rsidRPr="00E168A1">
        <w:rPr>
          <w:rFonts w:ascii="Times New Roman" w:hAnsi="Times New Roman"/>
        </w:rPr>
        <w:t>in</w:t>
      </w:r>
      <w:r w:rsidR="00900061" w:rsidRPr="00E168A1">
        <w:rPr>
          <w:rFonts w:ascii="Times New Roman" w:hAnsi="Times New Roman"/>
        </w:rPr>
        <w:t xml:space="preserve"> </w:t>
      </w:r>
      <w:r w:rsidR="00D163B3" w:rsidRPr="00E168A1">
        <w:rPr>
          <w:rFonts w:ascii="Times New Roman" w:hAnsi="Times New Roman"/>
        </w:rPr>
        <w:t>the</w:t>
      </w:r>
      <w:r w:rsidR="00900061" w:rsidRPr="00E168A1">
        <w:rPr>
          <w:rFonts w:ascii="Times New Roman" w:hAnsi="Times New Roman"/>
        </w:rPr>
        <w:t xml:space="preserve"> </w:t>
      </w:r>
      <w:r w:rsidR="00D163B3" w:rsidRPr="00E168A1">
        <w:rPr>
          <w:rFonts w:ascii="Times New Roman" w:hAnsi="Times New Roman"/>
        </w:rPr>
        <w:t>OGP</w:t>
      </w:r>
      <w:r w:rsidR="00900061" w:rsidRPr="00E168A1">
        <w:rPr>
          <w:rFonts w:ascii="Times New Roman" w:hAnsi="Times New Roman"/>
        </w:rPr>
        <w:t xml:space="preserve"> </w:t>
      </w:r>
      <w:r w:rsidR="00D163B3" w:rsidRPr="00E168A1">
        <w:rPr>
          <w:rFonts w:ascii="Times New Roman" w:hAnsi="Times New Roman"/>
        </w:rPr>
        <w:t>Action</w:t>
      </w:r>
      <w:r w:rsidR="00900061" w:rsidRPr="00E168A1">
        <w:rPr>
          <w:rFonts w:ascii="Times New Roman" w:hAnsi="Times New Roman"/>
        </w:rPr>
        <w:t xml:space="preserve"> </w:t>
      </w:r>
      <w:r w:rsidR="00D163B3" w:rsidRPr="00E168A1">
        <w:rPr>
          <w:rFonts w:ascii="Times New Roman" w:hAnsi="Times New Roman"/>
        </w:rPr>
        <w:t>Plan.</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Central</w:t>
      </w:r>
      <w:r w:rsidR="00900061" w:rsidRPr="00E168A1">
        <w:rPr>
          <w:rFonts w:ascii="Times New Roman" w:hAnsi="Times New Roman"/>
        </w:rPr>
        <w:t xml:space="preserve"> </w:t>
      </w:r>
      <w:r w:rsidRPr="00E168A1">
        <w:rPr>
          <w:rFonts w:ascii="Times New Roman" w:hAnsi="Times New Roman"/>
        </w:rPr>
        <w:t>Registry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Bidders</w:t>
      </w:r>
      <w:r w:rsidR="00900061" w:rsidRPr="00E168A1">
        <w:rPr>
          <w:rFonts w:ascii="Times New Roman" w:hAnsi="Times New Roman"/>
        </w:rPr>
        <w:t xml:space="preserve">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been</w:t>
      </w:r>
      <w:r w:rsidR="00900061" w:rsidRPr="00E168A1">
        <w:rPr>
          <w:rFonts w:ascii="Times New Roman" w:hAnsi="Times New Roman"/>
        </w:rPr>
        <w:t xml:space="preserve"> </w:t>
      </w:r>
      <w:r w:rsidRPr="00E168A1">
        <w:rPr>
          <w:rFonts w:ascii="Times New Roman" w:hAnsi="Times New Roman"/>
        </w:rPr>
        <w:t>established</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operational</w:t>
      </w:r>
      <w:r w:rsidR="00900061" w:rsidRPr="00E168A1">
        <w:rPr>
          <w:rFonts w:ascii="Times New Roman" w:hAnsi="Times New Roman"/>
        </w:rPr>
        <w:t xml:space="preserve"> </w:t>
      </w:r>
      <w:r w:rsidRPr="00E168A1">
        <w:rPr>
          <w:rFonts w:ascii="Times New Roman" w:hAnsi="Times New Roman"/>
        </w:rPr>
        <w:t>since</w:t>
      </w:r>
      <w:r w:rsidR="00900061" w:rsidRPr="00E168A1">
        <w:rPr>
          <w:rFonts w:ascii="Times New Roman" w:hAnsi="Times New Roman"/>
        </w:rPr>
        <w:t xml:space="preserve"> </w:t>
      </w:r>
      <w:r w:rsidRPr="00E168A1">
        <w:rPr>
          <w:rFonts w:ascii="Times New Roman" w:hAnsi="Times New Roman"/>
        </w:rPr>
        <w:t>September</w:t>
      </w:r>
      <w:r w:rsidR="00900061" w:rsidRPr="00E168A1">
        <w:rPr>
          <w:rFonts w:ascii="Times New Roman" w:hAnsi="Times New Roman"/>
        </w:rPr>
        <w:t xml:space="preserve"> </w:t>
      </w:r>
      <w:r w:rsidRPr="00E168A1">
        <w:rPr>
          <w:rFonts w:ascii="Times New Roman" w:hAnsi="Times New Roman"/>
        </w:rPr>
        <w:t>1,</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more</w:t>
      </w:r>
      <w:r w:rsidR="00900061" w:rsidRPr="00E168A1">
        <w:rPr>
          <w:rFonts w:ascii="Times New Roman" w:hAnsi="Times New Roman"/>
        </w:rPr>
        <w:t xml:space="preserve"> </w:t>
      </w:r>
      <w:r w:rsidRPr="00E168A1">
        <w:rPr>
          <w:rFonts w:ascii="Times New Roman" w:hAnsi="Times New Roman"/>
        </w:rPr>
        <w:t>than</w:t>
      </w:r>
      <w:r w:rsidR="00900061" w:rsidRPr="00E168A1">
        <w:rPr>
          <w:rFonts w:ascii="Times New Roman" w:hAnsi="Times New Roman"/>
        </w:rPr>
        <w:t xml:space="preserve"> </w:t>
      </w:r>
      <w:r w:rsidRPr="00E168A1">
        <w:rPr>
          <w:rFonts w:ascii="Times New Roman" w:hAnsi="Times New Roman"/>
        </w:rPr>
        <w:t>2,000</w:t>
      </w:r>
      <w:r w:rsidR="00900061" w:rsidRPr="00E168A1">
        <w:rPr>
          <w:rFonts w:ascii="Times New Roman" w:hAnsi="Times New Roman"/>
        </w:rPr>
        <w:t xml:space="preserve"> </w:t>
      </w:r>
      <w:r w:rsidRPr="00E168A1">
        <w:rPr>
          <w:rFonts w:ascii="Times New Roman" w:hAnsi="Times New Roman"/>
        </w:rPr>
        <w:t>economic</w:t>
      </w:r>
      <w:r w:rsidR="00900061" w:rsidRPr="00E168A1">
        <w:rPr>
          <w:rFonts w:ascii="Times New Roman" w:hAnsi="Times New Roman"/>
        </w:rPr>
        <w:t xml:space="preserve"> </w:t>
      </w:r>
      <w:r w:rsidRPr="00E168A1">
        <w:rPr>
          <w:rFonts w:ascii="Times New Roman" w:hAnsi="Times New Roman"/>
        </w:rPr>
        <w:t>operators</w:t>
      </w:r>
      <w:r w:rsidR="00900061" w:rsidRPr="00E168A1">
        <w:rPr>
          <w:rFonts w:ascii="Times New Roman" w:hAnsi="Times New Roman"/>
        </w:rPr>
        <w:t xml:space="preserve"> </w:t>
      </w:r>
      <w:r w:rsidRPr="00E168A1">
        <w:rPr>
          <w:rFonts w:ascii="Times New Roman" w:hAnsi="Times New Roman"/>
        </w:rPr>
        <w:t>already</w:t>
      </w:r>
      <w:r w:rsidR="00900061" w:rsidRPr="00E168A1">
        <w:rPr>
          <w:rFonts w:ascii="Times New Roman" w:hAnsi="Times New Roman"/>
        </w:rPr>
        <w:t xml:space="preserve"> </w:t>
      </w:r>
      <w:r w:rsidRPr="00E168A1">
        <w:rPr>
          <w:rFonts w:ascii="Times New Roman" w:hAnsi="Times New Roman"/>
        </w:rPr>
        <w:t>registered</w:t>
      </w:r>
      <w:r w:rsidR="00900061" w:rsidRPr="00E168A1">
        <w:rPr>
          <w:rFonts w:ascii="Times New Roman" w:hAnsi="Times New Roman"/>
        </w:rPr>
        <w:t xml:space="preserve"> </w:t>
      </w:r>
      <w:r w:rsidRPr="00E168A1">
        <w:rPr>
          <w:rFonts w:ascii="Times New Roman" w:hAnsi="Times New Roman"/>
        </w:rPr>
        <w:t>(SIGMA</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p>
    <w:p w14:paraId="1B79D4F7" w14:textId="0901AF6A" w:rsidR="00AE54E5" w:rsidRPr="00E168A1" w:rsidRDefault="00900061" w:rsidP="00645878">
      <w:pPr>
        <w:pStyle w:val="Heading2"/>
        <w:spacing w:before="120" w:after="120" w:line="240" w:lineRule="auto"/>
        <w:ind w:left="0" w:firstLine="0"/>
      </w:pPr>
      <w:bookmarkStart w:id="29" w:name="_Toc305833854"/>
      <w:r w:rsidRPr="00E168A1">
        <w:t xml:space="preserve"> </w:t>
      </w:r>
      <w:bookmarkStart w:id="30" w:name="_Toc442428962"/>
      <w:r w:rsidR="00AE54E5" w:rsidRPr="00E168A1">
        <w:t>Complaints</w:t>
      </w:r>
      <w:r w:rsidRPr="00E168A1">
        <w:t xml:space="preserve"> </w:t>
      </w:r>
      <w:r w:rsidR="001C207D" w:rsidRPr="00E168A1">
        <w:t>R</w:t>
      </w:r>
      <w:r w:rsidR="00AE54E5" w:rsidRPr="00E168A1">
        <w:t>eceiving</w:t>
      </w:r>
      <w:r w:rsidRPr="00E168A1">
        <w:t xml:space="preserve"> </w:t>
      </w:r>
      <w:r w:rsidR="00AE54E5" w:rsidRPr="00E168A1">
        <w:t>and</w:t>
      </w:r>
      <w:r w:rsidRPr="00E168A1">
        <w:t xml:space="preserve"> </w:t>
      </w:r>
      <w:r w:rsidR="001C207D" w:rsidRPr="00E168A1">
        <w:t>H</w:t>
      </w:r>
      <w:r w:rsidR="00AE54E5" w:rsidRPr="00E168A1">
        <w:t>andling</w:t>
      </w:r>
      <w:r w:rsidRPr="00E168A1">
        <w:t xml:space="preserve"> </w:t>
      </w:r>
      <w:r w:rsidR="001C207D" w:rsidRPr="00E168A1">
        <w:t>M</w:t>
      </w:r>
      <w:r w:rsidR="00AE54E5" w:rsidRPr="00E168A1">
        <w:t>echanisms</w:t>
      </w:r>
      <w:bookmarkEnd w:id="29"/>
      <w:bookmarkEnd w:id="30"/>
    </w:p>
    <w:p w14:paraId="2BEBC433" w14:textId="4E78D5F3" w:rsidR="00CF175C" w:rsidRPr="00E168A1" w:rsidRDefault="00AE54E5" w:rsidP="00645878">
      <w:pPr>
        <w:pStyle w:val="ListParagraph"/>
        <w:numPr>
          <w:ilvl w:val="0"/>
          <w:numId w:val="9"/>
        </w:numPr>
        <w:ind w:left="0" w:firstLine="0"/>
        <w:contextualSpacing w:val="0"/>
        <w:rPr>
          <w:rFonts w:ascii="Times New Roman" w:hAnsi="Times New Roman"/>
          <w:i/>
          <w:color w:val="2F5496" w:themeColor="accent5" w:themeShade="BF"/>
          <w:u w:val="single"/>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RC</w:t>
      </w:r>
      <w:r w:rsidR="00900061" w:rsidRPr="00E168A1">
        <w:rPr>
          <w:rFonts w:ascii="Times New Roman" w:hAnsi="Times New Roman"/>
          <w:b/>
        </w:rPr>
        <w:t xml:space="preserve"> </w:t>
      </w:r>
      <w:r w:rsidRPr="00E168A1">
        <w:rPr>
          <w:rFonts w:ascii="Times New Roman" w:hAnsi="Times New Roman"/>
          <w:b/>
        </w:rPr>
        <w:t>is</w:t>
      </w:r>
      <w:r w:rsidR="00900061" w:rsidRPr="00E168A1">
        <w:rPr>
          <w:rFonts w:ascii="Times New Roman" w:hAnsi="Times New Roman"/>
          <w:b/>
        </w:rPr>
        <w:t xml:space="preserve"> </w:t>
      </w:r>
      <w:r w:rsidRPr="00E168A1">
        <w:rPr>
          <w:rFonts w:ascii="Times New Roman" w:hAnsi="Times New Roman"/>
          <w:b/>
        </w:rPr>
        <w:t>responsible</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administrative</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complaints</w:t>
      </w:r>
      <w:r w:rsidR="00900061" w:rsidRPr="00E168A1">
        <w:rPr>
          <w:rFonts w:ascii="Times New Roman" w:hAnsi="Times New Roman"/>
          <w:b/>
        </w:rPr>
        <w:t xml:space="preserve"> </w:t>
      </w:r>
      <w:r w:rsidRPr="00E168A1">
        <w:rPr>
          <w:rFonts w:ascii="Times New Roman" w:hAnsi="Times New Roman"/>
          <w:b/>
        </w:rPr>
        <w:t>system.</w:t>
      </w:r>
      <w:r w:rsidR="00900061" w:rsidRPr="00E168A1">
        <w:rPr>
          <w:rFonts w:ascii="Times New Roman" w:hAnsi="Times New Roman"/>
          <w:b/>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complaint</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lodged</w:t>
      </w:r>
      <w:r w:rsidR="00900061" w:rsidRPr="00E168A1">
        <w:rPr>
          <w:rFonts w:ascii="Times New Roman" w:hAnsi="Times New Roman"/>
        </w:rPr>
        <w:t xml:space="preserve"> </w:t>
      </w:r>
      <w:r w:rsidRPr="00E168A1">
        <w:rPr>
          <w:rFonts w:ascii="Times New Roman" w:hAnsi="Times New Roman"/>
        </w:rPr>
        <w:t>against</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phase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well</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against</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awards.</w:t>
      </w:r>
      <w:r w:rsidR="00900061" w:rsidRPr="00E168A1">
        <w:rPr>
          <w:rFonts w:ascii="Times New Roman" w:hAnsi="Times New Roman"/>
        </w:rPr>
        <w:t xml:space="preserve"> </w:t>
      </w:r>
      <w:r w:rsidRPr="00E168A1">
        <w:rPr>
          <w:rFonts w:ascii="Times New Roman" w:hAnsi="Times New Roman"/>
        </w:rPr>
        <w:t>Among</w:t>
      </w:r>
      <w:r w:rsidR="00900061" w:rsidRPr="00E168A1">
        <w:rPr>
          <w:rFonts w:ascii="Times New Roman" w:hAnsi="Times New Roman"/>
        </w:rPr>
        <w:t xml:space="preserve"> </w:t>
      </w:r>
      <w:r w:rsidRPr="00E168A1">
        <w:rPr>
          <w:rFonts w:ascii="Times New Roman" w:hAnsi="Times New Roman"/>
        </w:rPr>
        <w:t>other</w:t>
      </w:r>
      <w:r w:rsidR="00900061" w:rsidRPr="00E168A1">
        <w:rPr>
          <w:rFonts w:ascii="Times New Roman" w:hAnsi="Times New Roman"/>
        </w:rPr>
        <w:t xml:space="preserve"> </w:t>
      </w:r>
      <w:r w:rsidRPr="00E168A1">
        <w:rPr>
          <w:rFonts w:ascii="Times New Roman" w:hAnsi="Times New Roman"/>
        </w:rPr>
        <w:t>responsibilities,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00A34355" w:rsidRPr="00E168A1">
        <w:rPr>
          <w:rFonts w:ascii="Times New Roman" w:hAnsi="Times New Roman"/>
        </w:rPr>
        <w:t>“</w:t>
      </w:r>
      <w:r w:rsidRPr="00E168A1">
        <w:rPr>
          <w:rFonts w:ascii="Times New Roman" w:hAnsi="Times New Roman"/>
        </w:rPr>
        <w:t>(</w:t>
      </w:r>
      <w:r w:rsidR="006362F2" w:rsidRPr="00A90FD9">
        <w:rPr>
          <w:rFonts w:ascii="Times New Roman" w:hAnsi="Times New Roman"/>
        </w:rPr>
        <w:t>a</w:t>
      </w:r>
      <w:r w:rsidRPr="00A90FD9">
        <w:rPr>
          <w:rFonts w:ascii="Times New Roman" w:hAnsi="Times New Roman"/>
        </w:rPr>
        <w:t>)</w:t>
      </w:r>
      <w:r w:rsidR="00900061" w:rsidRPr="00A90FD9">
        <w:rPr>
          <w:rFonts w:ascii="Times New Roman" w:hAnsi="Times New Roman"/>
        </w:rPr>
        <w:t xml:space="preserve"> </w:t>
      </w:r>
      <w:r w:rsidRPr="00A90FD9">
        <w:rPr>
          <w:rFonts w:ascii="Times New Roman" w:hAnsi="Times New Roman"/>
        </w:rPr>
        <w:t>requests</w:t>
      </w:r>
      <w:r w:rsidR="00900061" w:rsidRPr="00A90FD9">
        <w:rPr>
          <w:rFonts w:ascii="Times New Roman" w:hAnsi="Times New Roman"/>
        </w:rPr>
        <w:t xml:space="preserve"> </w:t>
      </w:r>
      <w:r w:rsidRPr="005769EE">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appeals</w:t>
      </w:r>
      <w:r w:rsidR="00900061" w:rsidRPr="00E168A1">
        <w:rPr>
          <w:rFonts w:ascii="Times New Roman" w:hAnsi="Times New Roman"/>
        </w:rPr>
        <w:t xml:space="preserve"> </w:t>
      </w:r>
      <w:r w:rsidRPr="00E168A1">
        <w:rPr>
          <w:rFonts w:ascii="Times New Roman" w:hAnsi="Times New Roman"/>
        </w:rPr>
        <w:t>filed</w:t>
      </w:r>
      <w:r w:rsidR="00900061" w:rsidRPr="00E168A1">
        <w:rPr>
          <w:rFonts w:ascii="Times New Roman" w:hAnsi="Times New Roman"/>
        </w:rPr>
        <w:t xml:space="preserve"> </w:t>
      </w:r>
      <w:r w:rsidRPr="00E168A1">
        <w:rPr>
          <w:rFonts w:ascii="Times New Roman" w:hAnsi="Times New Roman"/>
        </w:rPr>
        <w:t>against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conclusion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authority,</w:t>
      </w:r>
      <w:r w:rsidR="00900061" w:rsidRPr="00E168A1">
        <w:rPr>
          <w:rFonts w:ascii="Times New Roman" w:hAnsi="Times New Roman"/>
        </w:rPr>
        <w:t xml:space="preserve"> </w:t>
      </w:r>
      <w:r w:rsidRPr="00E168A1">
        <w:rPr>
          <w:rFonts w:ascii="Times New Roman" w:hAnsi="Times New Roman"/>
        </w:rPr>
        <w:t>(</w:t>
      </w:r>
      <w:r w:rsidR="001932A1" w:rsidRPr="00E168A1">
        <w:rPr>
          <w:rFonts w:ascii="Times New Roman" w:hAnsi="Times New Roman"/>
        </w:rPr>
        <w:t>b</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monitors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contr</w:t>
      </w:r>
      <w:r w:rsidR="00B03657" w:rsidRPr="00E168A1">
        <w:rPr>
          <w:rFonts w:ascii="Times New Roman" w:hAnsi="Times New Roman"/>
        </w:rPr>
        <w:t>ols</w:t>
      </w:r>
      <w:r w:rsidR="00900061" w:rsidRPr="00E168A1">
        <w:rPr>
          <w:rFonts w:ascii="Times New Roman" w:hAnsi="Times New Roman"/>
        </w:rPr>
        <w:t xml:space="preserve"> </w:t>
      </w:r>
      <w:r w:rsidR="00B03657" w:rsidRPr="00E168A1">
        <w:rPr>
          <w:rFonts w:ascii="Times New Roman" w:hAnsi="Times New Roman"/>
        </w:rPr>
        <w:t>implementation</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its</w:t>
      </w:r>
      <w:r w:rsidR="00900061" w:rsidRPr="00E168A1">
        <w:rPr>
          <w:rFonts w:ascii="Times New Roman" w:hAnsi="Times New Roman"/>
        </w:rPr>
        <w:t xml:space="preserve"> </w:t>
      </w:r>
      <w:r w:rsidR="00B03657" w:rsidRPr="00E168A1">
        <w:rPr>
          <w:rFonts w:ascii="Times New Roman" w:hAnsi="Times New Roman"/>
        </w:rPr>
        <w:t>decisions,</w:t>
      </w:r>
      <w:r w:rsidR="00900061" w:rsidRPr="00E168A1">
        <w:rPr>
          <w:rFonts w:ascii="Times New Roman" w:hAnsi="Times New Roman"/>
        </w:rPr>
        <w:t xml:space="preserve"> </w:t>
      </w:r>
      <w:r w:rsidR="00B03657" w:rsidRPr="00E168A1">
        <w:rPr>
          <w:rFonts w:ascii="Times New Roman" w:hAnsi="Times New Roman"/>
        </w:rPr>
        <w:t>(</w:t>
      </w:r>
      <w:r w:rsidR="001932A1" w:rsidRPr="00E168A1">
        <w:rPr>
          <w:rFonts w:ascii="Times New Roman" w:hAnsi="Times New Roman"/>
        </w:rPr>
        <w:t>c</w:t>
      </w:r>
      <w:r w:rsidR="00B03657" w:rsidRPr="00E168A1">
        <w:rPr>
          <w:rFonts w:ascii="Times New Roman" w:hAnsi="Times New Roman"/>
        </w:rPr>
        <w:t>)</w:t>
      </w:r>
      <w:r w:rsidR="00900061" w:rsidRPr="00E168A1">
        <w:rPr>
          <w:rFonts w:ascii="Times New Roman" w:hAnsi="Times New Roman"/>
        </w:rPr>
        <w:t xml:space="preserve"> </w:t>
      </w:r>
      <w:r w:rsidR="00B03657" w:rsidRPr="00E168A1">
        <w:rPr>
          <w:rFonts w:ascii="Times New Roman" w:hAnsi="Times New Roman"/>
        </w:rPr>
        <w:t>annuls</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contracts,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w:t>
      </w:r>
      <w:r w:rsidR="00CE23D7" w:rsidRPr="00E168A1">
        <w:rPr>
          <w:rFonts w:ascii="Times New Roman" w:hAnsi="Times New Roman"/>
        </w:rPr>
        <w:t>d</w:t>
      </w:r>
      <w:r w:rsidR="00B03657" w:rsidRPr="00E168A1">
        <w:rPr>
          <w:rFonts w:ascii="Times New Roman" w:hAnsi="Times New Roman"/>
        </w:rPr>
        <w:t>)</w:t>
      </w:r>
      <w:r w:rsidR="00900061" w:rsidRPr="00E168A1">
        <w:rPr>
          <w:rFonts w:ascii="Times New Roman" w:hAnsi="Times New Roman"/>
        </w:rPr>
        <w:t xml:space="preserve"> </w:t>
      </w:r>
      <w:r w:rsidR="00B03657" w:rsidRPr="00E168A1">
        <w:rPr>
          <w:rFonts w:ascii="Times New Roman" w:hAnsi="Times New Roman"/>
        </w:rPr>
        <w:t>imposes</w:t>
      </w:r>
      <w:r w:rsidR="00900061" w:rsidRPr="00E168A1">
        <w:rPr>
          <w:rFonts w:ascii="Times New Roman" w:hAnsi="Times New Roman"/>
        </w:rPr>
        <w:t xml:space="preserve"> </w:t>
      </w:r>
      <w:r w:rsidR="00B03657" w:rsidRPr="00E168A1">
        <w:rPr>
          <w:rFonts w:ascii="Times New Roman" w:hAnsi="Times New Roman"/>
        </w:rPr>
        <w:t>fines</w:t>
      </w:r>
      <w:r w:rsidR="00900061" w:rsidRPr="00E168A1">
        <w:rPr>
          <w:rFonts w:ascii="Times New Roman" w:hAnsi="Times New Roman"/>
        </w:rPr>
        <w:t xml:space="preserve"> </w:t>
      </w:r>
      <w:r w:rsidR="00B03657" w:rsidRPr="00E168A1">
        <w:rPr>
          <w:rFonts w:ascii="Times New Roman" w:hAnsi="Times New Roman"/>
        </w:rPr>
        <w:t>on</w:t>
      </w:r>
      <w:r w:rsidR="00900061" w:rsidRPr="00E168A1">
        <w:rPr>
          <w:rFonts w:ascii="Times New Roman" w:hAnsi="Times New Roman"/>
        </w:rPr>
        <w:t xml:space="preserve"> </w:t>
      </w:r>
      <w:r w:rsidR="00B03657" w:rsidRPr="00E168A1">
        <w:rPr>
          <w:rFonts w:ascii="Times New Roman" w:hAnsi="Times New Roman"/>
        </w:rPr>
        <w:t>contracting</w:t>
      </w:r>
      <w:r w:rsidR="00900061" w:rsidRPr="00E168A1">
        <w:rPr>
          <w:rFonts w:ascii="Times New Roman" w:hAnsi="Times New Roman"/>
        </w:rPr>
        <w:t xml:space="preserve"> </w:t>
      </w:r>
      <w:r w:rsidR="00B03657" w:rsidRPr="00E168A1">
        <w:rPr>
          <w:rFonts w:ascii="Times New Roman" w:hAnsi="Times New Roman"/>
        </w:rPr>
        <w:t>authorities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conducts</w:t>
      </w:r>
      <w:r w:rsidR="00900061" w:rsidRPr="00E168A1">
        <w:rPr>
          <w:rFonts w:ascii="Times New Roman" w:hAnsi="Times New Roman"/>
        </w:rPr>
        <w:t xml:space="preserve"> </w:t>
      </w:r>
      <w:r w:rsidR="00B03657" w:rsidRPr="00E168A1">
        <w:rPr>
          <w:rFonts w:ascii="Times New Roman" w:hAnsi="Times New Roman"/>
        </w:rPr>
        <w:t>minor</w:t>
      </w:r>
      <w:r w:rsidR="00900061" w:rsidRPr="00E168A1">
        <w:rPr>
          <w:rFonts w:ascii="Times New Roman" w:hAnsi="Times New Roman"/>
        </w:rPr>
        <w:t xml:space="preserve"> </w:t>
      </w:r>
      <w:r w:rsidR="00B03657" w:rsidRPr="00E168A1">
        <w:rPr>
          <w:rFonts w:ascii="Times New Roman" w:hAnsi="Times New Roman"/>
        </w:rPr>
        <w:t>offense</w:t>
      </w:r>
      <w:r w:rsidR="00900061" w:rsidRPr="00E168A1">
        <w:rPr>
          <w:rFonts w:ascii="Times New Roman" w:hAnsi="Times New Roman"/>
        </w:rPr>
        <w:t xml:space="preserve"> </w:t>
      </w:r>
      <w:r w:rsidR="00B03657" w:rsidRPr="00E168A1">
        <w:rPr>
          <w:rFonts w:ascii="Times New Roman" w:hAnsi="Times New Roman"/>
        </w:rPr>
        <w:t>proceedings</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first</w:t>
      </w:r>
      <w:r w:rsidR="00900061" w:rsidRPr="00E168A1">
        <w:rPr>
          <w:rFonts w:ascii="Times New Roman" w:hAnsi="Times New Roman"/>
        </w:rPr>
        <w:t xml:space="preserve"> </w:t>
      </w:r>
      <w:r w:rsidR="00B03657" w:rsidRPr="00E168A1">
        <w:rPr>
          <w:rFonts w:ascii="Times New Roman" w:hAnsi="Times New Roman"/>
        </w:rPr>
        <w:t>instance</w:t>
      </w:r>
      <w:r w:rsidR="00471C7A" w:rsidRPr="00E168A1">
        <w:rPr>
          <w:rFonts w:ascii="Times New Roman" w:hAnsi="Times New Roman"/>
        </w:rPr>
        <w:t>.</w:t>
      </w:r>
      <w:r w:rsidR="00A34355" w:rsidRPr="00E168A1">
        <w:rPr>
          <w:rFonts w:ascii="Times New Roman" w:hAnsi="Times New Roman"/>
        </w:rPr>
        <w:t>”</w:t>
      </w:r>
      <w:r w:rsidRPr="00E168A1">
        <w:rPr>
          <w:rStyle w:val="FootnoteReference"/>
          <w:rFonts w:ascii="Times New Roman" w:hAnsi="Times New Roman"/>
        </w:rPr>
        <w:footnoteReference w:id="29"/>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Commission</w:t>
      </w:r>
      <w:r w:rsidR="00900061" w:rsidRPr="00E168A1">
        <w:rPr>
          <w:rFonts w:ascii="Times New Roman" w:hAnsi="Times New Roman"/>
        </w:rPr>
        <w:t xml:space="preserve"> </w:t>
      </w:r>
      <w:r w:rsidRPr="00E168A1">
        <w:rPr>
          <w:rFonts w:ascii="Times New Roman" w:hAnsi="Times New Roman"/>
        </w:rPr>
        <w:t>issues</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binding</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parties,</w:t>
      </w:r>
      <w:r w:rsidR="00900061" w:rsidRPr="00E168A1">
        <w:rPr>
          <w:rFonts w:ascii="Times New Roman" w:hAnsi="Times New Roman"/>
        </w:rPr>
        <w:t xml:space="preserve"> </w:t>
      </w:r>
      <w:r w:rsidRPr="00E168A1">
        <w:rPr>
          <w:rFonts w:ascii="Times New Roman" w:hAnsi="Times New Roman"/>
        </w:rPr>
        <w:t>without</w:t>
      </w:r>
      <w:r w:rsidR="00900061" w:rsidRPr="00E168A1">
        <w:rPr>
          <w:rFonts w:ascii="Times New Roman" w:hAnsi="Times New Roman"/>
        </w:rPr>
        <w:t xml:space="preserve"> </w:t>
      </w:r>
      <w:r w:rsidRPr="00E168A1">
        <w:rPr>
          <w:rFonts w:ascii="Times New Roman" w:hAnsi="Times New Roman"/>
        </w:rPr>
        <w:t>precluding</w:t>
      </w:r>
      <w:r w:rsidR="00900061" w:rsidRPr="00E168A1">
        <w:rPr>
          <w:rFonts w:ascii="Times New Roman" w:hAnsi="Times New Roman"/>
        </w:rPr>
        <w:t xml:space="preserve"> </w:t>
      </w:r>
      <w:r w:rsidRPr="00E168A1">
        <w:rPr>
          <w:rFonts w:ascii="Times New Roman" w:hAnsi="Times New Roman"/>
        </w:rPr>
        <w:t>subsequent</w:t>
      </w:r>
      <w:r w:rsidR="00900061" w:rsidRPr="00E168A1">
        <w:rPr>
          <w:rFonts w:ascii="Times New Roman" w:hAnsi="Times New Roman"/>
        </w:rPr>
        <w:t xml:space="preserve"> </w:t>
      </w:r>
      <w:r w:rsidRPr="00E168A1">
        <w:rPr>
          <w:rFonts w:ascii="Times New Roman" w:hAnsi="Times New Roman"/>
        </w:rPr>
        <w:t>access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external</w:t>
      </w:r>
      <w:r w:rsidR="00900061" w:rsidRPr="00E168A1">
        <w:rPr>
          <w:rFonts w:ascii="Times New Roman" w:hAnsi="Times New Roman"/>
        </w:rPr>
        <w:t xml:space="preserve"> </w:t>
      </w:r>
      <w:r w:rsidRPr="00E168A1">
        <w:rPr>
          <w:rFonts w:ascii="Times New Roman" w:hAnsi="Times New Roman"/>
        </w:rPr>
        <w:t>higher</w:t>
      </w:r>
      <w:r w:rsidR="00900061" w:rsidRPr="00E168A1">
        <w:rPr>
          <w:rFonts w:ascii="Times New Roman" w:hAnsi="Times New Roman"/>
        </w:rPr>
        <w:t xml:space="preserve"> </w:t>
      </w:r>
      <w:r w:rsidRPr="00E168A1">
        <w:rPr>
          <w:rFonts w:ascii="Times New Roman" w:hAnsi="Times New Roman"/>
        </w:rPr>
        <w:t>authority.</w:t>
      </w:r>
      <w:r w:rsidR="00900061" w:rsidRPr="00E168A1">
        <w:rPr>
          <w:rFonts w:ascii="Times New Roman" w:hAnsi="Times New Roman"/>
        </w:rPr>
        <w:t xml:space="preserve"> </w:t>
      </w:r>
      <w:r w:rsidRPr="00E168A1">
        <w:rPr>
          <w:rFonts w:ascii="Times New Roman" w:hAnsi="Times New Roman"/>
        </w:rPr>
        <w:t>Further</w:t>
      </w:r>
      <w:r w:rsidR="00900061" w:rsidRPr="00E168A1">
        <w:rPr>
          <w:rFonts w:ascii="Times New Roman" w:hAnsi="Times New Roman"/>
        </w:rPr>
        <w:t xml:space="preserve"> </w:t>
      </w:r>
      <w:r w:rsidRPr="00E168A1">
        <w:rPr>
          <w:rFonts w:ascii="Times New Roman" w:hAnsi="Times New Roman"/>
        </w:rPr>
        <w:t>appeals</w:t>
      </w:r>
      <w:r w:rsidR="00900061" w:rsidRPr="00E168A1">
        <w:rPr>
          <w:rFonts w:ascii="Times New Roman" w:hAnsi="Times New Roman"/>
        </w:rPr>
        <w:t xml:space="preserve"> </w:t>
      </w:r>
      <w:r w:rsidRPr="00E168A1">
        <w:rPr>
          <w:rFonts w:ascii="Times New Roman" w:hAnsi="Times New Roman"/>
        </w:rPr>
        <w:t>can</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made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Administrative</w:t>
      </w:r>
      <w:r w:rsidR="00900061" w:rsidRPr="00E168A1">
        <w:rPr>
          <w:rFonts w:ascii="Times New Roman" w:hAnsi="Times New Roman"/>
        </w:rPr>
        <w:t xml:space="preserve"> </w:t>
      </w:r>
      <w:r w:rsidRPr="00E168A1">
        <w:rPr>
          <w:rFonts w:ascii="Times New Roman" w:hAnsi="Times New Roman"/>
        </w:rPr>
        <w:t>Court.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process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submission</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resolution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complaints</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clearly</w:t>
      </w:r>
      <w:r w:rsidR="00900061" w:rsidRPr="00E168A1">
        <w:rPr>
          <w:rFonts w:ascii="Times New Roman" w:hAnsi="Times New Roman"/>
        </w:rPr>
        <w:t xml:space="preserve"> </w:t>
      </w:r>
      <w:r w:rsidRPr="00E168A1">
        <w:rPr>
          <w:rFonts w:ascii="Times New Roman" w:hAnsi="Times New Roman"/>
        </w:rPr>
        <w:t>set</w:t>
      </w:r>
      <w:r w:rsidR="00900061" w:rsidRPr="00E168A1">
        <w:rPr>
          <w:rFonts w:ascii="Times New Roman" w:hAnsi="Times New Roman"/>
        </w:rPr>
        <w:t xml:space="preserve"> </w:t>
      </w:r>
      <w:r w:rsidRPr="00E168A1">
        <w:rPr>
          <w:rFonts w:ascii="Times New Roman" w:hAnsi="Times New Roman"/>
        </w:rPr>
        <w:t>out</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Articles</w:t>
      </w:r>
      <w:r w:rsidR="00900061" w:rsidRPr="00E168A1">
        <w:rPr>
          <w:rFonts w:ascii="Times New Roman" w:hAnsi="Times New Roman"/>
        </w:rPr>
        <w:t xml:space="preserve"> </w:t>
      </w:r>
      <w:r w:rsidRPr="00E168A1">
        <w:rPr>
          <w:rFonts w:ascii="Times New Roman" w:hAnsi="Times New Roman"/>
        </w:rPr>
        <w:t>148</w:t>
      </w:r>
      <w:r w:rsidR="00F030F0" w:rsidRPr="00E168A1">
        <w:rPr>
          <w:rFonts w:ascii="Times New Roman" w:hAnsi="Times New Roman"/>
        </w:rPr>
        <w:t>–</w:t>
      </w:r>
      <w:r w:rsidRPr="00E168A1">
        <w:rPr>
          <w:rFonts w:ascii="Times New Roman" w:hAnsi="Times New Roman"/>
        </w:rPr>
        <w:t>155</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157</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publicly</w:t>
      </w:r>
      <w:r w:rsidR="00900061" w:rsidRPr="00E168A1">
        <w:rPr>
          <w:rFonts w:ascii="Times New Roman" w:hAnsi="Times New Roman"/>
        </w:rPr>
        <w:t xml:space="preserve"> </w:t>
      </w:r>
      <w:r w:rsidRPr="00E168A1">
        <w:rPr>
          <w:rFonts w:ascii="Times New Roman" w:hAnsi="Times New Roman"/>
        </w:rPr>
        <w:t>available</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website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(http://www.kjn.gov.rs/sr/zastita_prava/zahtev-za-zastitu-prava.html).</w:t>
      </w:r>
      <w:r w:rsidR="00900061" w:rsidRPr="00E168A1">
        <w:rPr>
          <w:rFonts w:ascii="Times New Roman" w:hAnsi="Times New Roman"/>
        </w:rPr>
        <w:t xml:space="preserve"> </w:t>
      </w:r>
      <w:r w:rsidRPr="00E168A1">
        <w:rPr>
          <w:rFonts w:ascii="Times New Roman" w:hAnsi="Times New Roman"/>
        </w:rPr>
        <w:t>Fees</w:t>
      </w:r>
      <w:r w:rsidR="00900061" w:rsidRPr="00E168A1">
        <w:rPr>
          <w:rFonts w:ascii="Times New Roman" w:hAnsi="Times New Roman"/>
        </w:rPr>
        <w:t xml:space="preserve"> </w:t>
      </w:r>
      <w:r w:rsidRPr="00E168A1">
        <w:rPr>
          <w:rFonts w:ascii="Times New Roman" w:hAnsi="Times New Roman"/>
        </w:rPr>
        <w:t>charged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complaints,</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detailed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00650AEB" w:rsidRPr="00E168A1">
        <w:rPr>
          <w:rFonts w:ascii="Times New Roman" w:hAnsi="Times New Roman"/>
        </w:rPr>
        <w:t>A</w:t>
      </w:r>
      <w:r w:rsidRPr="00E168A1">
        <w:rPr>
          <w:rFonts w:ascii="Times New Roman" w:hAnsi="Times New Roman"/>
        </w:rPr>
        <w:t>rticle</w:t>
      </w:r>
      <w:r w:rsidR="00900061" w:rsidRPr="00E168A1">
        <w:rPr>
          <w:rFonts w:ascii="Times New Roman" w:hAnsi="Times New Roman"/>
        </w:rPr>
        <w:t xml:space="preserve"> </w:t>
      </w:r>
      <w:r w:rsidRPr="00E168A1">
        <w:rPr>
          <w:rFonts w:ascii="Times New Roman" w:hAnsi="Times New Roman"/>
        </w:rPr>
        <w:t>156</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believed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reasonable</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001D7B0E" w:rsidRPr="00E168A1">
        <w:rPr>
          <w:rFonts w:ascii="Times New Roman" w:hAnsi="Times New Roman"/>
        </w:rPr>
        <w:t>do not</w:t>
      </w:r>
      <w:r w:rsidR="00900061" w:rsidRPr="00E168A1">
        <w:rPr>
          <w:rFonts w:ascii="Times New Roman" w:hAnsi="Times New Roman"/>
        </w:rPr>
        <w:t xml:space="preserve"> </w:t>
      </w:r>
      <w:r w:rsidRPr="00E168A1">
        <w:rPr>
          <w:rFonts w:ascii="Times New Roman" w:hAnsi="Times New Roman"/>
        </w:rPr>
        <w:t>prohibit</w:t>
      </w:r>
      <w:r w:rsidR="00900061" w:rsidRPr="00E168A1">
        <w:rPr>
          <w:rFonts w:ascii="Times New Roman" w:hAnsi="Times New Roman"/>
        </w:rPr>
        <w:t xml:space="preserve"> </w:t>
      </w:r>
      <w:r w:rsidRPr="00E168A1">
        <w:rPr>
          <w:rFonts w:ascii="Times New Roman" w:hAnsi="Times New Roman"/>
        </w:rPr>
        <w:t>access</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concerned</w:t>
      </w:r>
      <w:r w:rsidR="00900061" w:rsidRPr="00E168A1">
        <w:rPr>
          <w:rFonts w:ascii="Times New Roman" w:hAnsi="Times New Roman"/>
        </w:rPr>
        <w:t xml:space="preserve"> </w:t>
      </w:r>
      <w:r w:rsidRPr="00E168A1">
        <w:rPr>
          <w:rFonts w:ascii="Times New Roman" w:hAnsi="Times New Roman"/>
        </w:rPr>
        <w:t>parties</w:t>
      </w:r>
      <w:r w:rsidR="00471C7A" w:rsidRPr="00E168A1">
        <w:rPr>
          <w:rFonts w:ascii="Times New Roman" w:hAnsi="Times New Roman"/>
        </w:rPr>
        <w:t>.</w:t>
      </w:r>
      <w:r w:rsidRPr="00E168A1">
        <w:rPr>
          <w:rStyle w:val="FootnoteReference"/>
          <w:rFonts w:ascii="Times New Roman" w:hAnsi="Times New Roman"/>
        </w:rPr>
        <w:footnoteReference w:id="30"/>
      </w:r>
      <w:r w:rsidR="00900061" w:rsidRPr="00E168A1">
        <w:rPr>
          <w:rFonts w:ascii="Times New Roman" w:hAnsi="Times New Roman"/>
        </w:rPr>
        <w:t xml:space="preserve"> </w:t>
      </w:r>
    </w:p>
    <w:p w14:paraId="0ED2A269" w14:textId="36E061E1" w:rsidR="009068F9" w:rsidRPr="00E168A1" w:rsidRDefault="00AE54E5" w:rsidP="00645878">
      <w:pPr>
        <w:pStyle w:val="ListParagraph"/>
        <w:numPr>
          <w:ilvl w:val="0"/>
          <w:numId w:val="9"/>
        </w:numPr>
        <w:ind w:left="0" w:firstLine="0"/>
        <w:contextualSpacing w:val="0"/>
        <w:rPr>
          <w:rFonts w:ascii="Times New Roman" w:hAnsi="Times New Roman"/>
          <w:i/>
          <w:color w:val="2F5496" w:themeColor="accent5" w:themeShade="BF"/>
          <w:u w:val="single"/>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number</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appeals</w:t>
      </w:r>
      <w:r w:rsidR="00900061" w:rsidRPr="00E168A1">
        <w:rPr>
          <w:rFonts w:ascii="Times New Roman" w:hAnsi="Times New Roman"/>
          <w:b/>
        </w:rPr>
        <w:t xml:space="preserve"> </w:t>
      </w:r>
      <w:r w:rsidRPr="00E168A1">
        <w:rPr>
          <w:rFonts w:ascii="Times New Roman" w:hAnsi="Times New Roman"/>
          <w:b/>
        </w:rPr>
        <w:t>submitted</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RC</w:t>
      </w:r>
      <w:r w:rsidR="00900061" w:rsidRPr="00E168A1">
        <w:rPr>
          <w:rFonts w:ascii="Times New Roman" w:hAnsi="Times New Roman"/>
          <w:b/>
        </w:rPr>
        <w:t xml:space="preserve"> </w:t>
      </w:r>
      <w:r w:rsidRPr="00E168A1">
        <w:rPr>
          <w:rFonts w:ascii="Times New Roman" w:hAnsi="Times New Roman"/>
          <w:b/>
        </w:rPr>
        <w:t>increased</w:t>
      </w:r>
      <w:r w:rsidR="00900061" w:rsidRPr="00E168A1">
        <w:rPr>
          <w:rFonts w:ascii="Times New Roman" w:hAnsi="Times New Roman"/>
          <w:b/>
        </w:rPr>
        <w:t xml:space="preserve"> </w:t>
      </w:r>
      <w:r w:rsidRPr="00E168A1">
        <w:rPr>
          <w:rFonts w:ascii="Times New Roman" w:hAnsi="Times New Roman"/>
          <w:b/>
        </w:rPr>
        <w:t>significantly</w:t>
      </w:r>
      <w:r w:rsidR="00900061" w:rsidRPr="00E168A1">
        <w:rPr>
          <w:rFonts w:ascii="Times New Roman" w:hAnsi="Times New Roman"/>
          <w:b/>
        </w:rPr>
        <w:t xml:space="preserve"> </w:t>
      </w:r>
      <w:r w:rsidRPr="00E168A1">
        <w:rPr>
          <w:rFonts w:ascii="Times New Roman" w:hAnsi="Times New Roman"/>
          <w:b/>
        </w:rPr>
        <w:t>over</w:t>
      </w:r>
      <w:r w:rsidR="00900061" w:rsidRPr="00E168A1">
        <w:rPr>
          <w:rFonts w:ascii="Times New Roman" w:hAnsi="Times New Roman"/>
          <w:b/>
        </w:rPr>
        <w:t xml:space="preserve"> </w:t>
      </w:r>
      <w:r w:rsidRPr="00E168A1">
        <w:rPr>
          <w:rFonts w:ascii="Times New Roman" w:hAnsi="Times New Roman"/>
          <w:b/>
        </w:rPr>
        <w:t>time</w:t>
      </w:r>
      <w:r w:rsidR="00900061" w:rsidRPr="00E168A1">
        <w:rPr>
          <w:rFonts w:ascii="Times New Roman" w:hAnsi="Times New Roman"/>
          <w:b/>
        </w:rPr>
        <w:t xml:space="preserve"> </w:t>
      </w:r>
      <w:r w:rsidRPr="00E168A1">
        <w:rPr>
          <w:rFonts w:ascii="Times New Roman" w:hAnsi="Times New Roman"/>
        </w:rPr>
        <w:t>(2</w:t>
      </w:r>
      <w:r w:rsidR="00471C7A" w:rsidRPr="00E168A1">
        <w:rPr>
          <w:rFonts w:ascii="Times New Roman" w:hAnsi="Times New Roman"/>
        </w:rPr>
        <w:t>,</w:t>
      </w:r>
      <w:r w:rsidRPr="00E168A1">
        <w:rPr>
          <w:rFonts w:ascii="Times New Roman" w:hAnsi="Times New Roman"/>
        </w:rPr>
        <w:t>067</w:t>
      </w:r>
      <w:r w:rsidR="00900061" w:rsidRPr="00E168A1">
        <w:rPr>
          <w:rFonts w:ascii="Times New Roman" w:hAnsi="Times New Roman"/>
        </w:rPr>
        <w:t xml:space="preserve"> </w:t>
      </w:r>
      <w:r w:rsidRPr="00E168A1">
        <w:rPr>
          <w:rFonts w:ascii="Times New Roman" w:hAnsi="Times New Roman"/>
        </w:rPr>
        <w:t>cases</w:t>
      </w:r>
      <w:r w:rsidR="00900061" w:rsidRPr="00E168A1">
        <w:rPr>
          <w:rFonts w:ascii="Times New Roman" w:hAnsi="Times New Roman"/>
        </w:rPr>
        <w:t xml:space="preserve"> </w:t>
      </w:r>
      <w:r w:rsidRPr="00E168A1">
        <w:rPr>
          <w:rFonts w:ascii="Times New Roman" w:hAnsi="Times New Roman"/>
        </w:rPr>
        <w:t>received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compared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1</w:t>
      </w:r>
      <w:r w:rsidR="00471C7A" w:rsidRPr="00E168A1">
        <w:rPr>
          <w:rFonts w:ascii="Times New Roman" w:hAnsi="Times New Roman"/>
        </w:rPr>
        <w:t>,</w:t>
      </w:r>
      <w:r w:rsidRPr="00E168A1">
        <w:rPr>
          <w:rFonts w:ascii="Times New Roman" w:hAnsi="Times New Roman"/>
        </w:rPr>
        <w:t>622</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2012</w:t>
      </w:r>
      <w:r w:rsidR="004C0A9E" w:rsidRPr="00E168A1">
        <w:rPr>
          <w:rFonts w:ascii="Times New Roman" w:hAnsi="Times New Roman"/>
        </w:rPr>
        <w:t>).</w:t>
      </w:r>
      <w:r w:rsidRPr="00E168A1">
        <w:rPr>
          <w:rStyle w:val="FootnoteReference"/>
          <w:rFonts w:ascii="Times New Roman" w:hAnsi="Times New Roman"/>
        </w:rPr>
        <w:footnoteReference w:id="31"/>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entry</w:t>
      </w:r>
      <w:r w:rsidR="00900061" w:rsidRPr="00E168A1">
        <w:rPr>
          <w:rFonts w:ascii="Times New Roman" w:hAnsi="Times New Roman"/>
        </w:rPr>
        <w:t xml:space="preserve"> </w:t>
      </w:r>
      <w:r w:rsidRPr="00E168A1">
        <w:rPr>
          <w:rFonts w:ascii="Times New Roman" w:hAnsi="Times New Roman"/>
        </w:rPr>
        <w:t>into</w:t>
      </w:r>
      <w:r w:rsidR="00900061" w:rsidRPr="00E168A1">
        <w:rPr>
          <w:rFonts w:ascii="Times New Roman" w:hAnsi="Times New Roman"/>
        </w:rPr>
        <w:t xml:space="preserve"> </w:t>
      </w:r>
      <w:r w:rsidRPr="00E168A1">
        <w:rPr>
          <w:rFonts w:ascii="Times New Roman" w:hAnsi="Times New Roman"/>
        </w:rPr>
        <w:t>force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new</w:t>
      </w:r>
      <w:r w:rsidR="00900061" w:rsidRPr="00E168A1">
        <w:rPr>
          <w:rFonts w:ascii="Times New Roman" w:hAnsi="Times New Roman"/>
        </w:rPr>
        <w:t xml:space="preserve"> </w:t>
      </w:r>
      <w:r w:rsidR="007419A8" w:rsidRPr="00E168A1">
        <w:rPr>
          <w:rFonts w:ascii="Times New Roman" w:hAnsi="Times New Roman"/>
        </w:rPr>
        <w:t>L</w:t>
      </w:r>
      <w:r w:rsidRPr="00E168A1">
        <w:rPr>
          <w:rFonts w:ascii="Times New Roman" w:hAnsi="Times New Roman"/>
        </w:rPr>
        <w:t>egal</w:t>
      </w:r>
      <w:r w:rsidR="00900061" w:rsidRPr="00E168A1">
        <w:rPr>
          <w:rFonts w:ascii="Times New Roman" w:hAnsi="Times New Roman"/>
        </w:rPr>
        <w:t xml:space="preserve"> </w:t>
      </w:r>
      <w:r w:rsidR="007419A8" w:rsidRPr="00E168A1">
        <w:rPr>
          <w:rFonts w:ascii="Times New Roman" w:hAnsi="Times New Roman"/>
        </w:rPr>
        <w:t>F</w:t>
      </w:r>
      <w:r w:rsidRPr="00E168A1">
        <w:rPr>
          <w:rFonts w:ascii="Times New Roman" w:hAnsi="Times New Roman"/>
        </w:rPr>
        <w:t>ramework</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April</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until</w:t>
      </w:r>
      <w:r w:rsidR="00900061" w:rsidRPr="00E168A1">
        <w:rPr>
          <w:rFonts w:ascii="Times New Roman" w:hAnsi="Times New Roman"/>
        </w:rPr>
        <w:t xml:space="preserve"> </w:t>
      </w:r>
      <w:r w:rsidRPr="00E168A1">
        <w:rPr>
          <w:rFonts w:ascii="Times New Roman" w:hAnsi="Times New Roman"/>
        </w:rPr>
        <w:t>December</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entirely</w:t>
      </w:r>
      <w:r w:rsidR="00900061" w:rsidRPr="00E168A1">
        <w:rPr>
          <w:rFonts w:ascii="Times New Roman" w:hAnsi="Times New Roman"/>
        </w:rPr>
        <w:t xml:space="preserve"> </w:t>
      </w:r>
      <w:r w:rsidRPr="00E168A1">
        <w:rPr>
          <w:rFonts w:ascii="Times New Roman" w:hAnsi="Times New Roman"/>
        </w:rPr>
        <w:t>annulled</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296</w:t>
      </w:r>
      <w:r w:rsidR="00900061" w:rsidRPr="00E168A1">
        <w:rPr>
          <w:rFonts w:ascii="Times New Roman" w:hAnsi="Times New Roman"/>
        </w:rPr>
        <w:t xml:space="preserve"> </w:t>
      </w:r>
      <w:r w:rsidRPr="00E168A1">
        <w:rPr>
          <w:rFonts w:ascii="Times New Roman" w:hAnsi="Times New Roman"/>
        </w:rPr>
        <w:t>cases</w:t>
      </w:r>
      <w:r w:rsidR="00836331" w:rsidRPr="00E168A1">
        <w:rPr>
          <w:rFonts w:ascii="Times New Roman" w:hAnsi="Times New Roman"/>
        </w:rPr>
        <w:t>.</w:t>
      </w:r>
      <w:r w:rsidRPr="00E168A1">
        <w:rPr>
          <w:rStyle w:val="FootnoteReference"/>
          <w:rFonts w:ascii="Times New Roman" w:hAnsi="Times New Roman"/>
        </w:rPr>
        <w:footnoteReference w:id="32"/>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same</w:t>
      </w:r>
      <w:r w:rsidR="00900061" w:rsidRPr="00E168A1">
        <w:rPr>
          <w:rFonts w:ascii="Times New Roman" w:hAnsi="Times New Roman"/>
        </w:rPr>
        <w:t xml:space="preserve"> </w:t>
      </w:r>
      <w:r w:rsidRPr="00E168A1">
        <w:rPr>
          <w:rFonts w:ascii="Times New Roman" w:hAnsi="Times New Roman"/>
        </w:rPr>
        <w:t>period,</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did</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annul</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lastRenderedPageBreak/>
        <w:t>contracts</w:t>
      </w:r>
      <w:r w:rsidR="00836331" w:rsidRPr="00E168A1">
        <w:rPr>
          <w:rFonts w:ascii="Times New Roman" w:hAnsi="Times New Roman"/>
        </w:rPr>
        <w:t>.</w:t>
      </w:r>
      <w:r w:rsidRPr="00E168A1">
        <w:rPr>
          <w:rStyle w:val="FootnoteReference"/>
          <w:rFonts w:ascii="Times New Roman" w:hAnsi="Times New Roman"/>
        </w:rPr>
        <w:footnoteReference w:id="33"/>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received</w:t>
      </w:r>
      <w:r w:rsidR="00900061" w:rsidRPr="00E168A1">
        <w:rPr>
          <w:rFonts w:ascii="Times New Roman" w:hAnsi="Times New Roman"/>
        </w:rPr>
        <w:t xml:space="preserve"> </w:t>
      </w:r>
      <w:r w:rsidRPr="00E168A1">
        <w:rPr>
          <w:rFonts w:ascii="Times New Roman" w:hAnsi="Times New Roman"/>
        </w:rPr>
        <w:t>1,696</w:t>
      </w:r>
      <w:r w:rsidR="00900061" w:rsidRPr="00E168A1">
        <w:rPr>
          <w:rFonts w:ascii="Times New Roman" w:hAnsi="Times New Roman"/>
        </w:rPr>
        <w:t xml:space="preserve"> </w:t>
      </w:r>
      <w:r w:rsidRPr="00E168A1">
        <w:rPr>
          <w:rFonts w:ascii="Times New Roman" w:hAnsi="Times New Roman"/>
        </w:rPr>
        <w:t>cases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reached</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decision</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1,609</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these</w:t>
      </w:r>
      <w:r w:rsidR="00900061" w:rsidRPr="00E168A1">
        <w:rPr>
          <w:rFonts w:ascii="Times New Roman" w:hAnsi="Times New Roman"/>
        </w:rPr>
        <w:t xml:space="preserve"> </w:t>
      </w:r>
      <w:r w:rsidRPr="00E168A1">
        <w:rPr>
          <w:rFonts w:ascii="Times New Roman" w:hAnsi="Times New Roman"/>
        </w:rPr>
        <w:t>cases.</w:t>
      </w:r>
      <w:r w:rsidRPr="00E168A1">
        <w:rPr>
          <w:rFonts w:ascii="Times New Roman" w:hAnsi="Times New Roman"/>
          <w:vertAlign w:val="superscript"/>
        </w:rPr>
        <w:footnoteReference w:id="34"/>
      </w:r>
      <w:r w:rsidR="00900061" w:rsidRPr="00E168A1">
        <w:rPr>
          <w:rFonts w:ascii="Times New Roman" w:eastAsia="Times New Roman" w:hAnsi="Times New Roman"/>
        </w:rPr>
        <w:t xml:space="preserve"> </w:t>
      </w:r>
      <w:r w:rsidRPr="00E168A1">
        <w:rPr>
          <w:rFonts w:ascii="Times New Roman" w:eastAsia="Times New Roman" w:hAnsi="Times New Roman"/>
        </w:rPr>
        <w:t>Compared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same</w:t>
      </w:r>
      <w:r w:rsidR="00900061" w:rsidRPr="00E168A1">
        <w:rPr>
          <w:rFonts w:ascii="Times New Roman" w:eastAsia="Times New Roman" w:hAnsi="Times New Roman"/>
        </w:rPr>
        <w:t xml:space="preserve"> </w:t>
      </w:r>
      <w:r w:rsidRPr="00E168A1">
        <w:rPr>
          <w:rFonts w:ascii="Times New Roman" w:eastAsia="Times New Roman" w:hAnsi="Times New Roman"/>
        </w:rPr>
        <w:t>period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requests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protection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rights</w:t>
      </w:r>
      <w:r w:rsidR="00900061" w:rsidRPr="00E168A1">
        <w:rPr>
          <w:rFonts w:ascii="Times New Roman" w:eastAsia="Times New Roman" w:hAnsi="Times New Roman"/>
        </w:rPr>
        <w:t xml:space="preserve"> </w:t>
      </w:r>
      <w:r w:rsidRPr="00E168A1">
        <w:rPr>
          <w:rFonts w:ascii="Times New Roman" w:eastAsia="Times New Roman" w:hAnsi="Times New Roman"/>
        </w:rPr>
        <w:t>increased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39</w:t>
      </w:r>
      <w:r w:rsidR="00650AEB" w:rsidRPr="00E168A1">
        <w:rPr>
          <w:rFonts w:ascii="Times New Roman" w:eastAsia="Times New Roman" w:hAnsi="Times New Roman"/>
        </w:rPr>
        <w:t xml:space="preserve"> percent.</w:t>
      </w:r>
      <w:r w:rsidRPr="00E168A1">
        <w:rPr>
          <w:rStyle w:val="FootnoteReference"/>
          <w:rFonts w:ascii="Times New Roman" w:eastAsia="Times New Roman" w:hAnsi="Times New Roman"/>
        </w:rPr>
        <w:footnoteReference w:id="35"/>
      </w:r>
      <w:r w:rsidR="00950355" w:rsidRPr="00E168A1">
        <w:rPr>
          <w:rFonts w:ascii="Times New Roman" w:eastAsia="Times New Roman" w:hAnsi="Times New Roman"/>
        </w:rPr>
        <w:t xml:space="preserve"> </w:t>
      </w:r>
      <w:r w:rsidRPr="00E168A1">
        <w:rPr>
          <w:rFonts w:ascii="Times New Roman" w:eastAsia="Times New Roman" w:hAnsi="Times New Roman"/>
        </w:rPr>
        <w:t>Over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whole</w:t>
      </w:r>
      <w:r w:rsidR="00900061" w:rsidRPr="00E168A1">
        <w:rPr>
          <w:rFonts w:ascii="Times New Roman" w:eastAsia="Times New Roman" w:hAnsi="Times New Roman"/>
        </w:rPr>
        <w:t xml:space="preserve"> </w:t>
      </w:r>
      <w:r w:rsidRPr="00E168A1">
        <w:rPr>
          <w:rFonts w:ascii="Times New Roman" w:eastAsia="Times New Roman" w:hAnsi="Times New Roman"/>
        </w:rPr>
        <w:t>year</w:t>
      </w:r>
      <w:r w:rsidR="00900061" w:rsidRPr="00E168A1">
        <w:rPr>
          <w:rFonts w:ascii="Times New Roman" w:eastAsia="Times New Roman" w:hAnsi="Times New Roman"/>
        </w:rPr>
        <w:t xml:space="preserve"> </w:t>
      </w:r>
      <w:r w:rsidR="004752E4" w:rsidRPr="00E168A1">
        <w:rPr>
          <w:rFonts w:ascii="Times New Roman" w:eastAsia="Times New Roman" w:hAnsi="Times New Roman"/>
        </w:rPr>
        <w:t xml:space="preserve">of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eastAsia="Times New Roman" w:hAnsi="Times New Roman"/>
        </w:rPr>
        <w:t>reached</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total</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1</w:t>
      </w:r>
      <w:r w:rsidR="00836331" w:rsidRPr="00E168A1">
        <w:rPr>
          <w:rFonts w:ascii="Times New Roman" w:eastAsia="Times New Roman" w:hAnsi="Times New Roman"/>
        </w:rPr>
        <w:t>,</w:t>
      </w:r>
      <w:r w:rsidRPr="00E168A1">
        <w:rPr>
          <w:rFonts w:ascii="Times New Roman" w:eastAsia="Times New Roman" w:hAnsi="Times New Roman"/>
        </w:rPr>
        <w:t>966</w:t>
      </w:r>
      <w:r w:rsidR="00900061" w:rsidRPr="00E168A1">
        <w:rPr>
          <w:rFonts w:ascii="Times New Roman" w:eastAsia="Times New Roman" w:hAnsi="Times New Roman"/>
        </w:rPr>
        <w:t xml:space="preserve"> </w:t>
      </w:r>
      <w:r w:rsidRPr="00E168A1">
        <w:rPr>
          <w:rFonts w:ascii="Times New Roman" w:eastAsia="Times New Roman" w:hAnsi="Times New Roman"/>
        </w:rPr>
        <w:t>decisions,</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compared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1</w:t>
      </w:r>
      <w:r w:rsidR="00836331" w:rsidRPr="00E168A1">
        <w:rPr>
          <w:rFonts w:ascii="Times New Roman" w:eastAsia="Times New Roman" w:hAnsi="Times New Roman"/>
        </w:rPr>
        <w:t>,</w:t>
      </w:r>
      <w:r w:rsidRPr="00E168A1">
        <w:rPr>
          <w:rFonts w:ascii="Times New Roman" w:eastAsia="Times New Roman" w:hAnsi="Times New Roman"/>
        </w:rPr>
        <w:t>700</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hAnsi="Times New Roman"/>
        </w:rPr>
        <w:t xml:space="preserve"> </w:t>
      </w:r>
      <w:r w:rsidRPr="00E168A1">
        <w:rPr>
          <w:rFonts w:ascii="Times New Roman" w:hAnsi="Times New Roman"/>
        </w:rPr>
        <w:t>During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entirely</w:t>
      </w:r>
      <w:r w:rsidR="00900061" w:rsidRPr="00E168A1">
        <w:rPr>
          <w:rFonts w:ascii="Times New Roman" w:hAnsi="Times New Roman"/>
        </w:rPr>
        <w:t xml:space="preserve"> </w:t>
      </w:r>
      <w:r w:rsidRPr="00E168A1">
        <w:rPr>
          <w:rFonts w:ascii="Times New Roman" w:hAnsi="Times New Roman"/>
        </w:rPr>
        <w:t>annulled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244</w:t>
      </w:r>
      <w:r w:rsidR="00900061" w:rsidRPr="00E168A1">
        <w:rPr>
          <w:rFonts w:ascii="Times New Roman" w:hAnsi="Times New Roman"/>
        </w:rPr>
        <w:t xml:space="preserve"> </w:t>
      </w:r>
      <w:r w:rsidRPr="00E168A1">
        <w:rPr>
          <w:rFonts w:ascii="Times New Roman" w:hAnsi="Times New Roman"/>
        </w:rPr>
        <w:t>cases</w:t>
      </w:r>
      <w:r w:rsidR="00900061" w:rsidRPr="00E168A1">
        <w:rPr>
          <w:rFonts w:ascii="Times New Roman" w:hAnsi="Times New Roman"/>
        </w:rPr>
        <w:t xml:space="preserve"> </w:t>
      </w:r>
      <w:r w:rsidRPr="00E168A1">
        <w:rPr>
          <w:rFonts w:ascii="Times New Roman" w:hAnsi="Times New Roman"/>
        </w:rPr>
        <w:t>related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836331" w:rsidRPr="00E168A1">
        <w:rPr>
          <w:rFonts w:ascii="Times New Roman" w:hAnsi="Times New Roman"/>
        </w:rPr>
        <w:t>.</w:t>
      </w:r>
      <w:r w:rsidRPr="00E168A1">
        <w:rPr>
          <w:rStyle w:val="FootnoteReference"/>
          <w:rFonts w:ascii="Times New Roman" w:hAnsi="Times New Roman"/>
        </w:rPr>
        <w:footnoteReference w:id="36"/>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same</w:t>
      </w:r>
      <w:r w:rsidR="00900061" w:rsidRPr="00E168A1">
        <w:rPr>
          <w:rFonts w:ascii="Times New Roman" w:hAnsi="Times New Roman"/>
        </w:rPr>
        <w:t xml:space="preserve"> </w:t>
      </w:r>
      <w:r w:rsidRPr="00E168A1">
        <w:rPr>
          <w:rFonts w:ascii="Times New Roman" w:hAnsi="Times New Roman"/>
        </w:rPr>
        <w:t>period,</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did</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annul</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contracts</w:t>
      </w:r>
      <w:r w:rsidR="00836331" w:rsidRPr="00E168A1">
        <w:rPr>
          <w:rFonts w:ascii="Times New Roman" w:hAnsi="Times New Roman"/>
        </w:rPr>
        <w:t>.</w:t>
      </w:r>
      <w:r w:rsidRPr="00E168A1">
        <w:rPr>
          <w:rStyle w:val="FootnoteReference"/>
          <w:rFonts w:ascii="Times New Roman" w:hAnsi="Times New Roman"/>
        </w:rPr>
        <w:footnoteReference w:id="37"/>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received</w:t>
      </w:r>
      <w:r w:rsidR="00900061" w:rsidRPr="00E168A1">
        <w:rPr>
          <w:rFonts w:ascii="Times New Roman" w:hAnsi="Times New Roman"/>
        </w:rPr>
        <w:t xml:space="preserve"> </w:t>
      </w:r>
      <w:r w:rsidRPr="00E168A1">
        <w:rPr>
          <w:rFonts w:ascii="Times New Roman" w:hAnsi="Times New Roman"/>
        </w:rPr>
        <w:t>1,442</w:t>
      </w:r>
      <w:r w:rsidR="00900061" w:rsidRPr="00E168A1">
        <w:rPr>
          <w:rFonts w:ascii="Times New Roman" w:hAnsi="Times New Roman"/>
        </w:rPr>
        <w:t xml:space="preserve"> </w:t>
      </w:r>
      <w:r w:rsidRPr="00E168A1">
        <w:rPr>
          <w:rFonts w:ascii="Times New Roman" w:hAnsi="Times New Roman"/>
        </w:rPr>
        <w:t>cases</w:t>
      </w:r>
      <w:r w:rsidR="00650AEB" w:rsidRPr="00E168A1">
        <w:rPr>
          <w:rFonts w:ascii="Times New Roman" w:hAnsi="Times New Roman"/>
        </w:rPr>
        <w:t xml:space="preserve"> and</w:t>
      </w:r>
      <w:r w:rsidR="00900061" w:rsidRPr="00E168A1">
        <w:rPr>
          <w:rFonts w:ascii="Times New Roman" w:hAnsi="Times New Roman"/>
        </w:rPr>
        <w:t xml:space="preserve"> </w:t>
      </w:r>
      <w:r w:rsidRPr="00E168A1">
        <w:rPr>
          <w:rFonts w:ascii="Times New Roman" w:hAnsi="Times New Roman"/>
        </w:rPr>
        <w:t>made</w:t>
      </w:r>
      <w:r w:rsidR="00900061" w:rsidRPr="00E168A1">
        <w:rPr>
          <w:rFonts w:ascii="Times New Roman" w:hAnsi="Times New Roman"/>
        </w:rPr>
        <w:t xml:space="preserve"> </w:t>
      </w:r>
      <w:r w:rsidRPr="00E168A1">
        <w:rPr>
          <w:rFonts w:ascii="Times New Roman" w:hAnsi="Times New Roman"/>
        </w:rPr>
        <w:t>1,282</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(958</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80</w:t>
      </w:r>
      <w:r w:rsidR="00900061" w:rsidRPr="00E168A1">
        <w:rPr>
          <w:rFonts w:ascii="Times New Roman" w:hAnsi="Times New Roman"/>
        </w:rPr>
        <w:t xml:space="preserve"> </w:t>
      </w:r>
      <w:r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appeals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conclusions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836331" w:rsidRPr="00E168A1">
        <w:rPr>
          <w:rFonts w:ascii="Times New Roman" w:hAnsi="Times New Roman"/>
        </w:rPr>
        <w:t>.</w:t>
      </w:r>
      <w:r w:rsidRPr="00E168A1">
        <w:rPr>
          <w:rFonts w:ascii="Times New Roman" w:hAnsi="Times New Roman"/>
          <w:vertAlign w:val="superscript"/>
        </w:rPr>
        <w:footnoteReference w:id="38"/>
      </w:r>
      <w:r w:rsidR="00900061" w:rsidRPr="00E168A1">
        <w:rPr>
          <w:rFonts w:ascii="Times New Roman" w:hAnsi="Times New Roman"/>
        </w:rPr>
        <w:t xml:space="preserve"> </w:t>
      </w:r>
      <w:r w:rsidRPr="00E168A1">
        <w:rPr>
          <w:rFonts w:ascii="Times New Roman" w:hAnsi="Times New Roman"/>
        </w:rPr>
        <w:t>Comparing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January</w:t>
      </w:r>
      <w:r w:rsidR="00900061" w:rsidRPr="00E168A1">
        <w:rPr>
          <w:rFonts w:ascii="Times New Roman" w:hAnsi="Times New Roman"/>
        </w:rPr>
        <w:t xml:space="preserve"> </w:t>
      </w:r>
      <w:r w:rsidRPr="00E168A1">
        <w:rPr>
          <w:rFonts w:ascii="Times New Roman" w:hAnsi="Times New Roman"/>
        </w:rPr>
        <w:t>1</w:t>
      </w:r>
      <w:r w:rsidR="00950355" w:rsidRPr="00E168A1">
        <w:rPr>
          <w:rFonts w:ascii="Times New Roman" w:hAnsi="Times New Roman"/>
        </w:rPr>
        <w:t>–</w:t>
      </w:r>
      <w:r w:rsidRPr="00E168A1">
        <w:rPr>
          <w:rFonts w:ascii="Times New Roman" w:hAnsi="Times New Roman"/>
        </w:rPr>
        <w:t>June</w:t>
      </w:r>
      <w:r w:rsidR="00900061" w:rsidRPr="00E168A1">
        <w:rPr>
          <w:rFonts w:ascii="Times New Roman" w:hAnsi="Times New Roman"/>
        </w:rPr>
        <w:t xml:space="preserve"> </w:t>
      </w:r>
      <w:r w:rsidRPr="00E168A1">
        <w:rPr>
          <w:rFonts w:ascii="Times New Roman" w:hAnsi="Times New Roman"/>
        </w:rPr>
        <w:t>30</w:t>
      </w:r>
      <w:r w:rsidR="00900061" w:rsidRPr="00E168A1">
        <w:rPr>
          <w:rFonts w:ascii="Times New Roman" w:hAnsi="Times New Roman"/>
        </w:rPr>
        <w:t xml:space="preserve"> </w:t>
      </w:r>
      <w:r w:rsidRPr="00E168A1">
        <w:rPr>
          <w:rFonts w:ascii="Times New Roman" w:hAnsi="Times New Roman"/>
        </w:rPr>
        <w:t>periods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r w:rsidRPr="00E168A1">
        <w:rPr>
          <w:rFonts w:ascii="Times New Roman" w:hAnsi="Times New Roman"/>
        </w:rPr>
        <w:t>there</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37.66</w:t>
      </w:r>
      <w:r w:rsidR="00950355" w:rsidRPr="00E168A1">
        <w:rPr>
          <w:rFonts w:ascii="Times New Roman" w:hAnsi="Times New Roman"/>
        </w:rPr>
        <w:t xml:space="preserve"> percent </w:t>
      </w:r>
      <w:r w:rsidRPr="00E168A1">
        <w:rPr>
          <w:rFonts w:ascii="Times New Roman" w:hAnsi="Times New Roman"/>
        </w:rPr>
        <w:t>more</w:t>
      </w:r>
      <w:r w:rsidR="00900061" w:rsidRPr="00E168A1">
        <w:rPr>
          <w:rFonts w:ascii="Times New Roman" w:hAnsi="Times New Roman"/>
        </w:rPr>
        <w:t xml:space="preserve"> </w:t>
      </w:r>
      <w:r w:rsidRPr="00E168A1">
        <w:rPr>
          <w:rFonts w:ascii="Times New Roman" w:hAnsi="Times New Roman"/>
        </w:rPr>
        <w:t>cases</w:t>
      </w:r>
      <w:r w:rsidR="00900061" w:rsidRPr="00E168A1">
        <w:rPr>
          <w:rFonts w:ascii="Times New Roman" w:hAnsi="Times New Roman"/>
        </w:rPr>
        <w:t xml:space="preserve"> </w:t>
      </w:r>
      <w:r w:rsidRPr="00E168A1">
        <w:rPr>
          <w:rFonts w:ascii="Times New Roman" w:hAnsi="Times New Roman"/>
        </w:rPr>
        <w:t>received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latter</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41.58</w:t>
      </w:r>
      <w:r w:rsidR="00950355" w:rsidRPr="00E168A1">
        <w:rPr>
          <w:rFonts w:ascii="Times New Roman" w:hAnsi="Times New Roman"/>
        </w:rPr>
        <w:t xml:space="preserve"> percent </w:t>
      </w:r>
      <w:r w:rsidRPr="00E168A1">
        <w:rPr>
          <w:rFonts w:ascii="Times New Roman" w:hAnsi="Times New Roman"/>
        </w:rPr>
        <w:t>more</w:t>
      </w:r>
      <w:r w:rsidR="00900061" w:rsidRPr="00E168A1">
        <w:rPr>
          <w:rFonts w:ascii="Times New Roman" w:hAnsi="Times New Roman"/>
        </w:rPr>
        <w:t xml:space="preserve"> </w:t>
      </w:r>
      <w:r w:rsidRPr="00E168A1">
        <w:rPr>
          <w:rFonts w:ascii="Times New Roman" w:hAnsi="Times New Roman"/>
        </w:rPr>
        <w:t>cases</w:t>
      </w:r>
      <w:r w:rsidR="00900061" w:rsidRPr="00E168A1">
        <w:rPr>
          <w:rFonts w:ascii="Times New Roman" w:hAnsi="Times New Roman"/>
        </w:rPr>
        <w:t xml:space="preserve"> </w:t>
      </w:r>
      <w:r w:rsidRPr="00E168A1">
        <w:rPr>
          <w:rFonts w:ascii="Times New Roman" w:hAnsi="Times New Roman"/>
        </w:rPr>
        <w:t>resolved.</w:t>
      </w:r>
      <w:r w:rsidRPr="00E168A1">
        <w:rPr>
          <w:rFonts w:ascii="Times New Roman" w:hAnsi="Times New Roman"/>
          <w:vertAlign w:val="superscript"/>
        </w:rPr>
        <w:footnoteReference w:id="39"/>
      </w:r>
    </w:p>
    <w:p w14:paraId="41AD4D5E" w14:textId="79B0F733" w:rsidR="00CF175C" w:rsidRPr="00E168A1" w:rsidRDefault="00AE54E5" w:rsidP="00645878">
      <w:pPr>
        <w:pStyle w:val="ListParagraph"/>
        <w:numPr>
          <w:ilvl w:val="0"/>
          <w:numId w:val="9"/>
        </w:numPr>
        <w:ind w:left="0" w:firstLine="0"/>
        <w:contextualSpacing w:val="0"/>
        <w:rPr>
          <w:rFonts w:ascii="Times New Roman" w:hAnsi="Times New Roman"/>
          <w:i/>
          <w:color w:val="2F5496" w:themeColor="accent5" w:themeShade="BF"/>
          <w:u w:val="single"/>
        </w:rPr>
      </w:pPr>
      <w:r w:rsidRPr="00E168A1">
        <w:rPr>
          <w:rFonts w:ascii="Times New Roman" w:hAnsi="Times New Roman"/>
          <w:b/>
        </w:rPr>
        <w:t>Due</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very</w:t>
      </w:r>
      <w:r w:rsidR="00900061" w:rsidRPr="00E168A1">
        <w:rPr>
          <w:rFonts w:ascii="Times New Roman" w:hAnsi="Times New Roman"/>
          <w:b/>
        </w:rPr>
        <w:t xml:space="preserve"> </w:t>
      </w:r>
      <w:r w:rsidRPr="00E168A1">
        <w:rPr>
          <w:rFonts w:ascii="Times New Roman" w:hAnsi="Times New Roman"/>
          <w:b/>
        </w:rPr>
        <w:t>high</w:t>
      </w:r>
      <w:r w:rsidR="00900061" w:rsidRPr="00E168A1">
        <w:rPr>
          <w:rFonts w:ascii="Times New Roman" w:hAnsi="Times New Roman"/>
          <w:b/>
        </w:rPr>
        <w:t xml:space="preserve"> </w:t>
      </w:r>
      <w:r w:rsidRPr="00E168A1">
        <w:rPr>
          <w:rFonts w:ascii="Times New Roman" w:hAnsi="Times New Roman"/>
          <w:b/>
        </w:rPr>
        <w:t>number</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appeals,</w:t>
      </w:r>
      <w:r w:rsidR="00900061" w:rsidRPr="00E168A1">
        <w:rPr>
          <w:rFonts w:ascii="Times New Roman" w:hAnsi="Times New Roman"/>
          <w:b/>
        </w:rPr>
        <w:t xml:space="preserve"> </w:t>
      </w:r>
      <w:r w:rsidRPr="00E168A1">
        <w:rPr>
          <w:rFonts w:ascii="Times New Roman" w:hAnsi="Times New Roman"/>
          <w:b/>
        </w:rPr>
        <w:t>there</w:t>
      </w:r>
      <w:r w:rsidR="00900061" w:rsidRPr="00E168A1">
        <w:rPr>
          <w:rFonts w:ascii="Times New Roman" w:hAnsi="Times New Roman"/>
          <w:b/>
        </w:rPr>
        <w:t xml:space="preserve"> </w:t>
      </w:r>
      <w:r w:rsidRPr="00E168A1">
        <w:rPr>
          <w:rFonts w:ascii="Times New Roman" w:hAnsi="Times New Roman"/>
          <w:b/>
        </w:rPr>
        <w:t>are</w:t>
      </w:r>
      <w:r w:rsidR="00900061" w:rsidRPr="00E168A1">
        <w:rPr>
          <w:rFonts w:ascii="Times New Roman" w:hAnsi="Times New Roman"/>
          <w:b/>
        </w:rPr>
        <w:t xml:space="preserve"> </w:t>
      </w:r>
      <w:r w:rsidRPr="00E168A1">
        <w:rPr>
          <w:rFonts w:ascii="Times New Roman" w:hAnsi="Times New Roman"/>
          <w:b/>
        </w:rPr>
        <w:t>certain</w:t>
      </w:r>
      <w:r w:rsidR="00900061" w:rsidRPr="00E168A1">
        <w:rPr>
          <w:rFonts w:ascii="Times New Roman" w:hAnsi="Times New Roman"/>
          <w:b/>
        </w:rPr>
        <w:t xml:space="preserve"> </w:t>
      </w:r>
      <w:r w:rsidRPr="00E168A1">
        <w:rPr>
          <w:rFonts w:ascii="Times New Roman" w:hAnsi="Times New Roman"/>
          <w:b/>
        </w:rPr>
        <w:t>delays</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009654D3" w:rsidRPr="00E168A1">
        <w:rPr>
          <w:rFonts w:ascii="Times New Roman" w:hAnsi="Times New Roman"/>
          <w:b/>
        </w:rPr>
        <w:t xml:space="preserve">the </w:t>
      </w:r>
      <w:r w:rsidR="00A830B0" w:rsidRPr="00E168A1">
        <w:rPr>
          <w:rFonts w:ascii="Times New Roman" w:hAnsi="Times New Roman"/>
          <w:b/>
        </w:rPr>
        <w:t>R</w:t>
      </w:r>
      <w:r w:rsidRPr="00E168A1">
        <w:rPr>
          <w:rFonts w:ascii="Times New Roman" w:hAnsi="Times New Roman"/>
          <w:b/>
        </w:rPr>
        <w:t>C’s</w:t>
      </w:r>
      <w:r w:rsidR="00900061" w:rsidRPr="00E168A1">
        <w:rPr>
          <w:rFonts w:ascii="Times New Roman" w:hAnsi="Times New Roman"/>
          <w:b/>
        </w:rPr>
        <w:t xml:space="preserve"> </w:t>
      </w:r>
      <w:r w:rsidRPr="00E168A1">
        <w:rPr>
          <w:rFonts w:ascii="Times New Roman" w:hAnsi="Times New Roman"/>
          <w:b/>
        </w:rPr>
        <w:t>work.</w:t>
      </w:r>
      <w:r w:rsidR="00900061" w:rsidRPr="00E168A1">
        <w:rPr>
          <w:rFonts w:ascii="Times New Roman" w:hAnsi="Times New Roman"/>
          <w:b/>
        </w:rPr>
        <w:t xml:space="preserve"> </w:t>
      </w:r>
      <w:r w:rsidRPr="00E168A1">
        <w:rPr>
          <w:rFonts w:ascii="Times New Roman" w:hAnsi="Times New Roman"/>
        </w:rPr>
        <w:t>Article</w:t>
      </w:r>
      <w:r w:rsidR="00900061" w:rsidRPr="00E168A1">
        <w:rPr>
          <w:rFonts w:ascii="Times New Roman" w:hAnsi="Times New Roman"/>
        </w:rPr>
        <w:t xml:space="preserve"> </w:t>
      </w:r>
      <w:r w:rsidRPr="00E168A1">
        <w:rPr>
          <w:rFonts w:ascii="Times New Roman" w:hAnsi="Times New Roman"/>
        </w:rPr>
        <w:t>158</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states</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shall</w:t>
      </w:r>
      <w:r w:rsidR="00900061" w:rsidRPr="00E168A1">
        <w:rPr>
          <w:rFonts w:ascii="Times New Roman" w:hAnsi="Times New Roman"/>
        </w:rPr>
        <w:t xml:space="preserve"> </w:t>
      </w:r>
      <w:r w:rsidRPr="00E168A1">
        <w:rPr>
          <w:rFonts w:ascii="Times New Roman" w:hAnsi="Times New Roman"/>
        </w:rPr>
        <w:t>decide</w:t>
      </w:r>
      <w:r w:rsidR="00900061" w:rsidRPr="00E168A1">
        <w:rPr>
          <w:rFonts w:ascii="Times New Roman" w:hAnsi="Times New Roman"/>
        </w:rPr>
        <w:t xml:space="preserve"> </w:t>
      </w:r>
      <w:r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request</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whose</w:t>
      </w:r>
      <w:r w:rsidR="00900061" w:rsidRPr="00E168A1">
        <w:rPr>
          <w:rFonts w:ascii="Times New Roman" w:hAnsi="Times New Roman"/>
        </w:rPr>
        <w:t xml:space="preserve"> </w:t>
      </w:r>
      <w:r w:rsidRPr="00E168A1">
        <w:rPr>
          <w:rFonts w:ascii="Times New Roman" w:hAnsi="Times New Roman"/>
        </w:rPr>
        <w:t>content</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Article</w:t>
      </w:r>
      <w:r w:rsidR="00900061" w:rsidRPr="00E168A1">
        <w:rPr>
          <w:rFonts w:ascii="Times New Roman" w:hAnsi="Times New Roman"/>
        </w:rPr>
        <w:t xml:space="preserve"> </w:t>
      </w:r>
      <w:r w:rsidRPr="00E168A1">
        <w:rPr>
          <w:rFonts w:ascii="Times New Roman" w:hAnsi="Times New Roman"/>
        </w:rPr>
        <w:t>151</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20</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receipt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request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later</w:t>
      </w:r>
      <w:r w:rsidR="00900061" w:rsidRPr="00E168A1">
        <w:rPr>
          <w:rFonts w:ascii="Times New Roman" w:hAnsi="Times New Roman"/>
        </w:rPr>
        <w:t xml:space="preserve"> </w:t>
      </w:r>
      <w:r w:rsidRPr="00E168A1">
        <w:rPr>
          <w:rFonts w:ascii="Times New Roman" w:hAnsi="Times New Roman"/>
        </w:rPr>
        <w:t>than</w:t>
      </w:r>
      <w:r w:rsidR="00900061" w:rsidRPr="00E168A1">
        <w:rPr>
          <w:rFonts w:ascii="Times New Roman" w:hAnsi="Times New Roman"/>
        </w:rPr>
        <w:t xml:space="preserve"> </w:t>
      </w:r>
      <w:r w:rsidRPr="00E168A1">
        <w:rPr>
          <w:rFonts w:ascii="Times New Roman" w:hAnsi="Times New Roman"/>
        </w:rPr>
        <w:t>30</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006E2F8D" w:rsidRPr="00E168A1">
        <w:rPr>
          <w:rFonts w:ascii="Times New Roman" w:hAnsi="Times New Roman"/>
        </w:rPr>
        <w:t>The</w:t>
      </w:r>
      <w:r w:rsidR="00900061" w:rsidRPr="00E168A1">
        <w:rPr>
          <w:rFonts w:ascii="Times New Roman" w:hAnsi="Times New Roman"/>
        </w:rPr>
        <w:t xml:space="preserve"> </w:t>
      </w:r>
      <w:r w:rsidR="006E2F8D" w:rsidRPr="00E168A1">
        <w:rPr>
          <w:rFonts w:ascii="Times New Roman" w:hAnsi="Times New Roman"/>
        </w:rPr>
        <w:t>maximum</w:t>
      </w:r>
      <w:r w:rsidR="00900061" w:rsidRPr="00E168A1">
        <w:rPr>
          <w:rFonts w:ascii="Times New Roman" w:hAnsi="Times New Roman"/>
        </w:rPr>
        <w:t xml:space="preserve"> </w:t>
      </w:r>
      <w:r w:rsidR="006E2F8D" w:rsidRPr="00E168A1">
        <w:rPr>
          <w:rFonts w:ascii="Times New Roman" w:hAnsi="Times New Roman"/>
        </w:rPr>
        <w:t>number</w:t>
      </w:r>
      <w:r w:rsidR="00900061" w:rsidRPr="00E168A1">
        <w:rPr>
          <w:rFonts w:ascii="Times New Roman" w:hAnsi="Times New Roman"/>
        </w:rPr>
        <w:t xml:space="preserve"> </w:t>
      </w:r>
      <w:r w:rsidR="006E2F8D" w:rsidRPr="00E168A1">
        <w:rPr>
          <w:rFonts w:ascii="Times New Roman" w:hAnsi="Times New Roman"/>
        </w:rPr>
        <w:t>of</w:t>
      </w:r>
      <w:r w:rsidR="00900061" w:rsidRPr="00E168A1">
        <w:rPr>
          <w:rFonts w:ascii="Times New Roman" w:hAnsi="Times New Roman"/>
        </w:rPr>
        <w:t xml:space="preserve"> </w:t>
      </w:r>
      <w:r w:rsidR="006E2F8D" w:rsidRPr="00E168A1">
        <w:rPr>
          <w:rFonts w:ascii="Times New Roman" w:hAnsi="Times New Roman"/>
        </w:rPr>
        <w:t>days</w:t>
      </w:r>
      <w:r w:rsidR="00900061" w:rsidRPr="00E168A1">
        <w:rPr>
          <w:rFonts w:ascii="Times New Roman" w:hAnsi="Times New Roman"/>
        </w:rPr>
        <w:t xml:space="preserve"> </w:t>
      </w:r>
      <w:r w:rsidR="006E2F8D" w:rsidRPr="00E168A1">
        <w:rPr>
          <w:rFonts w:ascii="Times New Roman" w:hAnsi="Times New Roman"/>
        </w:rPr>
        <w:t>for</w:t>
      </w:r>
      <w:r w:rsidR="00900061" w:rsidRPr="00E168A1">
        <w:rPr>
          <w:rFonts w:ascii="Times New Roman" w:hAnsi="Times New Roman"/>
        </w:rPr>
        <w:t xml:space="preserve"> </w:t>
      </w:r>
      <w:r w:rsidR="006E2F8D" w:rsidRPr="00E168A1">
        <w:rPr>
          <w:rFonts w:ascii="Times New Roman" w:hAnsi="Times New Roman"/>
        </w:rPr>
        <w:t>decision</w:t>
      </w:r>
      <w:r w:rsidR="00900061" w:rsidRPr="00E168A1">
        <w:rPr>
          <w:rFonts w:ascii="Times New Roman" w:hAnsi="Times New Roman"/>
        </w:rPr>
        <w:t xml:space="preserve"> </w:t>
      </w:r>
      <w:r w:rsidR="006E2F8D" w:rsidRPr="00E168A1">
        <w:rPr>
          <w:rFonts w:ascii="Times New Roman" w:hAnsi="Times New Roman"/>
        </w:rPr>
        <w:t>o</w:t>
      </w:r>
      <w:r w:rsidR="00816C6B" w:rsidRPr="00E168A1">
        <w:rPr>
          <w:rFonts w:ascii="Times New Roman" w:hAnsi="Times New Roman"/>
        </w:rPr>
        <w:t>n</w:t>
      </w:r>
      <w:r w:rsidR="00900061" w:rsidRPr="00E168A1">
        <w:rPr>
          <w:rFonts w:ascii="Times New Roman" w:hAnsi="Times New Roman"/>
        </w:rPr>
        <w:t xml:space="preserve"> </w:t>
      </w:r>
      <w:r w:rsidR="00816C6B" w:rsidRPr="00E168A1">
        <w:rPr>
          <w:rFonts w:ascii="Times New Roman" w:hAnsi="Times New Roman"/>
        </w:rPr>
        <w:t>a</w:t>
      </w:r>
      <w:r w:rsidR="00900061" w:rsidRPr="00E168A1">
        <w:rPr>
          <w:rFonts w:ascii="Times New Roman" w:hAnsi="Times New Roman"/>
        </w:rPr>
        <w:t xml:space="preserve"> </w:t>
      </w:r>
      <w:r w:rsidR="00816C6B" w:rsidRPr="00E168A1">
        <w:rPr>
          <w:rFonts w:ascii="Times New Roman" w:hAnsi="Times New Roman"/>
        </w:rPr>
        <w:t>complaint</w:t>
      </w:r>
      <w:r w:rsidR="00900061" w:rsidRPr="00E168A1">
        <w:rPr>
          <w:rFonts w:ascii="Times New Roman" w:hAnsi="Times New Roman"/>
        </w:rPr>
        <w:t xml:space="preserve"> </w:t>
      </w:r>
      <w:r w:rsidR="00816C6B" w:rsidRPr="00E168A1">
        <w:rPr>
          <w:rFonts w:ascii="Times New Roman" w:hAnsi="Times New Roman"/>
        </w:rPr>
        <w:t>was</w:t>
      </w:r>
      <w:r w:rsidR="00900061" w:rsidRPr="00E168A1">
        <w:rPr>
          <w:rFonts w:ascii="Times New Roman" w:hAnsi="Times New Roman"/>
        </w:rPr>
        <w:t xml:space="preserve"> </w:t>
      </w:r>
      <w:r w:rsidR="00816C6B" w:rsidRPr="00E168A1">
        <w:rPr>
          <w:rFonts w:ascii="Times New Roman" w:hAnsi="Times New Roman"/>
        </w:rPr>
        <w:t>reduced</w:t>
      </w:r>
      <w:r w:rsidR="00900061" w:rsidRPr="00E168A1">
        <w:rPr>
          <w:rFonts w:ascii="Times New Roman" w:hAnsi="Times New Roman"/>
        </w:rPr>
        <w:t xml:space="preserve"> </w:t>
      </w:r>
      <w:r w:rsidR="00816C6B" w:rsidRPr="00E168A1">
        <w:rPr>
          <w:rFonts w:ascii="Times New Roman" w:hAnsi="Times New Roman"/>
        </w:rPr>
        <w:t>by</w:t>
      </w:r>
      <w:r w:rsidR="00900061" w:rsidRPr="00E168A1">
        <w:rPr>
          <w:rFonts w:ascii="Times New Roman" w:hAnsi="Times New Roman"/>
        </w:rPr>
        <w:t xml:space="preserve"> </w:t>
      </w:r>
      <w:r w:rsidR="00816C6B" w:rsidRPr="00E168A1">
        <w:rPr>
          <w:rFonts w:ascii="Times New Roman" w:hAnsi="Times New Roman"/>
        </w:rPr>
        <w:t>2015</w:t>
      </w:r>
      <w:r w:rsidR="00900061" w:rsidRPr="00E168A1">
        <w:rPr>
          <w:rFonts w:ascii="Times New Roman" w:hAnsi="Times New Roman"/>
        </w:rPr>
        <w:t xml:space="preserve"> </w:t>
      </w:r>
      <w:r w:rsidR="006E2F8D" w:rsidRPr="00E168A1">
        <w:rPr>
          <w:rFonts w:ascii="Times New Roman" w:hAnsi="Times New Roman"/>
        </w:rPr>
        <w:t>amendment</w:t>
      </w:r>
      <w:r w:rsidR="00900061" w:rsidRPr="00E168A1">
        <w:rPr>
          <w:rFonts w:ascii="Times New Roman" w:hAnsi="Times New Roman"/>
        </w:rPr>
        <w:t xml:space="preserve"> </w:t>
      </w:r>
      <w:r w:rsidR="006E2F8D" w:rsidRPr="00E168A1">
        <w:rPr>
          <w:rFonts w:ascii="Times New Roman" w:hAnsi="Times New Roman"/>
        </w:rPr>
        <w:t>to</w:t>
      </w:r>
      <w:r w:rsidR="00900061" w:rsidRPr="00E168A1">
        <w:rPr>
          <w:rFonts w:ascii="Times New Roman" w:hAnsi="Times New Roman"/>
        </w:rPr>
        <w:t xml:space="preserve"> </w:t>
      </w:r>
      <w:r w:rsidR="006E2F8D" w:rsidRPr="00E168A1">
        <w:rPr>
          <w:rFonts w:ascii="Times New Roman" w:hAnsi="Times New Roman"/>
        </w:rPr>
        <w:t>20</w:t>
      </w:r>
      <w:r w:rsidR="00900061" w:rsidRPr="00E168A1">
        <w:rPr>
          <w:rFonts w:ascii="Times New Roman" w:hAnsi="Times New Roman"/>
        </w:rPr>
        <w:t xml:space="preserve"> </w:t>
      </w:r>
      <w:r w:rsidR="006E2F8D"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rPr>
        <w:t xml:space="preserve"> </w:t>
      </w:r>
      <w:r w:rsidRPr="00E168A1">
        <w:rPr>
          <w:rFonts w:ascii="Times New Roman" w:hAnsi="Times New Roman"/>
        </w:rPr>
        <w:t>shall</w:t>
      </w:r>
      <w:r w:rsidR="00900061" w:rsidRPr="00E168A1">
        <w:rPr>
          <w:rFonts w:ascii="Times New Roman" w:hAnsi="Times New Roman"/>
        </w:rPr>
        <w:t xml:space="preserve"> </w:t>
      </w:r>
      <w:r w:rsidRPr="00E168A1">
        <w:rPr>
          <w:rFonts w:ascii="Times New Roman" w:hAnsi="Times New Roman"/>
        </w:rPr>
        <w:t>decide</w:t>
      </w:r>
      <w:r w:rsidR="00900061" w:rsidRPr="00E168A1">
        <w:rPr>
          <w:rFonts w:ascii="Times New Roman" w:hAnsi="Times New Roman"/>
        </w:rPr>
        <w:t xml:space="preserve"> </w:t>
      </w:r>
      <w:r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appeal</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conclusions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eight</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day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receiving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appeal.</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second</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average</w:t>
      </w:r>
      <w:r w:rsidR="00900061" w:rsidRPr="00E168A1">
        <w:rPr>
          <w:rFonts w:ascii="Times New Roman" w:hAnsi="Times New Roman"/>
        </w:rPr>
        <w:t xml:space="preserve"> </w:t>
      </w:r>
      <w:r w:rsidRPr="00E168A1">
        <w:rPr>
          <w:rFonts w:ascii="Times New Roman" w:hAnsi="Times New Roman"/>
        </w:rPr>
        <w:t>period</w:t>
      </w:r>
      <w:r w:rsidR="00900061" w:rsidRPr="00E168A1">
        <w:rPr>
          <w:rFonts w:ascii="Times New Roman" w:hAnsi="Times New Roman"/>
        </w:rPr>
        <w:t xml:space="preserve"> </w:t>
      </w:r>
      <w:r w:rsidRPr="00E168A1">
        <w:rPr>
          <w:rFonts w:ascii="Times New Roman" w:hAnsi="Times New Roman"/>
        </w:rPr>
        <w:t>deciding</w:t>
      </w:r>
      <w:r w:rsidR="00900061" w:rsidRPr="00E168A1">
        <w:rPr>
          <w:rFonts w:ascii="Times New Roman" w:hAnsi="Times New Roman"/>
        </w:rPr>
        <w:t xml:space="preserve"> </w:t>
      </w:r>
      <w:r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request</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was</w:t>
      </w:r>
      <w:r w:rsidR="00900061" w:rsidRPr="00E168A1">
        <w:rPr>
          <w:rFonts w:ascii="Times New Roman" w:hAnsi="Times New Roman"/>
        </w:rPr>
        <w:t xml:space="preserve"> </w:t>
      </w:r>
      <w:r w:rsidRPr="00E168A1">
        <w:rPr>
          <w:rFonts w:ascii="Times New Roman" w:hAnsi="Times New Roman"/>
        </w:rPr>
        <w:t>23.61</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average</w:t>
      </w:r>
      <w:r w:rsidR="00900061" w:rsidRPr="00E168A1">
        <w:rPr>
          <w:rFonts w:ascii="Times New Roman" w:hAnsi="Times New Roman"/>
        </w:rPr>
        <w:t xml:space="preserve"> </w:t>
      </w:r>
      <w:r w:rsidRPr="00E168A1">
        <w:rPr>
          <w:rFonts w:ascii="Times New Roman" w:hAnsi="Times New Roman"/>
        </w:rPr>
        <w:t>period</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deciding</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appeal</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conclusions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was</w:t>
      </w:r>
      <w:r w:rsidR="00900061" w:rsidRPr="00E168A1">
        <w:rPr>
          <w:rFonts w:ascii="Times New Roman" w:hAnsi="Times New Roman"/>
        </w:rPr>
        <w:t xml:space="preserve"> </w:t>
      </w:r>
      <w:r w:rsidRPr="00E168A1">
        <w:rPr>
          <w:rFonts w:ascii="Times New Roman" w:hAnsi="Times New Roman"/>
        </w:rPr>
        <w:t>14</w:t>
      </w:r>
      <w:r w:rsidR="00900061" w:rsidRPr="00E168A1">
        <w:rPr>
          <w:rFonts w:ascii="Times New Roman" w:hAnsi="Times New Roman"/>
        </w:rPr>
        <w:t xml:space="preserve"> </w:t>
      </w:r>
      <w:r w:rsidRPr="00E168A1">
        <w:rPr>
          <w:rFonts w:ascii="Times New Roman" w:hAnsi="Times New Roman"/>
        </w:rPr>
        <w:t>days.</w:t>
      </w:r>
      <w:r w:rsidRPr="00E168A1">
        <w:rPr>
          <w:rFonts w:ascii="Times New Roman" w:hAnsi="Times New Roman"/>
          <w:vertAlign w:val="superscript"/>
        </w:rPr>
        <w:footnoteReference w:id="40"/>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respective</w:t>
      </w:r>
      <w:r w:rsidR="00900061" w:rsidRPr="00E168A1">
        <w:rPr>
          <w:rFonts w:ascii="Times New Roman" w:hAnsi="Times New Roman"/>
        </w:rPr>
        <w:t xml:space="preserve"> </w:t>
      </w:r>
      <w:r w:rsidRPr="00E168A1">
        <w:rPr>
          <w:rFonts w:ascii="Times New Roman" w:hAnsi="Times New Roman"/>
        </w:rPr>
        <w:t>averages</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19.84</w:t>
      </w:r>
      <w:r w:rsidR="00900061" w:rsidRPr="00E168A1">
        <w:rPr>
          <w:rFonts w:ascii="Times New Roman" w:hAnsi="Times New Roman"/>
        </w:rPr>
        <w:t xml:space="preserve"> </w:t>
      </w:r>
      <w:r w:rsidRPr="00E168A1">
        <w:rPr>
          <w:rFonts w:ascii="Times New Roman" w:hAnsi="Times New Roman"/>
        </w:rPr>
        <w:t>days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13.19</w:t>
      </w:r>
      <w:r w:rsidR="00900061" w:rsidRPr="00E168A1">
        <w:rPr>
          <w:rFonts w:ascii="Times New Roman" w:hAnsi="Times New Roman"/>
        </w:rPr>
        <w:t xml:space="preserve"> </w:t>
      </w:r>
      <w:r w:rsidRPr="00E168A1">
        <w:rPr>
          <w:rFonts w:ascii="Times New Roman" w:hAnsi="Times New Roman"/>
        </w:rPr>
        <w:t>days.</w:t>
      </w:r>
      <w:r w:rsidRPr="00E168A1">
        <w:rPr>
          <w:rFonts w:ascii="Times New Roman" w:hAnsi="Times New Roman"/>
          <w:vertAlign w:val="superscript"/>
        </w:rPr>
        <w:footnoteReference w:id="41"/>
      </w:r>
      <w:r w:rsidR="00900061" w:rsidRPr="00E168A1">
        <w:rPr>
          <w:rFonts w:ascii="Times New Roman" w:hAnsi="Times New Roman"/>
        </w:rPr>
        <w:t xml:space="preserve"> </w:t>
      </w:r>
      <w:r w:rsidRPr="00E168A1">
        <w:rPr>
          <w:rFonts w:ascii="Times New Roman" w:hAnsi="Times New Roman"/>
        </w:rPr>
        <w:t>Between</w:t>
      </w:r>
      <w:r w:rsidR="00900061" w:rsidRPr="00E168A1">
        <w:rPr>
          <w:rFonts w:ascii="Times New Roman" w:hAnsi="Times New Roman"/>
        </w:rPr>
        <w:t xml:space="preserve"> </w:t>
      </w:r>
      <w:r w:rsidRPr="00E168A1">
        <w:rPr>
          <w:rFonts w:ascii="Times New Roman" w:hAnsi="Times New Roman"/>
        </w:rPr>
        <w:t>April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December</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out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1,609</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341</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made</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deadline</w:t>
      </w:r>
      <w:r w:rsidR="00900061" w:rsidRPr="00E168A1">
        <w:rPr>
          <w:rFonts w:ascii="Times New Roman" w:hAnsi="Times New Roman"/>
        </w:rPr>
        <w:t xml:space="preserve"> </w:t>
      </w:r>
      <w:r w:rsidRPr="00E168A1">
        <w:rPr>
          <w:rFonts w:ascii="Times New Roman" w:hAnsi="Times New Roman"/>
        </w:rPr>
        <w:t>specified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Pr="00E168A1">
        <w:rPr>
          <w:rFonts w:ascii="Times New Roman" w:hAnsi="Times New Roman"/>
          <w:vertAlign w:val="superscript"/>
        </w:rPr>
        <w:footnoteReference w:id="42"/>
      </w:r>
      <w:r w:rsidR="00900061" w:rsidRPr="00E168A1">
        <w:rPr>
          <w:rFonts w:ascii="Times New Roman" w:hAnsi="Times New Roman"/>
        </w:rPr>
        <w:t xml:space="preserve"> </w:t>
      </w:r>
      <w:r w:rsidRPr="00E168A1">
        <w:rPr>
          <w:rFonts w:ascii="Times New Roman" w:hAnsi="Times New Roman"/>
        </w:rPr>
        <w:t>During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half</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2014,</w:t>
      </w:r>
      <w:r w:rsidR="00900061" w:rsidRPr="00E168A1">
        <w:rPr>
          <w:rFonts w:ascii="Times New Roman" w:hAnsi="Times New Roman"/>
        </w:rPr>
        <w:t xml:space="preserve"> </w:t>
      </w:r>
      <w:r w:rsidRPr="00E168A1">
        <w:rPr>
          <w:rFonts w:ascii="Times New Roman" w:hAnsi="Times New Roman"/>
        </w:rPr>
        <w:t>out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1,282</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177</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not</w:t>
      </w:r>
      <w:r w:rsidR="00900061" w:rsidRPr="00E168A1">
        <w:rPr>
          <w:rFonts w:ascii="Times New Roman" w:hAnsi="Times New Roman"/>
        </w:rPr>
        <w:t xml:space="preserve"> </w:t>
      </w:r>
      <w:r w:rsidRPr="00E168A1">
        <w:rPr>
          <w:rFonts w:ascii="Times New Roman" w:hAnsi="Times New Roman"/>
        </w:rPr>
        <w:t>made</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deadline</w:t>
      </w:r>
      <w:r w:rsidR="00900061" w:rsidRPr="00E168A1">
        <w:rPr>
          <w:rFonts w:ascii="Times New Roman" w:hAnsi="Times New Roman"/>
        </w:rPr>
        <w:t xml:space="preserve"> </w:t>
      </w:r>
      <w:r w:rsidRPr="00E168A1">
        <w:rPr>
          <w:rFonts w:ascii="Times New Roman" w:hAnsi="Times New Roman"/>
        </w:rPr>
        <w:t>specified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Pr="00E168A1">
        <w:rPr>
          <w:rFonts w:ascii="Times New Roman" w:hAnsi="Times New Roman"/>
          <w:vertAlign w:val="superscript"/>
        </w:rPr>
        <w:footnoteReference w:id="43"/>
      </w:r>
      <w:r w:rsidR="00900061" w:rsidRPr="00E168A1">
        <w:rPr>
          <w:rFonts w:ascii="Times New Roman" w:hAnsi="Times New Roman"/>
        </w:rPr>
        <w:t xml:space="preserve"> </w:t>
      </w:r>
    </w:p>
    <w:p w14:paraId="307DE3F8" w14:textId="15085877" w:rsidR="00AE54E5" w:rsidRPr="00E168A1" w:rsidRDefault="00AE54E5" w:rsidP="00220F7E">
      <w:pPr>
        <w:pStyle w:val="Heading2"/>
        <w:spacing w:before="120" w:after="120" w:line="240" w:lineRule="auto"/>
        <w:ind w:left="0" w:firstLine="0"/>
        <w:rPr>
          <w:color w:val="2F5496" w:themeColor="accent5" w:themeShade="BF"/>
        </w:rPr>
      </w:pPr>
      <w:bookmarkStart w:id="31" w:name="_Toc305833855"/>
      <w:bookmarkStart w:id="32" w:name="_Toc442428963"/>
      <w:r w:rsidRPr="00E168A1">
        <w:t>Control</w:t>
      </w:r>
      <w:r w:rsidR="00900061" w:rsidRPr="00E168A1">
        <w:t xml:space="preserve"> </w:t>
      </w:r>
      <w:r w:rsidR="001C207D" w:rsidRPr="00E168A1">
        <w:t>M</w:t>
      </w:r>
      <w:r w:rsidRPr="00E168A1">
        <w:t>echanisms</w:t>
      </w:r>
      <w:bookmarkEnd w:id="31"/>
      <w:bookmarkEnd w:id="32"/>
    </w:p>
    <w:p w14:paraId="689F6C3F" w14:textId="43A8D0C1" w:rsidR="00CF175C"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An</w:t>
      </w:r>
      <w:r w:rsidR="00900061" w:rsidRPr="00E168A1">
        <w:rPr>
          <w:rFonts w:ascii="Times New Roman" w:hAnsi="Times New Roman"/>
          <w:b/>
        </w:rPr>
        <w:t xml:space="preserve"> </w:t>
      </w:r>
      <w:r w:rsidRPr="00E168A1">
        <w:rPr>
          <w:rFonts w:ascii="Times New Roman" w:hAnsi="Times New Roman"/>
          <w:b/>
        </w:rPr>
        <w:t>important</w:t>
      </w:r>
      <w:r w:rsidR="00900061" w:rsidRPr="00E168A1">
        <w:rPr>
          <w:rFonts w:ascii="Times New Roman" w:hAnsi="Times New Roman"/>
          <w:b/>
        </w:rPr>
        <w:t xml:space="preserve"> </w:t>
      </w:r>
      <w:r w:rsidRPr="00E168A1">
        <w:rPr>
          <w:rFonts w:ascii="Times New Roman" w:hAnsi="Times New Roman"/>
          <w:b/>
        </w:rPr>
        <w:t>role</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process</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control</w:t>
      </w:r>
      <w:r w:rsidR="00900061" w:rsidRPr="00E168A1">
        <w:rPr>
          <w:rFonts w:ascii="Times New Roman" w:hAnsi="Times New Roman"/>
          <w:b/>
        </w:rPr>
        <w:t xml:space="preserve"> </w:t>
      </w:r>
      <w:r w:rsidRPr="00E168A1">
        <w:rPr>
          <w:rFonts w:ascii="Times New Roman" w:hAnsi="Times New Roman"/>
          <w:b/>
        </w:rPr>
        <w:t>is</w:t>
      </w:r>
      <w:r w:rsidR="00900061" w:rsidRPr="00E168A1">
        <w:rPr>
          <w:rFonts w:ascii="Times New Roman" w:hAnsi="Times New Roman"/>
          <w:b/>
        </w:rPr>
        <w:t xml:space="preserve"> </w:t>
      </w:r>
      <w:r w:rsidRPr="00E168A1">
        <w:rPr>
          <w:rFonts w:ascii="Times New Roman" w:hAnsi="Times New Roman"/>
          <w:b/>
        </w:rPr>
        <w:t>carried</w:t>
      </w:r>
      <w:r w:rsidR="00900061" w:rsidRPr="00E168A1">
        <w:rPr>
          <w:rFonts w:ascii="Times New Roman" w:hAnsi="Times New Roman"/>
          <w:b/>
        </w:rPr>
        <w:t xml:space="preserve"> </w:t>
      </w:r>
      <w:r w:rsidRPr="00E168A1">
        <w:rPr>
          <w:rFonts w:ascii="Times New Roman" w:hAnsi="Times New Roman"/>
          <w:b/>
        </w:rPr>
        <w:t>out</w:t>
      </w:r>
      <w:r w:rsidR="00900061" w:rsidRPr="00E168A1">
        <w:rPr>
          <w:rFonts w:ascii="Times New Roman" w:hAnsi="Times New Roman"/>
          <w:b/>
        </w:rPr>
        <w:t xml:space="preserve"> </w:t>
      </w:r>
      <w:r w:rsidRPr="00E168A1">
        <w:rPr>
          <w:rFonts w:ascii="Times New Roman" w:hAnsi="Times New Roman"/>
          <w:b/>
        </w:rPr>
        <w:t>by</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SAI</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There</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well-defined</w:t>
      </w:r>
      <w:r w:rsidR="00900061" w:rsidRPr="00E168A1">
        <w:rPr>
          <w:rFonts w:ascii="Times New Roman" w:hAnsi="Times New Roman"/>
        </w:rPr>
        <w:t xml:space="preserve"> </w:t>
      </w:r>
      <w:r w:rsidRPr="00E168A1">
        <w:rPr>
          <w:rFonts w:ascii="Times New Roman" w:hAnsi="Times New Roman"/>
        </w:rPr>
        <w:t>policies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obliged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submit</w:t>
      </w:r>
      <w:r w:rsidR="00900061" w:rsidRPr="00E168A1">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rule</w:t>
      </w:r>
      <w:r w:rsidR="00900061" w:rsidRPr="00E168A1">
        <w:rPr>
          <w:rFonts w:ascii="Times New Roman" w:hAnsi="Times New Roman"/>
        </w:rPr>
        <w:t xml:space="preserve"> </w:t>
      </w:r>
      <w:r w:rsidRPr="00E168A1">
        <w:rPr>
          <w:rFonts w:ascii="Times New Roman" w:hAnsi="Times New Roman"/>
        </w:rPr>
        <w:t>applies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contractual</w:t>
      </w:r>
      <w:r w:rsidR="00900061" w:rsidRPr="00E168A1">
        <w:rPr>
          <w:rFonts w:ascii="Times New Roman" w:hAnsi="Times New Roman"/>
        </w:rPr>
        <w:t xml:space="preserve"> </w:t>
      </w:r>
      <w:r w:rsidRPr="00E168A1">
        <w:rPr>
          <w:rFonts w:ascii="Times New Roman" w:hAnsi="Times New Roman"/>
        </w:rPr>
        <w:t>changes</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appear</w:t>
      </w:r>
      <w:r w:rsidR="00900061" w:rsidRPr="00E168A1">
        <w:rPr>
          <w:rFonts w:ascii="Times New Roman" w:hAnsi="Times New Roman"/>
        </w:rPr>
        <w:t xml:space="preserve"> </w:t>
      </w:r>
      <w:r w:rsidRPr="00E168A1">
        <w:rPr>
          <w:rFonts w:ascii="Times New Roman" w:hAnsi="Times New Roman"/>
        </w:rPr>
        <w:t>during</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submission</w:t>
      </w:r>
      <w:r w:rsidR="00900061" w:rsidRPr="00E168A1">
        <w:rPr>
          <w:rFonts w:ascii="Times New Roman" w:hAnsi="Times New Roman"/>
        </w:rPr>
        <w:t xml:space="preserve"> </w:t>
      </w:r>
      <w:r w:rsidRPr="00E168A1">
        <w:rPr>
          <w:rFonts w:ascii="Times New Roman" w:hAnsi="Times New Roman"/>
        </w:rPr>
        <w:t>must</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done</w:t>
      </w:r>
      <w:r w:rsidR="00900061" w:rsidRPr="00E168A1">
        <w:rPr>
          <w:rFonts w:ascii="Times New Roman" w:hAnsi="Times New Roman"/>
        </w:rPr>
        <w:t xml:space="preserve"> </w:t>
      </w:r>
      <w:r w:rsidRPr="00E168A1">
        <w:rPr>
          <w:rFonts w:ascii="Times New Roman" w:hAnsi="Times New Roman"/>
        </w:rPr>
        <w:t>promptly</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important</w:t>
      </w:r>
      <w:r w:rsidR="00900061" w:rsidRPr="00E168A1">
        <w:rPr>
          <w:rFonts w:ascii="Times New Roman" w:hAnsi="Times New Roman"/>
        </w:rPr>
        <w:t xml:space="preserve"> </w:t>
      </w:r>
      <w:r w:rsidRPr="00E168A1">
        <w:rPr>
          <w:rFonts w:ascii="Times New Roman" w:hAnsi="Times New Roman"/>
        </w:rPr>
        <w:t>tool</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prevention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irregularities.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process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audits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type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related</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bids,</w:t>
      </w:r>
      <w:r w:rsidR="00900061" w:rsidRPr="00E168A1">
        <w:rPr>
          <w:rFonts w:ascii="Times New Roman" w:hAnsi="Times New Roman"/>
        </w:rPr>
        <w:t xml:space="preserve"> </w:t>
      </w:r>
      <w:r w:rsidRPr="00E168A1">
        <w:rPr>
          <w:rFonts w:ascii="Times New Roman" w:hAnsi="Times New Roman"/>
        </w:rPr>
        <w:t>evaluation</w:t>
      </w:r>
      <w:r w:rsidR="00900061" w:rsidRPr="00E168A1">
        <w:rPr>
          <w:rFonts w:ascii="Times New Roman" w:hAnsi="Times New Roman"/>
        </w:rPr>
        <w:t xml:space="preserve"> </w:t>
      </w:r>
      <w:r w:rsidRPr="00E168A1">
        <w:rPr>
          <w:rFonts w:ascii="Times New Roman" w:hAnsi="Times New Roman"/>
        </w:rPr>
        <w:t>report,</w:t>
      </w:r>
      <w:r w:rsidR="00900061" w:rsidRPr="00E168A1">
        <w:rPr>
          <w:rFonts w:ascii="Times New Roman" w:hAnsi="Times New Roman"/>
        </w:rPr>
        <w:t xml:space="preserve"> </w:t>
      </w:r>
      <w:r w:rsidRPr="00E168A1">
        <w:rPr>
          <w:rFonts w:ascii="Times New Roman" w:hAnsi="Times New Roman"/>
        </w:rPr>
        <w:t>decision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award</w:t>
      </w:r>
      <w:r w:rsidR="009F0B91"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itself.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physical</w:t>
      </w:r>
      <w:r w:rsidR="00900061" w:rsidRPr="00E168A1">
        <w:rPr>
          <w:rFonts w:ascii="Times New Roman" w:hAnsi="Times New Roman"/>
        </w:rPr>
        <w:t xml:space="preserve"> </w:t>
      </w:r>
      <w:r w:rsidRPr="00E168A1">
        <w:rPr>
          <w:rFonts w:ascii="Times New Roman" w:hAnsi="Times New Roman"/>
        </w:rPr>
        <w:t>inspection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w:t>
      </w:r>
      <w:r w:rsidR="00900061" w:rsidRPr="00E168A1">
        <w:rPr>
          <w:rFonts w:ascii="Times New Roman" w:hAnsi="Times New Roman"/>
        </w:rPr>
        <w:t xml:space="preserve"> </w:t>
      </w:r>
      <w:r w:rsidRPr="00E168A1">
        <w:rPr>
          <w:rFonts w:ascii="Times New Roman" w:hAnsi="Times New Roman"/>
        </w:rPr>
        <w:t>outcomes</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002F314E" w:rsidRPr="00E168A1">
        <w:rPr>
          <w:rFonts w:ascii="Times New Roman" w:hAnsi="Times New Roman"/>
        </w:rPr>
        <w:t xml:space="preserve">the </w:t>
      </w:r>
      <w:r w:rsidRPr="00E168A1">
        <w:rPr>
          <w:rFonts w:ascii="Times New Roman" w:hAnsi="Times New Roman"/>
        </w:rPr>
        <w:t>subject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report</w:t>
      </w:r>
      <w:r w:rsidR="00900061" w:rsidRPr="00E168A1">
        <w:rPr>
          <w:rFonts w:ascii="Times New Roman" w:hAnsi="Times New Roman"/>
        </w:rPr>
        <w:t xml:space="preserve"> </w:t>
      </w:r>
      <w:r w:rsidRPr="00E168A1">
        <w:rPr>
          <w:rFonts w:ascii="Times New Roman" w:hAnsi="Times New Roman"/>
        </w:rPr>
        <w:t>contains</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findings</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lastRenderedPageBreak/>
        <w:t>recommendations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subject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published.</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most</w:t>
      </w:r>
      <w:r w:rsidR="00900061" w:rsidRPr="00E168A1">
        <w:rPr>
          <w:rFonts w:ascii="Times New Roman" w:hAnsi="Times New Roman"/>
        </w:rPr>
        <w:t xml:space="preserve"> </w:t>
      </w:r>
      <w:r w:rsidRPr="00E168A1">
        <w:rPr>
          <w:rFonts w:ascii="Times New Roman" w:hAnsi="Times New Roman"/>
        </w:rPr>
        <w:t>common</w:t>
      </w:r>
      <w:r w:rsidR="00900061" w:rsidRPr="00E168A1">
        <w:rPr>
          <w:rFonts w:ascii="Times New Roman" w:hAnsi="Times New Roman"/>
        </w:rPr>
        <w:t xml:space="preserve"> </w:t>
      </w:r>
      <w:r w:rsidRPr="00E168A1">
        <w:rPr>
          <w:rFonts w:ascii="Times New Roman" w:hAnsi="Times New Roman"/>
        </w:rPr>
        <w:t>findings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due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poorly</w:t>
      </w:r>
      <w:r w:rsidR="00900061" w:rsidRPr="00E168A1">
        <w:rPr>
          <w:rFonts w:ascii="Times New Roman" w:hAnsi="Times New Roman"/>
        </w:rPr>
        <w:t xml:space="preserve"> </w:t>
      </w:r>
      <w:r w:rsidRPr="00E168A1">
        <w:rPr>
          <w:rFonts w:ascii="Times New Roman" w:hAnsi="Times New Roman"/>
        </w:rPr>
        <w:t>prepared</w:t>
      </w:r>
      <w:r w:rsidR="00900061" w:rsidRPr="00E168A1">
        <w:rPr>
          <w:rFonts w:ascii="Times New Roman" w:hAnsi="Times New Roman"/>
        </w:rPr>
        <w:t xml:space="preserve"> </w:t>
      </w:r>
      <w:r w:rsidRPr="00E168A1">
        <w:rPr>
          <w:rFonts w:ascii="Times New Roman" w:hAnsi="Times New Roman"/>
        </w:rPr>
        <w:t>procuremen</w:t>
      </w:r>
      <w:r w:rsidR="00B03657" w:rsidRPr="00E168A1">
        <w:rPr>
          <w:rFonts w:ascii="Times New Roman" w:hAnsi="Times New Roman"/>
        </w:rPr>
        <w:t>t</w:t>
      </w:r>
      <w:r w:rsidR="00900061" w:rsidRPr="00E168A1">
        <w:rPr>
          <w:rFonts w:ascii="Times New Roman" w:hAnsi="Times New Roman"/>
        </w:rPr>
        <w:t xml:space="preserve"> </w:t>
      </w:r>
      <w:r w:rsidR="00B03657" w:rsidRPr="00E168A1">
        <w:rPr>
          <w:rFonts w:ascii="Times New Roman" w:hAnsi="Times New Roman"/>
        </w:rPr>
        <w:t>plans,</w:t>
      </w:r>
      <w:r w:rsidR="00900061" w:rsidRPr="00E168A1">
        <w:rPr>
          <w:rFonts w:ascii="Times New Roman" w:hAnsi="Times New Roman"/>
        </w:rPr>
        <w:t xml:space="preserve"> </w:t>
      </w:r>
      <w:r w:rsidR="00B03657" w:rsidRPr="00E168A1">
        <w:rPr>
          <w:rFonts w:ascii="Times New Roman" w:hAnsi="Times New Roman"/>
        </w:rPr>
        <w:t>lack</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experience</w:t>
      </w:r>
      <w:r w:rsidR="00900061" w:rsidRPr="00E168A1">
        <w:rPr>
          <w:rFonts w:ascii="Times New Roman" w:hAnsi="Times New Roman"/>
        </w:rPr>
        <w:t xml:space="preserve"> </w:t>
      </w:r>
      <w:r w:rsidR="00B03657" w:rsidRPr="00E168A1">
        <w:rPr>
          <w:rFonts w:ascii="Times New Roman" w:hAnsi="Times New Roman"/>
        </w:rPr>
        <w:t>in</w:t>
      </w:r>
      <w:r w:rsidR="00900061" w:rsidRPr="00E168A1">
        <w:rPr>
          <w:rFonts w:ascii="Times New Roman" w:hAnsi="Times New Roman"/>
        </w:rPr>
        <w:t xml:space="preserve"> </w:t>
      </w:r>
      <w:r w:rsidR="00B03657" w:rsidRPr="00E168A1">
        <w:rPr>
          <w:rFonts w:ascii="Times New Roman" w:hAnsi="Times New Roman"/>
        </w:rPr>
        <w:t>public</w:t>
      </w:r>
      <w:r w:rsidR="00900061" w:rsidRPr="00E168A1">
        <w:rPr>
          <w:rFonts w:ascii="Times New Roman" w:hAnsi="Times New Roman"/>
        </w:rPr>
        <w:t xml:space="preserve"> </w:t>
      </w:r>
      <w:r w:rsidR="00B03657" w:rsidRPr="00E168A1">
        <w:rPr>
          <w:rFonts w:ascii="Times New Roman" w:hAnsi="Times New Roman"/>
        </w:rPr>
        <w:t>procurement,</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particularly</w:t>
      </w:r>
      <w:r w:rsidR="00900061" w:rsidRPr="00E168A1">
        <w:rPr>
          <w:rFonts w:ascii="Times New Roman" w:hAnsi="Times New Roman"/>
        </w:rPr>
        <w:t xml:space="preserve"> </w:t>
      </w:r>
      <w:r w:rsidR="00B03657" w:rsidRPr="00E168A1">
        <w:rPr>
          <w:rFonts w:ascii="Times New Roman" w:hAnsi="Times New Roman"/>
        </w:rPr>
        <w:t>unrealistic</w:t>
      </w:r>
      <w:r w:rsidR="00900061" w:rsidRPr="00E168A1">
        <w:rPr>
          <w:rFonts w:ascii="Times New Roman" w:hAnsi="Times New Roman"/>
        </w:rPr>
        <w:t xml:space="preserve"> </w:t>
      </w:r>
      <w:r w:rsidR="00B03657" w:rsidRPr="00E168A1">
        <w:rPr>
          <w:rFonts w:ascii="Times New Roman" w:hAnsi="Times New Roman"/>
        </w:rPr>
        <w:t>needs</w:t>
      </w:r>
      <w:r w:rsidR="00900061" w:rsidRPr="00E168A1">
        <w:rPr>
          <w:rFonts w:ascii="Times New Roman" w:hAnsi="Times New Roman"/>
        </w:rPr>
        <w:t xml:space="preserve"> </w:t>
      </w:r>
      <w:r w:rsidR="00B03657" w:rsidRPr="00E168A1">
        <w:rPr>
          <w:rFonts w:ascii="Times New Roman" w:hAnsi="Times New Roman"/>
        </w:rPr>
        <w:t>assessments.</w:t>
      </w:r>
      <w:r w:rsidR="00900061" w:rsidRPr="00E168A1">
        <w:rPr>
          <w:rFonts w:ascii="Times New Roman" w:hAnsi="Times New Roman"/>
        </w:rPr>
        <w:t xml:space="preserve"> </w:t>
      </w:r>
      <w:r w:rsidR="00B03657" w:rsidRPr="00E168A1">
        <w:rPr>
          <w:rFonts w:ascii="Times New Roman" w:hAnsi="Times New Roman"/>
        </w:rPr>
        <w:t>The</w:t>
      </w:r>
      <w:r w:rsidR="00900061" w:rsidRPr="00E168A1">
        <w:rPr>
          <w:rFonts w:ascii="Times New Roman" w:hAnsi="Times New Roman"/>
        </w:rPr>
        <w:t xml:space="preserve"> </w:t>
      </w:r>
      <w:r w:rsidR="00B03657" w:rsidRPr="00E168A1">
        <w:rPr>
          <w:rFonts w:ascii="Times New Roman" w:hAnsi="Times New Roman"/>
        </w:rPr>
        <w:t>SAI</w:t>
      </w:r>
      <w:r w:rsidR="00900061" w:rsidRPr="00E168A1">
        <w:rPr>
          <w:rFonts w:ascii="Times New Roman" w:hAnsi="Times New Roman"/>
        </w:rPr>
        <w:t xml:space="preserve"> </w:t>
      </w:r>
      <w:r w:rsidR="00B03657" w:rsidRPr="00E168A1">
        <w:rPr>
          <w:rFonts w:ascii="Times New Roman" w:hAnsi="Times New Roman"/>
        </w:rPr>
        <w:t>monitors</w:t>
      </w:r>
      <w:r w:rsidR="00900061" w:rsidRPr="00E168A1">
        <w:rPr>
          <w:rFonts w:ascii="Times New Roman" w:hAnsi="Times New Roman"/>
        </w:rPr>
        <w:t xml:space="preserve"> </w:t>
      </w:r>
      <w:r w:rsidR="00B03657" w:rsidRPr="00E168A1">
        <w:rPr>
          <w:rFonts w:ascii="Times New Roman" w:hAnsi="Times New Roman"/>
        </w:rPr>
        <w:t>implementation</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its</w:t>
      </w:r>
      <w:r w:rsidR="00900061" w:rsidRPr="00E168A1">
        <w:rPr>
          <w:rFonts w:ascii="Times New Roman" w:hAnsi="Times New Roman"/>
        </w:rPr>
        <w:t xml:space="preserve"> </w:t>
      </w:r>
      <w:r w:rsidR="00B03657" w:rsidRPr="00E168A1">
        <w:rPr>
          <w:rFonts w:ascii="Times New Roman" w:hAnsi="Times New Roman"/>
        </w:rPr>
        <w:t>recommendations</w:t>
      </w:r>
      <w:r w:rsidR="00900061" w:rsidRPr="00E168A1">
        <w:rPr>
          <w:rFonts w:ascii="Times New Roman" w:hAnsi="Times New Roman"/>
        </w:rPr>
        <w:t xml:space="preserve"> </w:t>
      </w:r>
      <w:r w:rsidR="00B03657" w:rsidRPr="00E168A1">
        <w:rPr>
          <w:rFonts w:ascii="Times New Roman" w:hAnsi="Times New Roman"/>
        </w:rPr>
        <w:t>and</w:t>
      </w:r>
      <w:r w:rsidR="00900061" w:rsidRPr="00E168A1">
        <w:rPr>
          <w:rFonts w:ascii="Times New Roman" w:hAnsi="Times New Roman"/>
        </w:rPr>
        <w:t xml:space="preserve"> </w:t>
      </w:r>
      <w:r w:rsidR="00B03657" w:rsidRPr="00E168A1">
        <w:rPr>
          <w:rFonts w:ascii="Times New Roman" w:hAnsi="Times New Roman"/>
        </w:rPr>
        <w:t>can</w:t>
      </w:r>
      <w:r w:rsidR="00900061" w:rsidRPr="00E168A1">
        <w:rPr>
          <w:rFonts w:ascii="Times New Roman" w:hAnsi="Times New Roman"/>
        </w:rPr>
        <w:t xml:space="preserve"> </w:t>
      </w:r>
      <w:r w:rsidR="00B03657" w:rsidRPr="00E168A1">
        <w:rPr>
          <w:rFonts w:ascii="Times New Roman" w:hAnsi="Times New Roman"/>
        </w:rPr>
        <w:t>impose</w:t>
      </w:r>
      <w:r w:rsidR="00900061" w:rsidRPr="00E168A1">
        <w:rPr>
          <w:rFonts w:ascii="Times New Roman" w:hAnsi="Times New Roman"/>
        </w:rPr>
        <w:t xml:space="preserve"> </w:t>
      </w:r>
      <w:r w:rsidR="00B03657" w:rsidRPr="00E168A1">
        <w:rPr>
          <w:rFonts w:ascii="Times New Roman" w:hAnsi="Times New Roman"/>
        </w:rPr>
        <w:t>implementation</w:t>
      </w:r>
      <w:r w:rsidR="00900061" w:rsidRPr="00E168A1">
        <w:rPr>
          <w:rFonts w:ascii="Times New Roman" w:hAnsi="Times New Roman"/>
        </w:rPr>
        <w:t xml:space="preserve"> </w:t>
      </w:r>
      <w:r w:rsidR="00B03657" w:rsidRPr="00E168A1">
        <w:rPr>
          <w:rFonts w:ascii="Times New Roman" w:hAnsi="Times New Roman"/>
        </w:rPr>
        <w:t>of</w:t>
      </w:r>
      <w:r w:rsidR="00900061" w:rsidRPr="00E168A1">
        <w:rPr>
          <w:rFonts w:ascii="Times New Roman" w:hAnsi="Times New Roman"/>
        </w:rPr>
        <w:t xml:space="preserve"> </w:t>
      </w:r>
      <w:r w:rsidR="00B03657" w:rsidRPr="00E168A1">
        <w:rPr>
          <w:rFonts w:ascii="Times New Roman" w:hAnsi="Times New Roman"/>
        </w:rPr>
        <w:t>its</w:t>
      </w:r>
      <w:r w:rsidR="00900061" w:rsidRPr="00E168A1">
        <w:rPr>
          <w:rFonts w:ascii="Times New Roman" w:hAnsi="Times New Roman"/>
        </w:rPr>
        <w:t xml:space="preserve"> </w:t>
      </w:r>
      <w:r w:rsidR="00B03657" w:rsidRPr="00E168A1">
        <w:rPr>
          <w:rFonts w:ascii="Times New Roman" w:hAnsi="Times New Roman"/>
        </w:rPr>
        <w:t>recommendations</w:t>
      </w:r>
      <w:r w:rsidR="00900061" w:rsidRPr="00E168A1">
        <w:rPr>
          <w:rFonts w:ascii="Times New Roman" w:hAnsi="Times New Roman"/>
        </w:rPr>
        <w:t xml:space="preserve"> </w:t>
      </w:r>
      <w:r w:rsidR="00B03657" w:rsidRPr="00E168A1">
        <w:rPr>
          <w:rFonts w:ascii="Times New Roman" w:hAnsi="Times New Roman"/>
        </w:rPr>
        <w:t>by</w:t>
      </w:r>
      <w:r w:rsidR="00900061" w:rsidRPr="00E168A1">
        <w:rPr>
          <w:rFonts w:ascii="Times New Roman" w:hAnsi="Times New Roman"/>
        </w:rPr>
        <w:t xml:space="preserve"> </w:t>
      </w:r>
      <w:r w:rsidR="00B03657" w:rsidRPr="00E168A1">
        <w:rPr>
          <w:rFonts w:ascii="Times New Roman" w:hAnsi="Times New Roman"/>
        </w:rPr>
        <w:t>undertaking</w:t>
      </w:r>
      <w:r w:rsidR="00900061" w:rsidRPr="00E168A1">
        <w:rPr>
          <w:rFonts w:ascii="Times New Roman" w:hAnsi="Times New Roman"/>
        </w:rPr>
        <w:t xml:space="preserve"> </w:t>
      </w:r>
      <w:r w:rsidR="00B03657" w:rsidRPr="00E168A1">
        <w:rPr>
          <w:rFonts w:ascii="Times New Roman" w:hAnsi="Times New Roman"/>
        </w:rPr>
        <w:t>further</w:t>
      </w:r>
      <w:r w:rsidR="00900061" w:rsidRPr="00E168A1">
        <w:rPr>
          <w:rFonts w:ascii="Times New Roman" w:hAnsi="Times New Roman"/>
        </w:rPr>
        <w:t xml:space="preserve"> </w:t>
      </w:r>
      <w:r w:rsidR="00B03657" w:rsidRPr="00E168A1">
        <w:rPr>
          <w:rFonts w:ascii="Times New Roman" w:hAnsi="Times New Roman"/>
        </w:rPr>
        <w:t>legal</w:t>
      </w:r>
      <w:r w:rsidR="00900061" w:rsidRPr="00E168A1">
        <w:rPr>
          <w:rFonts w:ascii="Times New Roman" w:hAnsi="Times New Roman"/>
        </w:rPr>
        <w:t xml:space="preserve"> </w:t>
      </w:r>
      <w:r w:rsidR="00B03657" w:rsidRPr="00E168A1">
        <w:rPr>
          <w:rFonts w:ascii="Times New Roman" w:hAnsi="Times New Roman"/>
        </w:rPr>
        <w:t>steps.</w:t>
      </w:r>
      <w:r w:rsidR="00900061" w:rsidRPr="00E168A1">
        <w:rPr>
          <w:rFonts w:ascii="Times New Roman" w:hAnsi="Times New Roman"/>
        </w:rPr>
        <w:t xml:space="preserve"> </w:t>
      </w:r>
    </w:p>
    <w:p w14:paraId="47088DD8" w14:textId="77777777" w:rsidR="00CF175C" w:rsidRPr="00E168A1" w:rsidRDefault="00B03657"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PPO</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SAI</w:t>
      </w:r>
      <w:r w:rsidR="00900061" w:rsidRPr="00E168A1">
        <w:rPr>
          <w:rFonts w:ascii="Times New Roman" w:hAnsi="Times New Roman"/>
          <w:b/>
        </w:rPr>
        <w:t xml:space="preserve"> </w:t>
      </w:r>
      <w:r w:rsidRPr="00E168A1">
        <w:rPr>
          <w:rFonts w:ascii="Times New Roman" w:hAnsi="Times New Roman"/>
          <w:b/>
        </w:rPr>
        <w:t>can</w:t>
      </w:r>
      <w:r w:rsidR="00900061" w:rsidRPr="00E168A1">
        <w:rPr>
          <w:rFonts w:ascii="Times New Roman" w:hAnsi="Times New Roman"/>
          <w:b/>
        </w:rPr>
        <w:t xml:space="preserve"> </w:t>
      </w:r>
      <w:r w:rsidRPr="00E168A1">
        <w:rPr>
          <w:rFonts w:ascii="Times New Roman" w:hAnsi="Times New Roman"/>
          <w:b/>
        </w:rPr>
        <w:t>initiate</w:t>
      </w:r>
      <w:r w:rsidR="00900061" w:rsidRPr="00E168A1">
        <w:rPr>
          <w:rFonts w:ascii="Times New Roman" w:hAnsi="Times New Roman"/>
          <w:b/>
        </w:rPr>
        <w:t xml:space="preserve"> </w:t>
      </w:r>
      <w:r w:rsidRPr="00E168A1">
        <w:rPr>
          <w:rFonts w:ascii="Times New Roman" w:hAnsi="Times New Roman"/>
          <w:b/>
        </w:rPr>
        <w:t>misdemeanor</w:t>
      </w:r>
      <w:r w:rsidR="00900061" w:rsidRPr="00E168A1">
        <w:rPr>
          <w:rFonts w:ascii="Times New Roman" w:hAnsi="Times New Roman"/>
          <w:b/>
        </w:rPr>
        <w:t xml:space="preserve"> </w:t>
      </w:r>
      <w:r w:rsidRPr="00E168A1">
        <w:rPr>
          <w:rFonts w:ascii="Times New Roman" w:hAnsi="Times New Roman"/>
          <w:b/>
        </w:rPr>
        <w:t>proceedings</w:t>
      </w:r>
      <w:r w:rsidR="00900061" w:rsidRPr="00E168A1">
        <w:rPr>
          <w:rFonts w:ascii="Times New Roman" w:hAnsi="Times New Roman"/>
          <w:b/>
        </w:rPr>
        <w:t xml:space="preserve"> </w:t>
      </w:r>
      <w:r w:rsidRPr="00E168A1">
        <w:rPr>
          <w:rFonts w:ascii="Times New Roman" w:hAnsi="Times New Roman"/>
          <w:b/>
        </w:rPr>
        <w:t>when</w:t>
      </w:r>
      <w:r w:rsidR="00900061" w:rsidRPr="00E168A1">
        <w:rPr>
          <w:rFonts w:ascii="Times New Roman" w:hAnsi="Times New Roman"/>
          <w:b/>
        </w:rPr>
        <w:t xml:space="preserve"> </w:t>
      </w:r>
      <w:r w:rsidRPr="00E168A1">
        <w:rPr>
          <w:rFonts w:ascii="Times New Roman" w:hAnsi="Times New Roman"/>
          <w:b/>
        </w:rPr>
        <w:t>they</w:t>
      </w:r>
      <w:r w:rsidR="00900061" w:rsidRPr="00E168A1">
        <w:rPr>
          <w:rFonts w:ascii="Times New Roman" w:hAnsi="Times New Roman"/>
          <w:b/>
        </w:rPr>
        <w:t xml:space="preserve"> </w:t>
      </w:r>
      <w:r w:rsidRPr="00E168A1">
        <w:rPr>
          <w:rFonts w:ascii="Times New Roman" w:hAnsi="Times New Roman"/>
          <w:b/>
        </w:rPr>
        <w:t>learn</w:t>
      </w:r>
      <w:r w:rsidR="009E113D" w:rsidRPr="00E168A1">
        <w:rPr>
          <w:rFonts w:ascii="Times New Roman" w:hAnsi="Times New Roman"/>
          <w:b/>
        </w:rPr>
        <w:t>,</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any</w:t>
      </w:r>
      <w:r w:rsidR="00900061" w:rsidRPr="00E168A1">
        <w:rPr>
          <w:rFonts w:ascii="Times New Roman" w:hAnsi="Times New Roman"/>
          <w:b/>
        </w:rPr>
        <w:t xml:space="preserve"> </w:t>
      </w:r>
      <w:r w:rsidRPr="00E168A1">
        <w:rPr>
          <w:rFonts w:ascii="Times New Roman" w:hAnsi="Times New Roman"/>
          <w:b/>
        </w:rPr>
        <w:t>way</w:t>
      </w:r>
      <w:r w:rsidR="009E113D" w:rsidRPr="00E168A1">
        <w:rPr>
          <w:rFonts w:ascii="Times New Roman" w:hAnsi="Times New Roman"/>
          <w:b/>
        </w:rPr>
        <w:t>,</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violation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rPr>
        <w:t xml:space="preserve"> </w:t>
      </w:r>
      <w:r w:rsidR="00AE54E5" w:rsidRPr="00E168A1">
        <w:rPr>
          <w:rFonts w:ascii="Times New Roman" w:hAnsi="Times New Roman"/>
        </w:rPr>
        <w:t>Since</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entry</w:t>
      </w:r>
      <w:r w:rsidR="00900061" w:rsidRPr="00E168A1">
        <w:rPr>
          <w:rFonts w:ascii="Times New Roman" w:hAnsi="Times New Roman"/>
        </w:rPr>
        <w:t xml:space="preserve"> </w:t>
      </w:r>
      <w:r w:rsidR="00AE54E5" w:rsidRPr="00E168A1">
        <w:rPr>
          <w:rFonts w:ascii="Times New Roman" w:hAnsi="Times New Roman"/>
        </w:rPr>
        <w:t>into</w:t>
      </w:r>
      <w:r w:rsidR="00900061" w:rsidRPr="00E168A1">
        <w:rPr>
          <w:rFonts w:ascii="Times New Roman" w:hAnsi="Times New Roman"/>
        </w:rPr>
        <w:t xml:space="preserve"> </w:t>
      </w:r>
      <w:r w:rsidR="00AE54E5" w:rsidRPr="00E168A1">
        <w:rPr>
          <w:rFonts w:ascii="Times New Roman" w:hAnsi="Times New Roman"/>
        </w:rPr>
        <w:t>force</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new</w:t>
      </w:r>
      <w:r w:rsidR="00900061" w:rsidRPr="00E168A1">
        <w:rPr>
          <w:rFonts w:ascii="Times New Roman" w:hAnsi="Times New Roman"/>
        </w:rPr>
        <w:t xml:space="preserve"> </w:t>
      </w:r>
      <w:r w:rsidR="00AE54E5" w:rsidRPr="00E168A1">
        <w:rPr>
          <w:rFonts w:ascii="Times New Roman" w:hAnsi="Times New Roman"/>
        </w:rPr>
        <w:t>Law</w:t>
      </w:r>
      <w:r w:rsidR="00900061" w:rsidRPr="00E168A1">
        <w:rPr>
          <w:rFonts w:ascii="Times New Roman" w:hAnsi="Times New Roman"/>
        </w:rPr>
        <w:t xml:space="preserve"> </w:t>
      </w:r>
      <w:r w:rsidR="00AE54E5" w:rsidRPr="00E168A1">
        <w:rPr>
          <w:rFonts w:ascii="Times New Roman" w:hAnsi="Times New Roman"/>
        </w:rPr>
        <w:t>on</w:t>
      </w:r>
      <w:r w:rsidR="00900061" w:rsidRPr="00E168A1">
        <w:rPr>
          <w:rFonts w:ascii="Times New Roman" w:hAnsi="Times New Roman"/>
        </w:rPr>
        <w:t xml:space="preserve"> </w:t>
      </w:r>
      <w:r w:rsidR="00AE54E5" w:rsidRPr="00E168A1">
        <w:rPr>
          <w:rFonts w:ascii="Times New Roman" w:hAnsi="Times New Roman"/>
        </w:rPr>
        <w:t>Misdemeanours</w:t>
      </w:r>
      <w:r w:rsidR="00900061" w:rsidRPr="00E168A1">
        <w:rPr>
          <w:rFonts w:ascii="Times New Roman" w:hAnsi="Times New Roman"/>
        </w:rPr>
        <w:t xml:space="preserve"> </w:t>
      </w:r>
      <w:r w:rsidR="00AE54E5" w:rsidRPr="00E168A1">
        <w:rPr>
          <w:rFonts w:ascii="Times New Roman" w:hAnsi="Times New Roman"/>
        </w:rPr>
        <w:t>in</w:t>
      </w:r>
      <w:r w:rsidR="00900061" w:rsidRPr="00E168A1">
        <w:rPr>
          <w:rFonts w:ascii="Times New Roman" w:hAnsi="Times New Roman"/>
        </w:rPr>
        <w:t xml:space="preserve"> </w:t>
      </w:r>
      <w:r w:rsidR="00AE54E5" w:rsidRPr="00E168A1">
        <w:rPr>
          <w:rFonts w:ascii="Times New Roman" w:hAnsi="Times New Roman"/>
        </w:rPr>
        <w:t>March</w:t>
      </w:r>
      <w:r w:rsidR="00900061" w:rsidRPr="00E168A1">
        <w:rPr>
          <w:rFonts w:ascii="Times New Roman" w:hAnsi="Times New Roman"/>
        </w:rPr>
        <w:t xml:space="preserve"> </w:t>
      </w:r>
      <w:r w:rsidR="00AE54E5" w:rsidRPr="00E168A1">
        <w:rPr>
          <w:rFonts w:ascii="Times New Roman" w:hAnsi="Times New Roman"/>
        </w:rPr>
        <w:t>2014,</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PPO</w:t>
      </w:r>
      <w:r w:rsidR="00900061" w:rsidRPr="00E168A1">
        <w:rPr>
          <w:rFonts w:ascii="Times New Roman" w:hAnsi="Times New Roman"/>
        </w:rPr>
        <w:t xml:space="preserve"> </w:t>
      </w:r>
      <w:r w:rsidR="00AE54E5" w:rsidRPr="00E168A1">
        <w:rPr>
          <w:rFonts w:ascii="Times New Roman" w:hAnsi="Times New Roman"/>
        </w:rPr>
        <w:t>initiated</w:t>
      </w:r>
      <w:r w:rsidR="00900061" w:rsidRPr="00E168A1">
        <w:rPr>
          <w:rFonts w:ascii="Times New Roman" w:hAnsi="Times New Roman"/>
        </w:rPr>
        <w:t xml:space="preserve"> </w:t>
      </w:r>
      <w:r w:rsidR="00AE54E5" w:rsidRPr="00E168A1">
        <w:rPr>
          <w:rFonts w:ascii="Times New Roman" w:hAnsi="Times New Roman"/>
        </w:rPr>
        <w:t>26</w:t>
      </w:r>
      <w:r w:rsidR="00900061" w:rsidRPr="00E168A1">
        <w:rPr>
          <w:rFonts w:ascii="Times New Roman" w:hAnsi="Times New Roman"/>
        </w:rPr>
        <w:t xml:space="preserve"> </w:t>
      </w:r>
      <w:r w:rsidR="00AE54E5" w:rsidRPr="00E168A1">
        <w:rPr>
          <w:rFonts w:ascii="Times New Roman" w:hAnsi="Times New Roman"/>
        </w:rPr>
        <w:t>misdemeanour</w:t>
      </w:r>
      <w:r w:rsidR="00900061" w:rsidRPr="00E168A1">
        <w:rPr>
          <w:rFonts w:ascii="Times New Roman" w:hAnsi="Times New Roman"/>
        </w:rPr>
        <w:t xml:space="preserve"> </w:t>
      </w:r>
      <w:r w:rsidR="00AE54E5" w:rsidRPr="00E168A1">
        <w:rPr>
          <w:rFonts w:ascii="Times New Roman" w:hAnsi="Times New Roman"/>
        </w:rPr>
        <w:t>procedures</w:t>
      </w:r>
      <w:r w:rsidR="00900061" w:rsidRPr="00E168A1">
        <w:rPr>
          <w:rFonts w:ascii="Times New Roman" w:hAnsi="Times New Roman"/>
        </w:rPr>
        <w:t xml:space="preserve"> </w:t>
      </w:r>
      <w:r w:rsidR="00AE54E5" w:rsidRPr="00E168A1">
        <w:rPr>
          <w:rFonts w:ascii="Times New Roman" w:hAnsi="Times New Roman"/>
        </w:rPr>
        <w:t>against</w:t>
      </w:r>
      <w:r w:rsidR="00900061" w:rsidRPr="00E168A1">
        <w:rPr>
          <w:rFonts w:ascii="Times New Roman" w:hAnsi="Times New Roman"/>
        </w:rPr>
        <w:t xml:space="preserve"> </w:t>
      </w:r>
      <w:r w:rsidR="00AE54E5" w:rsidRPr="00E168A1">
        <w:rPr>
          <w:rFonts w:ascii="Times New Roman" w:hAnsi="Times New Roman"/>
        </w:rPr>
        <w:t>contracting</w:t>
      </w:r>
      <w:r w:rsidR="00900061" w:rsidRPr="00E168A1">
        <w:rPr>
          <w:rFonts w:ascii="Times New Roman" w:hAnsi="Times New Roman"/>
        </w:rPr>
        <w:t xml:space="preserve"> </w:t>
      </w:r>
      <w:r w:rsidR="00AE54E5" w:rsidRPr="00E168A1">
        <w:rPr>
          <w:rFonts w:ascii="Times New Roman" w:hAnsi="Times New Roman"/>
        </w:rPr>
        <w:t>authorities</w:t>
      </w:r>
      <w:r w:rsidR="00836331" w:rsidRPr="00E168A1">
        <w:rPr>
          <w:rFonts w:ascii="Times New Roman" w:hAnsi="Times New Roman"/>
        </w:rPr>
        <w:t>.</w:t>
      </w:r>
      <w:r w:rsidR="00AE54E5" w:rsidRPr="00E168A1">
        <w:rPr>
          <w:rStyle w:val="FootnoteReference"/>
          <w:rFonts w:ascii="Times New Roman" w:hAnsi="Times New Roman"/>
        </w:rPr>
        <w:footnoteReference w:id="44"/>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RC</w:t>
      </w:r>
      <w:r w:rsidR="00900061" w:rsidRPr="00E168A1">
        <w:rPr>
          <w:rFonts w:ascii="Times New Roman" w:hAnsi="Times New Roman"/>
        </w:rPr>
        <w:t xml:space="preserve"> </w:t>
      </w:r>
      <w:r w:rsidR="00AE54E5" w:rsidRPr="00E168A1">
        <w:rPr>
          <w:rFonts w:ascii="Times New Roman" w:hAnsi="Times New Roman"/>
        </w:rPr>
        <w:t>is</w:t>
      </w:r>
      <w:r w:rsidR="00900061" w:rsidRPr="00E168A1">
        <w:rPr>
          <w:rFonts w:ascii="Times New Roman" w:hAnsi="Times New Roman"/>
        </w:rPr>
        <w:t xml:space="preserve"> </w:t>
      </w:r>
      <w:r w:rsidR="00AE54E5" w:rsidRPr="00E168A1">
        <w:rPr>
          <w:rFonts w:ascii="Times New Roman" w:hAnsi="Times New Roman"/>
        </w:rPr>
        <w:t>responsible</w:t>
      </w:r>
      <w:r w:rsidR="00900061" w:rsidRPr="00E168A1">
        <w:rPr>
          <w:rFonts w:ascii="Times New Roman" w:hAnsi="Times New Roman"/>
        </w:rPr>
        <w:t xml:space="preserve"> </w:t>
      </w:r>
      <w:r w:rsidR="00AE54E5" w:rsidRPr="00E168A1">
        <w:rPr>
          <w:rFonts w:ascii="Times New Roman" w:hAnsi="Times New Roman"/>
        </w:rPr>
        <w:t>for</w:t>
      </w:r>
      <w:r w:rsidR="00900061" w:rsidRPr="00E168A1">
        <w:rPr>
          <w:rFonts w:ascii="Times New Roman" w:hAnsi="Times New Roman"/>
        </w:rPr>
        <w:t xml:space="preserve"> </w:t>
      </w:r>
      <w:r w:rsidR="00AE54E5" w:rsidRPr="00E168A1">
        <w:rPr>
          <w:rFonts w:ascii="Times New Roman" w:hAnsi="Times New Roman"/>
        </w:rPr>
        <w:t>conducting</w:t>
      </w:r>
      <w:r w:rsidR="00900061" w:rsidRPr="00E168A1">
        <w:rPr>
          <w:rFonts w:ascii="Times New Roman" w:hAnsi="Times New Roman"/>
        </w:rPr>
        <w:t xml:space="preserve"> </w:t>
      </w:r>
      <w:r w:rsidR="00AE54E5" w:rsidRPr="00E168A1">
        <w:rPr>
          <w:rFonts w:ascii="Times New Roman" w:hAnsi="Times New Roman"/>
        </w:rPr>
        <w:t>first-instance</w:t>
      </w:r>
      <w:r w:rsidR="00900061" w:rsidRPr="00E168A1">
        <w:rPr>
          <w:rFonts w:ascii="Times New Roman" w:hAnsi="Times New Roman"/>
        </w:rPr>
        <w:t xml:space="preserve"> </w:t>
      </w:r>
      <w:r w:rsidR="00AE54E5" w:rsidRPr="00E168A1">
        <w:rPr>
          <w:rFonts w:ascii="Times New Roman" w:hAnsi="Times New Roman"/>
        </w:rPr>
        <w:t>proceedings.</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PPL</w:t>
      </w:r>
      <w:r w:rsidR="00900061" w:rsidRPr="00E168A1">
        <w:rPr>
          <w:rFonts w:ascii="Times New Roman" w:hAnsi="Times New Roman"/>
        </w:rPr>
        <w:t xml:space="preserve"> </w:t>
      </w:r>
      <w:r w:rsidR="00AE54E5" w:rsidRPr="00E168A1">
        <w:rPr>
          <w:rFonts w:ascii="Times New Roman" w:hAnsi="Times New Roman"/>
        </w:rPr>
        <w:t>extends</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deadline</w:t>
      </w:r>
      <w:r w:rsidR="00900061" w:rsidRPr="00E168A1">
        <w:rPr>
          <w:rFonts w:ascii="Times New Roman" w:hAnsi="Times New Roman"/>
        </w:rPr>
        <w:t xml:space="preserve"> </w:t>
      </w:r>
      <w:r w:rsidR="00AE54E5" w:rsidRPr="00E168A1">
        <w:rPr>
          <w:rFonts w:ascii="Times New Roman" w:hAnsi="Times New Roman"/>
        </w:rPr>
        <w:t>for</w:t>
      </w:r>
      <w:r w:rsidR="00900061" w:rsidRPr="00E168A1">
        <w:rPr>
          <w:rFonts w:ascii="Times New Roman" w:hAnsi="Times New Roman"/>
        </w:rPr>
        <w:t xml:space="preserve"> </w:t>
      </w:r>
      <w:r w:rsidR="00AE54E5" w:rsidRPr="00E168A1">
        <w:rPr>
          <w:rFonts w:ascii="Times New Roman" w:hAnsi="Times New Roman"/>
        </w:rPr>
        <w:t>misdemeanour</w:t>
      </w:r>
      <w:r w:rsidR="00900061" w:rsidRPr="00E168A1">
        <w:rPr>
          <w:rFonts w:ascii="Times New Roman" w:hAnsi="Times New Roman"/>
        </w:rPr>
        <w:t xml:space="preserve"> </w:t>
      </w:r>
      <w:r w:rsidR="00AE54E5" w:rsidRPr="00E168A1">
        <w:rPr>
          <w:rFonts w:ascii="Times New Roman" w:hAnsi="Times New Roman"/>
        </w:rPr>
        <w:t>cases</w:t>
      </w:r>
      <w:r w:rsidR="00900061" w:rsidRPr="00E168A1">
        <w:rPr>
          <w:rFonts w:ascii="Times New Roman" w:hAnsi="Times New Roman"/>
        </w:rPr>
        <w:t xml:space="preserve"> </w:t>
      </w:r>
      <w:r w:rsidR="00AE54E5" w:rsidRPr="00E168A1">
        <w:rPr>
          <w:rFonts w:ascii="Times New Roman" w:hAnsi="Times New Roman"/>
        </w:rPr>
        <w:t>in</w:t>
      </w:r>
      <w:r w:rsidR="00900061" w:rsidRPr="00E168A1">
        <w:rPr>
          <w:rFonts w:ascii="Times New Roman" w:hAnsi="Times New Roman"/>
        </w:rPr>
        <w:t xml:space="preserve"> </w:t>
      </w:r>
      <w:r w:rsidR="00AE54E5" w:rsidRPr="00E168A1">
        <w:rPr>
          <w:rFonts w:ascii="Times New Roman" w:hAnsi="Times New Roman"/>
        </w:rPr>
        <w:t>public</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00AE54E5" w:rsidRPr="00E168A1">
        <w:rPr>
          <w:rFonts w:ascii="Times New Roman" w:hAnsi="Times New Roman"/>
        </w:rPr>
        <w:t>to</w:t>
      </w:r>
      <w:r w:rsidR="00900061" w:rsidRPr="00E168A1">
        <w:rPr>
          <w:rFonts w:ascii="Times New Roman" w:hAnsi="Times New Roman"/>
        </w:rPr>
        <w:t xml:space="preserve"> </w:t>
      </w:r>
      <w:r w:rsidR="00AE54E5" w:rsidRPr="00E168A1">
        <w:rPr>
          <w:rFonts w:ascii="Times New Roman" w:hAnsi="Times New Roman"/>
        </w:rPr>
        <w:t>three</w:t>
      </w:r>
      <w:r w:rsidR="00900061" w:rsidRPr="00E168A1">
        <w:rPr>
          <w:rFonts w:ascii="Times New Roman" w:hAnsi="Times New Roman"/>
        </w:rPr>
        <w:t xml:space="preserve"> </w:t>
      </w:r>
      <w:r w:rsidR="00AE54E5" w:rsidRPr="00E168A1">
        <w:rPr>
          <w:rFonts w:ascii="Times New Roman" w:hAnsi="Times New Roman"/>
        </w:rPr>
        <w:t>years</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date</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commission</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infringement.</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PPO</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RC</w:t>
      </w:r>
      <w:r w:rsidR="00900061" w:rsidRPr="00E168A1">
        <w:rPr>
          <w:rFonts w:ascii="Times New Roman" w:hAnsi="Times New Roman"/>
        </w:rPr>
        <w:t xml:space="preserve"> </w:t>
      </w:r>
      <w:r w:rsidR="00AE54E5" w:rsidRPr="00E168A1">
        <w:rPr>
          <w:rFonts w:ascii="Times New Roman" w:hAnsi="Times New Roman"/>
        </w:rPr>
        <w:t>can</w:t>
      </w:r>
      <w:r w:rsidR="00900061" w:rsidRPr="00E168A1">
        <w:rPr>
          <w:rFonts w:ascii="Times New Roman" w:hAnsi="Times New Roman"/>
        </w:rPr>
        <w:t xml:space="preserve"> </w:t>
      </w:r>
      <w:r w:rsidR="00AE54E5" w:rsidRPr="00E168A1">
        <w:rPr>
          <w:rFonts w:ascii="Times New Roman" w:hAnsi="Times New Roman"/>
        </w:rPr>
        <w:t>also</w:t>
      </w:r>
      <w:r w:rsidR="00900061" w:rsidRPr="00E168A1">
        <w:rPr>
          <w:rFonts w:ascii="Times New Roman" w:hAnsi="Times New Roman"/>
        </w:rPr>
        <w:t xml:space="preserve"> </w:t>
      </w:r>
      <w:r w:rsidR="00AE54E5" w:rsidRPr="00E168A1">
        <w:rPr>
          <w:rFonts w:ascii="Times New Roman" w:hAnsi="Times New Roman"/>
        </w:rPr>
        <w:t>initiate</w:t>
      </w:r>
      <w:r w:rsidR="00900061" w:rsidRPr="00E168A1">
        <w:rPr>
          <w:rFonts w:ascii="Times New Roman" w:hAnsi="Times New Roman"/>
        </w:rPr>
        <w:t xml:space="preserve"> </w:t>
      </w:r>
      <w:r w:rsidR="00AE54E5" w:rsidRPr="00E168A1">
        <w:rPr>
          <w:rFonts w:ascii="Times New Roman" w:hAnsi="Times New Roman"/>
        </w:rPr>
        <w:t>proceedings</w:t>
      </w:r>
      <w:r w:rsidR="00900061" w:rsidRPr="00E168A1">
        <w:rPr>
          <w:rFonts w:ascii="Times New Roman" w:hAnsi="Times New Roman"/>
        </w:rPr>
        <w:t xml:space="preserve"> </w:t>
      </w:r>
      <w:r w:rsidR="00AE54E5" w:rsidRPr="00E168A1">
        <w:rPr>
          <w:rFonts w:ascii="Times New Roman" w:hAnsi="Times New Roman"/>
        </w:rPr>
        <w:t>to</w:t>
      </w:r>
      <w:r w:rsidR="00900061" w:rsidRPr="00E168A1">
        <w:rPr>
          <w:rFonts w:ascii="Times New Roman" w:hAnsi="Times New Roman"/>
        </w:rPr>
        <w:t xml:space="preserve"> </w:t>
      </w:r>
      <w:r w:rsidR="00AE54E5" w:rsidRPr="00E168A1">
        <w:rPr>
          <w:rFonts w:ascii="Times New Roman" w:hAnsi="Times New Roman"/>
        </w:rPr>
        <w:t>annul</w:t>
      </w:r>
      <w:r w:rsidR="00900061" w:rsidRPr="00E168A1">
        <w:rPr>
          <w:rFonts w:ascii="Times New Roman" w:hAnsi="Times New Roman"/>
        </w:rPr>
        <w:t xml:space="preserve"> </w:t>
      </w:r>
      <w:r w:rsidR="00AE54E5" w:rsidRPr="00E168A1">
        <w:rPr>
          <w:rFonts w:ascii="Times New Roman" w:hAnsi="Times New Roman"/>
        </w:rPr>
        <w:t>public</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00AE54E5" w:rsidRPr="00E168A1">
        <w:rPr>
          <w:rFonts w:ascii="Times New Roman" w:hAnsi="Times New Roman"/>
        </w:rPr>
        <w:t>contracts</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pronounce</w:t>
      </w:r>
      <w:r w:rsidR="00900061" w:rsidRPr="00E168A1">
        <w:rPr>
          <w:rFonts w:ascii="Times New Roman" w:hAnsi="Times New Roman"/>
        </w:rPr>
        <w:t xml:space="preserve"> </w:t>
      </w:r>
      <w:r w:rsidR="00AE54E5" w:rsidRPr="00E168A1">
        <w:rPr>
          <w:rFonts w:ascii="Times New Roman" w:hAnsi="Times New Roman"/>
        </w:rPr>
        <w:t>fines.</w:t>
      </w:r>
      <w:r w:rsidR="00900061" w:rsidRPr="00E168A1">
        <w:rPr>
          <w:rFonts w:ascii="Times New Roman" w:hAnsi="Times New Roman"/>
        </w:rPr>
        <w:t xml:space="preserve"> </w:t>
      </w:r>
      <w:bookmarkStart w:id="33" w:name="_Toc414371995"/>
    </w:p>
    <w:p w14:paraId="2E3672F5" w14:textId="1D35E922" w:rsidR="00AE54E5"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includes</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separate</w:t>
      </w:r>
      <w:r w:rsidR="00900061" w:rsidRPr="00E168A1">
        <w:rPr>
          <w:rFonts w:ascii="Times New Roman" w:hAnsi="Times New Roman"/>
          <w:b/>
        </w:rPr>
        <w:t xml:space="preserve"> </w:t>
      </w:r>
      <w:r w:rsidRPr="00E168A1">
        <w:rPr>
          <w:rFonts w:ascii="Times New Roman" w:hAnsi="Times New Roman"/>
          <w:b/>
        </w:rPr>
        <w:t>chapter</w:t>
      </w:r>
      <w:r w:rsidR="00900061" w:rsidRPr="00E168A1">
        <w:rPr>
          <w:rFonts w:ascii="Times New Roman" w:hAnsi="Times New Roman"/>
          <w:b/>
        </w:rPr>
        <w:t xml:space="preserve"> </w:t>
      </w:r>
      <w:r w:rsidRPr="00E168A1">
        <w:rPr>
          <w:rFonts w:ascii="Times New Roman" w:hAnsi="Times New Roman"/>
          <w:b/>
        </w:rPr>
        <w:t>dedicated</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prevention</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corruption</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conflict</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interest</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rPr>
        <w:t xml:space="preserve"> </w:t>
      </w:r>
      <w:r w:rsidRPr="00E168A1">
        <w:rPr>
          <w:rFonts w:ascii="Times New Roman" w:hAnsi="Times New Roman"/>
        </w:rPr>
        <w:t>including</w:t>
      </w:r>
      <w:r w:rsidR="00900061" w:rsidRPr="00E168A1">
        <w:rPr>
          <w:rFonts w:ascii="Times New Roman" w:hAnsi="Times New Roman"/>
        </w:rPr>
        <w:t xml:space="preserve"> </w:t>
      </w:r>
    </w:p>
    <w:p w14:paraId="79E4F286" w14:textId="2CD8703E" w:rsidR="00AE54E5" w:rsidRPr="00E168A1" w:rsidRDefault="00A277AF" w:rsidP="00220F7E">
      <w:pPr>
        <w:pStyle w:val="NoSpacing"/>
        <w:numPr>
          <w:ilvl w:val="0"/>
          <w:numId w:val="22"/>
        </w:numPr>
        <w:spacing w:after="120"/>
        <w:ind w:hanging="270"/>
        <w:rPr>
          <w:rFonts w:ascii="Times New Roman" w:hAnsi="Times New Roman" w:cs="Times New Roman"/>
          <w:noProof/>
          <w:color w:val="000000"/>
          <w:sz w:val="24"/>
          <w:szCs w:val="24"/>
        </w:rPr>
      </w:pPr>
      <w:r w:rsidRPr="00E168A1">
        <w:rPr>
          <w:rFonts w:ascii="Times New Roman" w:hAnsi="Times New Roman" w:cs="Times New Roman"/>
          <w:noProof/>
          <w:color w:val="000000"/>
          <w:sz w:val="24"/>
          <w:szCs w:val="24"/>
        </w:rPr>
        <w:t>t</w:t>
      </w:r>
      <w:r w:rsidR="00AE54E5" w:rsidRPr="00E168A1">
        <w:rPr>
          <w:rFonts w:ascii="Times New Roman" w:hAnsi="Times New Roman" w:cs="Times New Roman"/>
          <w:noProof/>
          <w:color w:val="000000"/>
          <w:sz w:val="24"/>
          <w:szCs w:val="24"/>
        </w:rPr>
        <w: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every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contracting</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authority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pass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internal</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act</w:t>
      </w:r>
      <w:r w:rsidR="008712A4" w:rsidRPr="00E168A1">
        <w:rPr>
          <w:rFonts w:ascii="Times New Roman" w:hAnsi="Times New Roman" w:cs="Times New Roman"/>
          <w:noProof/>
          <w:color w:val="000000"/>
          <w:sz w:val="24"/>
          <w:szCs w:val="24"/>
        </w:rPr>
        <w: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which</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regulates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detail</w:t>
      </w:r>
      <w:r w:rsidR="003C4237" w:rsidRPr="00E168A1">
        <w:rPr>
          <w:rFonts w:ascii="Times New Roman" w:hAnsi="Times New Roman" w:cs="Times New Roman"/>
          <w:noProof/>
          <w:color w:val="000000"/>
          <w:sz w:val="24"/>
          <w:szCs w:val="24"/>
        </w:rPr>
        <w:t xml:space="preserve"> 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manner</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planning</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public</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procurement,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conduct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procedures,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implementation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contract</w:t>
      </w:r>
      <w:r w:rsidR="00EC0220" w:rsidRPr="00E168A1">
        <w:rPr>
          <w:rFonts w:ascii="Times New Roman" w:hAnsi="Times New Roman" w:cs="Times New Roman"/>
          <w:noProof/>
          <w:color w:val="000000"/>
          <w:sz w:val="24"/>
          <w:szCs w:val="24"/>
        </w:rPr>
        <w: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oversight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public</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procurement;</w:t>
      </w:r>
    </w:p>
    <w:p w14:paraId="5F38F07F" w14:textId="0656CB4D" w:rsidR="00AE54E5" w:rsidRPr="00E168A1" w:rsidRDefault="00180987" w:rsidP="00220F7E">
      <w:pPr>
        <w:pStyle w:val="NoSpacing"/>
        <w:numPr>
          <w:ilvl w:val="0"/>
          <w:numId w:val="22"/>
        </w:numPr>
        <w:spacing w:after="120"/>
        <w:ind w:hanging="270"/>
        <w:rPr>
          <w:rFonts w:ascii="Times New Roman" w:hAnsi="Times New Roman" w:cs="Times New Roman"/>
          <w:noProof/>
          <w:color w:val="000000"/>
          <w:sz w:val="24"/>
          <w:szCs w:val="24"/>
        </w:rPr>
      </w:pPr>
      <w:r w:rsidRPr="00E168A1">
        <w:rPr>
          <w:rFonts w:ascii="Times New Roman" w:hAnsi="Times New Roman" w:cs="Times New Roman"/>
          <w:noProof/>
          <w:color w:val="000000"/>
          <w:sz w:val="24"/>
          <w:szCs w:val="24"/>
        </w:rPr>
        <w:t>p</w:t>
      </w:r>
      <w:r w:rsidR="00AE54E5" w:rsidRPr="00E168A1">
        <w:rPr>
          <w:rFonts w:ascii="Times New Roman" w:hAnsi="Times New Roman" w:cs="Times New Roman"/>
          <w:noProof/>
          <w:color w:val="000000"/>
          <w:sz w:val="24"/>
          <w:szCs w:val="24"/>
        </w:rPr>
        <w:t>rotection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integrity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procedure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excluding</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all</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persons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who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were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involved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preparation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public</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procurement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from</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eligibility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bidders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contracting</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authorities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reject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bids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such</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cases;</w:t>
      </w:r>
    </w:p>
    <w:p w14:paraId="266F0EAE" w14:textId="43AF9057" w:rsidR="00AE54E5" w:rsidRPr="00E168A1" w:rsidRDefault="0017105B" w:rsidP="00220F7E">
      <w:pPr>
        <w:pStyle w:val="NoSpacing"/>
        <w:numPr>
          <w:ilvl w:val="0"/>
          <w:numId w:val="22"/>
        </w:numPr>
        <w:spacing w:after="120"/>
        <w:ind w:hanging="270"/>
        <w:rPr>
          <w:rFonts w:ascii="Times New Roman" w:hAnsi="Times New Roman" w:cs="Times New Roman"/>
          <w:noProof/>
          <w:color w:val="000000"/>
          <w:sz w:val="24"/>
          <w:szCs w:val="24"/>
        </w:rPr>
      </w:pPr>
      <w:r w:rsidRPr="00E168A1">
        <w:rPr>
          <w:rFonts w:ascii="Times New Roman" w:hAnsi="Times New Roman" w:cs="Times New Roman"/>
          <w:noProof/>
          <w:color w:val="000000"/>
          <w:sz w:val="24"/>
          <w:szCs w:val="24"/>
        </w:rPr>
        <w:t>t</w:t>
      </w:r>
      <w:r w:rsidR="00AE54E5" w:rsidRPr="00E168A1">
        <w:rPr>
          <w:rFonts w:ascii="Times New Roman" w:hAnsi="Times New Roman" w:cs="Times New Roman"/>
          <w:noProof/>
          <w:color w:val="000000"/>
          <w:sz w:val="24"/>
          <w:szCs w:val="24"/>
        </w:rPr>
        <w: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report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corruption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5F3BAA" w:rsidRPr="00E168A1">
        <w:rPr>
          <w:rFonts w:ascii="Times New Roman" w:hAnsi="Times New Roman" w:cs="Times New Roman"/>
          <w:noProof/>
          <w:color w:val="000000"/>
          <w:sz w:val="24"/>
          <w:szCs w:val="24"/>
        </w:rPr>
        <w:t>PPO</w:t>
      </w:r>
      <w:r w:rsidR="00AE54E5" w:rsidRPr="00E168A1">
        <w:rPr>
          <w:rFonts w:ascii="Times New Roman" w:hAnsi="Times New Roman" w:cs="Times New Roman"/>
          <w:noProof/>
          <w:color w:val="000000"/>
          <w:sz w:val="24"/>
          <w:szCs w:val="24"/>
        </w:rPr>
        <w: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Anti</w:t>
      </w:r>
      <w:r w:rsidR="000B1CA6" w:rsidRPr="00E168A1">
        <w:rPr>
          <w:rFonts w:ascii="Times New Roman" w:hAnsi="Times New Roman" w:cs="Times New Roman"/>
          <w:noProof/>
          <w:color w:val="000000"/>
          <w:sz w:val="24"/>
          <w:szCs w:val="24"/>
        </w:rPr>
        <w:t>c</w:t>
      </w:r>
      <w:r w:rsidR="00AE54E5" w:rsidRPr="00E168A1">
        <w:rPr>
          <w:rFonts w:ascii="Times New Roman" w:hAnsi="Times New Roman" w:cs="Times New Roman"/>
          <w:noProof/>
          <w:color w:val="000000"/>
          <w:sz w:val="24"/>
          <w:szCs w:val="24"/>
        </w:rPr>
        <w:t>orruption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Agency</w:t>
      </w:r>
      <w:r w:rsidR="008712A4" w:rsidRPr="00E168A1">
        <w:rPr>
          <w:rFonts w:ascii="Times New Roman" w:hAnsi="Times New Roman" w:cs="Times New Roman"/>
          <w:noProof/>
          <w:color w:val="000000"/>
          <w:sz w:val="24"/>
          <w:szCs w:val="24"/>
        </w:rPr>
        <w: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public</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prosecution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office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well</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provide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protection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persons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who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reported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sz w:val="24"/>
          <w:szCs w:val="24"/>
        </w:rPr>
        <w:t>corruption</w:t>
      </w:r>
      <w:r w:rsidR="00AE54E5" w:rsidRPr="00E168A1">
        <w:rPr>
          <w:rFonts w:ascii="Times New Roman" w:hAnsi="Times New Roman" w:cs="Times New Roman"/>
          <w:noProof/>
          <w:color w:val="000000"/>
          <w:sz w:val="24"/>
          <w:szCs w:val="24"/>
        </w:rPr>
        <w:t>;</w:t>
      </w:r>
    </w:p>
    <w:p w14:paraId="0D92FB30" w14:textId="41412D60" w:rsidR="00AE54E5" w:rsidRPr="00E168A1" w:rsidRDefault="009A63DB" w:rsidP="00220F7E">
      <w:pPr>
        <w:pStyle w:val="NoSpacing"/>
        <w:numPr>
          <w:ilvl w:val="0"/>
          <w:numId w:val="22"/>
        </w:numPr>
        <w:spacing w:after="120"/>
        <w:ind w:hanging="270"/>
        <w:rPr>
          <w:rFonts w:ascii="Times New Roman" w:hAnsi="Times New Roman" w:cs="Times New Roman"/>
          <w:noProof/>
          <w:color w:val="000000"/>
          <w:sz w:val="24"/>
          <w:szCs w:val="24"/>
        </w:rPr>
      </w:pPr>
      <w:r w:rsidRPr="00E168A1">
        <w:rPr>
          <w:rFonts w:ascii="Times New Roman" w:hAnsi="Times New Roman" w:cs="Times New Roman"/>
          <w:noProof/>
          <w:color w:val="000000"/>
          <w:sz w:val="24"/>
          <w:szCs w:val="24"/>
        </w:rPr>
        <w:t>t</w:t>
      </w:r>
      <w:r w:rsidR="00AE54E5" w:rsidRPr="00E168A1">
        <w:rPr>
          <w:rFonts w:ascii="Times New Roman" w:hAnsi="Times New Roman" w:cs="Times New Roman"/>
          <w:noProof/>
          <w:color w:val="000000"/>
          <w:sz w:val="24"/>
          <w:szCs w:val="24"/>
        </w:rPr>
        <w: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bidders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submit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Bidder’s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Statement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independent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report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violation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of</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competition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Competition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Commission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and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provide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protection</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persons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who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report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it;</w:t>
      </w:r>
      <w:r w:rsidR="007D3B5C" w:rsidRPr="00E168A1">
        <w:rPr>
          <w:rFonts w:ascii="Times New Roman" w:hAnsi="Times New Roman" w:cs="Times New Roman"/>
          <w:noProof/>
          <w:color w:val="000000"/>
          <w:sz w:val="24"/>
          <w:szCs w:val="24"/>
        </w:rPr>
        <w:t xml:space="preserve"> and</w:t>
      </w:r>
    </w:p>
    <w:p w14:paraId="5ABB08F9" w14:textId="7C76988F" w:rsidR="00AE54E5" w:rsidRPr="00E168A1" w:rsidRDefault="007D3B5C" w:rsidP="00220F7E">
      <w:pPr>
        <w:pStyle w:val="NoSpacing"/>
        <w:numPr>
          <w:ilvl w:val="0"/>
          <w:numId w:val="22"/>
        </w:numPr>
        <w:spacing w:after="120"/>
        <w:ind w:hanging="270"/>
        <w:rPr>
          <w:rFonts w:ascii="Times New Roman" w:hAnsi="Times New Roman" w:cs="Times New Roman"/>
          <w:noProof/>
          <w:color w:val="000000"/>
          <w:sz w:val="24"/>
          <w:szCs w:val="24"/>
        </w:rPr>
      </w:pPr>
      <w:r w:rsidRPr="00E168A1">
        <w:rPr>
          <w:rFonts w:ascii="Times New Roman" w:hAnsi="Times New Roman" w:cs="Times New Roman"/>
          <w:noProof/>
          <w:color w:val="000000"/>
          <w:sz w:val="24"/>
          <w:szCs w:val="24"/>
        </w:rPr>
        <w:t>t</w:t>
      </w:r>
      <w:r w:rsidR="00AE54E5" w:rsidRPr="00E168A1">
        <w:rPr>
          <w:rFonts w:ascii="Times New Roman" w:hAnsi="Times New Roman" w:cs="Times New Roman"/>
          <w:noProof/>
          <w:color w:val="000000"/>
          <w:sz w:val="24"/>
          <w:szCs w:val="24"/>
        </w:rPr>
        <w:t>he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duty</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to</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appoint</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civil</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supervisor</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for</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all</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procurements</w:t>
      </w:r>
      <w:r w:rsidR="00900061" w:rsidRPr="00E168A1">
        <w:rPr>
          <w:rFonts w:ascii="Times New Roman" w:hAnsi="Times New Roman" w:cs="Times New Roman"/>
          <w:noProof/>
          <w:color w:val="000000"/>
          <w:sz w:val="24"/>
          <w:szCs w:val="24"/>
        </w:rPr>
        <w:t xml:space="preserve"> </w:t>
      </w:r>
      <w:r w:rsidR="0085657E" w:rsidRPr="00E168A1">
        <w:rPr>
          <w:rFonts w:ascii="Times New Roman" w:hAnsi="Times New Roman" w:cs="Times New Roman"/>
          <w:noProof/>
          <w:color w:val="000000"/>
          <w:sz w:val="24"/>
          <w:szCs w:val="24"/>
        </w:rPr>
        <w:t xml:space="preserve">for </w:t>
      </w:r>
      <w:r w:rsidR="00AE54E5" w:rsidRPr="00E168A1">
        <w:rPr>
          <w:rFonts w:ascii="Times New Roman" w:hAnsi="Times New Roman" w:cs="Times New Roman"/>
          <w:noProof/>
          <w:color w:val="000000"/>
          <w:sz w:val="24"/>
          <w:szCs w:val="24"/>
        </w:rPr>
        <w:t>which</w:t>
      </w:r>
      <w:r w:rsidR="00900061" w:rsidRPr="00E168A1">
        <w:rPr>
          <w:rFonts w:ascii="Times New Roman" w:hAnsi="Times New Roman" w:cs="Times New Roman"/>
          <w:noProof/>
          <w:color w:val="000000"/>
          <w:sz w:val="24"/>
          <w:szCs w:val="24"/>
        </w:rPr>
        <w:t xml:space="preserve"> </w:t>
      </w:r>
      <w:r w:rsidR="0085657E" w:rsidRPr="00E168A1">
        <w:rPr>
          <w:rFonts w:ascii="Times New Roman" w:hAnsi="Times New Roman" w:cs="Times New Roman"/>
          <w:noProof/>
          <w:color w:val="000000"/>
          <w:sz w:val="24"/>
          <w:szCs w:val="24"/>
        </w:rPr>
        <w:t xml:space="preserve">the </w:t>
      </w:r>
      <w:r w:rsidR="00AE54E5" w:rsidRPr="00E168A1">
        <w:rPr>
          <w:rFonts w:ascii="Times New Roman" w:hAnsi="Times New Roman" w:cs="Times New Roman"/>
          <w:noProof/>
          <w:color w:val="000000"/>
          <w:sz w:val="24"/>
          <w:szCs w:val="24"/>
        </w:rPr>
        <w:t>estimated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value</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exceeds</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RSD</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1</w:t>
      </w:r>
      <w:r w:rsidR="00900061" w:rsidRPr="00E168A1">
        <w:rPr>
          <w:rFonts w:ascii="Times New Roman" w:hAnsi="Times New Roman" w:cs="Times New Roman"/>
          <w:noProof/>
          <w:color w:val="000000"/>
          <w:sz w:val="24"/>
          <w:szCs w:val="24"/>
        </w:rPr>
        <w:t xml:space="preserve"> </w:t>
      </w:r>
      <w:r w:rsidR="00AE54E5" w:rsidRPr="00E168A1">
        <w:rPr>
          <w:rFonts w:ascii="Times New Roman" w:hAnsi="Times New Roman" w:cs="Times New Roman"/>
          <w:noProof/>
          <w:color w:val="000000"/>
          <w:sz w:val="24"/>
          <w:szCs w:val="24"/>
        </w:rPr>
        <w:t>billion.</w:t>
      </w:r>
    </w:p>
    <w:p w14:paraId="54541C8F" w14:textId="609E07F4" w:rsidR="00AE54E5" w:rsidRPr="00E168A1" w:rsidRDefault="00AE54E5" w:rsidP="00220F7E">
      <w:pPr>
        <w:pStyle w:val="Heading2"/>
        <w:spacing w:before="120" w:after="120" w:line="240" w:lineRule="auto"/>
        <w:ind w:left="0" w:firstLine="0"/>
      </w:pPr>
      <w:bookmarkStart w:id="34" w:name="_Toc305833856"/>
      <w:bookmarkStart w:id="35" w:name="_Toc442428964"/>
      <w:r w:rsidRPr="00E168A1">
        <w:t>Civil</w:t>
      </w:r>
      <w:r w:rsidR="00900061" w:rsidRPr="00E168A1">
        <w:t xml:space="preserve"> </w:t>
      </w:r>
      <w:r w:rsidR="001C207D" w:rsidRPr="00E168A1">
        <w:t>S</w:t>
      </w:r>
      <w:r w:rsidRPr="00E168A1">
        <w:t>upervision</w:t>
      </w:r>
      <w:r w:rsidR="00900061" w:rsidRPr="00E168A1">
        <w:t xml:space="preserve"> </w:t>
      </w:r>
      <w:r w:rsidRPr="00E168A1">
        <w:t>of</w:t>
      </w:r>
      <w:r w:rsidR="00900061" w:rsidRPr="00E168A1">
        <w:t xml:space="preserve"> </w:t>
      </w:r>
      <w:r w:rsidR="001C207D" w:rsidRPr="00E168A1">
        <w:t>P</w:t>
      </w:r>
      <w:r w:rsidRPr="00E168A1">
        <w:t>rocurement</w:t>
      </w:r>
      <w:r w:rsidR="00900061" w:rsidRPr="00E168A1">
        <w:t xml:space="preserve"> </w:t>
      </w:r>
      <w:r w:rsidR="001C207D" w:rsidRPr="00E168A1">
        <w:t>P</w:t>
      </w:r>
      <w:r w:rsidRPr="00E168A1">
        <w:t>rocesses</w:t>
      </w:r>
      <w:bookmarkEnd w:id="34"/>
      <w:bookmarkEnd w:id="35"/>
    </w:p>
    <w:p w14:paraId="39D88D90" w14:textId="4BC00ACB" w:rsidR="00CF175C"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PPL</w:t>
      </w:r>
      <w:r w:rsidR="00900061" w:rsidRPr="00E168A1">
        <w:rPr>
          <w:rFonts w:ascii="Times New Roman" w:hAnsi="Times New Roman"/>
          <w:b/>
        </w:rPr>
        <w:t xml:space="preserve"> </w:t>
      </w:r>
      <w:r w:rsidRPr="00E168A1">
        <w:rPr>
          <w:rFonts w:ascii="Times New Roman" w:hAnsi="Times New Roman"/>
          <w:b/>
        </w:rPr>
        <w:t>mandates</w:t>
      </w:r>
      <w:r w:rsidR="00900061" w:rsidRPr="00E168A1">
        <w:rPr>
          <w:rFonts w:ascii="Times New Roman" w:hAnsi="Times New Roman"/>
          <w:b/>
        </w:rPr>
        <w:t xml:space="preserve"> </w:t>
      </w:r>
      <w:r w:rsidRPr="00E168A1">
        <w:rPr>
          <w:rFonts w:ascii="Times New Roman" w:hAnsi="Times New Roman"/>
          <w:b/>
        </w:rPr>
        <w:t>monitoring</w:t>
      </w:r>
      <w:r w:rsidR="00900061" w:rsidRPr="00E168A1">
        <w:rPr>
          <w:rFonts w:ascii="Times New Roman" w:hAnsi="Times New Roman"/>
          <w:b/>
        </w:rPr>
        <w:t xml:space="preserve"> </w:t>
      </w:r>
      <w:r w:rsidRPr="00E168A1">
        <w:rPr>
          <w:rFonts w:ascii="Times New Roman" w:hAnsi="Times New Roman"/>
          <w:b/>
        </w:rPr>
        <w:t>by</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civil</w:t>
      </w:r>
      <w:r w:rsidR="00900061" w:rsidRPr="00E168A1">
        <w:rPr>
          <w:rFonts w:ascii="Times New Roman" w:hAnsi="Times New Roman"/>
          <w:b/>
        </w:rPr>
        <w:t xml:space="preserve"> </w:t>
      </w:r>
      <w:r w:rsidRPr="00E168A1">
        <w:rPr>
          <w:rFonts w:ascii="Times New Roman" w:hAnsi="Times New Roman"/>
          <w:b/>
        </w:rPr>
        <w:t>supervisor</w:t>
      </w:r>
      <w:r w:rsidR="00900061" w:rsidRPr="00E168A1">
        <w:rPr>
          <w:rFonts w:ascii="Times New Roman" w:hAnsi="Times New Roman"/>
          <w:b/>
        </w:rPr>
        <w:t xml:space="preserve"> </w:t>
      </w:r>
      <w:r w:rsidRPr="00E168A1">
        <w:rPr>
          <w:rFonts w:ascii="Times New Roman" w:hAnsi="Times New Roman"/>
          <w:b/>
        </w:rPr>
        <w:t>whenever</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estimated</w:t>
      </w:r>
      <w:r w:rsidR="00900061" w:rsidRPr="00E168A1">
        <w:rPr>
          <w:rFonts w:ascii="Times New Roman" w:hAnsi="Times New Roman"/>
          <w:b/>
        </w:rPr>
        <w:t xml:space="preserve"> </w:t>
      </w:r>
      <w:r w:rsidRPr="00E168A1">
        <w:rPr>
          <w:rFonts w:ascii="Times New Roman" w:hAnsi="Times New Roman"/>
          <w:b/>
        </w:rPr>
        <w:t>cost</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procedure</w:t>
      </w:r>
      <w:r w:rsidR="00900061" w:rsidRPr="00E168A1">
        <w:rPr>
          <w:rFonts w:ascii="Times New Roman" w:hAnsi="Times New Roman"/>
          <w:b/>
        </w:rPr>
        <w:t xml:space="preserve"> </w:t>
      </w:r>
      <w:r w:rsidRPr="00E168A1">
        <w:rPr>
          <w:rFonts w:ascii="Times New Roman" w:hAnsi="Times New Roman"/>
          <w:b/>
        </w:rPr>
        <w:t>exceeds</w:t>
      </w:r>
      <w:r w:rsidR="00900061" w:rsidRPr="00E168A1">
        <w:rPr>
          <w:rFonts w:ascii="Times New Roman" w:hAnsi="Times New Roman"/>
          <w:b/>
        </w:rPr>
        <w:t xml:space="preserve"> </w:t>
      </w:r>
      <w:r w:rsidRPr="00E168A1">
        <w:rPr>
          <w:rFonts w:ascii="Times New Roman" w:hAnsi="Times New Roman"/>
          <w:b/>
        </w:rPr>
        <w:t>RSD</w:t>
      </w:r>
      <w:r w:rsidR="00900061" w:rsidRPr="00E168A1">
        <w:rPr>
          <w:rFonts w:ascii="Times New Roman" w:hAnsi="Times New Roman"/>
          <w:b/>
        </w:rPr>
        <w:t xml:space="preserve"> </w:t>
      </w:r>
      <w:r w:rsidRPr="00E168A1">
        <w:rPr>
          <w:rFonts w:ascii="Times New Roman" w:hAnsi="Times New Roman"/>
          <w:b/>
        </w:rPr>
        <w:t>1</w:t>
      </w:r>
      <w:r w:rsidR="00900061" w:rsidRPr="00E168A1">
        <w:rPr>
          <w:rFonts w:ascii="Times New Roman" w:hAnsi="Times New Roman"/>
          <w:b/>
        </w:rPr>
        <w:t xml:space="preserve"> </w:t>
      </w:r>
      <w:r w:rsidRPr="00E168A1">
        <w:rPr>
          <w:rFonts w:ascii="Times New Roman" w:hAnsi="Times New Roman"/>
          <w:b/>
        </w:rPr>
        <w:t>billion</w:t>
      </w:r>
      <w:r w:rsidR="00900061" w:rsidRPr="00E168A1">
        <w:rPr>
          <w:rFonts w:ascii="Times New Roman" w:hAnsi="Times New Roman"/>
          <w:b/>
        </w:rPr>
        <w:t xml:space="preserve"> </w:t>
      </w:r>
      <w:r w:rsidRPr="00E168A1">
        <w:rPr>
          <w:rFonts w:ascii="Times New Roman" w:hAnsi="Times New Roman"/>
          <w:b/>
        </w:rPr>
        <w:t>(approximately</w:t>
      </w:r>
      <w:r w:rsidR="00900061" w:rsidRPr="00E168A1">
        <w:rPr>
          <w:rFonts w:ascii="Times New Roman" w:hAnsi="Times New Roman"/>
          <w:b/>
        </w:rPr>
        <w:t xml:space="preserve"> </w:t>
      </w:r>
      <w:r w:rsidR="00B71C7F" w:rsidRPr="00E168A1">
        <w:rPr>
          <w:rFonts w:ascii="Times New Roman" w:hAnsi="Times New Roman"/>
        </w:rPr>
        <w:t>€</w:t>
      </w:r>
      <w:r w:rsidRPr="00E168A1">
        <w:rPr>
          <w:rFonts w:ascii="Times New Roman" w:hAnsi="Times New Roman"/>
          <w:b/>
        </w:rPr>
        <w:t>8.5</w:t>
      </w:r>
      <w:r w:rsidR="00900061" w:rsidRPr="00E168A1">
        <w:rPr>
          <w:rFonts w:ascii="Times New Roman" w:hAnsi="Times New Roman"/>
          <w:b/>
        </w:rPr>
        <w:t xml:space="preserve"> </w:t>
      </w:r>
      <w:r w:rsidRPr="00E168A1">
        <w:rPr>
          <w:rFonts w:ascii="Times New Roman" w:hAnsi="Times New Roman"/>
          <w:b/>
        </w:rPr>
        <w:t>million).</w:t>
      </w:r>
      <w:r w:rsidR="00900061" w:rsidRPr="00E168A1">
        <w:rPr>
          <w:rFonts w:ascii="Times New Roman" w:hAnsi="Times New Roman"/>
        </w:rPr>
        <w:t xml:space="preserve"> </w:t>
      </w:r>
      <w:r w:rsidRPr="00E168A1">
        <w:rPr>
          <w:rFonts w:ascii="Times New Roman" w:hAnsi="Times New Roman"/>
        </w:rPr>
        <w:t>Civil</w:t>
      </w:r>
      <w:r w:rsidR="00900061" w:rsidRPr="00E168A1">
        <w:rPr>
          <w:rFonts w:ascii="Times New Roman" w:hAnsi="Times New Roman"/>
        </w:rPr>
        <w:t xml:space="preserve"> </w:t>
      </w:r>
      <w:r w:rsidRPr="00E168A1">
        <w:rPr>
          <w:rFonts w:ascii="Times New Roman" w:hAnsi="Times New Roman"/>
        </w:rPr>
        <w:t>supervisors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appointed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case-by-case</w:t>
      </w:r>
      <w:r w:rsidR="00900061" w:rsidRPr="00E168A1">
        <w:rPr>
          <w:rFonts w:ascii="Times New Roman" w:hAnsi="Times New Roman"/>
        </w:rPr>
        <w:t xml:space="preserve"> </w:t>
      </w:r>
      <w:r w:rsidRPr="00E168A1">
        <w:rPr>
          <w:rFonts w:ascii="Times New Roman" w:hAnsi="Times New Roman"/>
        </w:rPr>
        <w:t>basis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receive</w:t>
      </w:r>
      <w:r w:rsidR="00900061" w:rsidRPr="00E168A1">
        <w:rPr>
          <w:rFonts w:ascii="Times New Roman" w:hAnsi="Times New Roman"/>
        </w:rPr>
        <w:t xml:space="preserve"> </w:t>
      </w:r>
      <w:r w:rsidRPr="00E168A1">
        <w:rPr>
          <w:rFonts w:ascii="Times New Roman" w:hAnsi="Times New Roman"/>
        </w:rPr>
        <w:t>no</w:t>
      </w:r>
      <w:r w:rsidR="00900061" w:rsidRPr="00E168A1">
        <w:rPr>
          <w:rFonts w:ascii="Times New Roman" w:hAnsi="Times New Roman"/>
        </w:rPr>
        <w:t xml:space="preserve"> </w:t>
      </w:r>
      <w:r w:rsidRPr="00E168A1">
        <w:rPr>
          <w:rFonts w:ascii="Times New Roman" w:hAnsi="Times New Roman"/>
        </w:rPr>
        <w:t>remuneration</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work,</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brings</w:t>
      </w:r>
      <w:r w:rsidR="00900061" w:rsidRPr="00E168A1">
        <w:rPr>
          <w:rFonts w:ascii="Times New Roman" w:hAnsi="Times New Roman"/>
        </w:rPr>
        <w:t xml:space="preserve"> </w:t>
      </w:r>
      <w:r w:rsidRPr="00E168A1">
        <w:rPr>
          <w:rFonts w:ascii="Times New Roman" w:hAnsi="Times New Roman"/>
        </w:rPr>
        <w:t>into</w:t>
      </w:r>
      <w:r w:rsidR="00900061" w:rsidRPr="00E168A1">
        <w:rPr>
          <w:rFonts w:ascii="Times New Roman" w:hAnsi="Times New Roman"/>
        </w:rPr>
        <w:t xml:space="preserve"> </w:t>
      </w:r>
      <w:r w:rsidRPr="00E168A1">
        <w:rPr>
          <w:rFonts w:ascii="Times New Roman" w:hAnsi="Times New Roman"/>
        </w:rPr>
        <w:t>question</w:t>
      </w:r>
      <w:r w:rsidR="000F7096" w:rsidRPr="00E168A1">
        <w:rPr>
          <w:rFonts w:ascii="Times New Roman" w:hAnsi="Times New Roman"/>
        </w:rPr>
        <w:t xml:space="preserve"> the</w:t>
      </w:r>
      <w:r w:rsidR="00900061" w:rsidRPr="00E168A1">
        <w:rPr>
          <w:rFonts w:ascii="Times New Roman" w:hAnsi="Times New Roman"/>
        </w:rPr>
        <w:t xml:space="preserve"> </w:t>
      </w:r>
      <w:r w:rsidRPr="00E168A1">
        <w:rPr>
          <w:rFonts w:ascii="Times New Roman" w:hAnsi="Times New Roman"/>
        </w:rPr>
        <w:t>sustainability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mechanism</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control.</w:t>
      </w:r>
      <w:r w:rsidR="00900061" w:rsidRPr="00E168A1">
        <w:rPr>
          <w:rFonts w:ascii="Times New Roman" w:hAnsi="Times New Roman"/>
        </w:rPr>
        <w:t xml:space="preserve"> </w:t>
      </w:r>
      <w:r w:rsidRPr="00E168A1">
        <w:rPr>
          <w:rFonts w:ascii="Times New Roman" w:hAnsi="Times New Roman"/>
        </w:rPr>
        <w:t>Persons</w:t>
      </w:r>
      <w:r w:rsidR="00900061" w:rsidRPr="00E168A1">
        <w:rPr>
          <w:rFonts w:ascii="Times New Roman" w:hAnsi="Times New Roman"/>
        </w:rPr>
        <w:t xml:space="preserve"> </w:t>
      </w:r>
      <w:r w:rsidRPr="00E168A1">
        <w:rPr>
          <w:rFonts w:ascii="Times New Roman" w:hAnsi="Times New Roman"/>
        </w:rPr>
        <w:t>eligible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appointed</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civil</w:t>
      </w:r>
      <w:r w:rsidR="00900061" w:rsidRPr="00E168A1">
        <w:rPr>
          <w:rFonts w:ascii="Times New Roman" w:hAnsi="Times New Roman"/>
        </w:rPr>
        <w:t xml:space="preserve"> </w:t>
      </w:r>
      <w:r w:rsidRPr="00E168A1">
        <w:rPr>
          <w:rFonts w:ascii="Times New Roman" w:hAnsi="Times New Roman"/>
        </w:rPr>
        <w:t>supervisors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prominent</w:t>
      </w:r>
      <w:r w:rsidR="00900061" w:rsidRPr="00E168A1">
        <w:rPr>
          <w:rFonts w:ascii="Times New Roman" w:hAnsi="Times New Roman"/>
        </w:rPr>
        <w:t xml:space="preserve"> </w:t>
      </w:r>
      <w:r w:rsidRPr="00E168A1">
        <w:rPr>
          <w:rFonts w:ascii="Times New Roman" w:hAnsi="Times New Roman"/>
        </w:rPr>
        <w:t>experts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organi</w:t>
      </w:r>
      <w:r w:rsidR="00EF1707" w:rsidRPr="00E168A1">
        <w:rPr>
          <w:rFonts w:ascii="Times New Roman" w:hAnsi="Times New Roman"/>
        </w:rPr>
        <w:t>z</w:t>
      </w:r>
      <w:r w:rsidRPr="00E168A1">
        <w:rPr>
          <w:rFonts w:ascii="Times New Roman" w:hAnsi="Times New Roman"/>
        </w:rPr>
        <w:t>ations</w:t>
      </w:r>
      <w:r w:rsidR="00900061" w:rsidRPr="00E168A1">
        <w:rPr>
          <w:rFonts w:ascii="Times New Roman" w:hAnsi="Times New Roman"/>
        </w:rPr>
        <w:t xml:space="preserve"> </w:t>
      </w:r>
      <w:r w:rsidRPr="00E168A1">
        <w:rPr>
          <w:rFonts w:ascii="Times New Roman" w:hAnsi="Times New Roman"/>
        </w:rPr>
        <w:t>dealing</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anticorruption</w:t>
      </w:r>
      <w:r w:rsidR="00722159"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prevention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conflicts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interest.</w:t>
      </w:r>
      <w:r w:rsidR="00900061" w:rsidRPr="00E168A1">
        <w:rPr>
          <w:rFonts w:ascii="Times New Roman" w:hAnsi="Times New Roman"/>
        </w:rPr>
        <w:t xml:space="preserve"> </w:t>
      </w:r>
      <w:r w:rsidRPr="00E168A1">
        <w:rPr>
          <w:rFonts w:ascii="Times New Roman" w:eastAsia="Times New Roman" w:hAnsi="Times New Roman"/>
        </w:rPr>
        <w:t>Neither</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person</w:t>
      </w:r>
      <w:r w:rsidR="00900061" w:rsidRPr="00E168A1">
        <w:rPr>
          <w:rFonts w:ascii="Times New Roman" w:eastAsia="Times New Roman" w:hAnsi="Times New Roman"/>
        </w:rPr>
        <w:t xml:space="preserve"> </w:t>
      </w:r>
      <w:r w:rsidRPr="00E168A1">
        <w:rPr>
          <w:rFonts w:ascii="Times New Roman" w:eastAsia="Times New Roman" w:hAnsi="Times New Roman"/>
        </w:rPr>
        <w:t>employed</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Pr="00E168A1">
        <w:rPr>
          <w:rFonts w:ascii="Times New Roman" w:eastAsia="Times New Roman" w:hAnsi="Times New Roman"/>
        </w:rPr>
        <w:t>or</w:t>
      </w:r>
      <w:r w:rsidR="00900061" w:rsidRPr="00E168A1">
        <w:rPr>
          <w:rFonts w:ascii="Times New Roman" w:eastAsia="Times New Roman" w:hAnsi="Times New Roman"/>
        </w:rPr>
        <w:t xml:space="preserve"> </w:t>
      </w:r>
      <w:r w:rsidRPr="00E168A1">
        <w:rPr>
          <w:rFonts w:ascii="Times New Roman" w:eastAsia="Times New Roman" w:hAnsi="Times New Roman"/>
        </w:rPr>
        <w:t>otherwise</w:t>
      </w:r>
      <w:r w:rsidR="00900061" w:rsidRPr="00E168A1">
        <w:rPr>
          <w:rFonts w:ascii="Times New Roman" w:eastAsia="Times New Roman" w:hAnsi="Times New Roman"/>
        </w:rPr>
        <w:t xml:space="preserve"> </w:t>
      </w:r>
      <w:r w:rsidRPr="00E168A1">
        <w:rPr>
          <w:rFonts w:ascii="Times New Roman" w:eastAsia="Times New Roman" w:hAnsi="Times New Roman"/>
        </w:rPr>
        <w:t>engaged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B1189B" w:rsidRPr="00E168A1">
        <w:rPr>
          <w:rFonts w:ascii="Times New Roman" w:eastAsia="Times New Roman" w:hAnsi="Times New Roman"/>
        </w:rPr>
        <w:t xml:space="preserve"> the</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and/or</w:t>
      </w:r>
      <w:r w:rsidR="00900061" w:rsidRPr="00E168A1">
        <w:rPr>
          <w:rFonts w:ascii="Times New Roman" w:eastAsia="Times New Roman" w:hAnsi="Times New Roman"/>
        </w:rPr>
        <w:t xml:space="preserve"> </w:t>
      </w:r>
      <w:r w:rsidRPr="00E168A1">
        <w:rPr>
          <w:rFonts w:ascii="Times New Roman" w:eastAsia="Times New Roman" w:hAnsi="Times New Roman"/>
        </w:rPr>
        <w:t>person(s)</w:t>
      </w:r>
      <w:r w:rsidR="00900061" w:rsidRPr="00E168A1">
        <w:rPr>
          <w:rFonts w:ascii="Times New Roman" w:eastAsia="Times New Roman" w:hAnsi="Times New Roman"/>
        </w:rPr>
        <w:t xml:space="preserve"> </w:t>
      </w:r>
      <w:r w:rsidRPr="00E168A1">
        <w:rPr>
          <w:rFonts w:ascii="Times New Roman" w:eastAsia="Times New Roman" w:hAnsi="Times New Roman"/>
        </w:rPr>
        <w:t>related</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00B1189B" w:rsidRPr="00E168A1">
        <w:rPr>
          <w:rFonts w:ascii="Times New Roman" w:eastAsia="Times New Roman" w:hAnsi="Times New Roman"/>
        </w:rPr>
        <w:t xml:space="preserve">the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nor</w:t>
      </w:r>
      <w:r w:rsidR="00900061" w:rsidRPr="00E168A1">
        <w:rPr>
          <w:rFonts w:ascii="Times New Roman" w:eastAsia="Times New Roman" w:hAnsi="Times New Roman"/>
        </w:rPr>
        <w:t xml:space="preserve"> </w:t>
      </w:r>
      <w:r w:rsidRPr="00E168A1">
        <w:rPr>
          <w:rFonts w:ascii="Times New Roman" w:eastAsia="Times New Roman" w:hAnsi="Times New Roman"/>
        </w:rPr>
        <w:t>members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political</w:t>
      </w:r>
      <w:r w:rsidR="00900061" w:rsidRPr="00E168A1">
        <w:rPr>
          <w:rFonts w:ascii="Times New Roman" w:eastAsia="Times New Roman" w:hAnsi="Times New Roman"/>
        </w:rPr>
        <w:t xml:space="preserve"> </w:t>
      </w:r>
      <w:r w:rsidRPr="00E168A1">
        <w:rPr>
          <w:rFonts w:ascii="Times New Roman" w:eastAsia="Times New Roman" w:hAnsi="Times New Roman"/>
        </w:rPr>
        <w:t>organization</w:t>
      </w:r>
      <w:r w:rsidR="00900061" w:rsidRPr="00E168A1">
        <w:rPr>
          <w:rFonts w:ascii="Times New Roman" w:eastAsia="Times New Roman" w:hAnsi="Times New Roman"/>
        </w:rPr>
        <w:t xml:space="preserve"> </w:t>
      </w:r>
      <w:r w:rsidRPr="00E168A1">
        <w:rPr>
          <w:rFonts w:ascii="Times New Roman" w:eastAsia="Times New Roman" w:hAnsi="Times New Roman"/>
        </w:rPr>
        <w:t>qualify</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potential</w:t>
      </w:r>
      <w:r w:rsidR="00900061" w:rsidRPr="00E168A1">
        <w:rPr>
          <w:rFonts w:ascii="Times New Roman" w:eastAsia="Times New Roman" w:hAnsi="Times New Roman"/>
        </w:rPr>
        <w:t xml:space="preserve"> </w:t>
      </w:r>
      <w:r w:rsidRPr="00E168A1">
        <w:rPr>
          <w:rFonts w:ascii="Times New Roman" w:eastAsia="Times New Roman" w:hAnsi="Times New Roman"/>
        </w:rPr>
        <w:t>civil</w:t>
      </w:r>
      <w:r w:rsidR="00900061" w:rsidRPr="00E168A1">
        <w:rPr>
          <w:rFonts w:ascii="Times New Roman" w:eastAsia="Times New Roman" w:hAnsi="Times New Roman"/>
        </w:rPr>
        <w:t xml:space="preserve"> </w:t>
      </w:r>
      <w:r w:rsidRPr="00E168A1">
        <w:rPr>
          <w:rFonts w:ascii="Times New Roman" w:eastAsia="Times New Roman" w:hAnsi="Times New Roman"/>
        </w:rPr>
        <w:t>supervisors.</w:t>
      </w:r>
      <w:r w:rsidR="00900061" w:rsidRPr="00E168A1">
        <w:rPr>
          <w:rFonts w:ascii="Times New Roman" w:eastAsia="Times New Roman" w:hAnsi="Times New Roman"/>
        </w:rPr>
        <w:t xml:space="preserve"> </w:t>
      </w:r>
    </w:p>
    <w:p w14:paraId="43BBB191" w14:textId="64EDEAA7" w:rsidR="00CF175C"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eastAsia="Times New Roman" w:hAnsi="Times New Roman"/>
          <w:b/>
        </w:rPr>
        <w:t>Civil</w:t>
      </w:r>
      <w:r w:rsidR="00900061" w:rsidRPr="00E168A1">
        <w:rPr>
          <w:rFonts w:ascii="Times New Roman" w:eastAsia="Times New Roman" w:hAnsi="Times New Roman"/>
          <w:b/>
        </w:rPr>
        <w:t xml:space="preserve"> </w:t>
      </w:r>
      <w:r w:rsidRPr="00E168A1">
        <w:rPr>
          <w:rFonts w:ascii="Times New Roman" w:eastAsia="Times New Roman" w:hAnsi="Times New Roman"/>
          <w:b/>
        </w:rPr>
        <w:t>supervisors</w:t>
      </w:r>
      <w:r w:rsidR="00900061" w:rsidRPr="00E168A1">
        <w:rPr>
          <w:rFonts w:ascii="Times New Roman" w:eastAsia="Times New Roman" w:hAnsi="Times New Roman"/>
          <w:b/>
        </w:rPr>
        <w:t xml:space="preserve"> </w:t>
      </w:r>
      <w:r w:rsidRPr="00E168A1">
        <w:rPr>
          <w:rFonts w:ascii="Times New Roman" w:eastAsia="Times New Roman" w:hAnsi="Times New Roman"/>
          <w:b/>
        </w:rPr>
        <w:t>perform</w:t>
      </w:r>
      <w:r w:rsidR="00900061" w:rsidRPr="00E168A1">
        <w:rPr>
          <w:rFonts w:ascii="Times New Roman" w:eastAsia="Times New Roman" w:hAnsi="Times New Roman"/>
          <w:b/>
        </w:rPr>
        <w:t xml:space="preserve"> </w:t>
      </w:r>
      <w:r w:rsidRPr="00E168A1">
        <w:rPr>
          <w:rFonts w:ascii="Times New Roman" w:eastAsia="Times New Roman" w:hAnsi="Times New Roman"/>
          <w:b/>
        </w:rPr>
        <w:t>their</w:t>
      </w:r>
      <w:r w:rsidR="00900061" w:rsidRPr="00E168A1">
        <w:rPr>
          <w:rFonts w:ascii="Times New Roman" w:eastAsia="Times New Roman" w:hAnsi="Times New Roman"/>
          <w:b/>
        </w:rPr>
        <w:t xml:space="preserve"> </w:t>
      </w:r>
      <w:r w:rsidRPr="00E168A1">
        <w:rPr>
          <w:rFonts w:ascii="Times New Roman" w:eastAsia="Times New Roman" w:hAnsi="Times New Roman"/>
          <w:b/>
        </w:rPr>
        <w:t>supervision</w:t>
      </w:r>
      <w:r w:rsidR="00900061" w:rsidRPr="00E168A1">
        <w:rPr>
          <w:rFonts w:ascii="Times New Roman" w:eastAsia="Times New Roman" w:hAnsi="Times New Roman"/>
        </w:rPr>
        <w:t xml:space="preserve"> </w:t>
      </w:r>
      <w:r w:rsidR="001C207D" w:rsidRPr="00E168A1">
        <w:rPr>
          <w:rFonts w:ascii="Times New Roman" w:eastAsia="Times New Roman" w:hAnsi="Times New Roman"/>
          <w:b/>
        </w:rPr>
        <w:t xml:space="preserve">by </w:t>
      </w:r>
      <w:r w:rsidRPr="00E168A1">
        <w:rPr>
          <w:rFonts w:ascii="Times New Roman" w:eastAsia="Times New Roman" w:hAnsi="Times New Roman"/>
        </w:rPr>
        <w:t>(</w:t>
      </w:r>
      <w:r w:rsidR="001C207D" w:rsidRPr="00E168A1">
        <w:rPr>
          <w:rFonts w:ascii="Times New Roman" w:eastAsia="Times New Roman" w:hAnsi="Times New Roman"/>
        </w:rPr>
        <w:t>a</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following</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analyzing</w:t>
      </w:r>
      <w:r w:rsidR="00900061" w:rsidRPr="00E168A1">
        <w:rPr>
          <w:rFonts w:ascii="Times New Roman" w:eastAsia="Times New Roman" w:hAnsi="Times New Roman"/>
        </w:rPr>
        <w:t xml:space="preserve"> </w:t>
      </w:r>
      <w:r w:rsidRPr="00E168A1">
        <w:rPr>
          <w:rFonts w:ascii="Times New Roman" w:eastAsia="Times New Roman" w:hAnsi="Times New Roman"/>
        </w:rPr>
        <w:t>information</w:t>
      </w:r>
      <w:r w:rsidR="00900061" w:rsidRPr="00E168A1">
        <w:rPr>
          <w:rFonts w:ascii="Times New Roman" w:eastAsia="Times New Roman" w:hAnsi="Times New Roman"/>
        </w:rPr>
        <w:t xml:space="preserve"> </w:t>
      </w:r>
      <w:r w:rsidRPr="00E168A1">
        <w:rPr>
          <w:rFonts w:ascii="Times New Roman" w:eastAsia="Times New Roman" w:hAnsi="Times New Roman"/>
        </w:rPr>
        <w:t>posted</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627EAD" w:rsidRPr="00E168A1">
        <w:rPr>
          <w:rFonts w:ascii="Times New Roman" w:eastAsia="Times New Roman" w:hAnsi="Times New Roman"/>
        </w:rPr>
        <w:t>p</w:t>
      </w:r>
      <w:r w:rsidRPr="00E168A1">
        <w:rPr>
          <w:rFonts w:ascii="Times New Roman" w:eastAsia="Times New Roman" w:hAnsi="Times New Roman"/>
        </w:rPr>
        <w:t>ublic</w:t>
      </w:r>
      <w:r w:rsidR="00900061" w:rsidRPr="00E168A1">
        <w:rPr>
          <w:rFonts w:ascii="Times New Roman" w:eastAsia="Times New Roman" w:hAnsi="Times New Roman"/>
        </w:rPr>
        <w:t xml:space="preserve"> </w:t>
      </w:r>
      <w:r w:rsidR="00627EAD" w:rsidRPr="00E168A1">
        <w:rPr>
          <w:rFonts w:ascii="Times New Roman" w:eastAsia="Times New Roman" w:hAnsi="Times New Roman"/>
        </w:rPr>
        <w:t>p</w:t>
      </w:r>
      <w:r w:rsidRPr="00E168A1">
        <w:rPr>
          <w:rFonts w:ascii="Times New Roman" w:eastAsia="Times New Roman" w:hAnsi="Times New Roman"/>
        </w:rPr>
        <w:t>rocurement</w:t>
      </w:r>
      <w:r w:rsidR="00900061" w:rsidRPr="00E168A1">
        <w:rPr>
          <w:rFonts w:ascii="Times New Roman" w:eastAsia="Times New Roman" w:hAnsi="Times New Roman"/>
        </w:rPr>
        <w:t xml:space="preserve"> </w:t>
      </w:r>
      <w:r w:rsidR="00627EAD" w:rsidRPr="00E168A1">
        <w:rPr>
          <w:rFonts w:ascii="Times New Roman" w:eastAsia="Times New Roman" w:hAnsi="Times New Roman"/>
        </w:rPr>
        <w:t>p</w:t>
      </w:r>
      <w:r w:rsidRPr="00E168A1">
        <w:rPr>
          <w:rFonts w:ascii="Times New Roman" w:eastAsia="Times New Roman" w:hAnsi="Times New Roman"/>
        </w:rPr>
        <w:t>ortal</w:t>
      </w:r>
      <w:r w:rsidR="00900061" w:rsidRPr="00E168A1">
        <w:rPr>
          <w:rFonts w:ascii="Times New Roman" w:eastAsia="Times New Roman" w:hAnsi="Times New Roman"/>
        </w:rPr>
        <w:t xml:space="preserve"> </w:t>
      </w:r>
      <w:r w:rsidRPr="00E168A1">
        <w:rPr>
          <w:rFonts w:ascii="Times New Roman" w:eastAsia="Times New Roman" w:hAnsi="Times New Roman"/>
        </w:rPr>
        <w:t>and/or</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websites,</w:t>
      </w:r>
      <w:r w:rsidR="00900061" w:rsidRPr="00E168A1">
        <w:rPr>
          <w:rFonts w:ascii="Times New Roman" w:eastAsia="Times New Roman" w:hAnsi="Times New Roman"/>
        </w:rPr>
        <w:t xml:space="preserve"> </w:t>
      </w:r>
      <w:r w:rsidRPr="00E168A1">
        <w:rPr>
          <w:rFonts w:ascii="Times New Roman" w:eastAsia="Times New Roman" w:hAnsi="Times New Roman"/>
        </w:rPr>
        <w:lastRenderedPageBreak/>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authority’s</w:t>
      </w:r>
      <w:r w:rsidR="00900061" w:rsidRPr="00E168A1">
        <w:rPr>
          <w:rFonts w:ascii="Times New Roman" w:eastAsia="Times New Roman" w:hAnsi="Times New Roman"/>
        </w:rPr>
        <w:t xml:space="preserve"> </w:t>
      </w:r>
      <w:r w:rsidRPr="00E168A1">
        <w:rPr>
          <w:rFonts w:ascii="Times New Roman" w:eastAsia="Times New Roman" w:hAnsi="Times New Roman"/>
        </w:rPr>
        <w:t>legal</w:t>
      </w:r>
      <w:r w:rsidR="00900061" w:rsidRPr="00E168A1">
        <w:rPr>
          <w:rFonts w:ascii="Times New Roman" w:eastAsia="Times New Roman" w:hAnsi="Times New Roman"/>
        </w:rPr>
        <w:t xml:space="preserve"> </w:t>
      </w:r>
      <w:r w:rsidRPr="00E168A1">
        <w:rPr>
          <w:rFonts w:ascii="Times New Roman" w:eastAsia="Times New Roman" w:hAnsi="Times New Roman"/>
        </w:rPr>
        <w:t>acts</w:t>
      </w:r>
      <w:r w:rsidR="00900061" w:rsidRPr="00E168A1">
        <w:rPr>
          <w:rFonts w:ascii="Times New Roman" w:eastAsia="Times New Roman" w:hAnsi="Times New Roman"/>
        </w:rPr>
        <w:t xml:space="preserve"> </w:t>
      </w:r>
      <w:r w:rsidRPr="00E168A1">
        <w:rPr>
          <w:rFonts w:ascii="Times New Roman" w:eastAsia="Times New Roman" w:hAnsi="Times New Roman"/>
        </w:rPr>
        <w:t>issued</w:t>
      </w:r>
      <w:r w:rsidR="00900061" w:rsidRPr="00E168A1">
        <w:rPr>
          <w:rFonts w:ascii="Times New Roman" w:eastAsia="Times New Roman" w:hAnsi="Times New Roman"/>
        </w:rPr>
        <w:t xml:space="preserve"> </w:t>
      </w:r>
      <w:r w:rsidR="00E04D22" w:rsidRPr="00E168A1">
        <w:rPr>
          <w:rFonts w:ascii="Times New Roman" w:eastAsia="Times New Roman" w:hAnsi="Times New Roman"/>
        </w:rPr>
        <w:t>before</w:t>
      </w:r>
      <w:r w:rsidR="00900061" w:rsidRPr="00E168A1">
        <w:rPr>
          <w:rFonts w:ascii="Times New Roman" w:eastAsia="Times New Roman" w:hAnsi="Times New Roman"/>
        </w:rPr>
        <w:t xml:space="preserve"> </w:t>
      </w:r>
      <w:r w:rsidRPr="00E168A1">
        <w:rPr>
          <w:rFonts w:ascii="Times New Roman" w:eastAsia="Times New Roman" w:hAnsi="Times New Roman"/>
        </w:rPr>
        <w:t>initiating,</w:t>
      </w:r>
      <w:r w:rsidR="00900061" w:rsidRPr="00E168A1">
        <w:rPr>
          <w:rFonts w:ascii="Times New Roman" w:eastAsia="Times New Roman" w:hAnsi="Times New Roman"/>
        </w:rPr>
        <w:t xml:space="preserve"> </w:t>
      </w:r>
      <w:r w:rsidRPr="00E168A1">
        <w:rPr>
          <w:rFonts w:ascii="Times New Roman" w:eastAsia="Times New Roman" w:hAnsi="Times New Roman"/>
        </w:rPr>
        <w:t>during</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course,</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upon</w:t>
      </w:r>
      <w:r w:rsidR="00900061" w:rsidRPr="00E168A1">
        <w:rPr>
          <w:rFonts w:ascii="Times New Roman" w:eastAsia="Times New Roman" w:hAnsi="Times New Roman"/>
        </w:rPr>
        <w:t xml:space="preserve"> </w:t>
      </w:r>
      <w:r w:rsidRPr="00E168A1">
        <w:rPr>
          <w:rFonts w:ascii="Times New Roman" w:eastAsia="Times New Roman" w:hAnsi="Times New Roman"/>
        </w:rPr>
        <w:t>conclusion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up</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moment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submission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report</w:t>
      </w:r>
      <w:r w:rsidR="001C207D"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w:t>
      </w:r>
      <w:r w:rsidR="001C207D" w:rsidRPr="00E168A1">
        <w:rPr>
          <w:rFonts w:ascii="Times New Roman" w:eastAsia="Times New Roman" w:hAnsi="Times New Roman"/>
        </w:rPr>
        <w:t>b</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direct</w:t>
      </w:r>
      <w:r w:rsidR="00900061" w:rsidRPr="00E168A1">
        <w:rPr>
          <w:rFonts w:ascii="Times New Roman" w:eastAsia="Times New Roman" w:hAnsi="Times New Roman"/>
        </w:rPr>
        <w:t xml:space="preserve"> </w:t>
      </w:r>
      <w:r w:rsidRPr="00E168A1">
        <w:rPr>
          <w:rFonts w:ascii="Times New Roman" w:eastAsia="Times New Roman" w:hAnsi="Times New Roman"/>
        </w:rPr>
        <w:t>insight</w:t>
      </w:r>
      <w:r w:rsidR="00900061" w:rsidRPr="00E168A1">
        <w:rPr>
          <w:rFonts w:ascii="Times New Roman" w:eastAsia="Times New Roman" w:hAnsi="Times New Roman"/>
        </w:rPr>
        <w:t xml:space="preserve"> </w:t>
      </w:r>
      <w:r w:rsidRPr="00E168A1">
        <w:rPr>
          <w:rFonts w:ascii="Times New Roman" w:eastAsia="Times New Roman" w:hAnsi="Times New Roman"/>
        </w:rPr>
        <w:t>into</w:t>
      </w:r>
      <w:r w:rsidR="00900061" w:rsidRPr="00E168A1">
        <w:rPr>
          <w:rFonts w:ascii="Times New Roman" w:eastAsia="Times New Roman" w:hAnsi="Times New Roman"/>
        </w:rPr>
        <w:t xml:space="preserve"> </w:t>
      </w:r>
      <w:r w:rsidRPr="00E168A1">
        <w:rPr>
          <w:rFonts w:ascii="Times New Roman" w:eastAsia="Times New Roman" w:hAnsi="Times New Roman"/>
        </w:rPr>
        <w:t>actions</w:t>
      </w:r>
      <w:r w:rsidR="00900061" w:rsidRPr="00E168A1">
        <w:rPr>
          <w:rFonts w:ascii="Times New Roman" w:eastAsia="Times New Roman" w:hAnsi="Times New Roman"/>
        </w:rPr>
        <w:t xml:space="preserve"> </w:t>
      </w:r>
      <w:r w:rsidRPr="00E168A1">
        <w:rPr>
          <w:rFonts w:ascii="Times New Roman" w:eastAsia="Times New Roman" w:hAnsi="Times New Roman"/>
        </w:rPr>
        <w:t>taken</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00D95DD9" w:rsidRPr="00E168A1">
        <w:rPr>
          <w:rFonts w:ascii="Times New Roman" w:eastAsia="Times New Roman" w:hAnsi="Times New Roman"/>
        </w:rPr>
        <w:t xml:space="preserve">the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1C207D"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w:t>
      </w:r>
      <w:r w:rsidR="001C207D" w:rsidRPr="00E168A1">
        <w:rPr>
          <w:rFonts w:ascii="Times New Roman" w:eastAsia="Times New Roman" w:hAnsi="Times New Roman"/>
        </w:rPr>
        <w:t>c</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direct</w:t>
      </w:r>
      <w:r w:rsidR="00900061" w:rsidRPr="00E168A1">
        <w:rPr>
          <w:rFonts w:ascii="Times New Roman" w:eastAsia="Times New Roman" w:hAnsi="Times New Roman"/>
        </w:rPr>
        <w:t xml:space="preserve"> </w:t>
      </w:r>
      <w:r w:rsidRPr="00E168A1">
        <w:rPr>
          <w:rFonts w:ascii="Times New Roman" w:eastAsia="Times New Roman" w:hAnsi="Times New Roman"/>
        </w:rPr>
        <w:t>insight</w:t>
      </w:r>
      <w:r w:rsidR="00900061" w:rsidRPr="00E168A1">
        <w:rPr>
          <w:rFonts w:ascii="Times New Roman" w:eastAsia="Times New Roman" w:hAnsi="Times New Roman"/>
        </w:rPr>
        <w:t xml:space="preserve"> </w:t>
      </w:r>
      <w:r w:rsidRPr="00E168A1">
        <w:rPr>
          <w:rFonts w:ascii="Times New Roman" w:eastAsia="Times New Roman" w:hAnsi="Times New Roman"/>
        </w:rPr>
        <w:t>into</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authority’s</w:t>
      </w:r>
      <w:r w:rsidR="00900061" w:rsidRPr="00E168A1">
        <w:rPr>
          <w:rFonts w:ascii="Times New Roman" w:eastAsia="Times New Roman" w:hAnsi="Times New Roman"/>
        </w:rPr>
        <w:t xml:space="preserve"> </w:t>
      </w:r>
      <w:r w:rsidRPr="00E168A1">
        <w:rPr>
          <w:rFonts w:ascii="Times New Roman" w:eastAsia="Times New Roman" w:hAnsi="Times New Roman"/>
        </w:rPr>
        <w:t>communication</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Pr="00E168A1">
        <w:rPr>
          <w:rFonts w:ascii="Times New Roman" w:eastAsia="Times New Roman" w:hAnsi="Times New Roman"/>
        </w:rPr>
        <w:t>stakeholders/bidders,</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authority’s</w:t>
      </w:r>
      <w:r w:rsidR="00900061" w:rsidRPr="00E168A1">
        <w:rPr>
          <w:rFonts w:ascii="Times New Roman" w:eastAsia="Times New Roman" w:hAnsi="Times New Roman"/>
        </w:rPr>
        <w:t xml:space="preserve"> </w:t>
      </w:r>
      <w:r w:rsidRPr="00E168A1">
        <w:rPr>
          <w:rFonts w:ascii="Times New Roman" w:eastAsia="Times New Roman" w:hAnsi="Times New Roman"/>
        </w:rPr>
        <w:t>internal</w:t>
      </w:r>
      <w:r w:rsidR="00900061" w:rsidRPr="00E168A1">
        <w:rPr>
          <w:rFonts w:ascii="Times New Roman" w:eastAsia="Times New Roman" w:hAnsi="Times New Roman"/>
        </w:rPr>
        <w:t xml:space="preserve"> </w:t>
      </w:r>
      <w:r w:rsidRPr="00E168A1">
        <w:rPr>
          <w:rFonts w:ascii="Times New Roman" w:eastAsia="Times New Roman" w:hAnsi="Times New Roman"/>
        </w:rPr>
        <w:t>communication,</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authority’s</w:t>
      </w:r>
      <w:r w:rsidR="00900061" w:rsidRPr="00E168A1">
        <w:rPr>
          <w:rFonts w:ascii="Times New Roman" w:eastAsia="Times New Roman" w:hAnsi="Times New Roman"/>
        </w:rPr>
        <w:t xml:space="preserve"> </w:t>
      </w:r>
      <w:r w:rsidRPr="00E168A1">
        <w:rPr>
          <w:rFonts w:ascii="Times New Roman" w:eastAsia="Times New Roman" w:hAnsi="Times New Roman"/>
        </w:rPr>
        <w:t>communication</w:t>
      </w:r>
      <w:r w:rsidR="00900061" w:rsidRPr="00E168A1">
        <w:rPr>
          <w:rFonts w:ascii="Times New Roman" w:eastAsia="Times New Roman" w:hAnsi="Times New Roman"/>
        </w:rPr>
        <w:t xml:space="preserve"> </w:t>
      </w:r>
      <w:r w:rsidRPr="00E168A1">
        <w:rPr>
          <w:rFonts w:ascii="Times New Roman" w:eastAsia="Times New Roman" w:hAnsi="Times New Roman"/>
        </w:rPr>
        <w:t>with</w:t>
      </w:r>
      <w:r w:rsidR="00900061" w:rsidRPr="00E168A1">
        <w:rPr>
          <w:rFonts w:ascii="Times New Roman" w:eastAsia="Times New Roman" w:hAnsi="Times New Roman"/>
        </w:rPr>
        <w:t xml:space="preserve"> </w:t>
      </w:r>
      <w:r w:rsidRPr="00E168A1">
        <w:rPr>
          <w:rFonts w:ascii="Times New Roman" w:eastAsia="Times New Roman" w:hAnsi="Times New Roman"/>
        </w:rPr>
        <w:t>other</w:t>
      </w:r>
      <w:r w:rsidR="00900061" w:rsidRPr="00E168A1">
        <w:rPr>
          <w:rFonts w:ascii="Times New Roman" w:eastAsia="Times New Roman" w:hAnsi="Times New Roman"/>
        </w:rPr>
        <w:t xml:space="preserve"> </w:t>
      </w:r>
      <w:r w:rsidRPr="00E168A1">
        <w:rPr>
          <w:rFonts w:ascii="Times New Roman" w:eastAsia="Times New Roman" w:hAnsi="Times New Roman"/>
        </w:rPr>
        <w:t>bodies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relation</w:t>
      </w:r>
      <w:r w:rsidR="00900061" w:rsidRPr="00E168A1">
        <w:rPr>
          <w:rFonts w:ascii="Times New Roman" w:eastAsia="Times New Roman" w:hAnsi="Times New Roman"/>
        </w:rPr>
        <w:t xml:space="preserve"> </w:t>
      </w:r>
      <w:r w:rsidR="00CA0AF7" w:rsidRPr="00E168A1">
        <w:rPr>
          <w:rFonts w:ascii="Times New Roman" w:eastAsia="Times New Roman" w:hAnsi="Times New Roman"/>
        </w:rPr>
        <w:t xml:space="preserve">to the </w:t>
      </w:r>
      <w:r w:rsidRPr="00E168A1">
        <w:rPr>
          <w:rFonts w:ascii="Times New Roman" w:eastAsia="Times New Roman" w:hAnsi="Times New Roman"/>
        </w:rPr>
        <w:t>given</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1C207D"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w:t>
      </w:r>
      <w:r w:rsidR="001C207D" w:rsidRPr="00E168A1">
        <w:rPr>
          <w:rFonts w:ascii="Times New Roman" w:eastAsia="Times New Roman" w:hAnsi="Times New Roman"/>
        </w:rPr>
        <w:t>d</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obtaining</w:t>
      </w:r>
      <w:r w:rsidR="00900061" w:rsidRPr="00E168A1">
        <w:rPr>
          <w:rFonts w:ascii="Times New Roman" w:eastAsia="Times New Roman" w:hAnsi="Times New Roman"/>
        </w:rPr>
        <w:t xml:space="preserve"> </w:t>
      </w:r>
      <w:r w:rsidRPr="00E168A1">
        <w:rPr>
          <w:rFonts w:ascii="Times New Roman" w:eastAsia="Times New Roman" w:hAnsi="Times New Roman"/>
        </w:rPr>
        <w:t>additional</w:t>
      </w:r>
      <w:r w:rsidR="00900061" w:rsidRPr="00E168A1">
        <w:rPr>
          <w:rFonts w:ascii="Times New Roman" w:eastAsia="Times New Roman" w:hAnsi="Times New Roman"/>
        </w:rPr>
        <w:t xml:space="preserve"> </w:t>
      </w:r>
      <w:r w:rsidRPr="00E168A1">
        <w:rPr>
          <w:rFonts w:ascii="Times New Roman" w:eastAsia="Times New Roman" w:hAnsi="Times New Roman"/>
        </w:rPr>
        <w:t>requested</w:t>
      </w:r>
      <w:r w:rsidR="00900061" w:rsidRPr="00E168A1">
        <w:rPr>
          <w:rFonts w:ascii="Times New Roman" w:eastAsia="Times New Roman" w:hAnsi="Times New Roman"/>
        </w:rPr>
        <w:t xml:space="preserve"> </w:t>
      </w:r>
      <w:r w:rsidRPr="00E168A1">
        <w:rPr>
          <w:rFonts w:ascii="Times New Roman" w:eastAsia="Times New Roman" w:hAnsi="Times New Roman"/>
        </w:rPr>
        <w:t>information</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p>
    <w:p w14:paraId="1297E2DE" w14:textId="0893A149" w:rsidR="00AE54E5" w:rsidRPr="00E168A1"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eastAsia="Times New Roman" w:hAnsi="Times New Roman"/>
          <w:b/>
        </w:rPr>
        <w:t>Civil</w:t>
      </w:r>
      <w:r w:rsidR="00900061" w:rsidRPr="00E168A1">
        <w:rPr>
          <w:rFonts w:ascii="Times New Roman" w:eastAsia="Times New Roman" w:hAnsi="Times New Roman"/>
          <w:b/>
        </w:rPr>
        <w:t xml:space="preserve"> </w:t>
      </w:r>
      <w:r w:rsidRPr="00E168A1">
        <w:rPr>
          <w:rFonts w:ascii="Times New Roman" w:eastAsia="Times New Roman" w:hAnsi="Times New Roman"/>
          <w:b/>
        </w:rPr>
        <w:t>supervisors</w:t>
      </w:r>
      <w:r w:rsidR="00900061" w:rsidRPr="00E168A1">
        <w:rPr>
          <w:rFonts w:ascii="Times New Roman" w:eastAsia="Times New Roman" w:hAnsi="Times New Roman"/>
          <w:b/>
        </w:rPr>
        <w:t xml:space="preserve"> </w:t>
      </w:r>
      <w:r w:rsidRPr="00E168A1">
        <w:rPr>
          <w:rFonts w:ascii="Times New Roman" w:eastAsia="Times New Roman" w:hAnsi="Times New Roman"/>
          <w:b/>
        </w:rPr>
        <w:t>are</w:t>
      </w:r>
      <w:r w:rsidR="00900061" w:rsidRPr="00E168A1">
        <w:rPr>
          <w:rFonts w:ascii="Times New Roman" w:eastAsia="Times New Roman" w:hAnsi="Times New Roman"/>
          <w:b/>
        </w:rPr>
        <w:t xml:space="preserve"> </w:t>
      </w:r>
      <w:r w:rsidRPr="00E168A1">
        <w:rPr>
          <w:rFonts w:ascii="Times New Roman" w:eastAsia="Times New Roman" w:hAnsi="Times New Roman"/>
          <w:b/>
        </w:rPr>
        <w:t>entitled</w:t>
      </w:r>
      <w:r w:rsidR="00900061" w:rsidRPr="00E168A1">
        <w:rPr>
          <w:rFonts w:ascii="Times New Roman" w:eastAsia="Times New Roman" w:hAnsi="Times New Roman"/>
          <w:b/>
        </w:rPr>
        <w:t xml:space="preserve"> </w:t>
      </w:r>
      <w:r w:rsidRPr="00E168A1">
        <w:rPr>
          <w:rFonts w:ascii="Times New Roman" w:eastAsia="Times New Roman" w:hAnsi="Times New Roman"/>
          <w:b/>
        </w:rPr>
        <w:t>to</w:t>
      </w:r>
      <w:r w:rsidR="00900061" w:rsidRPr="00E168A1">
        <w:rPr>
          <w:rFonts w:ascii="Times New Roman" w:eastAsia="Times New Roman" w:hAnsi="Times New Roman"/>
          <w:b/>
        </w:rPr>
        <w:t xml:space="preserve"> </w:t>
      </w:r>
      <w:r w:rsidRPr="00E168A1">
        <w:rPr>
          <w:rFonts w:ascii="Times New Roman" w:eastAsia="Times New Roman" w:hAnsi="Times New Roman"/>
          <w:b/>
        </w:rPr>
        <w:t>act</w:t>
      </w:r>
      <w:r w:rsidR="00900061" w:rsidRPr="00E168A1">
        <w:rPr>
          <w:rFonts w:ascii="Times New Roman" w:eastAsia="Times New Roman" w:hAnsi="Times New Roman"/>
          <w:b/>
        </w:rPr>
        <w:t xml:space="preserve"> </w:t>
      </w:r>
      <w:r w:rsidRPr="00E168A1">
        <w:rPr>
          <w:rFonts w:ascii="Times New Roman" w:eastAsia="Times New Roman" w:hAnsi="Times New Roman"/>
          <w:b/>
        </w:rPr>
        <w:t>upon</w:t>
      </w:r>
      <w:r w:rsidR="00900061" w:rsidRPr="00E168A1">
        <w:rPr>
          <w:rFonts w:ascii="Times New Roman" w:eastAsia="Times New Roman" w:hAnsi="Times New Roman"/>
          <w:b/>
        </w:rPr>
        <w:t xml:space="preserve"> </w:t>
      </w:r>
      <w:r w:rsidRPr="00E168A1">
        <w:rPr>
          <w:rFonts w:ascii="Times New Roman" w:eastAsia="Times New Roman" w:hAnsi="Times New Roman"/>
          <w:b/>
        </w:rPr>
        <w:t>reports</w:t>
      </w:r>
      <w:r w:rsidR="00900061" w:rsidRPr="00E168A1">
        <w:rPr>
          <w:rFonts w:ascii="Times New Roman" w:eastAsia="Times New Roman" w:hAnsi="Times New Roman"/>
          <w:b/>
        </w:rPr>
        <w:t xml:space="preserve"> </w:t>
      </w:r>
      <w:r w:rsidRPr="00E168A1">
        <w:rPr>
          <w:rFonts w:ascii="Times New Roman" w:eastAsia="Times New Roman" w:hAnsi="Times New Roman"/>
          <w:b/>
        </w:rPr>
        <w:t>on</w:t>
      </w:r>
      <w:r w:rsidR="00900061" w:rsidRPr="00E168A1">
        <w:rPr>
          <w:rFonts w:ascii="Times New Roman" w:eastAsia="Times New Roman" w:hAnsi="Times New Roman"/>
          <w:b/>
        </w:rPr>
        <w:t xml:space="preserve"> </w:t>
      </w:r>
      <w:r w:rsidRPr="00E168A1">
        <w:rPr>
          <w:rFonts w:ascii="Times New Roman" w:eastAsia="Times New Roman" w:hAnsi="Times New Roman"/>
          <w:b/>
        </w:rPr>
        <w:t>suspected</w:t>
      </w:r>
      <w:r w:rsidR="00900061" w:rsidRPr="00E168A1">
        <w:rPr>
          <w:rFonts w:ascii="Times New Roman" w:eastAsia="Times New Roman" w:hAnsi="Times New Roman"/>
          <w:b/>
        </w:rPr>
        <w:t xml:space="preserve"> </w:t>
      </w:r>
      <w:r w:rsidRPr="00E168A1">
        <w:rPr>
          <w:rFonts w:ascii="Times New Roman" w:eastAsia="Times New Roman" w:hAnsi="Times New Roman"/>
          <w:b/>
        </w:rPr>
        <w:t>corruption</w:t>
      </w:r>
      <w:r w:rsidR="00900061" w:rsidRPr="00E168A1">
        <w:rPr>
          <w:rFonts w:ascii="Times New Roman" w:eastAsia="Times New Roman" w:hAnsi="Times New Roman"/>
          <w:b/>
        </w:rPr>
        <w:t xml:space="preserve"> </w:t>
      </w:r>
      <w:r w:rsidRPr="00E168A1">
        <w:rPr>
          <w:rFonts w:ascii="Times New Roman" w:eastAsia="Times New Roman" w:hAnsi="Times New Roman"/>
          <w:b/>
        </w:rPr>
        <w:t>in</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procedure</w:t>
      </w:r>
      <w:r w:rsidR="00900061" w:rsidRPr="00E168A1">
        <w:rPr>
          <w:rFonts w:ascii="Times New Roman" w:eastAsia="Times New Roman" w:hAnsi="Times New Roman"/>
          <w:b/>
        </w:rPr>
        <w:t xml:space="preserve"> </w:t>
      </w:r>
      <w:r w:rsidRPr="00E168A1">
        <w:rPr>
          <w:rFonts w:ascii="Times New Roman" w:eastAsia="Times New Roman" w:hAnsi="Times New Roman"/>
          <w:b/>
        </w:rPr>
        <w:t>under</w:t>
      </w:r>
      <w:r w:rsidR="00900061" w:rsidRPr="00E168A1">
        <w:rPr>
          <w:rFonts w:ascii="Times New Roman" w:eastAsia="Times New Roman" w:hAnsi="Times New Roman"/>
          <w:b/>
        </w:rPr>
        <w:t xml:space="preserve"> </w:t>
      </w:r>
      <w:r w:rsidRPr="00E168A1">
        <w:rPr>
          <w:rFonts w:ascii="Times New Roman" w:eastAsia="Times New Roman" w:hAnsi="Times New Roman"/>
          <w:b/>
        </w:rPr>
        <w:t>their</w:t>
      </w:r>
      <w:r w:rsidR="00900061" w:rsidRPr="00E168A1">
        <w:rPr>
          <w:rFonts w:ascii="Times New Roman" w:eastAsia="Times New Roman" w:hAnsi="Times New Roman"/>
          <w:b/>
        </w:rPr>
        <w:t xml:space="preserve"> </w:t>
      </w:r>
      <w:r w:rsidRPr="00E168A1">
        <w:rPr>
          <w:rFonts w:ascii="Times New Roman" w:eastAsia="Times New Roman" w:hAnsi="Times New Roman"/>
          <w:b/>
        </w:rPr>
        <w:t>supervision</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take</w:t>
      </w:r>
      <w:r w:rsidR="00900061" w:rsidRPr="00E168A1">
        <w:rPr>
          <w:rFonts w:ascii="Times New Roman" w:eastAsia="Times New Roman" w:hAnsi="Times New Roman"/>
        </w:rPr>
        <w:t xml:space="preserve"> </w:t>
      </w:r>
      <w:r w:rsidRPr="00E168A1">
        <w:rPr>
          <w:rFonts w:ascii="Times New Roman" w:eastAsia="Times New Roman" w:hAnsi="Times New Roman"/>
        </w:rPr>
        <w:t>measures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reasonable</w:t>
      </w:r>
      <w:r w:rsidR="00900061" w:rsidRPr="00E168A1">
        <w:rPr>
          <w:rFonts w:ascii="Times New Roman" w:eastAsia="Times New Roman" w:hAnsi="Times New Roman"/>
        </w:rPr>
        <w:t xml:space="preserve"> </w:t>
      </w:r>
      <w:r w:rsidRPr="00E168A1">
        <w:rPr>
          <w:rFonts w:ascii="Times New Roman" w:eastAsia="Times New Roman" w:hAnsi="Times New Roman"/>
        </w:rPr>
        <w:t>doubt</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terms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legality</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notifying</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relevant</w:t>
      </w:r>
      <w:r w:rsidR="00900061" w:rsidRPr="00E168A1">
        <w:rPr>
          <w:rFonts w:ascii="Times New Roman" w:eastAsia="Times New Roman" w:hAnsi="Times New Roman"/>
        </w:rPr>
        <w:t xml:space="preserve"> </w:t>
      </w:r>
      <w:r w:rsidRPr="00E168A1">
        <w:rPr>
          <w:rFonts w:ascii="Times New Roman" w:eastAsia="Times New Roman" w:hAnsi="Times New Roman"/>
        </w:rPr>
        <w:t>state</w:t>
      </w:r>
      <w:r w:rsidR="00900061" w:rsidRPr="00E168A1">
        <w:rPr>
          <w:rFonts w:ascii="Times New Roman" w:eastAsia="Times New Roman" w:hAnsi="Times New Roman"/>
        </w:rPr>
        <w:t xml:space="preserve"> </w:t>
      </w:r>
      <w:r w:rsidRPr="00E168A1">
        <w:rPr>
          <w:rFonts w:ascii="Times New Roman" w:eastAsia="Times New Roman" w:hAnsi="Times New Roman"/>
        </w:rPr>
        <w:t>bodies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CF069E"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alert</w:t>
      </w:r>
      <w:r w:rsidR="00900061" w:rsidRPr="00E168A1">
        <w:rPr>
          <w:rFonts w:ascii="Times New Roman" w:eastAsia="Times New Roman" w:hAnsi="Times New Roman"/>
        </w:rPr>
        <w:t xml:space="preserve"> </w:t>
      </w:r>
      <w:r w:rsidR="00CF069E" w:rsidRPr="00E168A1">
        <w:rPr>
          <w:rFonts w:ascii="Times New Roman" w:eastAsia="Times New Roman" w:hAnsi="Times New Roman"/>
        </w:rPr>
        <w:t xml:space="preserve">the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deficiencies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failures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conducting</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CF069E"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issue</w:t>
      </w:r>
      <w:r w:rsidR="00900061" w:rsidRPr="00E168A1">
        <w:rPr>
          <w:rFonts w:ascii="Times New Roman" w:eastAsia="Times New Roman" w:hAnsi="Times New Roman"/>
        </w:rPr>
        <w:t xml:space="preserve"> </w:t>
      </w:r>
      <w:r w:rsidRPr="00E168A1">
        <w:rPr>
          <w:rFonts w:ascii="Times New Roman" w:eastAsia="Times New Roman" w:hAnsi="Times New Roman"/>
        </w:rPr>
        <w:t>orders,</w:t>
      </w:r>
      <w:r w:rsidR="00900061" w:rsidRPr="00E168A1">
        <w:rPr>
          <w:rFonts w:ascii="Times New Roman" w:eastAsia="Times New Roman" w:hAnsi="Times New Roman"/>
        </w:rPr>
        <w:t xml:space="preserve"> </w:t>
      </w:r>
      <w:r w:rsidRPr="00E168A1">
        <w:rPr>
          <w:rFonts w:ascii="Times New Roman" w:eastAsia="Times New Roman" w:hAnsi="Times New Roman"/>
        </w:rPr>
        <w:t>guidelines</w:t>
      </w:r>
      <w:r w:rsidR="00CF1720"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instructions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remedying</w:t>
      </w:r>
      <w:r w:rsidR="00900061" w:rsidRPr="00E168A1">
        <w:rPr>
          <w:rFonts w:ascii="Times New Roman" w:eastAsia="Times New Roman" w:hAnsi="Times New Roman"/>
        </w:rPr>
        <w:t xml:space="preserve"> </w:t>
      </w:r>
      <w:r w:rsidRPr="00E168A1">
        <w:rPr>
          <w:rFonts w:ascii="Times New Roman" w:eastAsia="Times New Roman" w:hAnsi="Times New Roman"/>
        </w:rPr>
        <w:t>such</w:t>
      </w:r>
      <w:r w:rsidR="00900061" w:rsidRPr="00E168A1">
        <w:rPr>
          <w:rFonts w:ascii="Times New Roman" w:eastAsia="Times New Roman" w:hAnsi="Times New Roman"/>
        </w:rPr>
        <w:t xml:space="preserve"> </w:t>
      </w:r>
      <w:r w:rsidRPr="00E168A1">
        <w:rPr>
          <w:rFonts w:ascii="Times New Roman" w:eastAsia="Times New Roman" w:hAnsi="Times New Roman"/>
        </w:rPr>
        <w:t>deficiencies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failures</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well</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file</w:t>
      </w:r>
      <w:r w:rsidR="00900061" w:rsidRPr="00E168A1">
        <w:rPr>
          <w:rFonts w:ascii="Times New Roman" w:eastAsia="Times New Roman" w:hAnsi="Times New Roman"/>
        </w:rPr>
        <w:t xml:space="preserve"> </w:t>
      </w:r>
      <w:r w:rsidRPr="00E168A1">
        <w:rPr>
          <w:rFonts w:ascii="Times New Roman" w:eastAsia="Times New Roman" w:hAnsi="Times New Roman"/>
        </w:rPr>
        <w:t>requests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protection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rights.</w:t>
      </w:r>
      <w:r w:rsidR="00CF069E" w:rsidRPr="00E168A1">
        <w:rPr>
          <w:rFonts w:ascii="Times New Roman" w:eastAsia="Times New Roman" w:hAnsi="Times New Roman"/>
        </w:rPr>
        <w:t xml:space="preserve"> </w:t>
      </w:r>
      <w:r w:rsidRPr="00E168A1">
        <w:rPr>
          <w:rFonts w:ascii="Times New Roman" w:eastAsia="Times New Roman" w:hAnsi="Times New Roman"/>
        </w:rPr>
        <w:t>Upon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completion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civil</w:t>
      </w:r>
      <w:r w:rsidR="00900061" w:rsidRPr="00E168A1">
        <w:rPr>
          <w:rFonts w:ascii="Times New Roman" w:eastAsia="Times New Roman" w:hAnsi="Times New Roman"/>
        </w:rPr>
        <w:t xml:space="preserve"> </w:t>
      </w:r>
      <w:r w:rsidRPr="00E168A1">
        <w:rPr>
          <w:rFonts w:ascii="Times New Roman" w:eastAsia="Times New Roman" w:hAnsi="Times New Roman"/>
        </w:rPr>
        <w:t>supervisor</w:t>
      </w:r>
      <w:r w:rsidR="00900061" w:rsidRPr="00E168A1">
        <w:rPr>
          <w:rFonts w:ascii="Times New Roman" w:eastAsia="Times New Roman" w:hAnsi="Times New Roman"/>
        </w:rPr>
        <w:t xml:space="preserve"> </w:t>
      </w:r>
      <w:r w:rsidRPr="00E168A1">
        <w:rPr>
          <w:rFonts w:ascii="Times New Roman" w:eastAsia="Times New Roman" w:hAnsi="Times New Roman"/>
        </w:rPr>
        <w:t>submits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report</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conducted</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3C78A1" w:rsidRPr="00E168A1">
        <w:rPr>
          <w:rFonts w:ascii="Times New Roman" w:eastAsia="Times New Roman" w:hAnsi="Times New Roman"/>
        </w:rPr>
        <w:t>NA</w:t>
      </w:r>
      <w:r w:rsidR="00900061" w:rsidRPr="00E168A1">
        <w:rPr>
          <w:rFonts w:ascii="Times New Roman" w:eastAsia="Times New Roman" w:hAnsi="Times New Roman"/>
        </w:rPr>
        <w:t xml:space="preserve"> </w:t>
      </w:r>
      <w:r w:rsidRPr="00E168A1">
        <w:rPr>
          <w:rFonts w:ascii="Times New Roman" w:eastAsia="Times New Roman" w:hAnsi="Times New Roman"/>
        </w:rPr>
        <w:t>within</w:t>
      </w:r>
      <w:r w:rsidR="00900061" w:rsidRPr="00E168A1">
        <w:rPr>
          <w:rFonts w:ascii="Times New Roman" w:eastAsia="Times New Roman" w:hAnsi="Times New Roman"/>
        </w:rPr>
        <w:t xml:space="preserve"> </w:t>
      </w:r>
      <w:r w:rsidRPr="00E168A1">
        <w:rPr>
          <w:rFonts w:ascii="Times New Roman" w:eastAsia="Times New Roman" w:hAnsi="Times New Roman"/>
        </w:rPr>
        <w:t>20</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conclusion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contract</w:t>
      </w:r>
      <w:r w:rsidR="00900061" w:rsidRPr="00E168A1">
        <w:rPr>
          <w:rFonts w:ascii="Times New Roman" w:eastAsia="Times New Roman" w:hAnsi="Times New Roman"/>
        </w:rPr>
        <w:t xml:space="preserve"> </w:t>
      </w:r>
      <w:r w:rsidRPr="00E168A1">
        <w:rPr>
          <w:rFonts w:ascii="Times New Roman" w:eastAsia="Times New Roman" w:hAnsi="Times New Roman"/>
        </w:rPr>
        <w:t>or</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decision</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cancel</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2015,</w:t>
      </w:r>
      <w:r w:rsidR="00900061" w:rsidRPr="00E168A1">
        <w:rPr>
          <w:rFonts w:ascii="Times New Roman" w:eastAsia="Times New Roman" w:hAnsi="Times New Roman"/>
        </w:rPr>
        <w:t xml:space="preserve"> </w:t>
      </w:r>
      <w:r w:rsidRPr="00E168A1">
        <w:rPr>
          <w:rFonts w:ascii="Times New Roman" w:eastAsia="Times New Roman" w:hAnsi="Times New Roman"/>
        </w:rPr>
        <w:t>there</w:t>
      </w:r>
      <w:r w:rsidR="00900061" w:rsidRPr="00E168A1">
        <w:rPr>
          <w:rFonts w:ascii="Times New Roman" w:eastAsia="Times New Roman" w:hAnsi="Times New Roman"/>
        </w:rPr>
        <w:t xml:space="preserve"> </w:t>
      </w:r>
      <w:r w:rsidR="00CF069E" w:rsidRPr="00E168A1">
        <w:rPr>
          <w:rFonts w:ascii="Times New Roman" w:eastAsia="Times New Roman" w:hAnsi="Times New Roman"/>
        </w:rPr>
        <w:t xml:space="preserve">were </w:t>
      </w:r>
      <w:r w:rsidRPr="00E168A1">
        <w:rPr>
          <w:rFonts w:ascii="Times New Roman" w:eastAsia="Times New Roman" w:hAnsi="Times New Roman"/>
        </w:rPr>
        <w:t>48</w:t>
      </w:r>
      <w:r w:rsidR="00900061" w:rsidRPr="00E168A1">
        <w:rPr>
          <w:rFonts w:ascii="Times New Roman" w:eastAsia="Times New Roman" w:hAnsi="Times New Roman"/>
        </w:rPr>
        <w:t xml:space="preserve"> </w:t>
      </w:r>
      <w:r w:rsidRPr="00E168A1">
        <w:rPr>
          <w:rFonts w:ascii="Times New Roman" w:eastAsia="Times New Roman" w:hAnsi="Times New Roman"/>
        </w:rPr>
        <w:t>appointed</w:t>
      </w:r>
      <w:r w:rsidR="00900061" w:rsidRPr="00E168A1">
        <w:rPr>
          <w:rFonts w:ascii="Times New Roman" w:eastAsia="Times New Roman" w:hAnsi="Times New Roman"/>
        </w:rPr>
        <w:t xml:space="preserve"> </w:t>
      </w:r>
      <w:r w:rsidRPr="00E168A1">
        <w:rPr>
          <w:rFonts w:ascii="Times New Roman" w:eastAsia="Times New Roman" w:hAnsi="Times New Roman"/>
        </w:rPr>
        <w:t>civil</w:t>
      </w:r>
      <w:r w:rsidR="00900061" w:rsidRPr="00E168A1">
        <w:rPr>
          <w:rFonts w:ascii="Times New Roman" w:eastAsia="Times New Roman" w:hAnsi="Times New Roman"/>
        </w:rPr>
        <w:t xml:space="preserve"> </w:t>
      </w:r>
      <w:r w:rsidRPr="00E168A1">
        <w:rPr>
          <w:rFonts w:ascii="Times New Roman" w:eastAsia="Times New Roman" w:hAnsi="Times New Roman"/>
        </w:rPr>
        <w:t>supervisors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grew</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003A72C5" w:rsidRPr="00E168A1">
        <w:rPr>
          <w:rFonts w:ascii="Times New Roman" w:eastAsia="Times New Roman" w:hAnsi="Times New Roman"/>
        </w:rPr>
        <w:t xml:space="preserve">eight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CF069E"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30</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CF069E"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48</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2015).</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date</w:t>
      </w:r>
      <w:r w:rsidR="00D702BA" w:rsidRPr="00A90FD9">
        <w:rPr>
          <w:rFonts w:ascii="Times New Roman" w:eastAsia="Times New Roman" w:hAnsi="Times New Roman"/>
        </w:rPr>
        <w:t>,</w:t>
      </w:r>
      <w:r w:rsidR="00900061" w:rsidRPr="00A90FD9">
        <w:rPr>
          <w:rFonts w:ascii="Times New Roman" w:eastAsia="Times New Roman" w:hAnsi="Times New Roman"/>
        </w:rPr>
        <w:t xml:space="preserve"> </w:t>
      </w:r>
      <w:r w:rsidR="00D702BA" w:rsidRPr="00A90FD9">
        <w:rPr>
          <w:rFonts w:ascii="Times New Roman" w:eastAsia="Times New Roman" w:hAnsi="Times New Roman"/>
        </w:rPr>
        <w:t xml:space="preserve">seven </w:t>
      </w:r>
      <w:r w:rsidRPr="00A90FD9">
        <w:rPr>
          <w:rFonts w:ascii="Times New Roman" w:eastAsia="Times New Roman" w:hAnsi="Times New Roman"/>
        </w:rPr>
        <w:t>civil</w:t>
      </w:r>
      <w:r w:rsidR="00900061" w:rsidRPr="00A90FD9">
        <w:rPr>
          <w:rFonts w:ascii="Times New Roman" w:eastAsia="Times New Roman" w:hAnsi="Times New Roman"/>
        </w:rPr>
        <w:t xml:space="preserve"> </w:t>
      </w:r>
      <w:r w:rsidRPr="00A90FD9">
        <w:rPr>
          <w:rFonts w:ascii="Times New Roman" w:eastAsia="Times New Roman" w:hAnsi="Times New Roman"/>
        </w:rPr>
        <w:t>society</w:t>
      </w:r>
      <w:r w:rsidR="00900061" w:rsidRPr="005769EE">
        <w:rPr>
          <w:rFonts w:ascii="Times New Roman" w:eastAsia="Times New Roman" w:hAnsi="Times New Roman"/>
        </w:rPr>
        <w:t xml:space="preserve"> </w:t>
      </w:r>
      <w:r w:rsidRPr="00E168A1">
        <w:rPr>
          <w:rFonts w:ascii="Times New Roman" w:eastAsia="Times New Roman" w:hAnsi="Times New Roman"/>
        </w:rPr>
        <w:t>organizations</w:t>
      </w:r>
      <w:r w:rsidR="00900061" w:rsidRPr="00E168A1">
        <w:rPr>
          <w:rFonts w:ascii="Times New Roman" w:eastAsia="Times New Roman" w:hAnsi="Times New Roman"/>
        </w:rPr>
        <w:t xml:space="preserve"> </w:t>
      </w:r>
      <w:r w:rsidRPr="00E168A1">
        <w:rPr>
          <w:rFonts w:ascii="Times New Roman" w:eastAsia="Times New Roman" w:hAnsi="Times New Roman"/>
        </w:rPr>
        <w:t>were</w:t>
      </w:r>
      <w:r w:rsidR="00900061" w:rsidRPr="00E168A1">
        <w:rPr>
          <w:rFonts w:ascii="Times New Roman" w:eastAsia="Times New Roman" w:hAnsi="Times New Roman"/>
        </w:rPr>
        <w:t xml:space="preserve"> </w:t>
      </w:r>
      <w:r w:rsidRPr="00E168A1">
        <w:rPr>
          <w:rFonts w:ascii="Times New Roman" w:eastAsia="Times New Roman" w:hAnsi="Times New Roman"/>
        </w:rPr>
        <w:t>appointed</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civil</w:t>
      </w:r>
      <w:r w:rsidR="00900061" w:rsidRPr="00E168A1">
        <w:rPr>
          <w:rFonts w:ascii="Times New Roman" w:eastAsia="Times New Roman" w:hAnsi="Times New Roman"/>
        </w:rPr>
        <w:t xml:space="preserve"> </w:t>
      </w:r>
      <w:r w:rsidRPr="00E168A1">
        <w:rPr>
          <w:rFonts w:ascii="Times New Roman" w:eastAsia="Times New Roman" w:hAnsi="Times New Roman"/>
        </w:rPr>
        <w:t>supervisors</w:t>
      </w:r>
      <w:r w:rsidR="00B918FB" w:rsidRPr="00E168A1">
        <w:rPr>
          <w:rFonts w:ascii="Times New Roman" w:eastAsia="Times New Roman" w:hAnsi="Times New Roman"/>
        </w:rPr>
        <w:t>.</w:t>
      </w:r>
      <w:r w:rsidRPr="00E168A1">
        <w:rPr>
          <w:rStyle w:val="FootnoteReference"/>
          <w:rFonts w:ascii="Times New Roman" w:eastAsia="Times New Roman" w:hAnsi="Times New Roman"/>
        </w:rPr>
        <w:footnoteReference w:id="45"/>
      </w:r>
    </w:p>
    <w:p w14:paraId="67E7144C" w14:textId="77777777" w:rsidR="00AE54E5" w:rsidRPr="00E168A1" w:rsidRDefault="00900061" w:rsidP="00220F7E">
      <w:pPr>
        <w:pStyle w:val="Heading1"/>
        <w:spacing w:before="120" w:after="120" w:line="240" w:lineRule="auto"/>
        <w:ind w:left="0" w:firstLine="0"/>
      </w:pPr>
      <w:bookmarkStart w:id="36" w:name="_Toc305833858"/>
      <w:r w:rsidRPr="00E168A1">
        <w:t xml:space="preserve"> </w:t>
      </w:r>
      <w:bookmarkStart w:id="37" w:name="_Toc442428965"/>
      <w:r w:rsidR="00AE54E5" w:rsidRPr="00E168A1">
        <w:t>Institutional</w:t>
      </w:r>
      <w:r w:rsidRPr="00E168A1">
        <w:t xml:space="preserve"> </w:t>
      </w:r>
      <w:r w:rsidR="008268AE" w:rsidRPr="00E168A1">
        <w:t>Capacity</w:t>
      </w:r>
      <w:bookmarkEnd w:id="36"/>
      <w:bookmarkEnd w:id="37"/>
    </w:p>
    <w:p w14:paraId="2702838C" w14:textId="4BC1FF54" w:rsidR="00AE54E5" w:rsidRPr="00E168A1" w:rsidRDefault="00AE54E5" w:rsidP="00220F7E">
      <w:pPr>
        <w:pStyle w:val="Heading2"/>
        <w:spacing w:before="120" w:after="120" w:line="240" w:lineRule="auto"/>
        <w:ind w:left="0" w:firstLine="0"/>
      </w:pPr>
      <w:bookmarkStart w:id="38" w:name="_Toc305833859"/>
      <w:bookmarkStart w:id="39" w:name="_Toc442428966"/>
      <w:r w:rsidRPr="00E168A1">
        <w:t>Public</w:t>
      </w:r>
      <w:r w:rsidR="00900061" w:rsidRPr="00E168A1">
        <w:t xml:space="preserve"> </w:t>
      </w:r>
      <w:r w:rsidR="001C207D" w:rsidRPr="00E168A1">
        <w:t>P</w:t>
      </w:r>
      <w:r w:rsidRPr="00E168A1">
        <w:t>rocurement</w:t>
      </w:r>
      <w:r w:rsidR="00900061" w:rsidRPr="00E168A1">
        <w:t xml:space="preserve"> </w:t>
      </w:r>
      <w:r w:rsidR="001C207D" w:rsidRPr="00E168A1">
        <w:t>P</w:t>
      </w:r>
      <w:r w:rsidRPr="00E168A1">
        <w:t>rofessionals</w:t>
      </w:r>
      <w:bookmarkEnd w:id="38"/>
      <w:bookmarkEnd w:id="39"/>
    </w:p>
    <w:p w14:paraId="267D66D4" w14:textId="1095DC76" w:rsidR="00CF175C" w:rsidRPr="00E168A1" w:rsidRDefault="00AE54E5"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hAnsi="Times New Roman"/>
          <w:b/>
        </w:rPr>
        <w:t>Serbia</w:t>
      </w:r>
      <w:r w:rsidR="00900061" w:rsidRPr="00E168A1">
        <w:rPr>
          <w:rFonts w:ascii="Times New Roman" w:hAnsi="Times New Roman"/>
          <w:b/>
        </w:rPr>
        <w:t xml:space="preserve"> </w:t>
      </w:r>
      <w:r w:rsidRPr="00E168A1">
        <w:rPr>
          <w:rFonts w:ascii="Times New Roman" w:hAnsi="Times New Roman"/>
          <w:b/>
        </w:rPr>
        <w:t>has</w:t>
      </w:r>
      <w:r w:rsidR="00900061" w:rsidRPr="00E168A1">
        <w:rPr>
          <w:rFonts w:ascii="Times New Roman" w:hAnsi="Times New Roman"/>
          <w:b/>
        </w:rPr>
        <w:t xml:space="preserve"> </w:t>
      </w:r>
      <w:r w:rsidRPr="00E168A1">
        <w:rPr>
          <w:rFonts w:ascii="Times New Roman" w:hAnsi="Times New Roman"/>
          <w:b/>
        </w:rPr>
        <w:t>made</w:t>
      </w:r>
      <w:r w:rsidR="00900061" w:rsidRPr="00E168A1">
        <w:rPr>
          <w:rFonts w:ascii="Times New Roman" w:hAnsi="Times New Roman"/>
          <w:b/>
        </w:rPr>
        <w:t xml:space="preserve"> </w:t>
      </w:r>
      <w:r w:rsidRPr="00E168A1">
        <w:rPr>
          <w:rFonts w:ascii="Times New Roman" w:hAnsi="Times New Roman"/>
          <w:b/>
        </w:rPr>
        <w:t>progress</w:t>
      </w:r>
      <w:r w:rsidR="00900061" w:rsidRPr="00E168A1">
        <w:rPr>
          <w:rFonts w:ascii="Times New Roman" w:hAnsi="Times New Roman"/>
          <w:b/>
        </w:rPr>
        <w:t xml:space="preserve"> </w:t>
      </w:r>
      <w:r w:rsidRPr="00E168A1">
        <w:rPr>
          <w:rFonts w:ascii="Times New Roman" w:hAnsi="Times New Roman"/>
          <w:b/>
        </w:rPr>
        <w:t>in</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training</w:t>
      </w:r>
      <w:r w:rsidR="00900061" w:rsidRPr="00E168A1">
        <w:rPr>
          <w:rFonts w:ascii="Times New Roman" w:hAnsi="Times New Roman"/>
          <w:b/>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certification</w:t>
      </w:r>
      <w:r w:rsidR="00832ECA" w:rsidRPr="00E168A1">
        <w:rPr>
          <w:rFonts w:ascii="Times New Roman" w:hAnsi="Times New Roman"/>
          <w:b/>
        </w:rPr>
        <w:t>.</w:t>
      </w:r>
      <w:r w:rsidR="00900061" w:rsidRPr="00E168A1">
        <w:rPr>
          <w:rFonts w:ascii="Times New Roman" w:hAnsi="Times New Roman"/>
        </w:rPr>
        <w:t xml:space="preserve"> </w:t>
      </w:r>
      <w:r w:rsidR="00816C6B" w:rsidRPr="00E168A1">
        <w:rPr>
          <w:rFonts w:ascii="Times New Roman" w:hAnsi="Times New Roman"/>
        </w:rPr>
        <w:t>By</w:t>
      </w:r>
      <w:r w:rsidR="00900061" w:rsidRPr="00E168A1">
        <w:rPr>
          <w:rFonts w:ascii="Times New Roman" w:hAnsi="Times New Roman"/>
        </w:rPr>
        <w:t xml:space="preserve"> </w:t>
      </w:r>
      <w:r w:rsidR="00816C6B" w:rsidRPr="00E168A1">
        <w:rPr>
          <w:rFonts w:ascii="Times New Roman" w:hAnsi="Times New Roman"/>
        </w:rPr>
        <w:t>the</w:t>
      </w:r>
      <w:r w:rsidR="00900061" w:rsidRPr="00E168A1">
        <w:rPr>
          <w:rFonts w:ascii="Times New Roman" w:hAnsi="Times New Roman"/>
        </w:rPr>
        <w:t xml:space="preserve"> </w:t>
      </w:r>
      <w:r w:rsidR="00816C6B" w:rsidRPr="00E168A1">
        <w:rPr>
          <w:rFonts w:ascii="Times New Roman" w:hAnsi="Times New Roman"/>
        </w:rPr>
        <w:t>end</w:t>
      </w:r>
      <w:r w:rsidR="00900061" w:rsidRPr="00E168A1">
        <w:rPr>
          <w:rFonts w:ascii="Times New Roman" w:hAnsi="Times New Roman"/>
        </w:rPr>
        <w:t xml:space="preserve"> </w:t>
      </w:r>
      <w:r w:rsidR="00816C6B" w:rsidRPr="00E168A1">
        <w:rPr>
          <w:rFonts w:ascii="Times New Roman" w:hAnsi="Times New Roman"/>
        </w:rPr>
        <w:t>of</w:t>
      </w:r>
      <w:r w:rsidR="00900061" w:rsidRPr="00E168A1">
        <w:rPr>
          <w:rFonts w:ascii="Times New Roman" w:hAnsi="Times New Roman"/>
        </w:rPr>
        <w:t xml:space="preserve"> </w:t>
      </w:r>
      <w:r w:rsidR="00816C6B" w:rsidRPr="00E168A1">
        <w:rPr>
          <w:rFonts w:ascii="Times New Roman" w:hAnsi="Times New Roman"/>
        </w:rPr>
        <w:t>August</w:t>
      </w:r>
      <w:r w:rsidR="00900061" w:rsidRPr="00E168A1">
        <w:rPr>
          <w:rFonts w:ascii="Times New Roman" w:hAnsi="Times New Roman"/>
        </w:rPr>
        <w:t xml:space="preserve"> </w:t>
      </w:r>
      <w:r w:rsidR="00816C6B" w:rsidRPr="00E168A1">
        <w:rPr>
          <w:rFonts w:ascii="Times New Roman" w:hAnsi="Times New Roman"/>
        </w:rPr>
        <w:t>2015,</w:t>
      </w:r>
      <w:r w:rsidR="00900061" w:rsidRPr="00E168A1">
        <w:rPr>
          <w:rFonts w:ascii="Times New Roman" w:hAnsi="Times New Roman"/>
        </w:rPr>
        <w:t xml:space="preserve"> </w:t>
      </w:r>
      <w:r w:rsidR="00816C6B" w:rsidRPr="00E168A1">
        <w:rPr>
          <w:rFonts w:ascii="Times New Roman" w:hAnsi="Times New Roman"/>
        </w:rPr>
        <w:t>881</w:t>
      </w:r>
      <w:r w:rsidR="00900061" w:rsidRPr="00E168A1">
        <w:rPr>
          <w:rFonts w:ascii="Times New Roman" w:hAnsi="Times New Roman"/>
        </w:rPr>
        <w:t xml:space="preserve"> </w:t>
      </w:r>
      <w:r w:rsidR="00816C6B" w:rsidRPr="00E168A1">
        <w:rPr>
          <w:rFonts w:ascii="Times New Roman" w:hAnsi="Times New Roman"/>
        </w:rPr>
        <w:t>public</w:t>
      </w:r>
      <w:r w:rsidR="00900061" w:rsidRPr="00E168A1">
        <w:rPr>
          <w:rFonts w:ascii="Times New Roman" w:hAnsi="Times New Roman"/>
        </w:rPr>
        <w:t xml:space="preserve"> </w:t>
      </w:r>
      <w:r w:rsidR="00816C6B" w:rsidRPr="00E168A1">
        <w:rPr>
          <w:rFonts w:ascii="Times New Roman" w:hAnsi="Times New Roman"/>
        </w:rPr>
        <w:t>procurement</w:t>
      </w:r>
      <w:r w:rsidR="00900061" w:rsidRPr="00E168A1">
        <w:rPr>
          <w:rFonts w:ascii="Times New Roman" w:hAnsi="Times New Roman"/>
        </w:rPr>
        <w:t xml:space="preserve"> </w:t>
      </w:r>
      <w:r w:rsidR="00816C6B" w:rsidRPr="00E168A1">
        <w:rPr>
          <w:rFonts w:ascii="Times New Roman" w:hAnsi="Times New Roman"/>
        </w:rPr>
        <w:t>officers</w:t>
      </w:r>
      <w:r w:rsidR="00816C6B" w:rsidRPr="00E168A1">
        <w:rPr>
          <w:rStyle w:val="FootnoteReference"/>
          <w:rFonts w:ascii="Times New Roman" w:hAnsi="Times New Roman"/>
        </w:rPr>
        <w:footnoteReference w:id="46"/>
      </w:r>
      <w:r w:rsidR="00900061" w:rsidRPr="00E168A1">
        <w:rPr>
          <w:rFonts w:ascii="Times New Roman" w:hAnsi="Times New Roman"/>
        </w:rPr>
        <w:t xml:space="preserve"> </w:t>
      </w:r>
      <w:r w:rsidR="00816C6B" w:rsidRPr="00E168A1">
        <w:rPr>
          <w:rFonts w:ascii="Times New Roman" w:hAnsi="Times New Roman"/>
        </w:rPr>
        <w:t>had</w:t>
      </w:r>
      <w:r w:rsidR="00900061" w:rsidRPr="00E168A1">
        <w:rPr>
          <w:rFonts w:ascii="Times New Roman" w:hAnsi="Times New Roman"/>
        </w:rPr>
        <w:t xml:space="preserve"> </w:t>
      </w:r>
      <w:r w:rsidR="00816C6B" w:rsidRPr="00E168A1">
        <w:rPr>
          <w:rFonts w:ascii="Times New Roman" w:hAnsi="Times New Roman"/>
        </w:rPr>
        <w:t>passed</w:t>
      </w:r>
      <w:r w:rsidR="00900061" w:rsidRPr="00E168A1">
        <w:rPr>
          <w:rFonts w:ascii="Times New Roman" w:hAnsi="Times New Roman"/>
        </w:rPr>
        <w:t xml:space="preserve"> </w:t>
      </w:r>
      <w:r w:rsidR="00816C6B" w:rsidRPr="00E168A1">
        <w:rPr>
          <w:rFonts w:ascii="Times New Roman" w:hAnsi="Times New Roman"/>
        </w:rPr>
        <w:t>the</w:t>
      </w:r>
      <w:r w:rsidR="00900061" w:rsidRPr="00E168A1">
        <w:rPr>
          <w:rFonts w:ascii="Times New Roman" w:hAnsi="Times New Roman"/>
        </w:rPr>
        <w:t xml:space="preserve"> </w:t>
      </w:r>
      <w:r w:rsidR="00816C6B" w:rsidRPr="00E168A1">
        <w:rPr>
          <w:rFonts w:ascii="Times New Roman" w:hAnsi="Times New Roman"/>
        </w:rPr>
        <w:t>exam</w:t>
      </w:r>
      <w:r w:rsidR="003D4B85" w:rsidRPr="00E168A1">
        <w:rPr>
          <w:rFonts w:ascii="Times New Roman" w:hAnsi="Times New Roman"/>
        </w:rPr>
        <w:t>. T</w:t>
      </w:r>
      <w:r w:rsidRPr="00E168A1">
        <w:rPr>
          <w:rFonts w:ascii="Times New Roman" w:hAnsi="Times New Roman"/>
        </w:rPr>
        <w: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60</w:t>
      </w:r>
      <w:r w:rsidR="00900061" w:rsidRPr="00E168A1">
        <w:rPr>
          <w:rFonts w:ascii="Times New Roman" w:hAnsi="Times New Roman"/>
        </w:rPr>
        <w:t xml:space="preserve"> </w:t>
      </w:r>
      <w:r w:rsidRPr="00E168A1">
        <w:rPr>
          <w:rFonts w:ascii="Times New Roman" w:hAnsi="Times New Roman"/>
        </w:rPr>
        <w:t>certified</w:t>
      </w:r>
      <w:r w:rsidR="00900061" w:rsidRPr="00E168A1">
        <w:rPr>
          <w:rFonts w:ascii="Times New Roman" w:hAnsi="Times New Roman"/>
        </w:rPr>
        <w:t xml:space="preserve"> </w:t>
      </w:r>
      <w:r w:rsidRPr="00E168A1">
        <w:rPr>
          <w:rFonts w:ascii="Times New Roman" w:hAnsi="Times New Roman"/>
        </w:rPr>
        <w:t>auditors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municipalities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trained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implementing</w:t>
      </w:r>
      <w:r w:rsidR="00900061" w:rsidRPr="00E168A1">
        <w:rPr>
          <w:rFonts w:ascii="Times New Roman" w:hAnsi="Times New Roman"/>
        </w:rPr>
        <w:t xml:space="preserve"> </w:t>
      </w:r>
      <w:r w:rsidRPr="00E168A1">
        <w:rPr>
          <w:rFonts w:ascii="Times New Roman" w:hAnsi="Times New Roman"/>
        </w:rPr>
        <w:t>audit</w:t>
      </w:r>
      <w:r w:rsidR="00900061" w:rsidRPr="00E168A1">
        <w:rPr>
          <w:rFonts w:ascii="Times New Roman" w:hAnsi="Times New Roman"/>
        </w:rPr>
        <w:t xml:space="preserve"> </w:t>
      </w:r>
      <w:r w:rsidRPr="00E168A1">
        <w:rPr>
          <w:rFonts w:ascii="Times New Roman" w:hAnsi="Times New Roman"/>
        </w:rPr>
        <w:t>findings.</w:t>
      </w:r>
      <w:r w:rsidR="00900061" w:rsidRPr="00E168A1">
        <w:rPr>
          <w:rFonts w:ascii="Times New Roman" w:hAnsi="Times New Roman"/>
        </w:rPr>
        <w:t xml:space="preserve"> </w:t>
      </w:r>
      <w:r w:rsidR="009344EC" w:rsidRPr="00E168A1">
        <w:rPr>
          <w:rFonts w:ascii="Times New Roman" w:hAnsi="Times New Roman"/>
        </w:rPr>
        <w:t>There</w:t>
      </w:r>
      <w:r w:rsidR="00900061" w:rsidRPr="00E168A1">
        <w:rPr>
          <w:rFonts w:ascii="Times New Roman" w:hAnsi="Times New Roman"/>
        </w:rPr>
        <w:t xml:space="preserve"> </w:t>
      </w:r>
      <w:r w:rsidR="009344EC" w:rsidRPr="00E168A1">
        <w:rPr>
          <w:rFonts w:ascii="Times New Roman" w:hAnsi="Times New Roman"/>
        </w:rPr>
        <w:t>is</w:t>
      </w:r>
      <w:r w:rsidR="00900061" w:rsidRPr="00E168A1">
        <w:rPr>
          <w:rFonts w:ascii="Times New Roman" w:hAnsi="Times New Roman"/>
        </w:rPr>
        <w:t xml:space="preserve"> </w:t>
      </w:r>
      <w:r w:rsidR="009344EC" w:rsidRPr="00E168A1">
        <w:rPr>
          <w:rFonts w:ascii="Times New Roman" w:hAnsi="Times New Roman"/>
        </w:rPr>
        <w:t>a</w:t>
      </w:r>
      <w:r w:rsidR="00900061" w:rsidRPr="00E168A1">
        <w:rPr>
          <w:rFonts w:ascii="Times New Roman" w:hAnsi="Times New Roman"/>
        </w:rPr>
        <w:t xml:space="preserve"> </w:t>
      </w:r>
      <w:r w:rsidR="009344EC" w:rsidRPr="00E168A1">
        <w:rPr>
          <w:rFonts w:ascii="Times New Roman" w:hAnsi="Times New Roman"/>
        </w:rPr>
        <w:t>growing</w:t>
      </w:r>
      <w:r w:rsidR="00900061" w:rsidRPr="00E168A1">
        <w:rPr>
          <w:rFonts w:ascii="Times New Roman" w:hAnsi="Times New Roman"/>
        </w:rPr>
        <w:t xml:space="preserve"> </w:t>
      </w:r>
      <w:r w:rsidR="009344EC" w:rsidRPr="00E168A1">
        <w:rPr>
          <w:rFonts w:ascii="Times New Roman" w:hAnsi="Times New Roman"/>
        </w:rPr>
        <w:t>need</w:t>
      </w:r>
      <w:r w:rsidR="00900061" w:rsidRPr="00E168A1">
        <w:rPr>
          <w:rFonts w:ascii="Times New Roman" w:hAnsi="Times New Roman"/>
        </w:rPr>
        <w:t xml:space="preserve"> </w:t>
      </w:r>
      <w:r w:rsidR="009344EC" w:rsidRPr="00E168A1">
        <w:rPr>
          <w:rFonts w:ascii="Times New Roman" w:hAnsi="Times New Roman"/>
        </w:rPr>
        <w:t>for</w:t>
      </w:r>
      <w:r w:rsidR="00900061" w:rsidRPr="00E168A1">
        <w:rPr>
          <w:rFonts w:ascii="Times New Roman" w:hAnsi="Times New Roman"/>
        </w:rPr>
        <w:t xml:space="preserve"> </w:t>
      </w:r>
      <w:r w:rsidR="009344EC" w:rsidRPr="00E168A1">
        <w:rPr>
          <w:rFonts w:ascii="Times New Roman" w:hAnsi="Times New Roman"/>
        </w:rPr>
        <w:t>training</w:t>
      </w:r>
      <w:r w:rsidR="00900061" w:rsidRPr="00E168A1">
        <w:rPr>
          <w:rFonts w:ascii="Times New Roman" w:hAnsi="Times New Roman"/>
        </w:rPr>
        <w:t xml:space="preserve"> </w:t>
      </w:r>
      <w:r w:rsidR="009344EC" w:rsidRPr="00E168A1">
        <w:rPr>
          <w:rFonts w:ascii="Times New Roman" w:hAnsi="Times New Roman"/>
        </w:rPr>
        <w:t>public</w:t>
      </w:r>
      <w:r w:rsidR="00900061" w:rsidRPr="00E168A1">
        <w:rPr>
          <w:rFonts w:ascii="Times New Roman" w:hAnsi="Times New Roman"/>
        </w:rPr>
        <w:t xml:space="preserve"> </w:t>
      </w:r>
      <w:r w:rsidR="009344EC" w:rsidRPr="00E168A1">
        <w:rPr>
          <w:rFonts w:ascii="Times New Roman" w:hAnsi="Times New Roman"/>
        </w:rPr>
        <w:t>procurement</w:t>
      </w:r>
      <w:r w:rsidR="00900061" w:rsidRPr="00E168A1">
        <w:rPr>
          <w:rFonts w:ascii="Times New Roman" w:hAnsi="Times New Roman"/>
        </w:rPr>
        <w:t xml:space="preserve"> </w:t>
      </w:r>
      <w:r w:rsidR="009344EC" w:rsidRPr="00E168A1">
        <w:rPr>
          <w:rFonts w:ascii="Times New Roman" w:hAnsi="Times New Roman"/>
        </w:rPr>
        <w:t>officials.</w:t>
      </w:r>
      <w:r w:rsidR="00900061" w:rsidRPr="00E168A1">
        <w:rPr>
          <w:rFonts w:ascii="Times New Roman" w:hAnsi="Times New Roman"/>
        </w:rPr>
        <w:t xml:space="preserve"> </w:t>
      </w:r>
      <w:r w:rsidR="009344EC" w:rsidRPr="00E168A1">
        <w:rPr>
          <w:rFonts w:ascii="Times New Roman" w:hAnsi="Times New Roman"/>
        </w:rPr>
        <w:t>Although</w:t>
      </w:r>
      <w:r w:rsidR="00900061" w:rsidRPr="00E168A1">
        <w:rPr>
          <w:rFonts w:ascii="Times New Roman" w:hAnsi="Times New Roman"/>
        </w:rPr>
        <w:t xml:space="preserve"> </w:t>
      </w:r>
      <w:r w:rsidR="009344EC" w:rsidRPr="00E168A1">
        <w:rPr>
          <w:rFonts w:ascii="Times New Roman" w:hAnsi="Times New Roman"/>
        </w:rPr>
        <w:t>training</w:t>
      </w:r>
      <w:r w:rsidR="00900061" w:rsidRPr="00E168A1">
        <w:rPr>
          <w:rFonts w:ascii="Times New Roman" w:hAnsi="Times New Roman"/>
        </w:rPr>
        <w:t xml:space="preserve"> </w:t>
      </w:r>
      <w:r w:rsidR="009344EC" w:rsidRPr="00E168A1">
        <w:rPr>
          <w:rFonts w:ascii="Times New Roman" w:hAnsi="Times New Roman"/>
        </w:rPr>
        <w:t>and</w:t>
      </w:r>
      <w:r w:rsidR="00900061" w:rsidRPr="00E168A1">
        <w:rPr>
          <w:rFonts w:ascii="Times New Roman" w:hAnsi="Times New Roman"/>
        </w:rPr>
        <w:t xml:space="preserve"> </w:t>
      </w:r>
      <w:r w:rsidR="009344EC" w:rsidRPr="00E168A1">
        <w:rPr>
          <w:rFonts w:ascii="Times New Roman" w:hAnsi="Times New Roman"/>
        </w:rPr>
        <w:t>certification</w:t>
      </w:r>
      <w:r w:rsidR="00900061" w:rsidRPr="00E168A1">
        <w:rPr>
          <w:rFonts w:ascii="Times New Roman" w:hAnsi="Times New Roman"/>
        </w:rPr>
        <w:t xml:space="preserve"> </w:t>
      </w:r>
      <w:r w:rsidR="009344EC" w:rsidRPr="00E168A1">
        <w:rPr>
          <w:rFonts w:ascii="Times New Roman" w:hAnsi="Times New Roman"/>
        </w:rPr>
        <w:t>is</w:t>
      </w:r>
      <w:r w:rsidR="00900061" w:rsidRPr="00E168A1">
        <w:rPr>
          <w:rFonts w:ascii="Times New Roman" w:hAnsi="Times New Roman"/>
        </w:rPr>
        <w:t xml:space="preserve"> </w:t>
      </w:r>
      <w:r w:rsidR="009344EC" w:rsidRPr="00E168A1">
        <w:rPr>
          <w:rFonts w:ascii="Times New Roman" w:hAnsi="Times New Roman"/>
        </w:rPr>
        <w:t>required</w:t>
      </w:r>
      <w:r w:rsidR="00900061" w:rsidRPr="00E168A1">
        <w:rPr>
          <w:rFonts w:ascii="Times New Roman" w:hAnsi="Times New Roman"/>
        </w:rPr>
        <w:t xml:space="preserve"> </w:t>
      </w:r>
      <w:r w:rsidR="009344EC" w:rsidRPr="00E168A1">
        <w:rPr>
          <w:rFonts w:ascii="Times New Roman" w:hAnsi="Times New Roman"/>
        </w:rPr>
        <w:t>by</w:t>
      </w:r>
      <w:r w:rsidR="00900061" w:rsidRPr="00E168A1">
        <w:rPr>
          <w:rFonts w:ascii="Times New Roman" w:hAnsi="Times New Roman"/>
        </w:rPr>
        <w:t xml:space="preserve"> </w:t>
      </w:r>
      <w:r w:rsidR="009344EC" w:rsidRPr="00E168A1">
        <w:rPr>
          <w:rFonts w:ascii="Times New Roman" w:hAnsi="Times New Roman"/>
        </w:rPr>
        <w:t>the</w:t>
      </w:r>
      <w:r w:rsidR="00900061" w:rsidRPr="00E168A1">
        <w:rPr>
          <w:rFonts w:ascii="Times New Roman" w:hAnsi="Times New Roman"/>
        </w:rPr>
        <w:t xml:space="preserve"> </w:t>
      </w:r>
      <w:r w:rsidR="00EB1D5D" w:rsidRPr="00E168A1">
        <w:rPr>
          <w:rFonts w:ascii="Times New Roman" w:hAnsi="Times New Roman"/>
        </w:rPr>
        <w:t>L</w:t>
      </w:r>
      <w:r w:rsidR="009344EC" w:rsidRPr="00E168A1">
        <w:rPr>
          <w:rFonts w:ascii="Times New Roman" w:hAnsi="Times New Roman"/>
        </w:rPr>
        <w:t>aw,</w:t>
      </w:r>
      <w:r w:rsidR="00900061" w:rsidRPr="00E168A1">
        <w:rPr>
          <w:rFonts w:ascii="Times New Roman" w:hAnsi="Times New Roman"/>
        </w:rPr>
        <w:t xml:space="preserve"> </w:t>
      </w:r>
      <w:r w:rsidR="009344EC" w:rsidRPr="00E168A1">
        <w:rPr>
          <w:rFonts w:ascii="Times New Roman" w:hAnsi="Times New Roman"/>
        </w:rPr>
        <w:t>the</w:t>
      </w:r>
      <w:r w:rsidR="00900061" w:rsidRPr="00E168A1">
        <w:rPr>
          <w:rFonts w:ascii="Times New Roman" w:hAnsi="Times New Roman"/>
        </w:rPr>
        <w:t xml:space="preserve"> </w:t>
      </w:r>
      <w:r w:rsidR="009344EC" w:rsidRPr="00E168A1">
        <w:rPr>
          <w:rFonts w:ascii="Times New Roman" w:hAnsi="Times New Roman"/>
        </w:rPr>
        <w:t>PPO</w:t>
      </w:r>
      <w:r w:rsidR="00900061" w:rsidRPr="00E168A1">
        <w:rPr>
          <w:rFonts w:ascii="Times New Roman" w:hAnsi="Times New Roman"/>
        </w:rPr>
        <w:t xml:space="preserve"> </w:t>
      </w:r>
      <w:r w:rsidR="009344EC" w:rsidRPr="00E168A1">
        <w:rPr>
          <w:rFonts w:ascii="Times New Roman" w:hAnsi="Times New Roman"/>
        </w:rPr>
        <w:t>is</w:t>
      </w:r>
      <w:r w:rsidR="00900061" w:rsidRPr="00E168A1">
        <w:rPr>
          <w:rFonts w:ascii="Times New Roman" w:hAnsi="Times New Roman"/>
        </w:rPr>
        <w:t xml:space="preserve"> </w:t>
      </w:r>
      <w:r w:rsidR="009344EC" w:rsidRPr="00E168A1">
        <w:rPr>
          <w:rFonts w:ascii="Times New Roman" w:hAnsi="Times New Roman"/>
        </w:rPr>
        <w:t>not</w:t>
      </w:r>
      <w:r w:rsidR="00900061" w:rsidRPr="00E168A1">
        <w:rPr>
          <w:rFonts w:ascii="Times New Roman" w:hAnsi="Times New Roman"/>
        </w:rPr>
        <w:t xml:space="preserve"> </w:t>
      </w:r>
      <w:r w:rsidR="009344EC" w:rsidRPr="00E168A1">
        <w:rPr>
          <w:rFonts w:ascii="Times New Roman" w:hAnsi="Times New Roman"/>
        </w:rPr>
        <w:t>obliged</w:t>
      </w:r>
      <w:r w:rsidR="00900061" w:rsidRPr="00E168A1">
        <w:rPr>
          <w:rFonts w:ascii="Times New Roman" w:hAnsi="Times New Roman"/>
        </w:rPr>
        <w:t xml:space="preserve"> </w:t>
      </w:r>
      <w:r w:rsidR="009344EC" w:rsidRPr="00E168A1">
        <w:rPr>
          <w:rFonts w:ascii="Times New Roman" w:hAnsi="Times New Roman"/>
        </w:rPr>
        <w:t>to</w:t>
      </w:r>
      <w:r w:rsidR="00900061" w:rsidRPr="00E168A1">
        <w:rPr>
          <w:rFonts w:ascii="Times New Roman" w:hAnsi="Times New Roman"/>
        </w:rPr>
        <w:t xml:space="preserve"> </w:t>
      </w:r>
      <w:r w:rsidR="009344EC" w:rsidRPr="00E168A1">
        <w:rPr>
          <w:rFonts w:ascii="Times New Roman" w:hAnsi="Times New Roman"/>
        </w:rPr>
        <w:t>organize</w:t>
      </w:r>
      <w:r w:rsidR="00900061" w:rsidRPr="00E168A1">
        <w:rPr>
          <w:rFonts w:ascii="Times New Roman" w:hAnsi="Times New Roman"/>
        </w:rPr>
        <w:t xml:space="preserve"> </w:t>
      </w:r>
      <w:r w:rsidR="009344EC" w:rsidRPr="00E168A1">
        <w:rPr>
          <w:rFonts w:ascii="Times New Roman" w:hAnsi="Times New Roman"/>
        </w:rPr>
        <w:t>and</w:t>
      </w:r>
      <w:r w:rsidR="00900061" w:rsidRPr="00E168A1">
        <w:rPr>
          <w:rFonts w:ascii="Times New Roman" w:hAnsi="Times New Roman"/>
        </w:rPr>
        <w:t xml:space="preserve"> </w:t>
      </w:r>
      <w:r w:rsidR="009344EC" w:rsidRPr="00E168A1">
        <w:rPr>
          <w:rFonts w:ascii="Times New Roman" w:hAnsi="Times New Roman"/>
        </w:rPr>
        <w:t>deliver</w:t>
      </w:r>
      <w:r w:rsidR="00900061" w:rsidRPr="00E168A1">
        <w:rPr>
          <w:rFonts w:ascii="Times New Roman" w:hAnsi="Times New Roman"/>
        </w:rPr>
        <w:t xml:space="preserve"> </w:t>
      </w:r>
      <w:r w:rsidR="009344EC" w:rsidRPr="00E168A1">
        <w:rPr>
          <w:rFonts w:ascii="Times New Roman" w:hAnsi="Times New Roman"/>
        </w:rPr>
        <w:t>training</w:t>
      </w:r>
      <w:r w:rsidR="00900061" w:rsidRPr="00E168A1">
        <w:rPr>
          <w:rFonts w:ascii="Times New Roman" w:hAnsi="Times New Roman"/>
        </w:rPr>
        <w:t xml:space="preserve"> </w:t>
      </w:r>
      <w:r w:rsidR="009344EC" w:rsidRPr="00E168A1">
        <w:rPr>
          <w:rFonts w:ascii="Times New Roman" w:hAnsi="Times New Roman"/>
        </w:rPr>
        <w:t>in</w:t>
      </w:r>
      <w:r w:rsidR="00900061" w:rsidRPr="00E168A1">
        <w:rPr>
          <w:rFonts w:ascii="Times New Roman" w:hAnsi="Times New Roman"/>
        </w:rPr>
        <w:t xml:space="preserve"> </w:t>
      </w:r>
      <w:r w:rsidR="009344EC" w:rsidRPr="00E168A1">
        <w:rPr>
          <w:rFonts w:ascii="Times New Roman" w:hAnsi="Times New Roman"/>
        </w:rPr>
        <w:t>preparation</w:t>
      </w:r>
      <w:r w:rsidR="00900061" w:rsidRPr="00E168A1">
        <w:rPr>
          <w:rFonts w:ascii="Times New Roman" w:hAnsi="Times New Roman"/>
        </w:rPr>
        <w:t xml:space="preserve"> </w:t>
      </w:r>
      <w:r w:rsidR="009344EC" w:rsidRPr="00E168A1">
        <w:rPr>
          <w:rFonts w:ascii="Times New Roman" w:hAnsi="Times New Roman"/>
        </w:rPr>
        <w:t>for</w:t>
      </w:r>
      <w:r w:rsidR="00900061" w:rsidRPr="00E168A1">
        <w:rPr>
          <w:rFonts w:ascii="Times New Roman" w:hAnsi="Times New Roman"/>
        </w:rPr>
        <w:t xml:space="preserve"> </w:t>
      </w:r>
      <w:r w:rsidR="009344EC" w:rsidRPr="00E168A1">
        <w:rPr>
          <w:rFonts w:ascii="Times New Roman" w:hAnsi="Times New Roman"/>
        </w:rPr>
        <w:t>the</w:t>
      </w:r>
      <w:r w:rsidR="00900061" w:rsidRPr="00E168A1">
        <w:rPr>
          <w:rFonts w:ascii="Times New Roman" w:hAnsi="Times New Roman"/>
        </w:rPr>
        <w:t xml:space="preserve"> </w:t>
      </w:r>
      <w:r w:rsidR="009344EC" w:rsidRPr="00E168A1">
        <w:rPr>
          <w:rFonts w:ascii="Times New Roman" w:hAnsi="Times New Roman"/>
        </w:rPr>
        <w:t>exams.</w:t>
      </w:r>
      <w:r w:rsidR="00900061" w:rsidRPr="00E168A1">
        <w:rPr>
          <w:rFonts w:ascii="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target</w:t>
      </w:r>
      <w:r w:rsidR="00900061" w:rsidRPr="00E168A1">
        <w:rPr>
          <w:rFonts w:ascii="Times New Roman" w:eastAsia="Times New Roman" w:hAnsi="Times New Roman"/>
        </w:rPr>
        <w:t xml:space="preserve"> </w:t>
      </w:r>
      <w:r w:rsidRPr="00E168A1">
        <w:rPr>
          <w:rFonts w:ascii="Times New Roman" w:eastAsia="Times New Roman" w:hAnsi="Times New Roman"/>
        </w:rPr>
        <w:t>value</w:t>
      </w:r>
      <w:r w:rsidR="00900061" w:rsidRPr="00E168A1">
        <w:rPr>
          <w:rFonts w:ascii="Times New Roman" w:eastAsia="Times New Roman" w:hAnsi="Times New Roman"/>
        </w:rPr>
        <w:t xml:space="preserve"> </w:t>
      </w:r>
      <w:r w:rsidRPr="00E168A1">
        <w:rPr>
          <w:rFonts w:ascii="Times New Roman" w:eastAsia="Times New Roman" w:hAnsi="Times New Roman"/>
        </w:rPr>
        <w:t>expressed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Serbia's</w:t>
      </w:r>
      <w:r w:rsidR="00900061" w:rsidRPr="00E168A1">
        <w:rPr>
          <w:rFonts w:ascii="Times New Roman" w:eastAsia="Times New Roman" w:hAnsi="Times New Roman"/>
        </w:rPr>
        <w:t xml:space="preserve"> </w:t>
      </w:r>
      <w:r w:rsidRPr="00E168A1">
        <w:rPr>
          <w:rFonts w:ascii="Times New Roman" w:eastAsia="Times New Roman" w:hAnsi="Times New Roman"/>
        </w:rPr>
        <w:t>2015</w:t>
      </w:r>
      <w:r w:rsidR="001C207D" w:rsidRPr="00E168A1">
        <w:rPr>
          <w:rFonts w:ascii="Times New Roman" w:eastAsia="Times New Roman" w:hAnsi="Times New Roman"/>
        </w:rPr>
        <w:t>–</w:t>
      </w:r>
      <w:r w:rsidRPr="00E168A1">
        <w:rPr>
          <w:rFonts w:ascii="Times New Roman" w:eastAsia="Times New Roman" w:hAnsi="Times New Roman"/>
        </w:rPr>
        <w:t>2017</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Administration</w:t>
      </w:r>
      <w:r w:rsidR="00900061" w:rsidRPr="00E168A1">
        <w:rPr>
          <w:rFonts w:ascii="Times New Roman" w:eastAsia="Times New Roman" w:hAnsi="Times New Roman"/>
        </w:rPr>
        <w:t xml:space="preserve"> </w:t>
      </w:r>
      <w:r w:rsidRPr="00E168A1">
        <w:rPr>
          <w:rFonts w:ascii="Times New Roman" w:eastAsia="Times New Roman" w:hAnsi="Times New Roman"/>
        </w:rPr>
        <w:t>Reform</w:t>
      </w:r>
      <w:r w:rsidR="00900061" w:rsidRPr="00E168A1">
        <w:rPr>
          <w:rFonts w:ascii="Times New Roman" w:eastAsia="Times New Roman" w:hAnsi="Times New Roman"/>
        </w:rPr>
        <w:t xml:space="preserve"> </w:t>
      </w:r>
      <w:r w:rsidRPr="00E168A1">
        <w:rPr>
          <w:rFonts w:ascii="Times New Roman" w:eastAsia="Times New Roman" w:hAnsi="Times New Roman"/>
        </w:rPr>
        <w:t>Action</w:t>
      </w:r>
      <w:r w:rsidR="00900061" w:rsidRPr="00E168A1">
        <w:rPr>
          <w:rFonts w:ascii="Times New Roman" w:eastAsia="Times New Roman" w:hAnsi="Times New Roman"/>
        </w:rPr>
        <w:t xml:space="preserve"> </w:t>
      </w:r>
      <w:r w:rsidRPr="00E168A1">
        <w:rPr>
          <w:rFonts w:ascii="Times New Roman" w:eastAsia="Times New Roman" w:hAnsi="Times New Roman"/>
        </w:rPr>
        <w:t>Plan</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2</w:t>
      </w:r>
      <w:r w:rsidR="009C5723" w:rsidRPr="00E168A1">
        <w:rPr>
          <w:rFonts w:ascii="Times New Roman" w:eastAsia="Times New Roman" w:hAnsi="Times New Roman"/>
        </w:rPr>
        <w:t>,</w:t>
      </w:r>
      <w:r w:rsidRPr="00E168A1">
        <w:rPr>
          <w:rFonts w:ascii="Times New Roman" w:eastAsia="Times New Roman" w:hAnsi="Times New Roman"/>
        </w:rPr>
        <w:t>300</w:t>
      </w:r>
      <w:r w:rsidR="00900061" w:rsidRPr="00E168A1">
        <w:rPr>
          <w:rFonts w:ascii="Times New Roman" w:eastAsia="Times New Roman" w:hAnsi="Times New Roman"/>
        </w:rPr>
        <w:t xml:space="preserve"> </w:t>
      </w:r>
      <w:r w:rsidRPr="00E168A1">
        <w:rPr>
          <w:rFonts w:ascii="Times New Roman" w:eastAsia="Times New Roman" w:hAnsi="Times New Roman"/>
        </w:rPr>
        <w:t>certified</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officials</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2017.</w:t>
      </w:r>
      <w:r w:rsidR="00900061" w:rsidRPr="00E168A1">
        <w:rPr>
          <w:rFonts w:ascii="Times New Roman" w:eastAsia="Times New Roman" w:hAnsi="Times New Roman"/>
        </w:rPr>
        <w:t xml:space="preserve"> </w:t>
      </w:r>
    </w:p>
    <w:p w14:paraId="33DEAC1B" w14:textId="76334BFB" w:rsidR="00CF175C" w:rsidRPr="00E168A1" w:rsidRDefault="00AE54E5"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hAnsi="Times New Roman"/>
          <w:b/>
          <w:color w:val="000000"/>
        </w:rPr>
        <w:t>A</w:t>
      </w:r>
      <w:r w:rsidR="00900061" w:rsidRPr="00E168A1">
        <w:rPr>
          <w:rFonts w:ascii="Times New Roman" w:hAnsi="Times New Roman"/>
          <w:b/>
          <w:color w:val="000000"/>
        </w:rPr>
        <w:t xml:space="preserve"> </w:t>
      </w:r>
      <w:r w:rsidRPr="00E168A1">
        <w:rPr>
          <w:rFonts w:ascii="Times New Roman" w:hAnsi="Times New Roman"/>
          <w:b/>
          <w:color w:val="000000"/>
        </w:rPr>
        <w:t>contracting</w:t>
      </w:r>
      <w:r w:rsidR="00900061" w:rsidRPr="00E168A1">
        <w:rPr>
          <w:rFonts w:ascii="Times New Roman" w:hAnsi="Times New Roman"/>
          <w:b/>
          <w:color w:val="000000"/>
        </w:rPr>
        <w:t xml:space="preserve"> </w:t>
      </w:r>
      <w:r w:rsidRPr="00E168A1">
        <w:rPr>
          <w:rFonts w:ascii="Times New Roman" w:hAnsi="Times New Roman"/>
          <w:b/>
          <w:color w:val="000000"/>
        </w:rPr>
        <w:t>authority</w:t>
      </w:r>
      <w:r w:rsidR="00900061" w:rsidRPr="00E168A1">
        <w:rPr>
          <w:rFonts w:ascii="Times New Roman" w:hAnsi="Times New Roman"/>
          <w:b/>
          <w:color w:val="000000"/>
        </w:rPr>
        <w:t xml:space="preserve"> </w:t>
      </w:r>
      <w:r w:rsidRPr="00E168A1">
        <w:rPr>
          <w:rFonts w:ascii="Times New Roman" w:hAnsi="Times New Roman"/>
          <w:b/>
          <w:color w:val="000000"/>
        </w:rPr>
        <w:t>whose</w:t>
      </w:r>
      <w:r w:rsidR="00900061" w:rsidRPr="00E168A1">
        <w:rPr>
          <w:rFonts w:ascii="Times New Roman" w:hAnsi="Times New Roman"/>
          <w:b/>
          <w:color w:val="000000"/>
        </w:rPr>
        <w:t xml:space="preserve"> </w:t>
      </w:r>
      <w:r w:rsidRPr="00E168A1">
        <w:rPr>
          <w:rFonts w:ascii="Times New Roman" w:hAnsi="Times New Roman"/>
          <w:b/>
          <w:color w:val="000000"/>
        </w:rPr>
        <w:t>total</w:t>
      </w:r>
      <w:r w:rsidR="00900061" w:rsidRPr="00E168A1">
        <w:rPr>
          <w:rFonts w:ascii="Times New Roman" w:hAnsi="Times New Roman"/>
          <w:b/>
          <w:color w:val="000000"/>
        </w:rPr>
        <w:t xml:space="preserve"> </w:t>
      </w:r>
      <w:r w:rsidRPr="00E168A1">
        <w:rPr>
          <w:rFonts w:ascii="Times New Roman" w:hAnsi="Times New Roman"/>
          <w:b/>
          <w:color w:val="000000"/>
        </w:rPr>
        <w:t>value</w:t>
      </w:r>
      <w:r w:rsidR="00900061" w:rsidRPr="00E168A1">
        <w:rPr>
          <w:rFonts w:ascii="Times New Roman" w:hAnsi="Times New Roman"/>
          <w:b/>
          <w:color w:val="000000"/>
        </w:rPr>
        <w:t xml:space="preserve"> </w:t>
      </w:r>
      <w:r w:rsidRPr="00E168A1">
        <w:rPr>
          <w:rFonts w:ascii="Times New Roman" w:hAnsi="Times New Roman"/>
          <w:b/>
          <w:color w:val="000000"/>
        </w:rPr>
        <w:t>of</w:t>
      </w:r>
      <w:r w:rsidR="00900061" w:rsidRPr="00E168A1">
        <w:rPr>
          <w:rFonts w:ascii="Times New Roman" w:hAnsi="Times New Roman"/>
          <w:b/>
          <w:color w:val="000000"/>
        </w:rPr>
        <w:t xml:space="preserve"> </w:t>
      </w:r>
      <w:r w:rsidRPr="00E168A1">
        <w:rPr>
          <w:rFonts w:ascii="Times New Roman" w:hAnsi="Times New Roman"/>
          <w:b/>
          <w:color w:val="000000"/>
        </w:rPr>
        <w:t>planned</w:t>
      </w:r>
      <w:r w:rsidR="00900061" w:rsidRPr="00E168A1">
        <w:rPr>
          <w:rFonts w:ascii="Times New Roman" w:hAnsi="Times New Roman"/>
          <w:b/>
          <w:color w:val="000000"/>
        </w:rPr>
        <w:t xml:space="preserve"> </w:t>
      </w:r>
      <w:r w:rsidRPr="00E168A1">
        <w:rPr>
          <w:rFonts w:ascii="Times New Roman" w:hAnsi="Times New Roman"/>
          <w:b/>
          <w:color w:val="000000"/>
        </w:rPr>
        <w:t>public</w:t>
      </w:r>
      <w:r w:rsidR="00900061" w:rsidRPr="00E168A1">
        <w:rPr>
          <w:rFonts w:ascii="Times New Roman" w:hAnsi="Times New Roman"/>
          <w:b/>
          <w:color w:val="000000"/>
        </w:rPr>
        <w:t xml:space="preserve"> </w:t>
      </w:r>
      <w:r w:rsidRPr="00E168A1">
        <w:rPr>
          <w:rFonts w:ascii="Times New Roman" w:hAnsi="Times New Roman"/>
          <w:b/>
          <w:color w:val="000000"/>
        </w:rPr>
        <w:t>procurement</w:t>
      </w:r>
      <w:r w:rsidR="00900061" w:rsidRPr="00E168A1">
        <w:rPr>
          <w:rFonts w:ascii="Times New Roman" w:hAnsi="Times New Roman"/>
          <w:b/>
          <w:color w:val="000000"/>
        </w:rPr>
        <w:t xml:space="preserve"> </w:t>
      </w:r>
      <w:r w:rsidRPr="00E168A1">
        <w:rPr>
          <w:rFonts w:ascii="Times New Roman" w:hAnsi="Times New Roman"/>
          <w:b/>
          <w:color w:val="000000"/>
        </w:rPr>
        <w:t>per</w:t>
      </w:r>
      <w:r w:rsidR="00900061" w:rsidRPr="00E168A1">
        <w:rPr>
          <w:rFonts w:ascii="Times New Roman" w:hAnsi="Times New Roman"/>
          <w:b/>
          <w:color w:val="000000"/>
        </w:rPr>
        <w:t xml:space="preserve"> </w:t>
      </w:r>
      <w:r w:rsidRPr="00E168A1">
        <w:rPr>
          <w:rFonts w:ascii="Times New Roman" w:hAnsi="Times New Roman"/>
          <w:b/>
          <w:color w:val="000000"/>
        </w:rPr>
        <w:t>year</w:t>
      </w:r>
      <w:r w:rsidR="00900061" w:rsidRPr="00E168A1">
        <w:rPr>
          <w:rFonts w:ascii="Times New Roman" w:hAnsi="Times New Roman"/>
          <w:b/>
          <w:color w:val="000000"/>
        </w:rPr>
        <w:t xml:space="preserve"> </w:t>
      </w:r>
      <w:r w:rsidRPr="00E168A1">
        <w:rPr>
          <w:rFonts w:ascii="Times New Roman" w:hAnsi="Times New Roman"/>
          <w:b/>
          <w:color w:val="000000"/>
        </w:rPr>
        <w:t>exceeds</w:t>
      </w:r>
      <w:r w:rsidR="00900061" w:rsidRPr="00E168A1">
        <w:rPr>
          <w:rFonts w:ascii="Times New Roman" w:hAnsi="Times New Roman"/>
          <w:b/>
          <w:color w:val="000000"/>
        </w:rPr>
        <w:t xml:space="preserve"> </w:t>
      </w:r>
      <w:r w:rsidR="006938AB" w:rsidRPr="00E168A1">
        <w:rPr>
          <w:rFonts w:ascii="Times New Roman" w:hAnsi="Times New Roman"/>
          <w:b/>
          <w:color w:val="000000"/>
        </w:rPr>
        <w:t xml:space="preserve">RSD </w:t>
      </w:r>
      <w:r w:rsidR="009344EC" w:rsidRPr="00E168A1">
        <w:rPr>
          <w:rFonts w:ascii="Times New Roman" w:hAnsi="Times New Roman"/>
          <w:b/>
        </w:rPr>
        <w:t>25,000,000</w:t>
      </w:r>
      <w:r w:rsidR="00900061" w:rsidRPr="00E168A1">
        <w:rPr>
          <w:rFonts w:ascii="Times New Roman" w:hAnsi="Times New Roman"/>
          <w:b/>
        </w:rPr>
        <w:t xml:space="preserve"> </w:t>
      </w:r>
      <w:r w:rsidR="009344EC" w:rsidRPr="00A90FD9">
        <w:rPr>
          <w:rFonts w:ascii="Times New Roman" w:hAnsi="Times New Roman"/>
          <w:b/>
        </w:rPr>
        <w:t>(approximately</w:t>
      </w:r>
      <w:r w:rsidR="00900061" w:rsidRPr="00A90FD9">
        <w:rPr>
          <w:rFonts w:ascii="Times New Roman" w:hAnsi="Times New Roman"/>
          <w:b/>
        </w:rPr>
        <w:t xml:space="preserve"> </w:t>
      </w:r>
      <w:r w:rsidR="00B71C7F" w:rsidRPr="00A90FD9">
        <w:rPr>
          <w:rFonts w:ascii="Times New Roman" w:hAnsi="Times New Roman"/>
          <w:b/>
        </w:rPr>
        <w:t>€</w:t>
      </w:r>
      <w:r w:rsidR="009344EC" w:rsidRPr="00A90FD9">
        <w:rPr>
          <w:rFonts w:ascii="Times New Roman" w:hAnsi="Times New Roman"/>
          <w:b/>
        </w:rPr>
        <w:t>210,000)</w:t>
      </w:r>
      <w:r w:rsidR="00900061" w:rsidRPr="00A90FD9">
        <w:rPr>
          <w:rFonts w:ascii="Times New Roman" w:hAnsi="Times New Roman"/>
        </w:rPr>
        <w:t xml:space="preserve"> </w:t>
      </w:r>
      <w:r w:rsidRPr="00A90FD9">
        <w:rPr>
          <w:rFonts w:ascii="Times New Roman" w:hAnsi="Times New Roman"/>
          <w:b/>
          <w:color w:val="000000"/>
        </w:rPr>
        <w:t>has</w:t>
      </w:r>
      <w:r w:rsidR="00900061" w:rsidRPr="005769EE">
        <w:rPr>
          <w:rFonts w:ascii="Times New Roman" w:hAnsi="Times New Roman"/>
          <w:b/>
          <w:color w:val="000000"/>
        </w:rPr>
        <w:t xml:space="preserve"> </w:t>
      </w:r>
      <w:r w:rsidRPr="00E168A1">
        <w:rPr>
          <w:rFonts w:ascii="Times New Roman" w:hAnsi="Times New Roman"/>
          <w:b/>
          <w:color w:val="000000"/>
        </w:rPr>
        <w:t>to</w:t>
      </w:r>
      <w:r w:rsidR="00900061" w:rsidRPr="00E168A1">
        <w:rPr>
          <w:rFonts w:ascii="Times New Roman" w:hAnsi="Times New Roman"/>
          <w:b/>
          <w:color w:val="000000"/>
        </w:rPr>
        <w:t xml:space="preserve"> </w:t>
      </w:r>
      <w:r w:rsidRPr="00E168A1">
        <w:rPr>
          <w:rFonts w:ascii="Times New Roman" w:hAnsi="Times New Roman"/>
          <w:b/>
          <w:color w:val="000000"/>
        </w:rPr>
        <w:t>employ</w:t>
      </w:r>
      <w:r w:rsidR="00900061" w:rsidRPr="00E168A1">
        <w:rPr>
          <w:rFonts w:ascii="Times New Roman" w:hAnsi="Times New Roman"/>
          <w:b/>
          <w:color w:val="000000"/>
        </w:rPr>
        <w:t xml:space="preserve"> </w:t>
      </w:r>
      <w:r w:rsidRPr="00E168A1">
        <w:rPr>
          <w:rFonts w:ascii="Times New Roman" w:hAnsi="Times New Roman"/>
          <w:b/>
          <w:color w:val="000000"/>
        </w:rPr>
        <w:t>(at</w:t>
      </w:r>
      <w:r w:rsidR="00900061" w:rsidRPr="00E168A1">
        <w:rPr>
          <w:rFonts w:ascii="Times New Roman" w:hAnsi="Times New Roman"/>
          <w:b/>
          <w:color w:val="000000"/>
        </w:rPr>
        <w:t xml:space="preserve"> </w:t>
      </w:r>
      <w:r w:rsidRPr="00E168A1">
        <w:rPr>
          <w:rFonts w:ascii="Times New Roman" w:hAnsi="Times New Roman"/>
          <w:b/>
          <w:color w:val="000000"/>
        </w:rPr>
        <w:t>least</w:t>
      </w:r>
      <w:r w:rsidR="00900061" w:rsidRPr="00E168A1">
        <w:rPr>
          <w:rFonts w:ascii="Times New Roman" w:hAnsi="Times New Roman"/>
          <w:b/>
          <w:color w:val="000000"/>
        </w:rPr>
        <w:t xml:space="preserve"> </w:t>
      </w:r>
      <w:r w:rsidRPr="00E168A1">
        <w:rPr>
          <w:rFonts w:ascii="Times New Roman" w:hAnsi="Times New Roman"/>
          <w:b/>
          <w:color w:val="000000"/>
        </w:rPr>
        <w:t>one)</w:t>
      </w:r>
      <w:r w:rsidR="00900061" w:rsidRPr="00E168A1">
        <w:rPr>
          <w:rFonts w:ascii="Times New Roman" w:hAnsi="Times New Roman"/>
          <w:b/>
          <w:color w:val="000000"/>
        </w:rPr>
        <w:t xml:space="preserve"> </w:t>
      </w:r>
      <w:r w:rsidRPr="00E168A1">
        <w:rPr>
          <w:rFonts w:ascii="Times New Roman" w:hAnsi="Times New Roman"/>
          <w:b/>
          <w:color w:val="000000"/>
        </w:rPr>
        <w:t>public</w:t>
      </w:r>
      <w:r w:rsidR="00900061" w:rsidRPr="00E168A1">
        <w:rPr>
          <w:rFonts w:ascii="Times New Roman" w:hAnsi="Times New Roman"/>
          <w:b/>
          <w:color w:val="000000"/>
        </w:rPr>
        <w:t xml:space="preserve"> </w:t>
      </w:r>
      <w:r w:rsidRPr="00E168A1">
        <w:rPr>
          <w:rFonts w:ascii="Times New Roman" w:hAnsi="Times New Roman"/>
          <w:b/>
          <w:color w:val="000000"/>
        </w:rPr>
        <w:t>procurement</w:t>
      </w:r>
      <w:r w:rsidR="00900061" w:rsidRPr="00E168A1">
        <w:rPr>
          <w:rFonts w:ascii="Times New Roman" w:hAnsi="Times New Roman"/>
          <w:b/>
          <w:color w:val="000000"/>
        </w:rPr>
        <w:t xml:space="preserve"> </w:t>
      </w:r>
      <w:r w:rsidRPr="00E168A1">
        <w:rPr>
          <w:rFonts w:ascii="Times New Roman" w:hAnsi="Times New Roman"/>
          <w:b/>
          <w:color w:val="000000"/>
        </w:rPr>
        <w:t>officer</w:t>
      </w:r>
      <w:r w:rsidR="00AF7F5E" w:rsidRPr="00E168A1">
        <w:rPr>
          <w:rFonts w:ascii="Times New Roman" w:hAnsi="Times New Roman"/>
          <w:b/>
          <w:color w:val="000000"/>
        </w:rPr>
        <w:t>.</w:t>
      </w:r>
      <w:r w:rsidR="00900061" w:rsidRPr="00E168A1">
        <w:rPr>
          <w:rFonts w:ascii="Times New Roman" w:hAnsi="Times New Roman"/>
          <w:b/>
          <w:color w:val="000000"/>
        </w:rPr>
        <w:t xml:space="preserve"> </w:t>
      </w:r>
      <w:r w:rsidR="009344EC" w:rsidRPr="00E168A1">
        <w:rPr>
          <w:rFonts w:ascii="Times New Roman" w:eastAsia="Times New Roman" w:hAnsi="Times New Roman"/>
        </w:rPr>
        <w:t>According</w:t>
      </w:r>
      <w:r w:rsidR="00900061" w:rsidRPr="00E168A1">
        <w:rPr>
          <w:rFonts w:ascii="Times New Roman" w:hAnsi="Times New Roman"/>
        </w:rPr>
        <w:t xml:space="preserve"> </w:t>
      </w:r>
      <w:r w:rsidR="009344EC" w:rsidRPr="00E168A1">
        <w:rPr>
          <w:rFonts w:ascii="Times New Roman" w:hAnsi="Times New Roman"/>
        </w:rPr>
        <w:t>to</w:t>
      </w:r>
      <w:r w:rsidR="00900061" w:rsidRPr="00E168A1">
        <w:rPr>
          <w:rFonts w:ascii="Times New Roman" w:hAnsi="Times New Roman"/>
        </w:rPr>
        <w:t xml:space="preserve"> </w:t>
      </w:r>
      <w:r w:rsidR="009344EC" w:rsidRPr="00E168A1">
        <w:rPr>
          <w:rFonts w:ascii="Times New Roman" w:eastAsia="Times New Roman" w:hAnsi="Times New Roman"/>
        </w:rPr>
        <w:t>the</w:t>
      </w:r>
      <w:r w:rsidR="00900061" w:rsidRPr="00E168A1">
        <w:rPr>
          <w:rFonts w:ascii="Times New Roman" w:eastAsia="Times New Roman" w:hAnsi="Times New Roman"/>
        </w:rPr>
        <w:t xml:space="preserve"> </w:t>
      </w:r>
      <w:r w:rsidR="009344EC" w:rsidRPr="00E168A1">
        <w:rPr>
          <w:rFonts w:ascii="Times New Roman" w:eastAsia="Times New Roman" w:hAnsi="Times New Roman"/>
        </w:rPr>
        <w:t>PPL,</w:t>
      </w:r>
      <w:r w:rsidR="00900061" w:rsidRPr="00E168A1">
        <w:rPr>
          <w:rFonts w:ascii="Times New Roman" w:hAnsi="Times New Roman"/>
        </w:rPr>
        <w:t xml:space="preserve"> </w:t>
      </w:r>
      <w:r w:rsidR="00034F2C" w:rsidRPr="00E168A1">
        <w:rPr>
          <w:rFonts w:ascii="Times New Roman" w:eastAsia="Times New Roman" w:hAnsi="Times New Roman"/>
        </w:rPr>
        <w:t>to</w:t>
      </w:r>
      <w:r w:rsidR="00900061" w:rsidRPr="00E168A1">
        <w:rPr>
          <w:rFonts w:ascii="Times New Roman" w:eastAsia="Times New Roman" w:hAnsi="Times New Roman"/>
        </w:rPr>
        <w:t xml:space="preserve"> </w:t>
      </w:r>
      <w:r w:rsidR="00034F2C" w:rsidRPr="00E168A1">
        <w:rPr>
          <w:rFonts w:ascii="Times New Roman" w:eastAsia="Times New Roman" w:hAnsi="Times New Roman"/>
        </w:rPr>
        <w:t>get</w:t>
      </w:r>
      <w:r w:rsidR="00900061" w:rsidRPr="00E168A1">
        <w:rPr>
          <w:rFonts w:ascii="Times New Roman" w:eastAsia="Times New Roman" w:hAnsi="Times New Roman"/>
        </w:rPr>
        <w:t xml:space="preserve"> </w:t>
      </w:r>
      <w:r w:rsidRPr="00E168A1">
        <w:rPr>
          <w:rFonts w:ascii="Times New Roman" w:eastAsia="Times New Roman" w:hAnsi="Times New Roman"/>
        </w:rPr>
        <w:t>certifi</w:t>
      </w:r>
      <w:r w:rsidR="00034F2C" w:rsidRPr="00E168A1">
        <w:rPr>
          <w:rFonts w:ascii="Times New Roman" w:eastAsia="Times New Roman" w:hAnsi="Times New Roman"/>
        </w:rPr>
        <w:t>ed,</w:t>
      </w:r>
      <w:r w:rsidR="00900061" w:rsidRPr="00E168A1">
        <w:rPr>
          <w:rFonts w:ascii="Times New Roman" w:eastAsia="Times New Roman" w:hAnsi="Times New Roman"/>
        </w:rPr>
        <w:t xml:space="preserve"> </w:t>
      </w:r>
      <w:r w:rsidR="00034F2C" w:rsidRPr="00E168A1">
        <w:rPr>
          <w:rFonts w:ascii="Times New Roman" w:eastAsia="Times New Roman" w:hAnsi="Times New Roman"/>
        </w:rPr>
        <w:t>the</w:t>
      </w:r>
      <w:r w:rsidR="00900061" w:rsidRPr="00E168A1">
        <w:rPr>
          <w:rFonts w:ascii="Times New Roman" w:eastAsia="Times New Roman" w:hAnsi="Times New Roman"/>
        </w:rPr>
        <w:t xml:space="preserve"> </w:t>
      </w:r>
      <w:r w:rsidR="00034F2C" w:rsidRPr="00E168A1">
        <w:rPr>
          <w:rFonts w:ascii="Times New Roman" w:eastAsia="Times New Roman" w:hAnsi="Times New Roman"/>
        </w:rPr>
        <w:t>public</w:t>
      </w:r>
      <w:r w:rsidR="00900061" w:rsidRPr="00E168A1">
        <w:rPr>
          <w:rFonts w:ascii="Times New Roman" w:eastAsia="Times New Roman" w:hAnsi="Times New Roman"/>
        </w:rPr>
        <w:t xml:space="preserve"> </w:t>
      </w:r>
      <w:r w:rsidR="00034F2C"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034F2C" w:rsidRPr="00E168A1">
        <w:rPr>
          <w:rFonts w:ascii="Times New Roman" w:eastAsia="Times New Roman" w:hAnsi="Times New Roman"/>
        </w:rPr>
        <w:t>officer</w:t>
      </w:r>
      <w:r w:rsidR="00900061" w:rsidRPr="00E168A1">
        <w:rPr>
          <w:rFonts w:ascii="Times New Roman" w:eastAsia="Times New Roman" w:hAnsi="Times New Roman"/>
        </w:rPr>
        <w:t xml:space="preserve"> </w:t>
      </w:r>
      <w:r w:rsidRPr="00E168A1">
        <w:rPr>
          <w:rFonts w:ascii="Times New Roman" w:eastAsia="Times New Roman" w:hAnsi="Times New Roman"/>
        </w:rPr>
        <w:t>needs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pass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written</w:t>
      </w:r>
      <w:r w:rsidR="00900061" w:rsidRPr="00E168A1">
        <w:rPr>
          <w:rFonts w:ascii="Times New Roman" w:eastAsia="Times New Roman" w:hAnsi="Times New Roman"/>
        </w:rPr>
        <w:t xml:space="preserve"> </w:t>
      </w:r>
      <w:r w:rsidRPr="00E168A1">
        <w:rPr>
          <w:rFonts w:ascii="Times New Roman" w:eastAsia="Times New Roman" w:hAnsi="Times New Roman"/>
        </w:rPr>
        <w:t>exam</w:t>
      </w:r>
      <w:r w:rsidR="003D4B85" w:rsidRPr="00E168A1">
        <w:rPr>
          <w:rFonts w:ascii="Times New Roman" w:eastAsia="Times New Roman" w:hAnsi="Times New Roman"/>
        </w:rPr>
        <w:t>,</w:t>
      </w:r>
      <w:r w:rsidR="00900061" w:rsidRPr="00E168A1">
        <w:rPr>
          <w:rFonts w:ascii="Times New Roman" w:eastAsia="Times New Roman" w:hAnsi="Times New Roman"/>
        </w:rPr>
        <w:t xml:space="preserve"> </w:t>
      </w:r>
      <w:r w:rsidR="00034F2C" w:rsidRPr="00E168A1">
        <w:rPr>
          <w:rFonts w:ascii="Times New Roman" w:eastAsia="Times New Roman" w:hAnsi="Times New Roman"/>
        </w:rPr>
        <w:t>which</w:t>
      </w:r>
      <w:r w:rsidR="00900061" w:rsidRPr="00E168A1">
        <w:rPr>
          <w:rFonts w:ascii="Times New Roman" w:eastAsia="Times New Roman" w:hAnsi="Times New Roman"/>
        </w:rPr>
        <w:t xml:space="preserve"> </w:t>
      </w:r>
      <w:r w:rsidR="00034F2C" w:rsidRPr="00E168A1">
        <w:rPr>
          <w:rFonts w:ascii="Times New Roman" w:eastAsia="Times New Roman" w:hAnsi="Times New Roman"/>
        </w:rPr>
        <w:t>involves</w:t>
      </w:r>
      <w:r w:rsidR="00900061" w:rsidRPr="00E168A1">
        <w:rPr>
          <w:rFonts w:ascii="Times New Roman" w:eastAsia="Times New Roman" w:hAnsi="Times New Roman"/>
        </w:rPr>
        <w:t xml:space="preserve"> </w:t>
      </w:r>
      <w:r w:rsidRPr="00E168A1">
        <w:rPr>
          <w:rFonts w:ascii="Times New Roman" w:eastAsia="Times New Roman" w:hAnsi="Times New Roman"/>
        </w:rPr>
        <w:t>theoretical</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practical</w:t>
      </w:r>
      <w:r w:rsidR="00900061" w:rsidRPr="00E168A1">
        <w:rPr>
          <w:rFonts w:ascii="Times New Roman" w:eastAsia="Times New Roman" w:hAnsi="Times New Roman"/>
        </w:rPr>
        <w:t xml:space="preserve"> </w:t>
      </w:r>
      <w:r w:rsidRPr="00E168A1">
        <w:rPr>
          <w:rFonts w:ascii="Times New Roman" w:eastAsia="Times New Roman" w:hAnsi="Times New Roman"/>
        </w:rPr>
        <w:t>knowledge</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related</w:t>
      </w:r>
      <w:r w:rsidR="00900061" w:rsidRPr="00E168A1">
        <w:rPr>
          <w:rFonts w:ascii="Times New Roman" w:eastAsia="Times New Roman" w:hAnsi="Times New Roman"/>
        </w:rPr>
        <w:t xml:space="preserve"> </w:t>
      </w:r>
      <w:r w:rsidRPr="00E168A1">
        <w:rPr>
          <w:rFonts w:ascii="Times New Roman" w:eastAsia="Times New Roman" w:hAnsi="Times New Roman"/>
        </w:rPr>
        <w:t>areas.</w:t>
      </w:r>
      <w:r w:rsidR="00900061" w:rsidRPr="00E168A1">
        <w:rPr>
          <w:rFonts w:ascii="Times New Roman" w:eastAsia="Times New Roman" w:hAnsi="Times New Roman"/>
        </w:rPr>
        <w:t xml:space="preserve"> </w:t>
      </w:r>
      <w:r w:rsidRPr="00E168A1">
        <w:rPr>
          <w:rFonts w:ascii="Times New Roman" w:eastAsia="Times New Roman" w:hAnsi="Times New Roman"/>
        </w:rPr>
        <w:t>At</w:t>
      </w:r>
      <w:r w:rsidR="00900061" w:rsidRPr="00E168A1">
        <w:rPr>
          <w:rFonts w:ascii="Times New Roman" w:eastAsia="Times New Roman" w:hAnsi="Times New Roman"/>
        </w:rPr>
        <w:t xml:space="preserve"> </w:t>
      </w:r>
      <w:r w:rsidRPr="00E168A1">
        <w:rPr>
          <w:rFonts w:ascii="Times New Roman" w:eastAsia="Times New Roman" w:hAnsi="Times New Roman"/>
        </w:rPr>
        <w:t>least</w:t>
      </w:r>
      <w:r w:rsidR="00900061" w:rsidRPr="00E168A1">
        <w:rPr>
          <w:rFonts w:ascii="Times New Roman" w:eastAsia="Times New Roman" w:hAnsi="Times New Roman"/>
        </w:rPr>
        <w:t xml:space="preserve"> </w:t>
      </w:r>
      <w:r w:rsidRPr="00E168A1">
        <w:rPr>
          <w:rFonts w:ascii="Times New Roman" w:eastAsia="Times New Roman" w:hAnsi="Times New Roman"/>
        </w:rPr>
        <w:t>75</w:t>
      </w:r>
      <w:r w:rsidR="00950355" w:rsidRPr="00E168A1">
        <w:rPr>
          <w:rFonts w:ascii="Times New Roman" w:eastAsia="Times New Roman" w:hAnsi="Times New Roman"/>
        </w:rPr>
        <w:t xml:space="preserve"> percent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questions</w:t>
      </w:r>
      <w:r w:rsidR="00900061" w:rsidRPr="00E168A1">
        <w:rPr>
          <w:rFonts w:ascii="Times New Roman" w:eastAsia="Times New Roman" w:hAnsi="Times New Roman"/>
        </w:rPr>
        <w:t xml:space="preserve"> </w:t>
      </w:r>
      <w:r w:rsidRPr="00E168A1">
        <w:rPr>
          <w:rFonts w:ascii="Times New Roman" w:eastAsia="Times New Roman" w:hAnsi="Times New Roman"/>
        </w:rPr>
        <w:t>need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be</w:t>
      </w:r>
      <w:r w:rsidR="00900061" w:rsidRPr="00E168A1">
        <w:rPr>
          <w:rFonts w:ascii="Times New Roman" w:eastAsia="Times New Roman" w:hAnsi="Times New Roman"/>
        </w:rPr>
        <w:t xml:space="preserve"> </w:t>
      </w:r>
      <w:r w:rsidRPr="00E168A1">
        <w:rPr>
          <w:rFonts w:ascii="Times New Roman" w:eastAsia="Times New Roman" w:hAnsi="Times New Roman"/>
        </w:rPr>
        <w:t>answered</w:t>
      </w:r>
      <w:r w:rsidR="00900061" w:rsidRPr="00E168A1">
        <w:rPr>
          <w:rFonts w:ascii="Times New Roman" w:eastAsia="Times New Roman" w:hAnsi="Times New Roman"/>
        </w:rPr>
        <w:t xml:space="preserve"> </w:t>
      </w:r>
      <w:r w:rsidRPr="00E168A1">
        <w:rPr>
          <w:rFonts w:ascii="Times New Roman" w:eastAsia="Times New Roman" w:hAnsi="Times New Roman"/>
        </w:rPr>
        <w:t>correctly</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candidate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pass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exam.</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issued</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manual</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preparation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exam</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made</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available</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website</w:t>
      </w:r>
      <w:r w:rsidR="00900061" w:rsidRPr="00E168A1">
        <w:rPr>
          <w:rFonts w:ascii="Times New Roman" w:eastAsia="Times New Roman" w:hAnsi="Times New Roman"/>
        </w:rPr>
        <w:t xml:space="preserve"> </w:t>
      </w:r>
      <w:r w:rsidRPr="00E168A1">
        <w:rPr>
          <w:rFonts w:ascii="Times New Roman" w:eastAsia="Times New Roman" w:hAnsi="Times New Roman"/>
        </w:rPr>
        <w:t>free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charge.</w:t>
      </w:r>
      <w:r w:rsidR="00900061" w:rsidRPr="00E168A1">
        <w:rPr>
          <w:rFonts w:ascii="Times New Roman" w:eastAsia="Times New Roman" w:hAnsi="Times New Roman"/>
        </w:rPr>
        <w:t xml:space="preserve"> </w:t>
      </w:r>
      <w:r w:rsidRPr="00E168A1">
        <w:rPr>
          <w:rFonts w:ascii="Times New Roman" w:eastAsia="Times New Roman" w:hAnsi="Times New Roman"/>
        </w:rPr>
        <w:t>Exam</w:t>
      </w:r>
      <w:r w:rsidR="00900061" w:rsidRPr="00E168A1">
        <w:rPr>
          <w:rFonts w:ascii="Times New Roman" w:eastAsia="Times New Roman" w:hAnsi="Times New Roman"/>
        </w:rPr>
        <w:t xml:space="preserve"> </w:t>
      </w:r>
      <w:r w:rsidRPr="00E168A1">
        <w:rPr>
          <w:rFonts w:ascii="Times New Roman" w:eastAsia="Times New Roman" w:hAnsi="Times New Roman"/>
        </w:rPr>
        <w:t>sessions</w:t>
      </w:r>
      <w:r w:rsidR="00900061" w:rsidRPr="00E168A1">
        <w:rPr>
          <w:rFonts w:ascii="Times New Roman" w:eastAsia="Times New Roman" w:hAnsi="Times New Roman"/>
        </w:rPr>
        <w:t xml:space="preserve"> </w:t>
      </w:r>
      <w:r w:rsidRPr="00E168A1">
        <w:rPr>
          <w:rFonts w:ascii="Times New Roman" w:eastAsia="Times New Roman" w:hAnsi="Times New Roman"/>
        </w:rPr>
        <w:t>are</w:t>
      </w:r>
      <w:r w:rsidR="00900061" w:rsidRPr="00E168A1">
        <w:rPr>
          <w:rFonts w:ascii="Times New Roman" w:eastAsia="Times New Roman" w:hAnsi="Times New Roman"/>
        </w:rPr>
        <w:t xml:space="preserve"> </w:t>
      </w:r>
      <w:r w:rsidRPr="00E168A1">
        <w:rPr>
          <w:rFonts w:ascii="Times New Roman" w:eastAsia="Times New Roman" w:hAnsi="Times New Roman"/>
        </w:rPr>
        <w:t>held</w:t>
      </w:r>
      <w:r w:rsidR="00900061" w:rsidRPr="00E168A1">
        <w:rPr>
          <w:rFonts w:ascii="Times New Roman" w:eastAsia="Times New Roman" w:hAnsi="Times New Roman"/>
        </w:rPr>
        <w:t xml:space="preserve"> </w:t>
      </w:r>
      <w:r w:rsidRPr="00E168A1">
        <w:rPr>
          <w:rFonts w:ascii="Times New Roman" w:eastAsia="Times New Roman" w:hAnsi="Times New Roman"/>
        </w:rPr>
        <w:t>4</w:t>
      </w:r>
      <w:r w:rsidR="00C60094" w:rsidRPr="00E168A1">
        <w:rPr>
          <w:rFonts w:ascii="Times New Roman" w:eastAsia="Times New Roman" w:hAnsi="Times New Roman"/>
        </w:rPr>
        <w:t>–</w:t>
      </w:r>
      <w:r w:rsidRPr="00E168A1">
        <w:rPr>
          <w:rFonts w:ascii="Times New Roman" w:eastAsia="Times New Roman" w:hAnsi="Times New Roman"/>
        </w:rPr>
        <w:t>6</w:t>
      </w:r>
      <w:r w:rsidR="00900061" w:rsidRPr="00E168A1">
        <w:rPr>
          <w:rFonts w:ascii="Times New Roman" w:eastAsia="Times New Roman" w:hAnsi="Times New Roman"/>
        </w:rPr>
        <w:t xml:space="preserve"> </w:t>
      </w:r>
      <w:r w:rsidRPr="00E168A1">
        <w:rPr>
          <w:rFonts w:ascii="Times New Roman" w:eastAsia="Times New Roman" w:hAnsi="Times New Roman"/>
        </w:rPr>
        <w:t>times</w:t>
      </w:r>
      <w:r w:rsidR="00900061" w:rsidRPr="00E168A1">
        <w:rPr>
          <w:rFonts w:ascii="Times New Roman" w:eastAsia="Times New Roman" w:hAnsi="Times New Roman"/>
        </w:rPr>
        <w:t xml:space="preserve"> </w:t>
      </w:r>
      <w:r w:rsidRPr="00E168A1">
        <w:rPr>
          <w:rFonts w:ascii="Times New Roman" w:eastAsia="Times New Roman" w:hAnsi="Times New Roman"/>
        </w:rPr>
        <w:t>per</w:t>
      </w:r>
      <w:r w:rsidR="00900061" w:rsidRPr="00E168A1">
        <w:rPr>
          <w:rFonts w:ascii="Times New Roman" w:eastAsia="Times New Roman" w:hAnsi="Times New Roman"/>
        </w:rPr>
        <w:t xml:space="preserve"> </w:t>
      </w:r>
      <w:r w:rsidRPr="00E168A1">
        <w:rPr>
          <w:rFonts w:ascii="Times New Roman" w:eastAsia="Times New Roman" w:hAnsi="Times New Roman"/>
        </w:rPr>
        <w:t>month,</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200</w:t>
      </w:r>
      <w:r w:rsidR="00C60094" w:rsidRPr="00E168A1">
        <w:rPr>
          <w:rFonts w:ascii="Times New Roman" w:eastAsia="Times New Roman" w:hAnsi="Times New Roman"/>
        </w:rPr>
        <w:t>–</w:t>
      </w:r>
      <w:r w:rsidRPr="00E168A1">
        <w:rPr>
          <w:rFonts w:ascii="Times New Roman" w:eastAsia="Times New Roman" w:hAnsi="Times New Roman"/>
        </w:rPr>
        <w:t>250</w:t>
      </w:r>
      <w:r w:rsidR="00900061" w:rsidRPr="00E168A1">
        <w:rPr>
          <w:rFonts w:ascii="Times New Roman" w:eastAsia="Times New Roman" w:hAnsi="Times New Roman"/>
        </w:rPr>
        <w:t xml:space="preserve"> </w:t>
      </w:r>
      <w:r w:rsidRPr="00E168A1">
        <w:rPr>
          <w:rFonts w:ascii="Times New Roman" w:eastAsia="Times New Roman" w:hAnsi="Times New Roman"/>
        </w:rPr>
        <w:t>candidates.</w:t>
      </w:r>
      <w:r w:rsidR="00900061" w:rsidRPr="00E168A1">
        <w:rPr>
          <w:rFonts w:ascii="Times New Roman" w:eastAsia="Times New Roman" w:hAnsi="Times New Roman"/>
        </w:rPr>
        <w:t xml:space="preserve"> </w:t>
      </w:r>
      <w:r w:rsidRPr="00E168A1">
        <w:rPr>
          <w:rFonts w:ascii="Times New Roman" w:eastAsia="Times New Roman" w:hAnsi="Times New Roman"/>
        </w:rPr>
        <w:t>Between</w:t>
      </w:r>
      <w:r w:rsidR="00900061" w:rsidRPr="00E168A1">
        <w:rPr>
          <w:rFonts w:ascii="Times New Roman" w:eastAsia="Times New Roman" w:hAnsi="Times New Roman"/>
        </w:rPr>
        <w:t xml:space="preserve"> </w:t>
      </w:r>
      <w:r w:rsidRPr="00E168A1">
        <w:rPr>
          <w:rFonts w:ascii="Times New Roman" w:eastAsia="Times New Roman" w:hAnsi="Times New Roman"/>
        </w:rPr>
        <w:t>October</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March</w:t>
      </w:r>
      <w:r w:rsidR="00900061" w:rsidRPr="00E168A1">
        <w:rPr>
          <w:rFonts w:ascii="Times New Roman" w:eastAsia="Times New Roman" w:hAnsi="Times New Roman"/>
        </w:rPr>
        <w:t xml:space="preserve"> </w:t>
      </w:r>
      <w:r w:rsidRPr="00E168A1">
        <w:rPr>
          <w:rFonts w:ascii="Times New Roman" w:eastAsia="Times New Roman" w:hAnsi="Times New Roman"/>
        </w:rPr>
        <w:t>2015,</w:t>
      </w:r>
      <w:r w:rsidR="00900061" w:rsidRPr="00E168A1">
        <w:rPr>
          <w:rFonts w:ascii="Times New Roman" w:eastAsia="Times New Roman" w:hAnsi="Times New Roman"/>
        </w:rPr>
        <w:t xml:space="preserve"> </w:t>
      </w:r>
      <w:r w:rsidRPr="00E168A1">
        <w:rPr>
          <w:rFonts w:ascii="Times New Roman" w:eastAsia="Times New Roman" w:hAnsi="Times New Roman"/>
        </w:rPr>
        <w:t>21</w:t>
      </w:r>
      <w:r w:rsidR="00900061" w:rsidRPr="00E168A1">
        <w:rPr>
          <w:rFonts w:ascii="Times New Roman" w:eastAsia="Times New Roman" w:hAnsi="Times New Roman"/>
        </w:rPr>
        <w:t xml:space="preserve"> </w:t>
      </w:r>
      <w:r w:rsidRPr="00E168A1">
        <w:rPr>
          <w:rFonts w:ascii="Times New Roman" w:eastAsia="Times New Roman" w:hAnsi="Times New Roman"/>
        </w:rPr>
        <w:t>examinations</w:t>
      </w:r>
      <w:r w:rsidR="00900061" w:rsidRPr="00E168A1">
        <w:rPr>
          <w:rFonts w:ascii="Times New Roman" w:eastAsia="Times New Roman" w:hAnsi="Times New Roman"/>
        </w:rPr>
        <w:t xml:space="preserve"> </w:t>
      </w:r>
      <w:r w:rsidRPr="00E168A1">
        <w:rPr>
          <w:rFonts w:ascii="Times New Roman" w:eastAsia="Times New Roman" w:hAnsi="Times New Roman"/>
        </w:rPr>
        <w:t>were</w:t>
      </w:r>
      <w:r w:rsidR="00900061" w:rsidRPr="00E168A1">
        <w:rPr>
          <w:rFonts w:ascii="Times New Roman" w:eastAsia="Times New Roman" w:hAnsi="Times New Roman"/>
        </w:rPr>
        <w:t xml:space="preserve"> </w:t>
      </w:r>
      <w:r w:rsidRPr="00E168A1">
        <w:rPr>
          <w:rFonts w:ascii="Times New Roman" w:eastAsia="Times New Roman" w:hAnsi="Times New Roman"/>
        </w:rPr>
        <w:t>held,</w:t>
      </w:r>
      <w:r w:rsidR="00900061" w:rsidRPr="00E168A1">
        <w:rPr>
          <w:rFonts w:ascii="Times New Roman" w:eastAsia="Times New Roman" w:hAnsi="Times New Roman"/>
        </w:rPr>
        <w:t xml:space="preserve"> </w:t>
      </w:r>
      <w:r w:rsidRPr="00E168A1">
        <w:rPr>
          <w:rFonts w:ascii="Times New Roman" w:eastAsia="Times New Roman" w:hAnsi="Times New Roman"/>
        </w:rPr>
        <w:t>testing</w:t>
      </w:r>
      <w:r w:rsidR="00900061" w:rsidRPr="00E168A1">
        <w:rPr>
          <w:rFonts w:ascii="Times New Roman" w:eastAsia="Times New Roman" w:hAnsi="Times New Roman"/>
        </w:rPr>
        <w:t xml:space="preserve"> </w:t>
      </w:r>
      <w:r w:rsidRPr="00E168A1">
        <w:rPr>
          <w:rFonts w:ascii="Times New Roman" w:eastAsia="Times New Roman" w:hAnsi="Times New Roman"/>
        </w:rPr>
        <w:t>751</w:t>
      </w:r>
      <w:r w:rsidR="00900061" w:rsidRPr="00E168A1">
        <w:rPr>
          <w:rFonts w:ascii="Times New Roman" w:eastAsia="Times New Roman" w:hAnsi="Times New Roman"/>
        </w:rPr>
        <w:t xml:space="preserve"> </w:t>
      </w:r>
      <w:r w:rsidRPr="00E168A1">
        <w:rPr>
          <w:rFonts w:ascii="Times New Roman" w:eastAsia="Times New Roman" w:hAnsi="Times New Roman"/>
        </w:rPr>
        <w:t>candidates,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which</w:t>
      </w:r>
      <w:r w:rsidR="00900061" w:rsidRPr="00E168A1">
        <w:rPr>
          <w:rFonts w:ascii="Times New Roman" w:eastAsia="Times New Roman" w:hAnsi="Times New Roman"/>
        </w:rPr>
        <w:t xml:space="preserve"> </w:t>
      </w:r>
      <w:r w:rsidRPr="00E168A1">
        <w:rPr>
          <w:rFonts w:ascii="Times New Roman" w:eastAsia="Times New Roman" w:hAnsi="Times New Roman"/>
        </w:rPr>
        <w:t>420</w:t>
      </w:r>
      <w:r w:rsidR="00900061" w:rsidRPr="00E168A1">
        <w:rPr>
          <w:rFonts w:ascii="Times New Roman" w:eastAsia="Times New Roman" w:hAnsi="Times New Roman"/>
        </w:rPr>
        <w:t xml:space="preserve"> </w:t>
      </w:r>
      <w:r w:rsidRPr="00E168A1">
        <w:rPr>
          <w:rFonts w:ascii="Times New Roman" w:eastAsia="Times New Roman" w:hAnsi="Times New Roman"/>
        </w:rPr>
        <w:t>passed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exam</w:t>
      </w:r>
      <w:r w:rsidR="00900061" w:rsidRPr="00E168A1">
        <w:rPr>
          <w:rFonts w:ascii="Times New Roman" w:eastAsia="Times New Roman" w:hAnsi="Times New Roman"/>
        </w:rPr>
        <w:t xml:space="preserve"> </w:t>
      </w:r>
      <w:r w:rsidRPr="00E168A1">
        <w:rPr>
          <w:rFonts w:ascii="Times New Roman" w:eastAsia="Times New Roman" w:hAnsi="Times New Roman"/>
        </w:rPr>
        <w:t>(success</w:t>
      </w:r>
      <w:r w:rsidR="00900061" w:rsidRPr="00E168A1">
        <w:rPr>
          <w:rFonts w:ascii="Times New Roman" w:eastAsia="Times New Roman" w:hAnsi="Times New Roman"/>
        </w:rPr>
        <w:t xml:space="preserve"> </w:t>
      </w:r>
      <w:r w:rsidRPr="00E168A1">
        <w:rPr>
          <w:rFonts w:ascii="Times New Roman" w:eastAsia="Times New Roman" w:hAnsi="Times New Roman"/>
        </w:rPr>
        <w:t>rate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56</w:t>
      </w:r>
      <w:r w:rsidR="00950355" w:rsidRPr="00E168A1">
        <w:rPr>
          <w:rFonts w:ascii="Times New Roman" w:eastAsia="Times New Roman" w:hAnsi="Times New Roman"/>
        </w:rPr>
        <w:t xml:space="preserve"> percent</w:t>
      </w:r>
      <w:r w:rsidRPr="00E168A1">
        <w:rPr>
          <w:rFonts w:ascii="Times New Roman" w:eastAsia="Times New Roman" w:hAnsi="Times New Roman"/>
        </w:rPr>
        <w:t>)</w:t>
      </w:r>
      <w:r w:rsidR="009C5723" w:rsidRPr="00E168A1">
        <w:rPr>
          <w:rFonts w:ascii="Times New Roman" w:eastAsia="Times New Roman" w:hAnsi="Times New Roman"/>
        </w:rPr>
        <w:t>.</w:t>
      </w:r>
      <w:r w:rsidRPr="00E168A1">
        <w:rPr>
          <w:rStyle w:val="FootnoteReference"/>
          <w:rFonts w:ascii="Times New Roman" w:eastAsia="Times New Roman" w:hAnsi="Times New Roman"/>
        </w:rPr>
        <w:footnoteReference w:id="47"/>
      </w:r>
    </w:p>
    <w:p w14:paraId="007D6087" w14:textId="39CE1081" w:rsidR="00AE54E5" w:rsidRPr="00E168A1" w:rsidRDefault="00AE54E5" w:rsidP="00645878">
      <w:pPr>
        <w:pStyle w:val="ListParagraph"/>
        <w:numPr>
          <w:ilvl w:val="0"/>
          <w:numId w:val="9"/>
        </w:numPr>
        <w:ind w:left="0" w:firstLine="0"/>
        <w:contextualSpacing w:val="0"/>
        <w:rPr>
          <w:rFonts w:ascii="Times New Roman" w:eastAsia="Times New Roman" w:hAnsi="Times New Roman"/>
        </w:rPr>
      </w:pPr>
      <w:r w:rsidRPr="00E168A1">
        <w:rPr>
          <w:rFonts w:ascii="Times New Roman" w:hAnsi="Times New Roman"/>
          <w:b/>
        </w:rPr>
        <w:t>While</w:t>
      </w:r>
      <w:r w:rsidR="00900061" w:rsidRPr="00E168A1">
        <w:rPr>
          <w:rFonts w:ascii="Times New Roman" w:hAnsi="Times New Roman"/>
          <w:b/>
        </w:rPr>
        <w:t xml:space="preserve"> </w:t>
      </w:r>
      <w:r w:rsidRPr="00E168A1">
        <w:rPr>
          <w:rFonts w:ascii="Times New Roman" w:hAnsi="Times New Roman"/>
          <w:b/>
        </w:rPr>
        <w:t>progress</w:t>
      </w:r>
      <w:r w:rsidR="00900061" w:rsidRPr="00E168A1">
        <w:rPr>
          <w:rFonts w:ascii="Times New Roman" w:hAnsi="Times New Roman"/>
          <w:b/>
        </w:rPr>
        <w:t xml:space="preserve"> </w:t>
      </w:r>
      <w:r w:rsidRPr="00E168A1">
        <w:rPr>
          <w:rFonts w:ascii="Times New Roman" w:hAnsi="Times New Roman"/>
          <w:b/>
        </w:rPr>
        <w:t>has</w:t>
      </w:r>
      <w:r w:rsidR="00900061" w:rsidRPr="00E168A1">
        <w:rPr>
          <w:rFonts w:ascii="Times New Roman" w:hAnsi="Times New Roman"/>
          <w:b/>
        </w:rPr>
        <w:t xml:space="preserve"> </w:t>
      </w:r>
      <w:r w:rsidRPr="00E168A1">
        <w:rPr>
          <w:rFonts w:ascii="Times New Roman" w:hAnsi="Times New Roman"/>
          <w:b/>
        </w:rPr>
        <w:t>been</w:t>
      </w:r>
      <w:r w:rsidR="00900061" w:rsidRPr="00E168A1">
        <w:rPr>
          <w:rFonts w:ascii="Times New Roman" w:hAnsi="Times New Roman"/>
          <w:b/>
        </w:rPr>
        <w:t xml:space="preserve"> </w:t>
      </w:r>
      <w:r w:rsidRPr="00E168A1">
        <w:rPr>
          <w:rFonts w:ascii="Times New Roman" w:hAnsi="Times New Roman"/>
          <w:b/>
        </w:rPr>
        <w:t>made,</w:t>
      </w:r>
      <w:r w:rsidR="00900061" w:rsidRPr="00E168A1">
        <w:rPr>
          <w:rFonts w:ascii="Times New Roman" w:hAnsi="Times New Roman"/>
          <w:b/>
        </w:rPr>
        <w:t xml:space="preserve"> </w:t>
      </w:r>
      <w:r w:rsidRPr="00E168A1">
        <w:rPr>
          <w:rFonts w:ascii="Times New Roman" w:hAnsi="Times New Roman"/>
          <w:b/>
        </w:rPr>
        <w:t>public</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training</w:t>
      </w:r>
      <w:r w:rsidR="00900061" w:rsidRPr="00E168A1">
        <w:rPr>
          <w:rFonts w:ascii="Times New Roman" w:hAnsi="Times New Roman"/>
          <w:b/>
        </w:rPr>
        <w:t xml:space="preserve"> </w:t>
      </w:r>
      <w:r w:rsidRPr="00E168A1">
        <w:rPr>
          <w:rFonts w:ascii="Times New Roman" w:hAnsi="Times New Roman"/>
          <w:b/>
        </w:rPr>
        <w:t>needs</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be</w:t>
      </w:r>
      <w:r w:rsidR="00900061" w:rsidRPr="00E168A1">
        <w:rPr>
          <w:rFonts w:ascii="Times New Roman" w:hAnsi="Times New Roman"/>
          <w:b/>
        </w:rPr>
        <w:t xml:space="preserve"> </w:t>
      </w:r>
      <w:r w:rsidRPr="00E168A1">
        <w:rPr>
          <w:rFonts w:ascii="Times New Roman" w:hAnsi="Times New Roman"/>
          <w:b/>
        </w:rPr>
        <w:t>further</w:t>
      </w:r>
      <w:r w:rsidR="00900061" w:rsidRPr="00E168A1">
        <w:rPr>
          <w:rFonts w:ascii="Times New Roman" w:hAnsi="Times New Roman"/>
          <w:b/>
        </w:rPr>
        <w:t xml:space="preserve"> </w:t>
      </w:r>
      <w:r w:rsidRPr="00E168A1">
        <w:rPr>
          <w:rFonts w:ascii="Times New Roman" w:hAnsi="Times New Roman"/>
          <w:b/>
        </w:rPr>
        <w:t>developed.</w:t>
      </w:r>
      <w:r w:rsidR="00900061" w:rsidRPr="00E168A1">
        <w:rPr>
          <w:rFonts w:ascii="Times New Roman" w:eastAsia="Times New Roman" w:hAnsi="Times New Roman"/>
        </w:rPr>
        <w:t xml:space="preserve"> </w:t>
      </w:r>
      <w:r w:rsidRPr="00E168A1">
        <w:rPr>
          <w:rFonts w:ascii="Times New Roman" w:eastAsia="Times New Roman" w:hAnsi="Times New Roman"/>
        </w:rPr>
        <w:t>Indeed,</w:t>
      </w:r>
      <w:r w:rsidR="00900061" w:rsidRPr="00E168A1">
        <w:rPr>
          <w:rFonts w:ascii="Times New Roman" w:eastAsia="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perspective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bidders,</w:t>
      </w:r>
      <w:r w:rsidR="00900061" w:rsidRPr="00E168A1">
        <w:rPr>
          <w:rFonts w:ascii="Times New Roman" w:hAnsi="Times New Roman"/>
        </w:rPr>
        <w:t xml:space="preserve"> </w:t>
      </w:r>
      <w:r w:rsidRPr="00E168A1">
        <w:rPr>
          <w:rFonts w:ascii="Times New Roman" w:hAnsi="Times New Roman"/>
        </w:rPr>
        <w:t>lack</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professional</w:t>
      </w:r>
      <w:r w:rsidR="00900061" w:rsidRPr="00E168A1">
        <w:rPr>
          <w:rFonts w:ascii="Times New Roman" w:hAnsi="Times New Roman"/>
        </w:rPr>
        <w:t xml:space="preserve"> </w:t>
      </w:r>
      <w:r w:rsidRPr="00E168A1">
        <w:rPr>
          <w:rFonts w:ascii="Times New Roman" w:hAnsi="Times New Roman"/>
        </w:rPr>
        <w:t>skills</w:t>
      </w:r>
      <w:r w:rsidR="00900061" w:rsidRPr="00E168A1">
        <w:rPr>
          <w:rFonts w:ascii="Times New Roman" w:hAnsi="Times New Roman"/>
        </w:rPr>
        <w:t xml:space="preserve"> </w:t>
      </w:r>
      <w:r w:rsidRPr="00E168A1">
        <w:rPr>
          <w:rFonts w:ascii="Times New Roman" w:hAnsi="Times New Roman"/>
        </w:rPr>
        <w:t>can</w:t>
      </w:r>
      <w:r w:rsidR="00900061" w:rsidRPr="00E168A1">
        <w:rPr>
          <w:rFonts w:ascii="Times New Roman" w:hAnsi="Times New Roman"/>
        </w:rPr>
        <w:t xml:space="preserve"> </w:t>
      </w:r>
      <w:r w:rsidRPr="00E168A1">
        <w:rPr>
          <w:rFonts w:ascii="Times New Roman" w:hAnsi="Times New Roman"/>
        </w:rPr>
        <w:t>become</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issue,</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particular</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regard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proposed</w:t>
      </w:r>
      <w:r w:rsidR="00900061" w:rsidRPr="00E168A1">
        <w:rPr>
          <w:rFonts w:ascii="Times New Roman" w:hAnsi="Times New Roman"/>
        </w:rPr>
        <w:t xml:space="preserve"> </w:t>
      </w:r>
      <w:r w:rsidRPr="00E168A1">
        <w:rPr>
          <w:rFonts w:ascii="Times New Roman" w:hAnsi="Times New Roman"/>
        </w:rPr>
        <w:t>introduction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lastRenderedPageBreak/>
        <w:t>new</w:t>
      </w:r>
      <w:r w:rsidR="00900061" w:rsidRPr="00E168A1">
        <w:rPr>
          <w:rFonts w:ascii="Times New Roman" w:hAnsi="Times New Roman"/>
        </w:rPr>
        <w:t xml:space="preserve"> </w:t>
      </w:r>
      <w:r w:rsidRPr="00E168A1">
        <w:rPr>
          <w:rFonts w:ascii="Times New Roman" w:hAnsi="Times New Roman"/>
        </w:rPr>
        <w:t>working</w:t>
      </w:r>
      <w:r w:rsidR="00900061" w:rsidRPr="00E168A1">
        <w:rPr>
          <w:rFonts w:ascii="Times New Roman" w:hAnsi="Times New Roman"/>
        </w:rPr>
        <w:t xml:space="preserve"> </w:t>
      </w:r>
      <w:r w:rsidRPr="00E168A1">
        <w:rPr>
          <w:rFonts w:ascii="Times New Roman" w:hAnsi="Times New Roman"/>
        </w:rPr>
        <w:t>methods</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greater</w:t>
      </w:r>
      <w:r w:rsidR="00900061" w:rsidRPr="00E168A1">
        <w:rPr>
          <w:rFonts w:ascii="Times New Roman" w:hAnsi="Times New Roman"/>
        </w:rPr>
        <w:t xml:space="preserve"> </w:t>
      </w:r>
      <w:r w:rsidRPr="00E168A1">
        <w:rPr>
          <w:rFonts w:ascii="Times New Roman" w:hAnsi="Times New Roman"/>
        </w:rPr>
        <w:t>centrali</w:t>
      </w:r>
      <w:r w:rsidR="003D4B85" w:rsidRPr="00E168A1">
        <w:rPr>
          <w:rFonts w:ascii="Times New Roman" w:hAnsi="Times New Roman"/>
        </w:rPr>
        <w:t>z</w:t>
      </w:r>
      <w:r w:rsidRPr="00E168A1">
        <w:rPr>
          <w:rFonts w:ascii="Times New Roman" w:hAnsi="Times New Roman"/>
        </w:rPr>
        <w:t>ed</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framework</w:t>
      </w:r>
      <w:r w:rsidR="00900061" w:rsidRPr="00E168A1">
        <w:rPr>
          <w:rFonts w:ascii="Times New Roman" w:hAnsi="Times New Roman"/>
        </w:rPr>
        <w:t xml:space="preserve"> </w:t>
      </w:r>
      <w:r w:rsidRPr="00E168A1">
        <w:rPr>
          <w:rFonts w:ascii="Times New Roman" w:hAnsi="Times New Roman"/>
        </w:rPr>
        <w:t>agreements,</w:t>
      </w:r>
      <w:r w:rsidR="00900061" w:rsidRPr="00E168A1">
        <w:rPr>
          <w:rFonts w:ascii="Times New Roman" w:hAnsi="Times New Roman"/>
        </w:rPr>
        <w:t xml:space="preserve"> </w:t>
      </w:r>
      <w:r w:rsidRPr="00E168A1">
        <w:rPr>
          <w:rFonts w:ascii="Times New Roman" w:hAnsi="Times New Roman"/>
        </w:rPr>
        <w:t>dynamic</w:t>
      </w:r>
      <w:r w:rsidR="00900061" w:rsidRPr="00E168A1">
        <w:rPr>
          <w:rFonts w:ascii="Times New Roman" w:hAnsi="Times New Roman"/>
        </w:rPr>
        <w:t xml:space="preserve"> </w:t>
      </w:r>
      <w:r w:rsidRPr="00E168A1">
        <w:rPr>
          <w:rFonts w:ascii="Times New Roman" w:hAnsi="Times New Roman"/>
        </w:rPr>
        <w:t>purchasing</w:t>
      </w:r>
      <w:r w:rsidR="00900061" w:rsidRPr="00E168A1">
        <w:rPr>
          <w:rFonts w:ascii="Times New Roman" w:hAnsi="Times New Roman"/>
        </w:rPr>
        <w:t xml:space="preserve"> </w:t>
      </w:r>
      <w:r w:rsidRPr="00E168A1">
        <w:rPr>
          <w:rFonts w:ascii="Times New Roman" w:hAnsi="Times New Roman"/>
        </w:rPr>
        <w:t>systems</w:t>
      </w:r>
      <w:r w:rsidR="008D580B"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e-auctions.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level</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understanding</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common</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w:t>
      </w:r>
      <w:r w:rsidR="00900061" w:rsidRPr="00E168A1">
        <w:rPr>
          <w:rFonts w:ascii="Times New Roman" w:hAnsi="Times New Roman"/>
        </w:rPr>
        <w:t xml:space="preserve"> </w:t>
      </w:r>
      <w:r w:rsidRPr="00E168A1">
        <w:rPr>
          <w:rFonts w:ascii="Times New Roman" w:hAnsi="Times New Roman"/>
        </w:rPr>
        <w:t>among</w:t>
      </w:r>
      <w:r w:rsidR="00900061" w:rsidRPr="00E168A1">
        <w:rPr>
          <w:rFonts w:ascii="Times New Roman" w:hAnsi="Times New Roman"/>
        </w:rPr>
        <w:t xml:space="preserve"> </w:t>
      </w:r>
      <w:r w:rsidRPr="00E168A1">
        <w:rPr>
          <w:rFonts w:ascii="Times New Roman" w:hAnsi="Times New Roman"/>
        </w:rPr>
        <w:t>end</w:t>
      </w:r>
      <w:r w:rsidR="00900061" w:rsidRPr="00E168A1">
        <w:rPr>
          <w:rFonts w:ascii="Times New Roman" w:hAnsi="Times New Roman"/>
        </w:rPr>
        <w:t xml:space="preserve"> </w:t>
      </w:r>
      <w:r w:rsidRPr="00E168A1">
        <w:rPr>
          <w:rFonts w:ascii="Times New Roman" w:hAnsi="Times New Roman"/>
        </w:rPr>
        <w:t>users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ability</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contribute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process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defining</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specifications</w:t>
      </w:r>
      <w:r w:rsidR="00900061" w:rsidRPr="00E168A1">
        <w:rPr>
          <w:rFonts w:ascii="Times New Roman" w:hAnsi="Times New Roman"/>
        </w:rPr>
        <w:t xml:space="preserve"> </w:t>
      </w:r>
      <w:r w:rsidRPr="00E168A1">
        <w:rPr>
          <w:rFonts w:ascii="Times New Roman" w:hAnsi="Times New Roman"/>
        </w:rPr>
        <w:t>can</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strengthened</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008D580B" w:rsidRPr="00E168A1">
        <w:rPr>
          <w:rFonts w:ascii="Times New Roman" w:hAnsi="Times New Roman"/>
        </w:rPr>
        <w:t xml:space="preserve">will </w:t>
      </w:r>
      <w:r w:rsidRPr="00E168A1">
        <w:rPr>
          <w:rFonts w:ascii="Times New Roman" w:hAnsi="Times New Roman"/>
        </w:rPr>
        <w:t>improve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overall</w:t>
      </w:r>
      <w:r w:rsidR="00900061" w:rsidRPr="00E168A1">
        <w:rPr>
          <w:rFonts w:ascii="Times New Roman" w:hAnsi="Times New Roman"/>
        </w:rPr>
        <w:t xml:space="preserve"> </w:t>
      </w:r>
      <w:r w:rsidRPr="00E168A1">
        <w:rPr>
          <w:rFonts w:ascii="Times New Roman" w:hAnsi="Times New Roman"/>
        </w:rPr>
        <w:t>efficiency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process.</w:t>
      </w:r>
      <w:r w:rsidR="00900061" w:rsidRPr="00E168A1">
        <w:rPr>
          <w:rFonts w:ascii="Times New Roman" w:hAnsi="Times New Roman"/>
        </w:rPr>
        <w:t xml:space="preserve"> </w:t>
      </w:r>
    </w:p>
    <w:p w14:paraId="64ECD0EA" w14:textId="77777777" w:rsidR="00AE54E5" w:rsidRPr="00E168A1" w:rsidRDefault="00AE54E5" w:rsidP="00220F7E">
      <w:pPr>
        <w:pStyle w:val="Heading2"/>
        <w:spacing w:before="120" w:after="120" w:line="240" w:lineRule="auto"/>
        <w:ind w:left="0" w:firstLine="0"/>
      </w:pPr>
      <w:bookmarkStart w:id="40" w:name="_Toc442428967"/>
      <w:bookmarkStart w:id="41" w:name="_Toc305833860"/>
      <w:r w:rsidRPr="00E168A1">
        <w:t>Public</w:t>
      </w:r>
      <w:r w:rsidR="00900061" w:rsidRPr="00E168A1">
        <w:t xml:space="preserve"> </w:t>
      </w:r>
      <w:r w:rsidRPr="00E168A1">
        <w:t>Procurement</w:t>
      </w:r>
      <w:r w:rsidR="00900061" w:rsidRPr="00E168A1">
        <w:t xml:space="preserve"> </w:t>
      </w:r>
      <w:r w:rsidRPr="00E168A1">
        <w:t>Office</w:t>
      </w:r>
      <w:bookmarkEnd w:id="40"/>
      <w:r w:rsidR="00900061" w:rsidRPr="00E168A1">
        <w:t xml:space="preserve"> </w:t>
      </w:r>
      <w:bookmarkEnd w:id="41"/>
    </w:p>
    <w:p w14:paraId="6C1791D9" w14:textId="6A58C29E" w:rsidR="00CF175C" w:rsidRPr="00E168A1" w:rsidRDefault="00DE3404" w:rsidP="00645878">
      <w:pPr>
        <w:pStyle w:val="ListParagraph"/>
        <w:numPr>
          <w:ilvl w:val="0"/>
          <w:numId w:val="9"/>
        </w:numPr>
        <w:ind w:left="0" w:firstLine="0"/>
        <w:contextualSpacing w:val="0"/>
        <w:rPr>
          <w:rFonts w:ascii="Times New Roman" w:hAnsi="Times New Roman"/>
          <w:b/>
        </w:rPr>
      </w:pP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PPO</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lacks</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both</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adequate</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human</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and</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financial</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resources</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to</w:t>
      </w:r>
      <w:r w:rsidR="00900061" w:rsidRPr="00E168A1">
        <w:rPr>
          <w:rFonts w:ascii="Times New Roman" w:eastAsia="Times New Roman" w:hAnsi="Times New Roman"/>
          <w:b/>
        </w:rPr>
        <w:t xml:space="preserve"> </w:t>
      </w:r>
      <w:r w:rsidR="00AE54E5" w:rsidRPr="00E168A1">
        <w:rPr>
          <w:rFonts w:ascii="Times New Roman" w:eastAsia="Times New Roman" w:hAnsi="Times New Roman"/>
          <w:b/>
        </w:rPr>
        <w:t>satis</w:t>
      </w:r>
      <w:r w:rsidRPr="00E168A1">
        <w:rPr>
          <w:rFonts w:ascii="Times New Roman" w:eastAsia="Times New Roman" w:hAnsi="Times New Roman"/>
          <w:b/>
        </w:rPr>
        <w:t>factorily</w:t>
      </w:r>
      <w:r w:rsidR="00900061" w:rsidRPr="00E168A1">
        <w:rPr>
          <w:rFonts w:ascii="Times New Roman" w:eastAsia="Times New Roman" w:hAnsi="Times New Roman"/>
          <w:b/>
        </w:rPr>
        <w:t xml:space="preserve"> </w:t>
      </w:r>
      <w:r w:rsidRPr="00E168A1">
        <w:rPr>
          <w:rFonts w:ascii="Times New Roman" w:eastAsia="Times New Roman" w:hAnsi="Times New Roman"/>
          <w:b/>
        </w:rPr>
        <w:t>discharge</w:t>
      </w:r>
      <w:r w:rsidR="00900061" w:rsidRPr="00E168A1">
        <w:rPr>
          <w:rFonts w:ascii="Times New Roman" w:eastAsia="Times New Roman" w:hAnsi="Times New Roman"/>
          <w:b/>
        </w:rPr>
        <w:t xml:space="preserve"> </w:t>
      </w:r>
      <w:r w:rsidRPr="00E168A1">
        <w:rPr>
          <w:rFonts w:ascii="Times New Roman" w:eastAsia="Times New Roman" w:hAnsi="Times New Roman"/>
          <w:b/>
        </w:rPr>
        <w:t>its</w:t>
      </w:r>
      <w:r w:rsidR="00900061" w:rsidRPr="00E168A1">
        <w:rPr>
          <w:rFonts w:ascii="Times New Roman" w:eastAsia="Times New Roman" w:hAnsi="Times New Roman"/>
          <w:b/>
        </w:rPr>
        <w:t xml:space="preserve"> </w:t>
      </w:r>
      <w:r w:rsidRPr="00E168A1">
        <w:rPr>
          <w:rFonts w:ascii="Times New Roman" w:eastAsia="Times New Roman" w:hAnsi="Times New Roman"/>
          <w:b/>
        </w:rPr>
        <w:t>duties.</w:t>
      </w:r>
      <w:r w:rsidR="00900061" w:rsidRPr="00E168A1">
        <w:rPr>
          <w:rFonts w:ascii="Times New Roman" w:eastAsia="Times New Roman" w:hAnsi="Times New Roman"/>
          <w:b/>
        </w:rPr>
        <w:t xml:space="preserve"> </w:t>
      </w:r>
      <w:r w:rsidR="00AE54E5" w:rsidRPr="00E168A1">
        <w:rPr>
          <w:rFonts w:ascii="Times New Roman" w:eastAsia="Times New Roman" w:hAnsi="Times New Roman"/>
        </w:rPr>
        <w:t>Eight</w:t>
      </w:r>
      <w:r w:rsidR="00900061" w:rsidRPr="00E168A1">
        <w:rPr>
          <w:rFonts w:ascii="Times New Roman" w:eastAsia="Times New Roman" w:hAnsi="Times New Roman"/>
        </w:rPr>
        <w:t xml:space="preserve"> </w:t>
      </w:r>
      <w:r w:rsidR="00AE54E5" w:rsidRPr="00E168A1">
        <w:rPr>
          <w:rFonts w:ascii="Times New Roman" w:eastAsia="Times New Roman" w:hAnsi="Times New Roman"/>
        </w:rPr>
        <w:t>new</w:t>
      </w:r>
      <w:r w:rsidR="00900061" w:rsidRPr="00E168A1">
        <w:rPr>
          <w:rFonts w:ascii="Times New Roman" w:eastAsia="Times New Roman" w:hAnsi="Times New Roman"/>
        </w:rPr>
        <w:t xml:space="preserve"> </w:t>
      </w:r>
      <w:r w:rsidR="00AE54E5" w:rsidRPr="00E168A1">
        <w:rPr>
          <w:rFonts w:ascii="Times New Roman" w:eastAsia="Times New Roman" w:hAnsi="Times New Roman"/>
        </w:rPr>
        <w:t>posts</w:t>
      </w:r>
      <w:r w:rsidR="00900061" w:rsidRPr="00E168A1">
        <w:rPr>
          <w:rFonts w:ascii="Times New Roman" w:eastAsia="Times New Roman" w:hAnsi="Times New Roman"/>
        </w:rPr>
        <w:t xml:space="preserve"> </w:t>
      </w:r>
      <w:r w:rsidR="00AE54E5" w:rsidRPr="00E168A1">
        <w:rPr>
          <w:rFonts w:ascii="Times New Roman" w:eastAsia="Times New Roman" w:hAnsi="Times New Roman"/>
        </w:rPr>
        <w:t>were</w:t>
      </w:r>
      <w:r w:rsidR="00900061" w:rsidRPr="00E168A1">
        <w:rPr>
          <w:rFonts w:ascii="Times New Roman" w:eastAsia="Times New Roman" w:hAnsi="Times New Roman"/>
        </w:rPr>
        <w:t xml:space="preserve"> </w:t>
      </w:r>
      <w:r w:rsidR="00AE54E5" w:rsidRPr="00E168A1">
        <w:rPr>
          <w:rFonts w:ascii="Times New Roman" w:eastAsia="Times New Roman" w:hAnsi="Times New Roman"/>
        </w:rPr>
        <w:t>created</w:t>
      </w:r>
      <w:r w:rsidR="00900061" w:rsidRPr="00E168A1">
        <w:rPr>
          <w:rFonts w:ascii="Times New Roman" w:eastAsia="Times New Roman" w:hAnsi="Times New Roman"/>
        </w:rPr>
        <w:t xml:space="preserve"> </w:t>
      </w:r>
      <w:r w:rsidR="00AE54E5" w:rsidRPr="00E168A1">
        <w:rPr>
          <w:rFonts w:ascii="Times New Roman" w:eastAsia="Times New Roman" w:hAnsi="Times New Roman"/>
        </w:rPr>
        <w:t>in</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w:t>
      </w:r>
      <w:r w:rsidR="00900061" w:rsidRPr="00E168A1">
        <w:rPr>
          <w:rFonts w:ascii="Times New Roman" w:eastAsia="Times New Roman" w:hAnsi="Times New Roman"/>
        </w:rPr>
        <w:t xml:space="preserve"> </w:t>
      </w:r>
      <w:r w:rsidR="00AE54E5" w:rsidRPr="00E168A1">
        <w:rPr>
          <w:rFonts w:ascii="Times New Roman" w:eastAsia="Times New Roman" w:hAnsi="Times New Roman"/>
        </w:rPr>
        <w:t>PPO,</w:t>
      </w:r>
      <w:r w:rsidR="00900061" w:rsidRPr="00E168A1">
        <w:rPr>
          <w:rFonts w:ascii="Times New Roman" w:eastAsia="Times New Roman" w:hAnsi="Times New Roman"/>
        </w:rPr>
        <w:t xml:space="preserve"> </w:t>
      </w:r>
      <w:r w:rsidR="00AE54E5" w:rsidRPr="00E168A1">
        <w:rPr>
          <w:rFonts w:ascii="Times New Roman" w:eastAsia="Times New Roman" w:hAnsi="Times New Roman"/>
        </w:rPr>
        <w:t>but</w:t>
      </w:r>
      <w:r w:rsidR="00900061" w:rsidRPr="00E168A1">
        <w:rPr>
          <w:rFonts w:ascii="Times New Roman" w:eastAsia="Times New Roman" w:hAnsi="Times New Roman"/>
        </w:rPr>
        <w:t xml:space="preserve"> </w:t>
      </w:r>
      <w:r w:rsidR="00AE54E5" w:rsidRPr="00E168A1">
        <w:rPr>
          <w:rFonts w:ascii="Times New Roman" w:eastAsia="Times New Roman" w:hAnsi="Times New Roman"/>
        </w:rPr>
        <w:t>further</w:t>
      </w:r>
      <w:r w:rsidR="00900061" w:rsidRPr="00E168A1">
        <w:rPr>
          <w:rFonts w:ascii="Times New Roman" w:eastAsia="Times New Roman" w:hAnsi="Times New Roman"/>
        </w:rPr>
        <w:t xml:space="preserve"> </w:t>
      </w:r>
      <w:r w:rsidR="00AE54E5" w:rsidRPr="00E168A1">
        <w:rPr>
          <w:rFonts w:ascii="Times New Roman" w:eastAsia="Times New Roman" w:hAnsi="Times New Roman"/>
        </w:rPr>
        <w:t>reinforcement</w:t>
      </w:r>
      <w:r w:rsidR="00900061" w:rsidRPr="00E168A1">
        <w:rPr>
          <w:rFonts w:ascii="Times New Roman" w:eastAsia="Times New Roman" w:hAnsi="Times New Roman"/>
        </w:rPr>
        <w:t xml:space="preserve"> </w:t>
      </w:r>
      <w:r w:rsidR="00AE54E5" w:rsidRPr="00E168A1">
        <w:rPr>
          <w:rFonts w:ascii="Times New Roman" w:eastAsia="Times New Roman" w:hAnsi="Times New Roman"/>
        </w:rPr>
        <w:t>of</w:t>
      </w:r>
      <w:r w:rsidR="00900061" w:rsidRPr="00E168A1">
        <w:rPr>
          <w:rFonts w:ascii="Times New Roman" w:eastAsia="Times New Roman" w:hAnsi="Times New Roman"/>
        </w:rPr>
        <w:t xml:space="preserve"> </w:t>
      </w:r>
      <w:r w:rsidR="00AE54E5" w:rsidRPr="00E168A1">
        <w:rPr>
          <w:rFonts w:ascii="Times New Roman" w:eastAsia="Times New Roman" w:hAnsi="Times New Roman"/>
        </w:rPr>
        <w:t>its</w:t>
      </w:r>
      <w:r w:rsidR="00900061" w:rsidRPr="00E168A1">
        <w:rPr>
          <w:rFonts w:ascii="Times New Roman" w:eastAsia="Times New Roman" w:hAnsi="Times New Roman"/>
        </w:rPr>
        <w:t xml:space="preserve"> </w:t>
      </w:r>
      <w:r w:rsidR="00AE54E5" w:rsidRPr="00E168A1">
        <w:rPr>
          <w:rFonts w:ascii="Times New Roman" w:eastAsia="Times New Roman" w:hAnsi="Times New Roman"/>
        </w:rPr>
        <w:t>administrative</w:t>
      </w:r>
      <w:r w:rsidR="00900061" w:rsidRPr="00E168A1">
        <w:rPr>
          <w:rFonts w:ascii="Times New Roman" w:eastAsia="Times New Roman" w:hAnsi="Times New Roman"/>
        </w:rPr>
        <w:t xml:space="preserve"> </w:t>
      </w:r>
      <w:r w:rsidR="00AE54E5" w:rsidRPr="00E168A1">
        <w:rPr>
          <w:rFonts w:ascii="Times New Roman" w:eastAsia="Times New Roman" w:hAnsi="Times New Roman"/>
        </w:rPr>
        <w:t>capacity</w:t>
      </w:r>
      <w:r w:rsidR="00900061" w:rsidRPr="00E168A1">
        <w:rPr>
          <w:rFonts w:ascii="Times New Roman" w:eastAsia="Times New Roman" w:hAnsi="Times New Roman"/>
        </w:rPr>
        <w:t xml:space="preserve"> </w:t>
      </w:r>
      <w:r w:rsidR="00AE54E5" w:rsidRPr="00E168A1">
        <w:rPr>
          <w:rFonts w:ascii="Times New Roman" w:eastAsia="Times New Roman" w:hAnsi="Times New Roman"/>
        </w:rPr>
        <w:t>is</w:t>
      </w:r>
      <w:r w:rsidR="00900061" w:rsidRPr="00E168A1">
        <w:rPr>
          <w:rFonts w:ascii="Times New Roman" w:eastAsia="Times New Roman" w:hAnsi="Times New Roman"/>
        </w:rPr>
        <w:t xml:space="preserve"> </w:t>
      </w:r>
      <w:r w:rsidR="00AE54E5" w:rsidRPr="00E168A1">
        <w:rPr>
          <w:rFonts w:ascii="Times New Roman" w:eastAsia="Times New Roman" w:hAnsi="Times New Roman"/>
        </w:rPr>
        <w:t>needed</w:t>
      </w:r>
      <w:r w:rsidR="00900061" w:rsidRPr="00E168A1">
        <w:rPr>
          <w:rFonts w:ascii="Times New Roman" w:eastAsia="Times New Roman" w:hAnsi="Times New Roman"/>
        </w:rPr>
        <w:t xml:space="preserve"> </w:t>
      </w:r>
      <w:r w:rsidR="00AE54E5" w:rsidRPr="00E168A1">
        <w:rPr>
          <w:rFonts w:ascii="Times New Roman" w:eastAsia="Times New Roman" w:hAnsi="Times New Roman"/>
        </w:rPr>
        <w:t>in</w:t>
      </w:r>
      <w:r w:rsidR="00900061" w:rsidRPr="00E168A1">
        <w:rPr>
          <w:rFonts w:ascii="Times New Roman" w:eastAsia="Times New Roman" w:hAnsi="Times New Roman"/>
        </w:rPr>
        <w:t xml:space="preserve"> </w:t>
      </w:r>
      <w:r w:rsidR="00AE54E5" w:rsidRPr="00E168A1">
        <w:rPr>
          <w:rFonts w:ascii="Times New Roman" w:eastAsia="Times New Roman" w:hAnsi="Times New Roman"/>
        </w:rPr>
        <w:t>view</w:t>
      </w:r>
      <w:r w:rsidR="00900061" w:rsidRPr="00E168A1">
        <w:rPr>
          <w:rFonts w:ascii="Times New Roman" w:eastAsia="Times New Roman" w:hAnsi="Times New Roman"/>
        </w:rPr>
        <w:t xml:space="preserve"> </w:t>
      </w:r>
      <w:r w:rsidR="00AE54E5" w:rsidRPr="00E168A1">
        <w:rPr>
          <w:rFonts w:ascii="Times New Roman" w:eastAsia="Times New Roman" w:hAnsi="Times New Roman"/>
        </w:rPr>
        <w:t>of</w:t>
      </w:r>
      <w:r w:rsidR="00900061" w:rsidRPr="00E168A1">
        <w:rPr>
          <w:rFonts w:ascii="Times New Roman" w:eastAsia="Times New Roman" w:hAnsi="Times New Roman"/>
        </w:rPr>
        <w:t xml:space="preserve"> </w:t>
      </w:r>
      <w:r w:rsidR="00AE54E5" w:rsidRPr="00E168A1">
        <w:rPr>
          <w:rFonts w:ascii="Times New Roman" w:eastAsia="Times New Roman" w:hAnsi="Times New Roman"/>
        </w:rPr>
        <w:t>its</w:t>
      </w:r>
      <w:r w:rsidR="00900061" w:rsidRPr="00E168A1">
        <w:rPr>
          <w:rFonts w:ascii="Times New Roman" w:eastAsia="Times New Roman" w:hAnsi="Times New Roman"/>
        </w:rPr>
        <w:t xml:space="preserve"> </w:t>
      </w:r>
      <w:r w:rsidR="00AE54E5" w:rsidRPr="00E168A1">
        <w:rPr>
          <w:rFonts w:ascii="Times New Roman" w:eastAsia="Times New Roman" w:hAnsi="Times New Roman"/>
        </w:rPr>
        <w:t>new</w:t>
      </w:r>
      <w:r w:rsidR="00900061" w:rsidRPr="00E168A1">
        <w:rPr>
          <w:rFonts w:ascii="Times New Roman" w:eastAsia="Times New Roman" w:hAnsi="Times New Roman"/>
        </w:rPr>
        <w:t xml:space="preserve"> </w:t>
      </w:r>
      <w:r w:rsidR="00AE54E5" w:rsidRPr="00E168A1">
        <w:rPr>
          <w:rFonts w:ascii="Times New Roman" w:eastAsia="Times New Roman" w:hAnsi="Times New Roman"/>
        </w:rPr>
        <w:t>responsibilities</w:t>
      </w:r>
      <w:r w:rsidR="00306C62" w:rsidRPr="00E168A1">
        <w:rPr>
          <w:rFonts w:ascii="Times New Roman" w:eastAsia="Times New Roman" w:hAnsi="Times New Roman"/>
        </w:rPr>
        <w:t>.</w:t>
      </w:r>
      <w:r w:rsidR="00AE54E5" w:rsidRPr="00E168A1">
        <w:rPr>
          <w:rStyle w:val="FootnoteReference"/>
          <w:rFonts w:ascii="Times New Roman" w:eastAsia="Times New Roman" w:hAnsi="Times New Roman"/>
        </w:rPr>
        <w:footnoteReference w:id="48"/>
      </w:r>
      <w:r w:rsidR="00900061" w:rsidRPr="00E168A1">
        <w:rPr>
          <w:rFonts w:ascii="Times New Roman" w:eastAsia="Times New Roman" w:hAnsi="Times New Roman"/>
        </w:rPr>
        <w:t xml:space="preserve"> </w:t>
      </w:r>
      <w:r w:rsidR="00AE54E5" w:rsidRPr="00E168A1">
        <w:rPr>
          <w:rFonts w:ascii="Times New Roman" w:eastAsia="Times New Roman" w:hAnsi="Times New Roman"/>
        </w:rPr>
        <w:t>In</w:t>
      </w:r>
      <w:r w:rsidR="00900061" w:rsidRPr="00E168A1">
        <w:rPr>
          <w:rFonts w:ascii="Times New Roman" w:eastAsia="Times New Roman" w:hAnsi="Times New Roman"/>
        </w:rPr>
        <w:t xml:space="preserve"> </w:t>
      </w:r>
      <w:r w:rsidR="00AE54E5" w:rsidRPr="00E168A1">
        <w:rPr>
          <w:rFonts w:ascii="Times New Roman" w:eastAsia="Times New Roman" w:hAnsi="Times New Roman"/>
        </w:rPr>
        <w:t>June</w:t>
      </w:r>
      <w:r w:rsidR="00900061" w:rsidRPr="00E168A1">
        <w:rPr>
          <w:rFonts w:ascii="Times New Roman" w:eastAsia="Times New Roman" w:hAnsi="Times New Roman"/>
        </w:rPr>
        <w:t xml:space="preserve"> </w:t>
      </w:r>
      <w:r w:rsidR="00AE54E5" w:rsidRPr="00E168A1">
        <w:rPr>
          <w:rFonts w:ascii="Times New Roman" w:eastAsia="Times New Roman" w:hAnsi="Times New Roman"/>
        </w:rPr>
        <w:t>2015,</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there</w:t>
      </w:r>
      <w:r w:rsidR="00900061" w:rsidRPr="00E168A1">
        <w:rPr>
          <w:rFonts w:ascii="Times New Roman" w:eastAsia="Times New Roman" w:hAnsi="Times New Roman"/>
        </w:rPr>
        <w:t xml:space="preserve"> </w:t>
      </w:r>
      <w:r w:rsidR="00AE54E5" w:rsidRPr="00E168A1">
        <w:rPr>
          <w:rFonts w:ascii="Times New Roman" w:eastAsia="Times New Roman" w:hAnsi="Times New Roman"/>
        </w:rPr>
        <w:t>were</w:t>
      </w:r>
      <w:r w:rsidR="00900061" w:rsidRPr="00E168A1">
        <w:rPr>
          <w:rFonts w:ascii="Times New Roman" w:eastAsia="Times New Roman" w:hAnsi="Times New Roman"/>
        </w:rPr>
        <w:t xml:space="preserve"> </w:t>
      </w:r>
      <w:r w:rsidR="00AE54E5" w:rsidRPr="00E168A1">
        <w:rPr>
          <w:rFonts w:ascii="Times New Roman" w:eastAsia="Times New Roman" w:hAnsi="Times New Roman"/>
        </w:rPr>
        <w:t>23</w:t>
      </w:r>
      <w:r w:rsidR="00900061" w:rsidRPr="00E168A1">
        <w:rPr>
          <w:rFonts w:ascii="Times New Roman" w:eastAsia="Times New Roman" w:hAnsi="Times New Roman"/>
        </w:rPr>
        <w:t xml:space="preserve"> </w:t>
      </w:r>
      <w:r w:rsidR="00AE54E5" w:rsidRPr="00E168A1">
        <w:rPr>
          <w:rFonts w:ascii="Times New Roman" w:eastAsia="Times New Roman" w:hAnsi="Times New Roman"/>
        </w:rPr>
        <w:t>staff</w:t>
      </w:r>
      <w:r w:rsidR="00900061" w:rsidRPr="00E168A1">
        <w:rPr>
          <w:rFonts w:ascii="Times New Roman" w:eastAsia="Times New Roman" w:hAnsi="Times New Roman"/>
        </w:rPr>
        <w:t xml:space="preserve"> </w:t>
      </w:r>
      <w:r w:rsidR="00AE54E5" w:rsidRPr="00E168A1">
        <w:rPr>
          <w:rFonts w:ascii="Times New Roman" w:eastAsia="Times New Roman" w:hAnsi="Times New Roman"/>
        </w:rPr>
        <w:t>working</w:t>
      </w:r>
      <w:r w:rsidR="00900061" w:rsidRPr="00E168A1">
        <w:rPr>
          <w:rFonts w:ascii="Times New Roman" w:eastAsia="Times New Roman" w:hAnsi="Times New Roman"/>
        </w:rPr>
        <w:t xml:space="preserve"> </w:t>
      </w:r>
      <w:r w:rsidR="00AE54E5" w:rsidRPr="00E168A1">
        <w:rPr>
          <w:rFonts w:ascii="Times New Roman" w:eastAsia="Times New Roman" w:hAnsi="Times New Roman"/>
        </w:rPr>
        <w:t>for</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w:t>
      </w:r>
      <w:r w:rsidR="00900061" w:rsidRPr="00E168A1">
        <w:rPr>
          <w:rFonts w:ascii="Times New Roman" w:eastAsia="Times New Roman" w:hAnsi="Times New Roman"/>
        </w:rPr>
        <w:t xml:space="preserve"> </w:t>
      </w:r>
      <w:r w:rsidR="00AE54E5" w:rsidRPr="00E168A1">
        <w:rPr>
          <w:rFonts w:ascii="Times New Roman" w:eastAsia="Times New Roman" w:hAnsi="Times New Roman"/>
        </w:rPr>
        <w:t>PPO.</w:t>
      </w:r>
      <w:r w:rsidR="00900061" w:rsidRPr="00E168A1">
        <w:rPr>
          <w:rFonts w:ascii="Times New Roman" w:eastAsia="Times New Roman" w:hAnsi="Times New Roman"/>
        </w:rPr>
        <w:t xml:space="preserve"> </w:t>
      </w:r>
      <w:r w:rsidR="00AE54E5" w:rsidRPr="00E168A1">
        <w:rPr>
          <w:rFonts w:ascii="Times New Roman" w:eastAsia="Times New Roman" w:hAnsi="Times New Roman"/>
        </w:rPr>
        <w:t>According</w:t>
      </w:r>
      <w:r w:rsidR="00900061" w:rsidRPr="00E168A1">
        <w:rPr>
          <w:rFonts w:ascii="Times New Roman" w:eastAsia="Times New Roman" w:hAnsi="Times New Roman"/>
        </w:rPr>
        <w:t xml:space="preserve"> </w:t>
      </w:r>
      <w:r w:rsidR="00AE54E5" w:rsidRPr="00E168A1">
        <w:rPr>
          <w:rFonts w:ascii="Times New Roman" w:eastAsia="Times New Roman" w:hAnsi="Times New Roman"/>
        </w:rPr>
        <w:t>to</w:t>
      </w:r>
      <w:r w:rsidR="00900061" w:rsidRPr="00E168A1">
        <w:rPr>
          <w:rFonts w:ascii="Times New Roman" w:eastAsia="Times New Roman" w:hAnsi="Times New Roman"/>
        </w:rPr>
        <w:t xml:space="preserve"> </w:t>
      </w:r>
      <w:r w:rsidR="00AE54E5" w:rsidRPr="00E168A1">
        <w:rPr>
          <w:rFonts w:ascii="Times New Roman" w:eastAsia="Times New Roman" w:hAnsi="Times New Roman"/>
        </w:rPr>
        <w:t>its</w:t>
      </w:r>
      <w:r w:rsidR="00900061" w:rsidRPr="00E168A1">
        <w:rPr>
          <w:rFonts w:ascii="Times New Roman" w:eastAsia="Times New Roman" w:hAnsi="Times New Roman"/>
        </w:rPr>
        <w:t xml:space="preserve"> </w:t>
      </w:r>
      <w:r w:rsidR="003D4B85" w:rsidRPr="00E168A1">
        <w:rPr>
          <w:rFonts w:ascii="Times New Roman" w:eastAsia="Times New Roman" w:hAnsi="Times New Roman"/>
        </w:rPr>
        <w:t>d</w:t>
      </w:r>
      <w:r w:rsidR="00AE54E5" w:rsidRPr="00E168A1">
        <w:rPr>
          <w:rFonts w:ascii="Times New Roman" w:eastAsia="Times New Roman" w:hAnsi="Times New Roman"/>
        </w:rPr>
        <w:t>irector,</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w:t>
      </w:r>
      <w:r w:rsidR="00900061" w:rsidRPr="00E168A1">
        <w:rPr>
          <w:rFonts w:ascii="Times New Roman" w:eastAsia="Times New Roman" w:hAnsi="Times New Roman"/>
        </w:rPr>
        <w:t xml:space="preserve"> </w:t>
      </w:r>
      <w:r w:rsidR="00AE54E5" w:rsidRPr="00E168A1">
        <w:rPr>
          <w:rFonts w:ascii="Times New Roman" w:eastAsia="Times New Roman" w:hAnsi="Times New Roman"/>
        </w:rPr>
        <w:t>number</w:t>
      </w:r>
      <w:r w:rsidR="00900061" w:rsidRPr="00E168A1">
        <w:rPr>
          <w:rFonts w:ascii="Times New Roman" w:eastAsia="Times New Roman" w:hAnsi="Times New Roman"/>
        </w:rPr>
        <w:t xml:space="preserve"> </w:t>
      </w:r>
      <w:r w:rsidR="00AE54E5" w:rsidRPr="00E168A1">
        <w:rPr>
          <w:rFonts w:ascii="Times New Roman" w:eastAsia="Times New Roman" w:hAnsi="Times New Roman"/>
        </w:rPr>
        <w:t>of</w:t>
      </w:r>
      <w:r w:rsidR="00900061" w:rsidRPr="00E168A1">
        <w:rPr>
          <w:rFonts w:ascii="Times New Roman" w:eastAsia="Times New Roman" w:hAnsi="Times New Roman"/>
        </w:rPr>
        <w:t xml:space="preserve"> </w:t>
      </w:r>
      <w:r w:rsidR="00AE54E5" w:rsidRPr="00E168A1">
        <w:rPr>
          <w:rFonts w:ascii="Times New Roman" w:eastAsia="Times New Roman" w:hAnsi="Times New Roman"/>
        </w:rPr>
        <w:t>employees</w:t>
      </w:r>
      <w:r w:rsidR="00900061" w:rsidRPr="00E168A1">
        <w:rPr>
          <w:rFonts w:ascii="Times New Roman" w:eastAsia="Times New Roman" w:hAnsi="Times New Roman"/>
        </w:rPr>
        <w:t xml:space="preserve"> </w:t>
      </w:r>
      <w:r w:rsidR="00AE54E5" w:rsidRPr="00E168A1">
        <w:rPr>
          <w:rFonts w:ascii="Times New Roman" w:eastAsia="Times New Roman" w:hAnsi="Times New Roman"/>
        </w:rPr>
        <w:t>should</w:t>
      </w:r>
      <w:r w:rsidR="00900061" w:rsidRPr="00E168A1">
        <w:rPr>
          <w:rFonts w:ascii="Times New Roman" w:eastAsia="Times New Roman" w:hAnsi="Times New Roman"/>
        </w:rPr>
        <w:t xml:space="preserve"> </w:t>
      </w:r>
      <w:r w:rsidR="00AE54E5" w:rsidRPr="00E168A1">
        <w:rPr>
          <w:rFonts w:ascii="Times New Roman" w:eastAsia="Times New Roman" w:hAnsi="Times New Roman"/>
        </w:rPr>
        <w:t>be</w:t>
      </w:r>
      <w:r w:rsidR="00900061" w:rsidRPr="00E168A1">
        <w:rPr>
          <w:rFonts w:ascii="Times New Roman" w:eastAsia="Times New Roman" w:hAnsi="Times New Roman"/>
        </w:rPr>
        <w:t xml:space="preserve"> </w:t>
      </w:r>
      <w:r w:rsidR="00AE54E5" w:rsidRPr="00E168A1">
        <w:rPr>
          <w:rFonts w:ascii="Times New Roman" w:eastAsia="Times New Roman" w:hAnsi="Times New Roman"/>
        </w:rPr>
        <w:t>raised</w:t>
      </w:r>
      <w:r w:rsidR="00900061" w:rsidRPr="00E168A1">
        <w:rPr>
          <w:rFonts w:ascii="Times New Roman" w:eastAsia="Times New Roman" w:hAnsi="Times New Roman"/>
        </w:rPr>
        <w:t xml:space="preserve"> </w:t>
      </w:r>
      <w:r w:rsidR="00AE54E5" w:rsidRPr="00E168A1">
        <w:rPr>
          <w:rFonts w:ascii="Times New Roman" w:eastAsia="Times New Roman" w:hAnsi="Times New Roman"/>
        </w:rPr>
        <w:t>to</w:t>
      </w:r>
      <w:r w:rsidR="00900061" w:rsidRPr="00E168A1">
        <w:rPr>
          <w:rFonts w:ascii="Times New Roman" w:eastAsia="Times New Roman" w:hAnsi="Times New Roman"/>
        </w:rPr>
        <w:t xml:space="preserve"> </w:t>
      </w:r>
      <w:r w:rsidR="00AE54E5" w:rsidRPr="00E168A1">
        <w:rPr>
          <w:rFonts w:ascii="Times New Roman" w:eastAsia="Times New Roman" w:hAnsi="Times New Roman"/>
        </w:rPr>
        <w:t>36.</w:t>
      </w:r>
      <w:r w:rsidR="00AE54E5" w:rsidRPr="00E168A1">
        <w:rPr>
          <w:rFonts w:ascii="Times New Roman" w:hAnsi="Times New Roman"/>
          <w:vertAlign w:val="superscript"/>
        </w:rPr>
        <w:footnoteReference w:id="49"/>
      </w:r>
      <w:r w:rsidR="00900061" w:rsidRPr="00E168A1">
        <w:rPr>
          <w:rFonts w:ascii="Times New Roman" w:eastAsia="Times New Roman" w:hAnsi="Times New Roman"/>
        </w:rPr>
        <w:t xml:space="preserve"> </w:t>
      </w:r>
      <w:r w:rsidR="00AE54E5" w:rsidRPr="00E168A1">
        <w:rPr>
          <w:rFonts w:ascii="Times New Roman" w:eastAsia="Times New Roman" w:hAnsi="Times New Roman"/>
        </w:rPr>
        <w:t>The</w:t>
      </w:r>
      <w:r w:rsidR="00900061" w:rsidRPr="00E168A1">
        <w:rPr>
          <w:rFonts w:ascii="Times New Roman" w:eastAsia="Times New Roman" w:hAnsi="Times New Roman"/>
        </w:rPr>
        <w:t xml:space="preserve"> </w:t>
      </w:r>
      <w:r w:rsidR="00AE54E5" w:rsidRPr="00E168A1">
        <w:rPr>
          <w:rFonts w:ascii="Times New Roman" w:eastAsia="Times New Roman" w:hAnsi="Times New Roman"/>
        </w:rPr>
        <w:t>PPO</w:t>
      </w:r>
      <w:r w:rsidR="00900061" w:rsidRPr="00E168A1">
        <w:rPr>
          <w:rFonts w:ascii="Times New Roman" w:eastAsia="Times New Roman" w:hAnsi="Times New Roman"/>
        </w:rPr>
        <w:t xml:space="preserve"> </w:t>
      </w:r>
      <w:r w:rsidR="00AE54E5" w:rsidRPr="00E168A1">
        <w:rPr>
          <w:rFonts w:ascii="Times New Roman" w:eastAsia="Times New Roman" w:hAnsi="Times New Roman"/>
        </w:rPr>
        <w:t>has</w:t>
      </w:r>
      <w:r w:rsidR="00900061" w:rsidRPr="00E168A1">
        <w:rPr>
          <w:rFonts w:ascii="Times New Roman" w:eastAsia="Times New Roman" w:hAnsi="Times New Roman"/>
        </w:rPr>
        <w:t xml:space="preserve"> </w:t>
      </w:r>
      <w:r w:rsidR="00AE54E5" w:rsidRPr="00E168A1">
        <w:rPr>
          <w:rFonts w:ascii="Times New Roman" w:eastAsia="Times New Roman" w:hAnsi="Times New Roman"/>
        </w:rPr>
        <w:t>set</w:t>
      </w:r>
      <w:r w:rsidR="00900061" w:rsidRPr="00E168A1">
        <w:rPr>
          <w:rFonts w:ascii="Times New Roman" w:eastAsia="Times New Roman" w:hAnsi="Times New Roman"/>
        </w:rPr>
        <w:t xml:space="preserve"> </w:t>
      </w:r>
      <w:r w:rsidR="00AE54E5" w:rsidRPr="00E168A1">
        <w:rPr>
          <w:rFonts w:ascii="Times New Roman" w:eastAsia="Times New Roman" w:hAnsi="Times New Roman"/>
        </w:rPr>
        <w:t>itself</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w:t>
      </w:r>
      <w:r w:rsidR="00900061" w:rsidRPr="00E168A1">
        <w:rPr>
          <w:rFonts w:ascii="Times New Roman" w:eastAsia="Times New Roman" w:hAnsi="Times New Roman"/>
        </w:rPr>
        <w:t xml:space="preserve"> </w:t>
      </w:r>
      <w:r w:rsidR="00AE54E5" w:rsidRPr="00E168A1">
        <w:rPr>
          <w:rFonts w:ascii="Times New Roman" w:eastAsia="Times New Roman" w:hAnsi="Times New Roman"/>
        </w:rPr>
        <w:t>goal</w:t>
      </w:r>
      <w:r w:rsidR="00900061" w:rsidRPr="00E168A1">
        <w:rPr>
          <w:rFonts w:ascii="Times New Roman" w:eastAsia="Times New Roman" w:hAnsi="Times New Roman"/>
        </w:rPr>
        <w:t xml:space="preserve"> </w:t>
      </w:r>
      <w:r w:rsidR="003D4B85" w:rsidRPr="00E168A1">
        <w:rPr>
          <w:rFonts w:ascii="Times New Roman" w:eastAsia="Times New Roman" w:hAnsi="Times New Roman"/>
        </w:rPr>
        <w:t>“</w:t>
      </w:r>
      <w:r w:rsidR="00AE54E5" w:rsidRPr="00E168A1">
        <w:rPr>
          <w:rFonts w:ascii="Times New Roman" w:eastAsia="Times New Roman" w:hAnsi="Times New Roman"/>
        </w:rPr>
        <w:t>to</w:t>
      </w:r>
      <w:r w:rsidR="00900061" w:rsidRPr="00E168A1">
        <w:rPr>
          <w:rFonts w:ascii="Times New Roman" w:eastAsia="Times New Roman" w:hAnsi="Times New Roman"/>
        </w:rPr>
        <w:t xml:space="preserve"> </w:t>
      </w:r>
      <w:r w:rsidR="00AE54E5" w:rsidRPr="00E168A1">
        <w:rPr>
          <w:rFonts w:ascii="Times New Roman" w:eastAsia="Times New Roman" w:hAnsi="Times New Roman"/>
        </w:rPr>
        <w:t>assist</w:t>
      </w:r>
      <w:r w:rsidR="00900061" w:rsidRPr="00E168A1">
        <w:rPr>
          <w:rFonts w:ascii="Times New Roman" w:eastAsia="Times New Roman" w:hAnsi="Times New Roman"/>
        </w:rPr>
        <w:t xml:space="preserve"> </w:t>
      </w:r>
      <w:r w:rsidR="00AE54E5" w:rsidRPr="00E168A1">
        <w:rPr>
          <w:rFonts w:ascii="Times New Roman" w:eastAsia="Times New Roman" w:hAnsi="Times New Roman"/>
        </w:rPr>
        <w:t>cities</w:t>
      </w:r>
      <w:r w:rsidR="00900061" w:rsidRPr="00E168A1">
        <w:rPr>
          <w:rFonts w:ascii="Times New Roman" w:eastAsia="Times New Roman" w:hAnsi="Times New Roman"/>
        </w:rPr>
        <w:t xml:space="preserve"> </w:t>
      </w:r>
      <w:r w:rsidR="00AE54E5" w:rsidRPr="00E168A1">
        <w:rPr>
          <w:rFonts w:ascii="Times New Roman" w:eastAsia="Times New Roman" w:hAnsi="Times New Roman"/>
        </w:rPr>
        <w:t>and</w:t>
      </w:r>
      <w:r w:rsidR="00900061" w:rsidRPr="00E168A1">
        <w:rPr>
          <w:rFonts w:ascii="Times New Roman" w:eastAsia="Times New Roman" w:hAnsi="Times New Roman"/>
        </w:rPr>
        <w:t xml:space="preserve"> </w:t>
      </w:r>
      <w:r w:rsidR="00AE54E5" w:rsidRPr="00E168A1">
        <w:rPr>
          <w:rFonts w:ascii="Times New Roman" w:eastAsia="Times New Roman" w:hAnsi="Times New Roman"/>
        </w:rPr>
        <w:t>regional</w:t>
      </w:r>
      <w:r w:rsidR="00900061" w:rsidRPr="00E168A1">
        <w:rPr>
          <w:rFonts w:ascii="Times New Roman" w:eastAsia="Times New Roman" w:hAnsi="Times New Roman"/>
        </w:rPr>
        <w:t xml:space="preserve"> </w:t>
      </w:r>
      <w:r w:rsidR="00AE54E5" w:rsidRPr="00E168A1">
        <w:rPr>
          <w:rFonts w:ascii="Times New Roman" w:eastAsia="Times New Roman" w:hAnsi="Times New Roman"/>
        </w:rPr>
        <w:t>centers</w:t>
      </w:r>
      <w:r w:rsidR="00900061" w:rsidRPr="00E168A1">
        <w:rPr>
          <w:rFonts w:ascii="Times New Roman" w:eastAsia="Times New Roman" w:hAnsi="Times New Roman"/>
        </w:rPr>
        <w:t xml:space="preserve"> </w:t>
      </w:r>
      <w:r w:rsidR="00AE54E5" w:rsidRPr="00E168A1">
        <w:rPr>
          <w:rFonts w:ascii="Times New Roman" w:eastAsia="Times New Roman" w:hAnsi="Times New Roman"/>
        </w:rPr>
        <w:t>to</w:t>
      </w:r>
      <w:r w:rsidR="00900061" w:rsidRPr="00E168A1">
        <w:rPr>
          <w:rFonts w:ascii="Times New Roman" w:eastAsia="Times New Roman" w:hAnsi="Times New Roman"/>
        </w:rPr>
        <w:t xml:space="preserve"> </w:t>
      </w:r>
      <w:r w:rsidR="00AE54E5" w:rsidRPr="00E168A1">
        <w:rPr>
          <w:rFonts w:ascii="Times New Roman" w:eastAsia="Times New Roman" w:hAnsi="Times New Roman"/>
        </w:rPr>
        <w:t>upgrade</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their</w:t>
      </w:r>
      <w:r w:rsidR="00900061" w:rsidRPr="00E168A1">
        <w:rPr>
          <w:rFonts w:ascii="Times New Roman" w:eastAsia="Times New Roman" w:hAnsi="Times New Roman"/>
        </w:rPr>
        <w:t xml:space="preserve"> </w:t>
      </w:r>
      <w:r w:rsidR="00AE54E5" w:rsidRPr="00E168A1">
        <w:rPr>
          <w:rFonts w:ascii="Times New Roman" w:eastAsia="Times New Roman" w:hAnsi="Times New Roman"/>
        </w:rPr>
        <w:t>expertise</w:t>
      </w:r>
      <w:r w:rsidR="00900061" w:rsidRPr="00E168A1">
        <w:rPr>
          <w:rFonts w:ascii="Times New Roman" w:eastAsia="Times New Roman" w:hAnsi="Times New Roman"/>
        </w:rPr>
        <w:t xml:space="preserve"> </w:t>
      </w:r>
      <w:r w:rsidR="00AE54E5" w:rsidRPr="00E168A1">
        <w:rPr>
          <w:rFonts w:ascii="Times New Roman" w:eastAsia="Times New Roman" w:hAnsi="Times New Roman"/>
        </w:rPr>
        <w:t>in</w:t>
      </w:r>
      <w:r w:rsidR="00900061" w:rsidRPr="00E168A1">
        <w:rPr>
          <w:rFonts w:ascii="Times New Roman" w:eastAsia="Times New Roman" w:hAnsi="Times New Roman"/>
        </w:rPr>
        <w:t xml:space="preserve"> </w:t>
      </w:r>
      <w:r w:rsidR="00AE54E5" w:rsidRPr="00E168A1">
        <w:rPr>
          <w:rFonts w:ascii="Times New Roman" w:eastAsia="Times New Roman" w:hAnsi="Times New Roman"/>
        </w:rPr>
        <w:t>public</w:t>
      </w:r>
      <w:r w:rsidR="00900061" w:rsidRPr="00E168A1">
        <w:rPr>
          <w:rFonts w:ascii="Times New Roman" w:eastAsia="Times New Roman" w:hAnsi="Times New Roman"/>
        </w:rPr>
        <w:t xml:space="preserve"> </w:t>
      </w:r>
      <w:r w:rsidR="00AE54E5"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00AE54E5" w:rsidRPr="00E168A1">
        <w:rPr>
          <w:rFonts w:ascii="Times New Roman" w:eastAsia="Times New Roman" w:hAnsi="Times New Roman"/>
        </w:rPr>
        <w:t>which</w:t>
      </w:r>
      <w:r w:rsidR="00900061" w:rsidRPr="00E168A1">
        <w:rPr>
          <w:rFonts w:ascii="Times New Roman" w:eastAsia="Times New Roman" w:hAnsi="Times New Roman"/>
        </w:rPr>
        <w:t xml:space="preserve"> </w:t>
      </w:r>
      <w:r w:rsidR="00AE54E5" w:rsidRPr="00E168A1">
        <w:rPr>
          <w:rFonts w:ascii="Times New Roman" w:eastAsia="Times New Roman" w:hAnsi="Times New Roman"/>
        </w:rPr>
        <w:t>would</w:t>
      </w:r>
      <w:r w:rsidR="00900061" w:rsidRPr="00E168A1">
        <w:rPr>
          <w:rFonts w:ascii="Times New Roman" w:eastAsia="Times New Roman" w:hAnsi="Times New Roman"/>
        </w:rPr>
        <w:t xml:space="preserve"> </w:t>
      </w:r>
      <w:r w:rsidR="00AE54E5" w:rsidRPr="00E168A1">
        <w:rPr>
          <w:rFonts w:ascii="Times New Roman" w:eastAsia="Times New Roman" w:hAnsi="Times New Roman"/>
        </w:rPr>
        <w:t>enable</w:t>
      </w:r>
      <w:r w:rsidR="00900061" w:rsidRPr="00E168A1">
        <w:rPr>
          <w:rFonts w:ascii="Times New Roman" w:eastAsia="Times New Roman" w:hAnsi="Times New Roman"/>
        </w:rPr>
        <w:t xml:space="preserve"> </w:t>
      </w:r>
      <w:r w:rsidR="00AE54E5" w:rsidRPr="00E168A1">
        <w:rPr>
          <w:rFonts w:ascii="Times New Roman" w:eastAsia="Times New Roman" w:hAnsi="Times New Roman"/>
        </w:rPr>
        <w:t>them</w:t>
      </w:r>
      <w:r w:rsidR="00900061" w:rsidRPr="00E168A1">
        <w:rPr>
          <w:rFonts w:ascii="Times New Roman" w:eastAsia="Times New Roman" w:hAnsi="Times New Roman"/>
        </w:rPr>
        <w:t xml:space="preserve"> </w:t>
      </w:r>
      <w:r w:rsidR="00AE54E5" w:rsidRPr="00E168A1">
        <w:rPr>
          <w:rFonts w:ascii="Times New Roman" w:eastAsia="Times New Roman" w:hAnsi="Times New Roman"/>
        </w:rPr>
        <w:t>to</w:t>
      </w:r>
      <w:r w:rsidR="00900061" w:rsidRPr="00E168A1">
        <w:rPr>
          <w:rFonts w:ascii="Times New Roman" w:eastAsia="Times New Roman" w:hAnsi="Times New Roman"/>
        </w:rPr>
        <w:t xml:space="preserve"> </w:t>
      </w:r>
      <w:r w:rsidR="00AE54E5" w:rsidRPr="00E168A1">
        <w:rPr>
          <w:rFonts w:ascii="Times New Roman" w:eastAsia="Times New Roman" w:hAnsi="Times New Roman"/>
        </w:rPr>
        <w:t>assist</w:t>
      </w:r>
      <w:r w:rsidR="00900061" w:rsidRPr="00E168A1">
        <w:rPr>
          <w:rFonts w:ascii="Times New Roman" w:eastAsia="Times New Roman" w:hAnsi="Times New Roman"/>
        </w:rPr>
        <w:t xml:space="preserve"> </w:t>
      </w:r>
      <w:r w:rsidR="00AE54E5" w:rsidRPr="00E168A1">
        <w:rPr>
          <w:rFonts w:ascii="Times New Roman" w:eastAsia="Times New Roman" w:hAnsi="Times New Roman"/>
        </w:rPr>
        <w:t>other</w:t>
      </w:r>
      <w:r w:rsidR="00900061" w:rsidRPr="00E168A1">
        <w:rPr>
          <w:rFonts w:ascii="Times New Roman" w:eastAsia="Times New Roman" w:hAnsi="Times New Roman"/>
        </w:rPr>
        <w:t xml:space="preserve"> </w:t>
      </w:r>
      <w:r w:rsidR="00AE54E5" w:rsidRPr="00E168A1">
        <w:rPr>
          <w:rFonts w:ascii="Times New Roman" w:eastAsia="Times New Roman" w:hAnsi="Times New Roman"/>
        </w:rPr>
        <w:t>municipalities.</w:t>
      </w:r>
      <w:r w:rsidR="003D4B85" w:rsidRPr="00E168A1">
        <w:rPr>
          <w:rFonts w:ascii="Times New Roman" w:eastAsia="Times New Roman" w:hAnsi="Times New Roman"/>
        </w:rPr>
        <w:t>”</w:t>
      </w:r>
      <w:r w:rsidR="00AE54E5" w:rsidRPr="00E168A1">
        <w:rPr>
          <w:rFonts w:ascii="Times New Roman" w:hAnsi="Times New Roman"/>
          <w:vertAlign w:val="superscript"/>
        </w:rPr>
        <w:footnoteReference w:id="50"/>
      </w:r>
    </w:p>
    <w:p w14:paraId="5F432C43" w14:textId="6D7AF96D" w:rsidR="00AE54E5" w:rsidRPr="00E168A1" w:rsidRDefault="00AE54E5" w:rsidP="00645878">
      <w:pPr>
        <w:pStyle w:val="ListParagraph"/>
        <w:numPr>
          <w:ilvl w:val="0"/>
          <w:numId w:val="9"/>
        </w:numPr>
        <w:ind w:left="0" w:firstLine="0"/>
        <w:contextualSpacing w:val="0"/>
        <w:rPr>
          <w:rFonts w:ascii="Times New Roman" w:eastAsia="Times New Roman" w:hAnsi="Times New Roman"/>
          <w:b/>
        </w:rPr>
      </w:pPr>
      <w:r w:rsidRPr="00E168A1">
        <w:rPr>
          <w:rFonts w:ascii="Times New Roman" w:eastAsia="Times New Roman" w:hAnsi="Times New Roman"/>
          <w:b/>
        </w:rPr>
        <w:t>Insufficient</w:t>
      </w:r>
      <w:r w:rsidR="00900061" w:rsidRPr="00E168A1">
        <w:rPr>
          <w:rFonts w:ascii="Times New Roman" w:eastAsia="Times New Roman" w:hAnsi="Times New Roman"/>
          <w:b/>
        </w:rPr>
        <w:t xml:space="preserve"> </w:t>
      </w:r>
      <w:r w:rsidRPr="00E168A1">
        <w:rPr>
          <w:rFonts w:ascii="Times New Roman" w:eastAsia="Times New Roman" w:hAnsi="Times New Roman"/>
          <w:b/>
        </w:rPr>
        <w:t>staffing</w:t>
      </w:r>
      <w:r w:rsidR="00900061" w:rsidRPr="00E168A1">
        <w:rPr>
          <w:rFonts w:ascii="Times New Roman" w:eastAsia="Times New Roman" w:hAnsi="Times New Roman"/>
          <w:b/>
        </w:rPr>
        <w:t xml:space="preserve"> </w:t>
      </w:r>
      <w:r w:rsidRPr="00E168A1">
        <w:rPr>
          <w:rFonts w:ascii="Times New Roman" w:eastAsia="Times New Roman" w:hAnsi="Times New Roman"/>
          <w:b/>
        </w:rPr>
        <w:t>has</w:t>
      </w:r>
      <w:r w:rsidR="00900061" w:rsidRPr="00E168A1">
        <w:rPr>
          <w:rFonts w:ascii="Times New Roman" w:eastAsia="Times New Roman" w:hAnsi="Times New Roman"/>
          <w:b/>
        </w:rPr>
        <w:t xml:space="preserve"> </w:t>
      </w:r>
      <w:r w:rsidRPr="00E168A1">
        <w:rPr>
          <w:rFonts w:ascii="Times New Roman" w:eastAsia="Times New Roman" w:hAnsi="Times New Roman"/>
          <w:b/>
        </w:rPr>
        <w:t>led</w:t>
      </w:r>
      <w:r w:rsidR="00900061" w:rsidRPr="00E168A1">
        <w:rPr>
          <w:rFonts w:ascii="Times New Roman" w:eastAsia="Times New Roman" w:hAnsi="Times New Roman"/>
          <w:b/>
        </w:rPr>
        <w:t xml:space="preserve"> </w:t>
      </w:r>
      <w:r w:rsidRPr="00E168A1">
        <w:rPr>
          <w:rFonts w:ascii="Times New Roman" w:eastAsia="Times New Roman" w:hAnsi="Times New Roman"/>
          <w:b/>
        </w:rPr>
        <w:t>to</w:t>
      </w:r>
      <w:r w:rsidR="00900061" w:rsidRPr="00E168A1">
        <w:rPr>
          <w:rFonts w:ascii="Times New Roman" w:eastAsia="Times New Roman" w:hAnsi="Times New Roman"/>
          <w:b/>
        </w:rPr>
        <w:t xml:space="preserve"> </w:t>
      </w:r>
      <w:r w:rsidRPr="00E168A1">
        <w:rPr>
          <w:rFonts w:ascii="Times New Roman" w:eastAsia="Times New Roman" w:hAnsi="Times New Roman"/>
          <w:b/>
        </w:rPr>
        <w:t>delays</w:t>
      </w:r>
      <w:r w:rsidR="00900061" w:rsidRPr="00E168A1">
        <w:rPr>
          <w:rFonts w:ascii="Times New Roman" w:eastAsia="Times New Roman" w:hAnsi="Times New Roman"/>
          <w:b/>
        </w:rPr>
        <w:t xml:space="preserve"> </w:t>
      </w:r>
      <w:r w:rsidRPr="00E168A1">
        <w:rPr>
          <w:rFonts w:ascii="Times New Roman" w:eastAsia="Times New Roman" w:hAnsi="Times New Roman"/>
          <w:b/>
        </w:rPr>
        <w:t>in</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issuance</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PPO</w:t>
      </w:r>
      <w:r w:rsidR="00900061" w:rsidRPr="00E168A1">
        <w:rPr>
          <w:rFonts w:ascii="Times New Roman" w:eastAsia="Times New Roman" w:hAnsi="Times New Roman"/>
          <w:b/>
        </w:rPr>
        <w:t xml:space="preserve"> </w:t>
      </w:r>
      <w:r w:rsidRPr="00E168A1">
        <w:rPr>
          <w:rFonts w:ascii="Times New Roman" w:eastAsia="Times New Roman" w:hAnsi="Times New Roman"/>
          <w:b/>
        </w:rPr>
        <w:t>opinions</w:t>
      </w:r>
      <w:r w:rsidR="00900061" w:rsidRPr="00E168A1">
        <w:rPr>
          <w:rFonts w:ascii="Times New Roman" w:eastAsia="Times New Roman" w:hAnsi="Times New Roman"/>
          <w:b/>
        </w:rPr>
        <w:t xml:space="preserve"> </w:t>
      </w:r>
      <w:r w:rsidRPr="00E168A1">
        <w:rPr>
          <w:rFonts w:ascii="Times New Roman" w:eastAsia="Times New Roman" w:hAnsi="Times New Roman"/>
          <w:b/>
        </w:rPr>
        <w:t>and</w:t>
      </w:r>
      <w:r w:rsidR="00900061" w:rsidRPr="00E168A1">
        <w:rPr>
          <w:rFonts w:ascii="Times New Roman" w:eastAsia="Times New Roman" w:hAnsi="Times New Roman"/>
          <w:b/>
        </w:rPr>
        <w:t xml:space="preserve"> </w:t>
      </w:r>
      <w:r w:rsidRPr="00E168A1">
        <w:rPr>
          <w:rFonts w:ascii="Times New Roman" w:eastAsia="Times New Roman" w:hAnsi="Times New Roman"/>
          <w:b/>
        </w:rPr>
        <w:t>low</w:t>
      </w:r>
      <w:r w:rsidR="00900061" w:rsidRPr="00E168A1">
        <w:rPr>
          <w:rFonts w:ascii="Times New Roman" w:eastAsia="Times New Roman" w:hAnsi="Times New Roman"/>
          <w:b/>
        </w:rPr>
        <w:t xml:space="preserve"> </w:t>
      </w:r>
      <w:r w:rsidRPr="00E168A1">
        <w:rPr>
          <w:rFonts w:ascii="Times New Roman" w:eastAsia="Times New Roman" w:hAnsi="Times New Roman"/>
          <w:b/>
        </w:rPr>
        <w:t>response</w:t>
      </w:r>
      <w:r w:rsidR="00900061" w:rsidRPr="00E168A1">
        <w:rPr>
          <w:rFonts w:ascii="Times New Roman" w:eastAsia="Times New Roman" w:hAnsi="Times New Roman"/>
          <w:b/>
        </w:rPr>
        <w:t xml:space="preserve"> </w:t>
      </w:r>
      <w:r w:rsidRPr="00E168A1">
        <w:rPr>
          <w:rFonts w:ascii="Times New Roman" w:eastAsia="Times New Roman" w:hAnsi="Times New Roman"/>
          <w:b/>
        </w:rPr>
        <w:t>rates</w:t>
      </w:r>
      <w:r w:rsidR="00900061" w:rsidRPr="00E168A1">
        <w:rPr>
          <w:rFonts w:ascii="Times New Roman" w:eastAsia="Times New Roman" w:hAnsi="Times New Roman"/>
          <w:b/>
        </w:rPr>
        <w:t xml:space="preserve"> </w:t>
      </w:r>
      <w:r w:rsidRPr="00E168A1">
        <w:rPr>
          <w:rFonts w:ascii="Times New Roman" w:eastAsia="Times New Roman" w:hAnsi="Times New Roman"/>
          <w:b/>
        </w:rPr>
        <w:t>for</w:t>
      </w:r>
      <w:r w:rsidR="00900061" w:rsidRPr="00E168A1">
        <w:rPr>
          <w:rFonts w:ascii="Times New Roman" w:eastAsia="Times New Roman" w:hAnsi="Times New Roman"/>
          <w:b/>
        </w:rPr>
        <w:t xml:space="preserve"> </w:t>
      </w:r>
      <w:r w:rsidRPr="00E168A1">
        <w:rPr>
          <w:rFonts w:ascii="Times New Roman" w:eastAsia="Times New Roman" w:hAnsi="Times New Roman"/>
          <w:b/>
        </w:rPr>
        <w:t>certain</w:t>
      </w:r>
      <w:r w:rsidR="00900061" w:rsidRPr="00E168A1">
        <w:rPr>
          <w:rFonts w:ascii="Times New Roman" w:eastAsia="Times New Roman" w:hAnsi="Times New Roman"/>
          <w:b/>
        </w:rPr>
        <w:t xml:space="preserve"> </w:t>
      </w:r>
      <w:r w:rsidRPr="00E168A1">
        <w:rPr>
          <w:rFonts w:ascii="Times New Roman" w:eastAsia="Times New Roman" w:hAnsi="Times New Roman"/>
          <w:b/>
        </w:rPr>
        <w:t>requests</w:t>
      </w:r>
      <w:r w:rsidR="00900061" w:rsidRPr="00E168A1">
        <w:rPr>
          <w:rFonts w:ascii="Times New Roman" w:eastAsia="Times New Roman" w:hAnsi="Times New Roman"/>
          <w:b/>
        </w:rPr>
        <w:t xml:space="preserve"> </w:t>
      </w:r>
      <w:r w:rsidRPr="00E168A1">
        <w:rPr>
          <w:rFonts w:ascii="Times New Roman" w:eastAsia="Times New Roman" w:hAnsi="Times New Roman"/>
          <w:b/>
        </w:rPr>
        <w:t>addressed</w:t>
      </w:r>
      <w:r w:rsidR="00900061" w:rsidRPr="00E168A1">
        <w:rPr>
          <w:rFonts w:ascii="Times New Roman" w:eastAsia="Times New Roman" w:hAnsi="Times New Roman"/>
          <w:b/>
        </w:rPr>
        <w:t xml:space="preserve"> </w:t>
      </w:r>
      <w:r w:rsidRPr="00E168A1">
        <w:rPr>
          <w:rFonts w:ascii="Times New Roman" w:eastAsia="Times New Roman" w:hAnsi="Times New Roman"/>
          <w:b/>
        </w:rPr>
        <w:t>to</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institution.</w:t>
      </w:r>
      <w:r w:rsidR="00900061" w:rsidRPr="00E168A1">
        <w:rPr>
          <w:rFonts w:ascii="Times New Roman" w:eastAsia="Times New Roman" w:hAnsi="Times New Roman"/>
          <w:b/>
        </w:rPr>
        <w:t xml:space="preserve"> </w:t>
      </w:r>
      <w:r w:rsidR="003D4B85" w:rsidRPr="00E168A1">
        <w:rPr>
          <w:rFonts w:ascii="Times New Roman" w:eastAsia="Times New Roman" w:hAnsi="Times New Roman"/>
        </w:rPr>
        <w:t>“</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large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requests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various</w:t>
      </w:r>
      <w:r w:rsidR="00900061" w:rsidRPr="00E168A1">
        <w:rPr>
          <w:rFonts w:ascii="Times New Roman" w:eastAsia="Times New Roman" w:hAnsi="Times New Roman"/>
        </w:rPr>
        <w:t xml:space="preserve"> </w:t>
      </w:r>
      <w:r w:rsidRPr="00E168A1">
        <w:rPr>
          <w:rFonts w:ascii="Times New Roman" w:eastAsia="Times New Roman" w:hAnsi="Times New Roman"/>
        </w:rPr>
        <w:t>approvals</w:t>
      </w:r>
      <w:r w:rsidR="00900061" w:rsidRPr="00E168A1">
        <w:rPr>
          <w:rFonts w:ascii="Times New Roman" w:eastAsia="Times New Roman" w:hAnsi="Times New Roman"/>
        </w:rPr>
        <w:t xml:space="preserve"> </w:t>
      </w:r>
      <w:r w:rsidRPr="00E168A1">
        <w:rPr>
          <w:rFonts w:ascii="Times New Roman" w:eastAsia="Times New Roman" w:hAnsi="Times New Roman"/>
        </w:rPr>
        <w:t>has</w:t>
      </w:r>
      <w:r w:rsidR="00900061" w:rsidRPr="00E168A1">
        <w:rPr>
          <w:rFonts w:ascii="Times New Roman" w:eastAsia="Times New Roman" w:hAnsi="Times New Roman"/>
        </w:rPr>
        <w:t xml:space="preserve"> </w:t>
      </w:r>
      <w:r w:rsidRPr="00E168A1">
        <w:rPr>
          <w:rFonts w:ascii="Times New Roman" w:eastAsia="Times New Roman" w:hAnsi="Times New Roman"/>
        </w:rPr>
        <w:t>caused</w:t>
      </w:r>
      <w:r w:rsidR="00900061" w:rsidRPr="00E168A1">
        <w:rPr>
          <w:rFonts w:ascii="Times New Roman" w:eastAsia="Times New Roman" w:hAnsi="Times New Roman"/>
        </w:rPr>
        <w:t xml:space="preserve"> </w:t>
      </w:r>
      <w:r w:rsidRPr="00E168A1">
        <w:rPr>
          <w:rFonts w:ascii="Times New Roman" w:eastAsia="Times New Roman" w:hAnsi="Times New Roman"/>
        </w:rPr>
        <w:t>serious</w:t>
      </w:r>
      <w:r w:rsidR="00900061" w:rsidRPr="00E168A1">
        <w:rPr>
          <w:rFonts w:ascii="Times New Roman" w:eastAsia="Times New Roman" w:hAnsi="Times New Roman"/>
        </w:rPr>
        <w:t xml:space="preserve"> </w:t>
      </w:r>
      <w:r w:rsidRPr="00E168A1">
        <w:rPr>
          <w:rFonts w:ascii="Times New Roman" w:eastAsia="Times New Roman" w:hAnsi="Times New Roman"/>
        </w:rPr>
        <w:t>problems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practice,</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has</w:t>
      </w:r>
      <w:r w:rsidR="00900061" w:rsidRPr="00E168A1">
        <w:rPr>
          <w:rFonts w:ascii="Times New Roman" w:eastAsia="Times New Roman" w:hAnsi="Times New Roman"/>
        </w:rPr>
        <w:t xml:space="preserve"> </w:t>
      </w:r>
      <w:r w:rsidRPr="00E168A1">
        <w:rPr>
          <w:rFonts w:ascii="Times New Roman" w:eastAsia="Times New Roman" w:hAnsi="Times New Roman"/>
        </w:rPr>
        <w:t>been</w:t>
      </w:r>
      <w:r w:rsidR="00900061" w:rsidRPr="00E168A1">
        <w:rPr>
          <w:rFonts w:ascii="Times New Roman" w:eastAsia="Times New Roman" w:hAnsi="Times New Roman"/>
        </w:rPr>
        <w:t xml:space="preserve"> </w:t>
      </w:r>
      <w:r w:rsidRPr="00E168A1">
        <w:rPr>
          <w:rFonts w:ascii="Times New Roman" w:eastAsia="Times New Roman" w:hAnsi="Times New Roman"/>
        </w:rPr>
        <w:t>unable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meet</w:t>
      </w:r>
      <w:r w:rsidR="00900061" w:rsidRPr="00E168A1">
        <w:rPr>
          <w:rFonts w:ascii="Times New Roman" w:eastAsia="Times New Roman" w:hAnsi="Times New Roman"/>
        </w:rPr>
        <w:t xml:space="preserve"> </w:t>
      </w:r>
      <w:r w:rsidRPr="00E168A1">
        <w:rPr>
          <w:rFonts w:ascii="Times New Roman" w:eastAsia="Times New Roman" w:hAnsi="Times New Roman"/>
        </w:rPr>
        <w:t>all</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obligations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proper</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timely</w:t>
      </w:r>
      <w:r w:rsidR="00900061" w:rsidRPr="00E168A1">
        <w:rPr>
          <w:rFonts w:ascii="Times New Roman" w:eastAsia="Times New Roman" w:hAnsi="Times New Roman"/>
        </w:rPr>
        <w:t xml:space="preserve"> </w:t>
      </w:r>
      <w:r w:rsidRPr="00E168A1">
        <w:rPr>
          <w:rFonts w:ascii="Times New Roman" w:eastAsia="Times New Roman" w:hAnsi="Times New Roman"/>
        </w:rPr>
        <w:t>fashion</w:t>
      </w:r>
      <w:r w:rsidR="00DB33EA" w:rsidRPr="00E168A1">
        <w:rPr>
          <w:rFonts w:ascii="Times New Roman" w:eastAsia="Times New Roman" w:hAnsi="Times New Roman"/>
        </w:rPr>
        <w:t>.</w:t>
      </w:r>
      <w:r w:rsidR="003D4B85" w:rsidRPr="00E168A1">
        <w:rPr>
          <w:rFonts w:ascii="Times New Roman" w:eastAsia="Times New Roman" w:hAnsi="Times New Roman"/>
        </w:rPr>
        <w:t>”</w:t>
      </w:r>
      <w:r w:rsidRPr="00E168A1">
        <w:rPr>
          <w:rStyle w:val="FootnoteReference"/>
          <w:rFonts w:ascii="Times New Roman" w:eastAsia="Times New Roman" w:hAnsi="Times New Roman"/>
        </w:rPr>
        <w:footnoteReference w:id="51"/>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case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issuing</w:t>
      </w:r>
      <w:r w:rsidR="00900061" w:rsidRPr="00E168A1">
        <w:rPr>
          <w:rFonts w:ascii="Times New Roman" w:eastAsia="Times New Roman" w:hAnsi="Times New Roman"/>
        </w:rPr>
        <w:t xml:space="preserve"> </w:t>
      </w:r>
      <w:r w:rsidRPr="00E168A1">
        <w:rPr>
          <w:rFonts w:ascii="Times New Roman" w:eastAsia="Times New Roman" w:hAnsi="Times New Roman"/>
        </w:rPr>
        <w:t>opinions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use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negotiated</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instance,</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stipulates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time</w:t>
      </w:r>
      <w:r w:rsidR="00900061" w:rsidRPr="00E168A1">
        <w:rPr>
          <w:rFonts w:ascii="Times New Roman" w:eastAsia="Times New Roman" w:hAnsi="Times New Roman"/>
        </w:rPr>
        <w:t xml:space="preserve"> </w:t>
      </w:r>
      <w:r w:rsidRPr="00E168A1">
        <w:rPr>
          <w:rFonts w:ascii="Times New Roman" w:eastAsia="Times New Roman" w:hAnsi="Times New Roman"/>
        </w:rPr>
        <w:t>limit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10</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received</w:t>
      </w:r>
      <w:r w:rsidR="00900061" w:rsidRPr="00E168A1">
        <w:rPr>
          <w:rFonts w:ascii="Times New Roman" w:eastAsia="Times New Roman" w:hAnsi="Times New Roman"/>
        </w:rPr>
        <w:t xml:space="preserve"> </w:t>
      </w:r>
      <w:r w:rsidRPr="00E168A1">
        <w:rPr>
          <w:rFonts w:ascii="Times New Roman" w:eastAsia="Times New Roman" w:hAnsi="Times New Roman"/>
        </w:rPr>
        <w:t>2</w:t>
      </w:r>
      <w:r w:rsidR="00DB33EA" w:rsidRPr="00E168A1">
        <w:rPr>
          <w:rFonts w:ascii="Times New Roman" w:eastAsia="Times New Roman" w:hAnsi="Times New Roman"/>
        </w:rPr>
        <w:t>,</w:t>
      </w:r>
      <w:r w:rsidRPr="00E168A1">
        <w:rPr>
          <w:rFonts w:ascii="Times New Roman" w:eastAsia="Times New Roman" w:hAnsi="Times New Roman"/>
        </w:rPr>
        <w:t>411</w:t>
      </w:r>
      <w:r w:rsidR="00900061" w:rsidRPr="00E168A1">
        <w:rPr>
          <w:rFonts w:ascii="Times New Roman" w:eastAsia="Times New Roman" w:hAnsi="Times New Roman"/>
        </w:rPr>
        <w:t xml:space="preserve"> </w:t>
      </w:r>
      <w:r w:rsidRPr="00E168A1">
        <w:rPr>
          <w:rFonts w:ascii="Times New Roman" w:eastAsia="Times New Roman" w:hAnsi="Times New Roman"/>
        </w:rPr>
        <w:t>requests</w:t>
      </w:r>
      <w:r w:rsidR="00900061" w:rsidRPr="00E168A1">
        <w:rPr>
          <w:rFonts w:ascii="Times New Roman" w:eastAsia="Times New Roman" w:hAnsi="Times New Roman"/>
        </w:rPr>
        <w:t xml:space="preserve"> </w:t>
      </w:r>
      <w:r w:rsidRPr="00E168A1">
        <w:rPr>
          <w:rFonts w:ascii="Times New Roman" w:eastAsia="Times New Roman" w:hAnsi="Times New Roman"/>
        </w:rPr>
        <w:t>related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this</w:t>
      </w:r>
      <w:r w:rsidR="00900061" w:rsidRPr="00E168A1">
        <w:rPr>
          <w:rFonts w:ascii="Times New Roman" w:eastAsia="Times New Roman" w:hAnsi="Times New Roman"/>
        </w:rPr>
        <w:t xml:space="preserve"> </w:t>
      </w:r>
      <w:r w:rsidRPr="00E168A1">
        <w:rPr>
          <w:rFonts w:ascii="Times New Roman" w:eastAsia="Times New Roman" w:hAnsi="Times New Roman"/>
        </w:rPr>
        <w:t>but</w:t>
      </w:r>
      <w:r w:rsidR="00900061" w:rsidRPr="00E168A1">
        <w:rPr>
          <w:rFonts w:ascii="Times New Roman" w:eastAsia="Times New Roman" w:hAnsi="Times New Roman"/>
        </w:rPr>
        <w:t xml:space="preserve"> </w:t>
      </w:r>
      <w:r w:rsidRPr="00E168A1">
        <w:rPr>
          <w:rFonts w:ascii="Times New Roman" w:eastAsia="Times New Roman" w:hAnsi="Times New Roman"/>
        </w:rPr>
        <w:t>could</w:t>
      </w:r>
      <w:r w:rsidR="00900061" w:rsidRPr="00E168A1">
        <w:rPr>
          <w:rFonts w:ascii="Times New Roman" w:eastAsia="Times New Roman" w:hAnsi="Times New Roman"/>
        </w:rPr>
        <w:t xml:space="preserve"> </w:t>
      </w:r>
      <w:r w:rsidRPr="00E168A1">
        <w:rPr>
          <w:rFonts w:ascii="Times New Roman" w:eastAsia="Times New Roman" w:hAnsi="Times New Roman"/>
        </w:rPr>
        <w:t>only</w:t>
      </w:r>
      <w:r w:rsidR="00900061" w:rsidRPr="00E168A1">
        <w:rPr>
          <w:rFonts w:ascii="Times New Roman" w:eastAsia="Times New Roman" w:hAnsi="Times New Roman"/>
        </w:rPr>
        <w:t xml:space="preserve"> </w:t>
      </w:r>
      <w:r w:rsidRPr="00E168A1">
        <w:rPr>
          <w:rFonts w:ascii="Times New Roman" w:eastAsia="Times New Roman" w:hAnsi="Times New Roman"/>
        </w:rPr>
        <w:t>issue</w:t>
      </w:r>
      <w:r w:rsidR="00900061" w:rsidRPr="00E168A1">
        <w:rPr>
          <w:rFonts w:ascii="Times New Roman" w:eastAsia="Times New Roman" w:hAnsi="Times New Roman"/>
        </w:rPr>
        <w:t xml:space="preserve"> </w:t>
      </w:r>
      <w:r w:rsidRPr="00E168A1">
        <w:rPr>
          <w:rFonts w:ascii="Times New Roman" w:eastAsia="Times New Roman" w:hAnsi="Times New Roman"/>
        </w:rPr>
        <w:t>2</w:t>
      </w:r>
      <w:r w:rsidR="001C3D9F" w:rsidRPr="00E168A1">
        <w:rPr>
          <w:rFonts w:ascii="Times New Roman" w:eastAsia="Times New Roman" w:hAnsi="Times New Roman"/>
        </w:rPr>
        <w:t>,</w:t>
      </w:r>
      <w:r w:rsidRPr="00E168A1">
        <w:rPr>
          <w:rFonts w:ascii="Times New Roman" w:eastAsia="Times New Roman" w:hAnsi="Times New Roman"/>
        </w:rPr>
        <w:t>150</w:t>
      </w:r>
      <w:r w:rsidR="00900061" w:rsidRPr="00E168A1">
        <w:rPr>
          <w:rFonts w:ascii="Times New Roman" w:eastAsia="Times New Roman" w:hAnsi="Times New Roman"/>
        </w:rPr>
        <w:t xml:space="preserve"> </w:t>
      </w:r>
      <w:r w:rsidRPr="00E168A1">
        <w:rPr>
          <w:rFonts w:ascii="Times New Roman" w:eastAsia="Times New Roman" w:hAnsi="Times New Roman"/>
        </w:rPr>
        <w:t>opinions,</w:t>
      </w:r>
      <w:r w:rsidR="00900061" w:rsidRPr="00E168A1">
        <w:rPr>
          <w:rFonts w:ascii="Times New Roman" w:eastAsia="Times New Roman" w:hAnsi="Times New Roman"/>
        </w:rPr>
        <w:t xml:space="preserve"> </w:t>
      </w:r>
      <w:r w:rsidR="005F129A" w:rsidRPr="00E168A1">
        <w:rPr>
          <w:rFonts w:ascii="Times New Roman" w:eastAsia="Times New Roman" w:hAnsi="Times New Roman"/>
        </w:rPr>
        <w:t xml:space="preserve">of which, the opinions were within the imparted time limit </w:t>
      </w:r>
      <w:r w:rsidRPr="00E168A1">
        <w:rPr>
          <w:rFonts w:ascii="Times New Roman" w:eastAsia="Times New Roman" w:hAnsi="Times New Roman"/>
        </w:rPr>
        <w:t>only</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few</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positive</w:t>
      </w:r>
      <w:r w:rsidR="00900061" w:rsidRPr="00E168A1">
        <w:rPr>
          <w:rFonts w:ascii="Times New Roman" w:eastAsia="Times New Roman" w:hAnsi="Times New Roman"/>
        </w:rPr>
        <w:t xml:space="preserve"> </w:t>
      </w:r>
      <w:r w:rsidRPr="00E168A1">
        <w:rPr>
          <w:rFonts w:ascii="Times New Roman" w:eastAsia="Times New Roman" w:hAnsi="Times New Roman"/>
        </w:rPr>
        <w:t>trend</w:t>
      </w:r>
      <w:r w:rsidR="00900061" w:rsidRPr="00E168A1">
        <w:rPr>
          <w:rFonts w:ascii="Times New Roman" w:eastAsia="Times New Roman" w:hAnsi="Times New Roman"/>
        </w:rPr>
        <w:t xml:space="preserve"> </w:t>
      </w:r>
      <w:r w:rsidRPr="00E168A1">
        <w:rPr>
          <w:rFonts w:ascii="Times New Roman" w:eastAsia="Times New Roman" w:hAnsi="Times New Roman"/>
        </w:rPr>
        <w:t>was</w:t>
      </w:r>
      <w:r w:rsidR="00900061" w:rsidRPr="00E168A1">
        <w:rPr>
          <w:rFonts w:ascii="Times New Roman" w:eastAsia="Times New Roman" w:hAnsi="Times New Roman"/>
        </w:rPr>
        <w:t xml:space="preserve"> </w:t>
      </w:r>
      <w:r w:rsidRPr="00E168A1">
        <w:rPr>
          <w:rFonts w:ascii="Times New Roman" w:eastAsia="Times New Roman" w:hAnsi="Times New Roman"/>
        </w:rPr>
        <w:t>noticed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last</w:t>
      </w:r>
      <w:r w:rsidR="00900061" w:rsidRPr="00E168A1">
        <w:rPr>
          <w:rFonts w:ascii="Times New Roman" w:eastAsia="Times New Roman" w:hAnsi="Times New Roman"/>
        </w:rPr>
        <w:t xml:space="preserve"> </w:t>
      </w:r>
      <w:r w:rsidRPr="00E168A1">
        <w:rPr>
          <w:rFonts w:ascii="Times New Roman" w:eastAsia="Times New Roman" w:hAnsi="Times New Roman"/>
        </w:rPr>
        <w:t>months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starting</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November,</w:t>
      </w:r>
      <w:r w:rsidR="00900061" w:rsidRPr="00E168A1">
        <w:rPr>
          <w:rFonts w:ascii="Times New Roman" w:eastAsia="Times New Roman" w:hAnsi="Times New Roman"/>
        </w:rPr>
        <w:t xml:space="preserve"> </w:t>
      </w:r>
      <w:r w:rsidRPr="00E168A1">
        <w:rPr>
          <w:rFonts w:ascii="Times New Roman" w:eastAsia="Times New Roman" w:hAnsi="Times New Roman"/>
        </w:rPr>
        <w:t>when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delays</w:t>
      </w:r>
      <w:r w:rsidR="00900061" w:rsidRPr="00E168A1">
        <w:rPr>
          <w:rFonts w:ascii="Times New Roman" w:eastAsia="Times New Roman" w:hAnsi="Times New Roman"/>
        </w:rPr>
        <w:t xml:space="preserve"> </w:t>
      </w:r>
      <w:r w:rsidRPr="00E168A1">
        <w:rPr>
          <w:rFonts w:ascii="Times New Roman" w:eastAsia="Times New Roman" w:hAnsi="Times New Roman"/>
        </w:rPr>
        <w:t>started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be</w:t>
      </w:r>
      <w:r w:rsidR="00900061" w:rsidRPr="00E168A1">
        <w:rPr>
          <w:rFonts w:ascii="Times New Roman" w:eastAsia="Times New Roman" w:hAnsi="Times New Roman"/>
        </w:rPr>
        <w:t xml:space="preserve"> </w:t>
      </w:r>
      <w:r w:rsidRPr="00E168A1">
        <w:rPr>
          <w:rFonts w:ascii="Times New Roman" w:eastAsia="Times New Roman" w:hAnsi="Times New Roman"/>
        </w:rPr>
        <w:t>consistently</w:t>
      </w:r>
      <w:r w:rsidR="00900061" w:rsidRPr="00E168A1">
        <w:rPr>
          <w:rFonts w:ascii="Times New Roman" w:eastAsia="Times New Roman" w:hAnsi="Times New Roman"/>
        </w:rPr>
        <w:t xml:space="preserve"> </w:t>
      </w:r>
      <w:r w:rsidRPr="00E168A1">
        <w:rPr>
          <w:rFonts w:ascii="Times New Roman" w:eastAsia="Times New Roman" w:hAnsi="Times New Roman"/>
        </w:rPr>
        <w:t>reduced</w:t>
      </w:r>
      <w:r w:rsidR="00DB33EA" w:rsidRPr="00E168A1">
        <w:rPr>
          <w:rFonts w:ascii="Times New Roman" w:eastAsia="Times New Roman" w:hAnsi="Times New Roman"/>
        </w:rPr>
        <w:t>:</w:t>
      </w:r>
      <w:r w:rsidR="00900061" w:rsidRPr="00E168A1">
        <w:rPr>
          <w:rFonts w:ascii="Times New Roman" w:eastAsia="Times New Roman" w:hAnsi="Times New Roman"/>
        </w:rPr>
        <w:t xml:space="preserve"> </w:t>
      </w:r>
      <w:r w:rsidRPr="00A90FD9">
        <w:rPr>
          <w:rFonts w:ascii="Times New Roman" w:eastAsia="Times New Roman" w:hAnsi="Times New Roman"/>
        </w:rPr>
        <w:t>according</w:t>
      </w:r>
      <w:r w:rsidR="00900061" w:rsidRPr="00A90FD9">
        <w:rPr>
          <w:rFonts w:ascii="Times New Roman" w:eastAsia="Times New Roman" w:hAnsi="Times New Roman"/>
        </w:rPr>
        <w:t xml:space="preserve"> </w:t>
      </w:r>
      <w:r w:rsidRPr="00A90FD9">
        <w:rPr>
          <w:rFonts w:ascii="Times New Roman" w:eastAsia="Times New Roman" w:hAnsi="Times New Roman"/>
        </w:rPr>
        <w:t>to</w:t>
      </w:r>
      <w:r w:rsidR="00900061" w:rsidRPr="00A90FD9">
        <w:rPr>
          <w:rFonts w:ascii="Times New Roman" w:eastAsia="Times New Roman" w:hAnsi="Times New Roman"/>
        </w:rPr>
        <w:t xml:space="preserve"> </w:t>
      </w:r>
      <w:r w:rsidRPr="00A90FD9">
        <w:rPr>
          <w:rFonts w:ascii="Times New Roman" w:eastAsia="Times New Roman" w:hAnsi="Times New Roman"/>
        </w:rPr>
        <w:t>data</w:t>
      </w:r>
      <w:r w:rsidR="00900061" w:rsidRPr="00A90FD9">
        <w:rPr>
          <w:rFonts w:ascii="Times New Roman" w:eastAsia="Times New Roman" w:hAnsi="Times New Roman"/>
        </w:rPr>
        <w:t xml:space="preserve"> </w:t>
      </w:r>
      <w:r w:rsidRPr="00A90FD9">
        <w:rPr>
          <w:rFonts w:ascii="Times New Roman" w:eastAsia="Times New Roman" w:hAnsi="Times New Roman"/>
        </w:rPr>
        <w:t>provided</w:t>
      </w:r>
      <w:r w:rsidR="00900061" w:rsidRPr="00A90FD9">
        <w:rPr>
          <w:rFonts w:ascii="Times New Roman" w:eastAsia="Times New Roman" w:hAnsi="Times New Roman"/>
        </w:rPr>
        <w:t xml:space="preserve"> </w:t>
      </w:r>
      <w:r w:rsidRPr="005769EE">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average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producing</w:t>
      </w:r>
      <w:r w:rsidR="00900061" w:rsidRPr="00E168A1">
        <w:rPr>
          <w:rFonts w:ascii="Times New Roman" w:eastAsia="Times New Roman" w:hAnsi="Times New Roman"/>
        </w:rPr>
        <w:t xml:space="preserve"> </w:t>
      </w:r>
      <w:r w:rsidRPr="00E168A1">
        <w:rPr>
          <w:rFonts w:ascii="Times New Roman" w:eastAsia="Times New Roman" w:hAnsi="Times New Roman"/>
        </w:rPr>
        <w:t>an</w:t>
      </w:r>
      <w:r w:rsidR="00900061" w:rsidRPr="00E168A1">
        <w:rPr>
          <w:rFonts w:ascii="Times New Roman" w:eastAsia="Times New Roman" w:hAnsi="Times New Roman"/>
        </w:rPr>
        <w:t xml:space="preserve"> </w:t>
      </w:r>
      <w:r w:rsidRPr="00E168A1">
        <w:rPr>
          <w:rFonts w:ascii="Times New Roman" w:eastAsia="Times New Roman" w:hAnsi="Times New Roman"/>
        </w:rPr>
        <w:t>opinion</w:t>
      </w:r>
      <w:r w:rsidR="00900061" w:rsidRPr="00E168A1">
        <w:rPr>
          <w:rFonts w:ascii="Times New Roman" w:eastAsia="Times New Roman" w:hAnsi="Times New Roman"/>
        </w:rPr>
        <w:t xml:space="preserve"> </w:t>
      </w:r>
      <w:r w:rsidRPr="00E168A1">
        <w:rPr>
          <w:rFonts w:ascii="Times New Roman" w:eastAsia="Times New Roman" w:hAnsi="Times New Roman"/>
        </w:rPr>
        <w:t>was</w:t>
      </w:r>
      <w:r w:rsidR="00900061" w:rsidRPr="00E168A1">
        <w:rPr>
          <w:rFonts w:ascii="Times New Roman" w:eastAsia="Times New Roman" w:hAnsi="Times New Roman"/>
        </w:rPr>
        <w:t xml:space="preserve"> </w:t>
      </w:r>
      <w:r w:rsidRPr="00E168A1">
        <w:rPr>
          <w:rFonts w:ascii="Times New Roman" w:eastAsia="Times New Roman" w:hAnsi="Times New Roman"/>
        </w:rPr>
        <w:t>reduced</w:t>
      </w:r>
      <w:r w:rsidR="00900061" w:rsidRPr="00E168A1">
        <w:rPr>
          <w:rFonts w:ascii="Times New Roman" w:eastAsia="Times New Roman" w:hAnsi="Times New Roman"/>
        </w:rPr>
        <w:t xml:space="preserve"> </w:t>
      </w:r>
      <w:r w:rsidRPr="00E168A1">
        <w:rPr>
          <w:rFonts w:ascii="Times New Roman" w:eastAsia="Times New Roman" w:hAnsi="Times New Roman"/>
        </w:rPr>
        <w:t>from</w:t>
      </w:r>
      <w:r w:rsidR="00900061" w:rsidRPr="00E168A1">
        <w:rPr>
          <w:rFonts w:ascii="Times New Roman" w:eastAsia="Times New Roman" w:hAnsi="Times New Roman"/>
        </w:rPr>
        <w:t xml:space="preserve"> </w:t>
      </w:r>
      <w:r w:rsidRPr="00E168A1">
        <w:rPr>
          <w:rFonts w:ascii="Times New Roman" w:eastAsia="Times New Roman" w:hAnsi="Times New Roman"/>
        </w:rPr>
        <w:t>13</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November</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10</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December,</w:t>
      </w:r>
      <w:r w:rsidR="00900061" w:rsidRPr="00E168A1">
        <w:rPr>
          <w:rFonts w:ascii="Times New Roman" w:eastAsia="Times New Roman" w:hAnsi="Times New Roman"/>
        </w:rPr>
        <w:t xml:space="preserve"> </w:t>
      </w:r>
      <w:r w:rsidRPr="00E168A1">
        <w:rPr>
          <w:rFonts w:ascii="Times New Roman" w:eastAsia="Times New Roman" w:hAnsi="Times New Roman"/>
        </w:rPr>
        <w:t>9</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January</w:t>
      </w:r>
      <w:r w:rsidR="00900061" w:rsidRPr="00E168A1">
        <w:rPr>
          <w:rFonts w:ascii="Times New Roman" w:eastAsia="Times New Roman" w:hAnsi="Times New Roman"/>
        </w:rPr>
        <w:t xml:space="preserve"> </w:t>
      </w:r>
      <w:r w:rsidRPr="00E168A1">
        <w:rPr>
          <w:rFonts w:ascii="Times New Roman" w:eastAsia="Times New Roman" w:hAnsi="Times New Roman"/>
        </w:rPr>
        <w:t>2014,</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4</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February</w:t>
      </w:r>
      <w:r w:rsidR="00DB33EA" w:rsidRPr="00E168A1">
        <w:rPr>
          <w:rFonts w:ascii="Times New Roman" w:eastAsia="Times New Roman" w:hAnsi="Times New Roman"/>
        </w:rPr>
        <w:t>.</w:t>
      </w:r>
      <w:r w:rsidRPr="00E168A1">
        <w:rPr>
          <w:rStyle w:val="FootnoteReference"/>
          <w:rFonts w:ascii="Times New Roman" w:eastAsia="Times New Roman" w:hAnsi="Times New Roman"/>
        </w:rPr>
        <w:footnoteReference w:id="52"/>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limited</w:t>
      </w:r>
      <w:r w:rsidR="00900061" w:rsidRPr="00E168A1">
        <w:rPr>
          <w:rFonts w:ascii="Times New Roman" w:eastAsia="Times New Roman" w:hAnsi="Times New Roman"/>
        </w:rPr>
        <w:t xml:space="preserve"> </w:t>
      </w:r>
      <w:r w:rsidRPr="00E168A1">
        <w:rPr>
          <w:rFonts w:ascii="Times New Roman" w:eastAsia="Times New Roman" w:hAnsi="Times New Roman"/>
        </w:rPr>
        <w:t>time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analy</w:t>
      </w:r>
      <w:r w:rsidR="003D4B85" w:rsidRPr="00E168A1">
        <w:rPr>
          <w:rFonts w:ascii="Times New Roman" w:eastAsia="Times New Roman" w:hAnsi="Times New Roman"/>
        </w:rPr>
        <w:t>z</w:t>
      </w:r>
      <w:r w:rsidRPr="00E168A1">
        <w:rPr>
          <w:rFonts w:ascii="Times New Roman" w:eastAsia="Times New Roman" w:hAnsi="Times New Roman"/>
        </w:rPr>
        <w:t>e</w:t>
      </w:r>
      <w:r w:rsidR="00900061" w:rsidRPr="00E168A1">
        <w:rPr>
          <w:rFonts w:ascii="Times New Roman" w:eastAsia="Times New Roman" w:hAnsi="Times New Roman"/>
        </w:rPr>
        <w:t xml:space="preserve"> </w:t>
      </w:r>
      <w:r w:rsidRPr="00E168A1">
        <w:rPr>
          <w:rFonts w:ascii="Times New Roman" w:eastAsia="Times New Roman" w:hAnsi="Times New Roman"/>
        </w:rPr>
        <w:t>applications</w:t>
      </w:r>
      <w:r w:rsidR="00900061" w:rsidRPr="00E168A1">
        <w:rPr>
          <w:rFonts w:ascii="Times New Roman" w:eastAsia="Times New Roman" w:hAnsi="Times New Roman"/>
        </w:rPr>
        <w:t xml:space="preserve"> </w:t>
      </w:r>
      <w:r w:rsidRPr="00E168A1">
        <w:rPr>
          <w:rFonts w:ascii="Times New Roman" w:eastAsia="Times New Roman" w:hAnsi="Times New Roman"/>
        </w:rPr>
        <w:t>raises</w:t>
      </w:r>
      <w:r w:rsidR="00900061" w:rsidRPr="00E168A1">
        <w:rPr>
          <w:rFonts w:ascii="Times New Roman" w:eastAsia="Times New Roman" w:hAnsi="Times New Roman"/>
        </w:rPr>
        <w:t xml:space="preserve"> </w:t>
      </w:r>
      <w:r w:rsidRPr="00E168A1">
        <w:rPr>
          <w:rFonts w:ascii="Times New Roman" w:eastAsia="Times New Roman" w:hAnsi="Times New Roman"/>
        </w:rPr>
        <w:t>questions</w:t>
      </w:r>
      <w:r w:rsidR="00900061" w:rsidRPr="00E168A1">
        <w:rPr>
          <w:rFonts w:ascii="Times New Roman" w:eastAsia="Times New Roman" w:hAnsi="Times New Roman"/>
        </w:rPr>
        <w:t xml:space="preserve"> </w:t>
      </w:r>
      <w:r w:rsidRPr="00E168A1">
        <w:rPr>
          <w:rFonts w:ascii="Times New Roman" w:eastAsia="Times New Roman" w:hAnsi="Times New Roman"/>
        </w:rPr>
        <w:t>both</w:t>
      </w:r>
      <w:r w:rsidR="00900061" w:rsidRPr="00E168A1">
        <w:rPr>
          <w:rFonts w:ascii="Times New Roman" w:eastAsia="Times New Roman" w:hAnsi="Times New Roman"/>
        </w:rPr>
        <w:t xml:space="preserve"> </w:t>
      </w:r>
      <w:r w:rsidR="003D4B85"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feasibility</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quality</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examination.</w:t>
      </w:r>
      <w:r w:rsidR="00900061" w:rsidRPr="00E168A1">
        <w:rPr>
          <w:rFonts w:ascii="Times New Roman" w:eastAsia="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PPO’s</w:t>
      </w:r>
      <w:r w:rsidR="00900061" w:rsidRPr="00E168A1">
        <w:rPr>
          <w:rFonts w:ascii="Times New Roman" w:hAnsi="Times New Roman"/>
        </w:rPr>
        <w:t xml:space="preserve"> </w:t>
      </w:r>
      <w:r w:rsidRPr="00E168A1">
        <w:rPr>
          <w:rFonts w:ascii="Times New Roman" w:hAnsi="Times New Roman"/>
        </w:rPr>
        <w:t>report</w:t>
      </w:r>
      <w:r w:rsidR="00900061" w:rsidRPr="00E168A1">
        <w:rPr>
          <w:rFonts w:ascii="Times New Roman" w:hAnsi="Times New Roman"/>
        </w:rPr>
        <w:t xml:space="preserve"> </w:t>
      </w:r>
      <w:r w:rsidR="00F164F0" w:rsidRPr="00E168A1">
        <w:rPr>
          <w:rFonts w:ascii="Times New Roman" w:hAnsi="Times New Roman"/>
        </w:rPr>
        <w:t>‘</w:t>
      </w:r>
      <w:r w:rsidRPr="00E168A1">
        <w:rPr>
          <w:rFonts w:ascii="Times New Roman" w:hAnsi="Times New Roman"/>
        </w:rPr>
        <w:t>Activities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applications</w:t>
      </w:r>
      <w:r w:rsidR="00900061" w:rsidRPr="00E168A1">
        <w:rPr>
          <w:rFonts w:ascii="Times New Roman" w:hAnsi="Times New Roman"/>
        </w:rPr>
        <w:t xml:space="preserve"> </w:t>
      </w:r>
      <w:r w:rsidRPr="00E168A1">
        <w:rPr>
          <w:rFonts w:ascii="Times New Roman" w:hAnsi="Times New Roman"/>
        </w:rPr>
        <w:t>from</w:t>
      </w:r>
      <w:r w:rsidR="00900061" w:rsidRPr="00E168A1">
        <w:rPr>
          <w:rFonts w:ascii="Times New Roman" w:hAnsi="Times New Roman"/>
        </w:rPr>
        <w:t xml:space="preserve"> </w:t>
      </w:r>
      <w:r w:rsidRPr="00E168A1">
        <w:rPr>
          <w:rFonts w:ascii="Times New Roman" w:hAnsi="Times New Roman"/>
        </w:rPr>
        <w:t>April</w:t>
      </w:r>
      <w:r w:rsidR="00900061" w:rsidRPr="00E168A1">
        <w:rPr>
          <w:rFonts w:ascii="Times New Roman" w:hAnsi="Times New Roman"/>
        </w:rPr>
        <w:t xml:space="preserve"> </w:t>
      </w:r>
      <w:r w:rsidRPr="00E168A1">
        <w:rPr>
          <w:rFonts w:ascii="Times New Roman" w:hAnsi="Times New Roman"/>
        </w:rPr>
        <w:t>1,</w:t>
      </w:r>
      <w:r w:rsidR="00900061" w:rsidRPr="00E168A1">
        <w:rPr>
          <w:rFonts w:ascii="Times New Roman" w:hAnsi="Times New Roman"/>
        </w:rPr>
        <w:t xml:space="preserve"> </w:t>
      </w:r>
      <w:r w:rsidRPr="00E168A1">
        <w:rPr>
          <w:rFonts w:ascii="Times New Roman" w:hAnsi="Times New Roman"/>
        </w:rPr>
        <w:t>2013,</w:t>
      </w:r>
      <w:r w:rsidR="00900061" w:rsidRPr="00E168A1">
        <w:rPr>
          <w:rFonts w:ascii="Times New Roman" w:hAnsi="Times New Roman"/>
        </w:rPr>
        <w:t xml:space="preserve"> </w:t>
      </w:r>
      <w:r w:rsidRPr="00E168A1">
        <w:rPr>
          <w:rFonts w:ascii="Times New Roman" w:hAnsi="Times New Roman"/>
        </w:rPr>
        <w:t>until</w:t>
      </w:r>
      <w:r w:rsidR="00900061" w:rsidRPr="00E168A1">
        <w:rPr>
          <w:rFonts w:ascii="Times New Roman" w:hAnsi="Times New Roman"/>
        </w:rPr>
        <w:t xml:space="preserve"> </w:t>
      </w:r>
      <w:r w:rsidRPr="00E168A1">
        <w:rPr>
          <w:rFonts w:ascii="Times New Roman" w:hAnsi="Times New Roman"/>
        </w:rPr>
        <w:t>January</w:t>
      </w:r>
      <w:r w:rsidR="00900061" w:rsidRPr="00E168A1">
        <w:rPr>
          <w:rFonts w:ascii="Times New Roman" w:hAnsi="Times New Roman"/>
        </w:rPr>
        <w:t xml:space="preserve"> </w:t>
      </w:r>
      <w:r w:rsidRPr="00E168A1">
        <w:rPr>
          <w:rFonts w:ascii="Times New Roman" w:hAnsi="Times New Roman"/>
        </w:rPr>
        <w:t>31,</w:t>
      </w:r>
      <w:r w:rsidR="00900061" w:rsidRPr="00E168A1">
        <w:rPr>
          <w:rFonts w:ascii="Times New Roman" w:hAnsi="Times New Roman"/>
        </w:rPr>
        <w:t xml:space="preserve"> </w:t>
      </w:r>
      <w:r w:rsidRPr="00E168A1">
        <w:rPr>
          <w:rFonts w:ascii="Times New Roman" w:hAnsi="Times New Roman"/>
        </w:rPr>
        <w:t>2014</w:t>
      </w:r>
      <w:r w:rsidR="00F164F0"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states</w:t>
      </w:r>
      <w:r w:rsidR="00900061" w:rsidRPr="00E168A1">
        <w:rPr>
          <w:rFonts w:ascii="Times New Roman" w:hAnsi="Times New Roman"/>
        </w:rPr>
        <w:t xml:space="preserve"> </w:t>
      </w:r>
      <w:r w:rsidRPr="00E168A1">
        <w:rPr>
          <w:rFonts w:ascii="Times New Roman" w:hAnsi="Times New Roman"/>
        </w:rPr>
        <w:t>that</w:t>
      </w:r>
      <w:r w:rsidR="00900061" w:rsidRPr="00E168A1">
        <w:rPr>
          <w:rFonts w:ascii="Times New Roman" w:hAnsi="Times New Roman"/>
        </w:rPr>
        <w:t xml:space="preserve"> </w:t>
      </w:r>
      <w:r w:rsidRPr="00E168A1">
        <w:rPr>
          <w:rFonts w:ascii="Times New Roman" w:hAnsi="Times New Roman"/>
        </w:rPr>
        <w:t>“940</w:t>
      </w:r>
      <w:r w:rsidR="00900061" w:rsidRPr="00E168A1">
        <w:rPr>
          <w:rFonts w:ascii="Times New Roman" w:hAnsi="Times New Roman"/>
        </w:rPr>
        <w:t xml:space="preserve"> </w:t>
      </w:r>
      <w:r w:rsidRPr="00E168A1">
        <w:rPr>
          <w:rFonts w:ascii="Times New Roman" w:hAnsi="Times New Roman"/>
        </w:rPr>
        <w:t>written</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opinions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interpretation</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application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provisions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received</w:t>
      </w:r>
      <w:r w:rsidR="00900061" w:rsidRPr="00E168A1">
        <w:rPr>
          <w:rFonts w:ascii="Times New Roman" w:hAnsi="Times New Roman"/>
        </w:rPr>
        <w:t xml:space="preserve"> </w:t>
      </w:r>
      <w:r w:rsidRPr="00E168A1">
        <w:rPr>
          <w:rFonts w:ascii="Times New Roman" w:hAnsi="Times New Roman"/>
        </w:rPr>
        <w:t>during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reported</w:t>
      </w:r>
      <w:r w:rsidR="00900061" w:rsidRPr="00E168A1">
        <w:rPr>
          <w:rFonts w:ascii="Times New Roman" w:hAnsi="Times New Roman"/>
        </w:rPr>
        <w:t xml:space="preserve"> </w:t>
      </w:r>
      <w:r w:rsidRPr="00E168A1">
        <w:rPr>
          <w:rFonts w:ascii="Times New Roman" w:hAnsi="Times New Roman"/>
        </w:rPr>
        <w:t>period.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those,</w:t>
      </w:r>
      <w:r w:rsidR="00900061" w:rsidRPr="00E168A1">
        <w:rPr>
          <w:rFonts w:ascii="Times New Roman" w:hAnsi="Times New Roman"/>
        </w:rPr>
        <w:t xml:space="preserve"> </w:t>
      </w:r>
      <w:r w:rsidRPr="00E168A1">
        <w:rPr>
          <w:rFonts w:ascii="Times New Roman" w:hAnsi="Times New Roman"/>
        </w:rPr>
        <w:t>358</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were</w:t>
      </w:r>
      <w:r w:rsidR="00900061" w:rsidRPr="00E168A1">
        <w:rPr>
          <w:rFonts w:ascii="Times New Roman" w:hAnsi="Times New Roman"/>
        </w:rPr>
        <w:t xml:space="preserve"> </w:t>
      </w:r>
      <w:r w:rsidRPr="00E168A1">
        <w:rPr>
          <w:rFonts w:ascii="Times New Roman" w:hAnsi="Times New Roman"/>
        </w:rPr>
        <w:t>answered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writing,</w:t>
      </w:r>
      <w:r w:rsidR="00900061" w:rsidRPr="00E168A1">
        <w:rPr>
          <w:rFonts w:ascii="Times New Roman" w:hAnsi="Times New Roman"/>
        </w:rPr>
        <w:t xml:space="preserve"> </w:t>
      </w:r>
      <w:r w:rsidRPr="00E168A1">
        <w:rPr>
          <w:rFonts w:ascii="Times New Roman" w:hAnsi="Times New Roman"/>
        </w:rPr>
        <w:t>while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rest</w:t>
      </w:r>
      <w:r w:rsidR="00900061" w:rsidRPr="00E168A1">
        <w:rPr>
          <w:rFonts w:ascii="Times New Roman" w:hAnsi="Times New Roman"/>
        </w:rPr>
        <w:t xml:space="preserve"> </w:t>
      </w:r>
      <w:r w:rsidRPr="00E168A1">
        <w:rPr>
          <w:rFonts w:ascii="Times New Roman" w:hAnsi="Times New Roman"/>
        </w:rPr>
        <w:t>remained</w:t>
      </w:r>
      <w:r w:rsidR="00900061" w:rsidRPr="00E168A1">
        <w:rPr>
          <w:rFonts w:ascii="Times New Roman" w:hAnsi="Times New Roman"/>
        </w:rPr>
        <w:t xml:space="preserve"> </w:t>
      </w:r>
      <w:r w:rsidRPr="00E168A1">
        <w:rPr>
          <w:rFonts w:ascii="Times New Roman" w:hAnsi="Times New Roman"/>
        </w:rPr>
        <w:t>unanswered</w:t>
      </w:r>
      <w:r w:rsidR="00900061" w:rsidRPr="00E168A1">
        <w:rPr>
          <w:rFonts w:ascii="Times New Roman" w:hAnsi="Times New Roman"/>
        </w:rPr>
        <w:t xml:space="preserve"> </w:t>
      </w:r>
      <w:r w:rsidRPr="00E168A1">
        <w:rPr>
          <w:rFonts w:ascii="Times New Roman" w:hAnsi="Times New Roman"/>
        </w:rPr>
        <w:t>due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lack</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capacity</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F164F0" w:rsidRPr="00E168A1">
        <w:rPr>
          <w:rFonts w:ascii="Times New Roman" w:hAnsi="Times New Roman"/>
        </w:rPr>
        <w:t>PPO</w:t>
      </w:r>
      <w:r w:rsidRPr="00E168A1">
        <w:rPr>
          <w:rFonts w:ascii="Times New Roman" w:hAnsi="Times New Roman"/>
        </w:rPr>
        <w:t>.”</w:t>
      </w:r>
      <w:r w:rsidR="00900061" w:rsidRPr="00E168A1">
        <w:rPr>
          <w:rFonts w:ascii="Times New Roman" w:hAnsi="Times New Roman"/>
        </w:rPr>
        <w:t xml:space="preserve"> </w:t>
      </w:r>
    </w:p>
    <w:p w14:paraId="2F05FF0D" w14:textId="77777777" w:rsidR="00AE54E5" w:rsidRPr="00E168A1" w:rsidRDefault="00AE54E5" w:rsidP="00220F7E">
      <w:pPr>
        <w:pStyle w:val="Heading2"/>
        <w:spacing w:before="120" w:after="120" w:line="240" w:lineRule="auto"/>
        <w:ind w:left="0" w:firstLine="0"/>
      </w:pPr>
      <w:bookmarkStart w:id="42" w:name="_Toc442428968"/>
      <w:bookmarkStart w:id="43" w:name="_Toc305833861"/>
      <w:r w:rsidRPr="00E168A1">
        <w:t>Republic</w:t>
      </w:r>
      <w:r w:rsidR="00900061" w:rsidRPr="00E168A1">
        <w:t xml:space="preserve"> </w:t>
      </w:r>
      <w:r w:rsidRPr="00E168A1">
        <w:t>Commission</w:t>
      </w:r>
      <w:r w:rsidR="00900061" w:rsidRPr="00E168A1">
        <w:t xml:space="preserve"> </w:t>
      </w:r>
      <w:r w:rsidRPr="00E168A1">
        <w:t>for</w:t>
      </w:r>
      <w:r w:rsidR="00900061" w:rsidRPr="00E168A1">
        <w:t xml:space="preserve"> </w:t>
      </w:r>
      <w:r w:rsidRPr="00E168A1">
        <w:t>the</w:t>
      </w:r>
      <w:r w:rsidR="00900061" w:rsidRPr="00E168A1">
        <w:t xml:space="preserve"> </w:t>
      </w:r>
      <w:r w:rsidRPr="00E168A1">
        <w:t>Protection</w:t>
      </w:r>
      <w:r w:rsidR="00900061" w:rsidRPr="00E168A1">
        <w:t xml:space="preserve"> </w:t>
      </w:r>
      <w:r w:rsidRPr="00E168A1">
        <w:t>of</w:t>
      </w:r>
      <w:r w:rsidR="00900061" w:rsidRPr="00E168A1">
        <w:t xml:space="preserve"> </w:t>
      </w:r>
      <w:r w:rsidRPr="00E168A1">
        <w:t>Rights</w:t>
      </w:r>
      <w:bookmarkEnd w:id="42"/>
      <w:r w:rsidR="00900061" w:rsidRPr="00E168A1">
        <w:t xml:space="preserve"> </w:t>
      </w:r>
      <w:bookmarkEnd w:id="43"/>
    </w:p>
    <w:p w14:paraId="1416611B" w14:textId="65A78DA9" w:rsidR="00CF175C" w:rsidRPr="00E168A1" w:rsidRDefault="00AE54E5" w:rsidP="00645878">
      <w:pPr>
        <w:pStyle w:val="ListParagraph"/>
        <w:numPr>
          <w:ilvl w:val="0"/>
          <w:numId w:val="9"/>
        </w:numPr>
        <w:ind w:left="0" w:firstLine="0"/>
        <w:contextualSpacing w:val="0"/>
        <w:rPr>
          <w:rFonts w:ascii="Times New Roman" w:hAnsi="Times New Roman"/>
          <w:lang w:eastAsia="en-CA"/>
        </w:rPr>
      </w:pPr>
      <w:r w:rsidRPr="00E168A1">
        <w:rPr>
          <w:rFonts w:ascii="Times New Roman" w:hAnsi="Times New Roman"/>
          <w:b/>
          <w:lang w:eastAsia="en-CA"/>
        </w:rPr>
        <w:t>The</w:t>
      </w:r>
      <w:r w:rsidR="00900061" w:rsidRPr="00E168A1">
        <w:rPr>
          <w:rFonts w:ascii="Times New Roman" w:hAnsi="Times New Roman"/>
          <w:b/>
          <w:lang w:eastAsia="en-CA"/>
        </w:rPr>
        <w:t xml:space="preserve"> </w:t>
      </w:r>
      <w:r w:rsidRPr="00E168A1">
        <w:rPr>
          <w:rFonts w:ascii="Times New Roman" w:hAnsi="Times New Roman"/>
          <w:b/>
          <w:lang w:eastAsia="en-CA"/>
        </w:rPr>
        <w:t>RC</w:t>
      </w:r>
      <w:r w:rsidR="00900061" w:rsidRPr="00E168A1">
        <w:rPr>
          <w:rFonts w:ascii="Times New Roman" w:hAnsi="Times New Roman"/>
          <w:b/>
          <w:lang w:eastAsia="en-CA"/>
        </w:rPr>
        <w:t xml:space="preserve"> </w:t>
      </w:r>
      <w:r w:rsidRPr="00E168A1">
        <w:rPr>
          <w:rFonts w:ascii="Times New Roman" w:hAnsi="Times New Roman"/>
          <w:b/>
          <w:lang w:eastAsia="en-CA"/>
        </w:rPr>
        <w:t>comprises</w:t>
      </w:r>
      <w:r w:rsidR="00900061" w:rsidRPr="00E168A1">
        <w:rPr>
          <w:rFonts w:ascii="Times New Roman" w:hAnsi="Times New Roman"/>
          <w:b/>
          <w:lang w:eastAsia="en-CA"/>
        </w:rPr>
        <w:t xml:space="preserve"> </w:t>
      </w:r>
      <w:r w:rsidRPr="00E168A1">
        <w:rPr>
          <w:rFonts w:ascii="Times New Roman" w:hAnsi="Times New Roman"/>
          <w:b/>
          <w:lang w:eastAsia="en-CA"/>
        </w:rPr>
        <w:t>experienced</w:t>
      </w:r>
      <w:r w:rsidR="00900061" w:rsidRPr="00E168A1">
        <w:rPr>
          <w:rFonts w:ascii="Times New Roman" w:hAnsi="Times New Roman"/>
          <w:b/>
          <w:lang w:eastAsia="en-CA"/>
        </w:rPr>
        <w:t xml:space="preserve"> </w:t>
      </w:r>
      <w:r w:rsidRPr="00E168A1">
        <w:rPr>
          <w:rFonts w:ascii="Times New Roman" w:hAnsi="Times New Roman"/>
          <w:b/>
          <w:lang w:eastAsia="en-CA"/>
        </w:rPr>
        <w:t>professionals</w:t>
      </w:r>
      <w:r w:rsidRPr="00E168A1">
        <w:rPr>
          <w:rFonts w:ascii="Times New Roman" w:hAnsi="Times New Roman"/>
          <w:lang w:eastAsia="en-CA"/>
        </w:rPr>
        <w:t>,</w:t>
      </w:r>
      <w:r w:rsidR="00900061" w:rsidRPr="00E168A1">
        <w:rPr>
          <w:rFonts w:ascii="Times New Roman" w:hAnsi="Times New Roman"/>
          <w:lang w:eastAsia="en-CA"/>
        </w:rPr>
        <w:t xml:space="preserve"> </w:t>
      </w:r>
      <w:r w:rsidRPr="00E168A1">
        <w:rPr>
          <w:rFonts w:ascii="Times New Roman" w:hAnsi="Times New Roman"/>
          <w:b/>
          <w:lang w:eastAsia="en-CA"/>
        </w:rPr>
        <w:t>familiar</w:t>
      </w:r>
      <w:r w:rsidR="00900061" w:rsidRPr="00E168A1">
        <w:rPr>
          <w:rFonts w:ascii="Times New Roman" w:hAnsi="Times New Roman"/>
          <w:b/>
          <w:lang w:eastAsia="en-CA"/>
        </w:rPr>
        <w:t xml:space="preserve"> </w:t>
      </w:r>
      <w:r w:rsidRPr="00E168A1">
        <w:rPr>
          <w:rFonts w:ascii="Times New Roman" w:hAnsi="Times New Roman"/>
          <w:b/>
          <w:lang w:eastAsia="en-CA"/>
        </w:rPr>
        <w:t>with</w:t>
      </w:r>
      <w:r w:rsidR="00900061" w:rsidRPr="00E168A1">
        <w:rPr>
          <w:rFonts w:ascii="Times New Roman" w:hAnsi="Times New Roman"/>
          <w:b/>
          <w:lang w:eastAsia="en-CA"/>
        </w:rPr>
        <w:t xml:space="preserve"> </w:t>
      </w:r>
      <w:r w:rsidRPr="00E168A1">
        <w:rPr>
          <w:rFonts w:ascii="Times New Roman" w:hAnsi="Times New Roman"/>
          <w:b/>
          <w:lang w:eastAsia="en-CA"/>
        </w:rPr>
        <w:t>the</w:t>
      </w:r>
      <w:r w:rsidR="00900061" w:rsidRPr="00E168A1">
        <w:rPr>
          <w:rFonts w:ascii="Times New Roman" w:hAnsi="Times New Roman"/>
          <w:b/>
          <w:lang w:eastAsia="en-CA"/>
        </w:rPr>
        <w:t xml:space="preserve"> </w:t>
      </w:r>
      <w:r w:rsidR="00894F3A" w:rsidRPr="00E168A1">
        <w:rPr>
          <w:rFonts w:ascii="Times New Roman" w:hAnsi="Times New Roman"/>
          <w:b/>
          <w:lang w:eastAsia="en-CA"/>
        </w:rPr>
        <w:t>L</w:t>
      </w:r>
      <w:r w:rsidRPr="00E168A1">
        <w:rPr>
          <w:rFonts w:ascii="Times New Roman" w:hAnsi="Times New Roman"/>
          <w:b/>
          <w:lang w:eastAsia="en-CA"/>
        </w:rPr>
        <w:t>egal</w:t>
      </w:r>
      <w:r w:rsidR="00900061" w:rsidRPr="00E168A1">
        <w:rPr>
          <w:rFonts w:ascii="Times New Roman" w:hAnsi="Times New Roman"/>
          <w:b/>
          <w:lang w:eastAsia="en-CA"/>
        </w:rPr>
        <w:t xml:space="preserve"> </w:t>
      </w:r>
      <w:r w:rsidR="00894F3A" w:rsidRPr="00E168A1">
        <w:rPr>
          <w:rFonts w:ascii="Times New Roman" w:hAnsi="Times New Roman"/>
          <w:b/>
          <w:lang w:eastAsia="en-CA"/>
        </w:rPr>
        <w:t>F</w:t>
      </w:r>
      <w:r w:rsidRPr="00E168A1">
        <w:rPr>
          <w:rFonts w:ascii="Times New Roman" w:hAnsi="Times New Roman"/>
          <w:b/>
          <w:lang w:eastAsia="en-CA"/>
        </w:rPr>
        <w:t>ramework</w:t>
      </w:r>
      <w:r w:rsidR="00900061" w:rsidRPr="00E168A1">
        <w:rPr>
          <w:rFonts w:ascii="Times New Roman" w:hAnsi="Times New Roman"/>
          <w:b/>
          <w:lang w:eastAsia="en-CA"/>
        </w:rPr>
        <w:t xml:space="preserve"> </w:t>
      </w:r>
      <w:r w:rsidRPr="00E168A1">
        <w:rPr>
          <w:rFonts w:ascii="Times New Roman" w:hAnsi="Times New Roman"/>
          <w:b/>
          <w:lang w:eastAsia="en-CA"/>
        </w:rPr>
        <w:t>for</w:t>
      </w:r>
      <w:r w:rsidR="00900061" w:rsidRPr="00E168A1">
        <w:rPr>
          <w:rFonts w:ascii="Times New Roman" w:hAnsi="Times New Roman"/>
          <w:b/>
          <w:lang w:eastAsia="en-CA"/>
        </w:rPr>
        <w:t xml:space="preserve"> </w:t>
      </w:r>
      <w:r w:rsidRPr="00E168A1">
        <w:rPr>
          <w:rFonts w:ascii="Times New Roman" w:hAnsi="Times New Roman"/>
          <w:b/>
          <w:lang w:eastAsia="en-CA"/>
        </w:rPr>
        <w:t>procurement</w:t>
      </w:r>
      <w:r w:rsidR="00900061" w:rsidRPr="00E168A1">
        <w:rPr>
          <w:rFonts w:ascii="Times New Roman" w:hAnsi="Times New Roman"/>
          <w:lang w:eastAsia="en-CA"/>
        </w:rPr>
        <w:t xml:space="preserve"> </w:t>
      </w:r>
      <w:r w:rsidRPr="00E168A1">
        <w:rPr>
          <w:rFonts w:ascii="Times New Roman" w:hAnsi="Times New Roman"/>
          <w:lang w:eastAsia="en-CA"/>
        </w:rPr>
        <w:t>and</w:t>
      </w:r>
      <w:r w:rsidR="00900061" w:rsidRPr="00E168A1">
        <w:rPr>
          <w:rFonts w:ascii="Times New Roman" w:hAnsi="Times New Roman"/>
          <w:lang w:eastAsia="en-CA"/>
        </w:rPr>
        <w:t xml:space="preserve"> </w:t>
      </w:r>
      <w:r w:rsidRPr="00E168A1">
        <w:rPr>
          <w:rFonts w:ascii="Times New Roman" w:hAnsi="Times New Roman"/>
          <w:lang w:eastAsia="en-CA"/>
        </w:rPr>
        <w:t>establishes</w:t>
      </w:r>
      <w:r w:rsidR="00900061" w:rsidRPr="00E168A1">
        <w:rPr>
          <w:rFonts w:ascii="Times New Roman" w:hAnsi="Times New Roman"/>
          <w:lang w:eastAsia="en-CA"/>
        </w:rPr>
        <w:t xml:space="preserve"> </w:t>
      </w:r>
      <w:r w:rsidRPr="00E168A1">
        <w:rPr>
          <w:rFonts w:ascii="Times New Roman" w:hAnsi="Times New Roman"/>
          <w:lang w:eastAsia="en-CA"/>
        </w:rPr>
        <w:t>a</w:t>
      </w:r>
      <w:r w:rsidR="00900061" w:rsidRPr="00E168A1">
        <w:rPr>
          <w:rFonts w:ascii="Times New Roman" w:hAnsi="Times New Roman"/>
          <w:lang w:eastAsia="en-CA"/>
        </w:rPr>
        <w:t xml:space="preserve"> </w:t>
      </w:r>
      <w:r w:rsidRPr="00E168A1">
        <w:rPr>
          <w:rFonts w:ascii="Times New Roman" w:hAnsi="Times New Roman"/>
          <w:lang w:eastAsia="en-CA"/>
        </w:rPr>
        <w:t>list</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experts</w:t>
      </w:r>
      <w:r w:rsidR="00900061" w:rsidRPr="00E168A1">
        <w:rPr>
          <w:rFonts w:ascii="Times New Roman" w:hAnsi="Times New Roman"/>
          <w:lang w:eastAsia="en-CA"/>
        </w:rPr>
        <w:t xml:space="preserve"> </w:t>
      </w:r>
      <w:r w:rsidRPr="00E168A1">
        <w:rPr>
          <w:rFonts w:ascii="Times New Roman" w:hAnsi="Times New Roman"/>
          <w:lang w:eastAsia="en-CA"/>
        </w:rPr>
        <w:t>(who</w:t>
      </w:r>
      <w:r w:rsidR="00900061" w:rsidRPr="00E168A1">
        <w:rPr>
          <w:rFonts w:ascii="Times New Roman" w:hAnsi="Times New Roman"/>
          <w:lang w:eastAsia="en-CA"/>
        </w:rPr>
        <w:t xml:space="preserve"> </w:t>
      </w:r>
      <w:r w:rsidRPr="00E168A1">
        <w:rPr>
          <w:rFonts w:ascii="Times New Roman" w:hAnsi="Times New Roman"/>
          <w:lang w:eastAsia="en-CA"/>
        </w:rPr>
        <w:t>need</w:t>
      </w:r>
      <w:r w:rsidR="00900061" w:rsidRPr="00E168A1">
        <w:rPr>
          <w:rFonts w:ascii="Times New Roman" w:hAnsi="Times New Roman"/>
          <w:lang w:eastAsia="en-CA"/>
        </w:rPr>
        <w:t xml:space="preserve"> </w:t>
      </w:r>
      <w:r w:rsidRPr="00E168A1">
        <w:rPr>
          <w:rFonts w:ascii="Times New Roman" w:hAnsi="Times New Roman"/>
          <w:lang w:eastAsia="en-CA"/>
        </w:rPr>
        <w:t>to</w:t>
      </w:r>
      <w:r w:rsidR="00900061" w:rsidRPr="00E168A1">
        <w:rPr>
          <w:rFonts w:ascii="Times New Roman" w:hAnsi="Times New Roman"/>
          <w:lang w:eastAsia="en-CA"/>
        </w:rPr>
        <w:t xml:space="preserve"> </w:t>
      </w:r>
      <w:r w:rsidRPr="00E168A1">
        <w:rPr>
          <w:rFonts w:ascii="Times New Roman" w:hAnsi="Times New Roman"/>
          <w:lang w:eastAsia="en-CA"/>
        </w:rPr>
        <w:t>be</w:t>
      </w:r>
      <w:r w:rsidR="00900061" w:rsidRPr="00E168A1">
        <w:rPr>
          <w:rFonts w:ascii="Times New Roman" w:hAnsi="Times New Roman"/>
          <w:lang w:eastAsia="en-CA"/>
        </w:rPr>
        <w:t xml:space="preserve"> </w:t>
      </w:r>
      <w:r w:rsidRPr="00E168A1">
        <w:rPr>
          <w:rFonts w:ascii="Times New Roman" w:hAnsi="Times New Roman"/>
          <w:lang w:eastAsia="en-CA"/>
        </w:rPr>
        <w:t>on</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list</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standing</w:t>
      </w:r>
      <w:r w:rsidR="00900061" w:rsidRPr="00E168A1">
        <w:rPr>
          <w:rFonts w:ascii="Times New Roman" w:hAnsi="Times New Roman"/>
          <w:lang w:eastAsia="en-CA"/>
        </w:rPr>
        <w:t xml:space="preserve"> </w:t>
      </w:r>
      <w:r w:rsidRPr="00E168A1">
        <w:rPr>
          <w:rFonts w:ascii="Times New Roman" w:hAnsi="Times New Roman"/>
          <w:lang w:eastAsia="en-CA"/>
        </w:rPr>
        <w:t>court</w:t>
      </w:r>
      <w:r w:rsidR="00900061" w:rsidRPr="00E168A1">
        <w:rPr>
          <w:rFonts w:ascii="Times New Roman" w:hAnsi="Times New Roman"/>
          <w:lang w:eastAsia="en-CA"/>
        </w:rPr>
        <w:t xml:space="preserve"> </w:t>
      </w:r>
      <w:r w:rsidRPr="00E168A1">
        <w:rPr>
          <w:rFonts w:ascii="Times New Roman" w:hAnsi="Times New Roman"/>
          <w:lang w:eastAsia="en-CA"/>
        </w:rPr>
        <w:t>experts</w:t>
      </w:r>
      <w:r w:rsidR="00900061" w:rsidRPr="00E168A1">
        <w:rPr>
          <w:rFonts w:ascii="Times New Roman" w:hAnsi="Times New Roman"/>
          <w:lang w:eastAsia="en-CA"/>
        </w:rPr>
        <w:t xml:space="preserve"> </w:t>
      </w:r>
      <w:r w:rsidRPr="00E168A1">
        <w:rPr>
          <w:rFonts w:ascii="Times New Roman" w:hAnsi="Times New Roman"/>
          <w:lang w:eastAsia="en-CA"/>
        </w:rPr>
        <w:t>and</w:t>
      </w:r>
      <w:r w:rsidR="00900061" w:rsidRPr="00E168A1">
        <w:rPr>
          <w:rFonts w:ascii="Times New Roman" w:hAnsi="Times New Roman"/>
          <w:lang w:eastAsia="en-CA"/>
        </w:rPr>
        <w:t xml:space="preserve"> </w:t>
      </w:r>
      <w:r w:rsidRPr="00E168A1">
        <w:rPr>
          <w:rFonts w:ascii="Times New Roman" w:hAnsi="Times New Roman"/>
          <w:lang w:eastAsia="en-CA"/>
        </w:rPr>
        <w:t>have</w:t>
      </w:r>
      <w:r w:rsidR="00900061" w:rsidRPr="00E168A1">
        <w:rPr>
          <w:rFonts w:ascii="Times New Roman" w:hAnsi="Times New Roman"/>
          <w:lang w:eastAsia="en-CA"/>
        </w:rPr>
        <w:t xml:space="preserve"> </w:t>
      </w:r>
      <w:r w:rsidRPr="00E168A1">
        <w:rPr>
          <w:rFonts w:ascii="Times New Roman" w:hAnsi="Times New Roman"/>
          <w:lang w:eastAsia="en-CA"/>
        </w:rPr>
        <w:t>passed</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exam</w:t>
      </w:r>
      <w:r w:rsidR="00900061" w:rsidRPr="00E168A1">
        <w:rPr>
          <w:rFonts w:ascii="Times New Roman" w:hAnsi="Times New Roman"/>
          <w:lang w:eastAsia="en-CA"/>
        </w:rPr>
        <w:t xml:space="preserve"> </w:t>
      </w:r>
      <w:r w:rsidRPr="00E168A1">
        <w:rPr>
          <w:rFonts w:ascii="Times New Roman" w:hAnsi="Times New Roman"/>
          <w:lang w:eastAsia="en-CA"/>
        </w:rPr>
        <w:t>for</w:t>
      </w:r>
      <w:r w:rsidR="00900061" w:rsidRPr="00E168A1">
        <w:rPr>
          <w:rFonts w:ascii="Times New Roman" w:hAnsi="Times New Roman"/>
          <w:lang w:eastAsia="en-CA"/>
        </w:rPr>
        <w:t xml:space="preserve"> </w:t>
      </w:r>
      <w:r w:rsidRPr="00E168A1">
        <w:rPr>
          <w:rFonts w:ascii="Times New Roman" w:hAnsi="Times New Roman"/>
          <w:lang w:eastAsia="en-CA"/>
        </w:rPr>
        <w:t>public</w:t>
      </w:r>
      <w:r w:rsidR="00900061" w:rsidRPr="00E168A1">
        <w:rPr>
          <w:rFonts w:ascii="Times New Roman" w:hAnsi="Times New Roman"/>
          <w:lang w:eastAsia="en-CA"/>
        </w:rPr>
        <w:t xml:space="preserve"> </w:t>
      </w:r>
      <w:r w:rsidRPr="00E168A1">
        <w:rPr>
          <w:rFonts w:ascii="Times New Roman" w:hAnsi="Times New Roman"/>
          <w:lang w:eastAsia="en-CA"/>
        </w:rPr>
        <w:t>procurement</w:t>
      </w:r>
      <w:r w:rsidR="00900061" w:rsidRPr="00E168A1">
        <w:rPr>
          <w:rFonts w:ascii="Times New Roman" w:hAnsi="Times New Roman"/>
          <w:lang w:eastAsia="en-CA"/>
        </w:rPr>
        <w:t xml:space="preserve"> </w:t>
      </w:r>
      <w:r w:rsidRPr="00E168A1">
        <w:rPr>
          <w:rFonts w:ascii="Times New Roman" w:hAnsi="Times New Roman"/>
          <w:lang w:eastAsia="en-CA"/>
        </w:rPr>
        <w:t>officer,</w:t>
      </w:r>
      <w:r w:rsidR="00900061" w:rsidRPr="00E168A1">
        <w:rPr>
          <w:rFonts w:ascii="Times New Roman" w:hAnsi="Times New Roman"/>
          <w:lang w:eastAsia="en-CA"/>
        </w:rPr>
        <w:t xml:space="preserve"> </w:t>
      </w:r>
      <w:r w:rsidRPr="00E168A1">
        <w:rPr>
          <w:rFonts w:ascii="Times New Roman" w:hAnsi="Times New Roman"/>
          <w:lang w:eastAsia="en-CA"/>
        </w:rPr>
        <w:t>in</w:t>
      </w:r>
      <w:r w:rsidR="00900061" w:rsidRPr="00E168A1">
        <w:rPr>
          <w:rFonts w:ascii="Times New Roman" w:hAnsi="Times New Roman"/>
          <w:lang w:eastAsia="en-CA"/>
        </w:rPr>
        <w:t xml:space="preserve"> </w:t>
      </w:r>
      <w:r w:rsidRPr="00E168A1">
        <w:rPr>
          <w:rFonts w:ascii="Times New Roman" w:hAnsi="Times New Roman"/>
          <w:lang w:eastAsia="en-CA"/>
        </w:rPr>
        <w:t>line</w:t>
      </w:r>
      <w:r w:rsidR="00900061" w:rsidRPr="00E168A1">
        <w:rPr>
          <w:rFonts w:ascii="Times New Roman" w:hAnsi="Times New Roman"/>
          <w:lang w:eastAsia="en-CA"/>
        </w:rPr>
        <w:t xml:space="preserve"> </w:t>
      </w:r>
      <w:r w:rsidRPr="00E168A1">
        <w:rPr>
          <w:rFonts w:ascii="Times New Roman" w:hAnsi="Times New Roman"/>
          <w:lang w:eastAsia="en-CA"/>
        </w:rPr>
        <w:t>with</w:t>
      </w:r>
      <w:r w:rsidR="00900061" w:rsidRPr="00E168A1">
        <w:rPr>
          <w:rFonts w:ascii="Times New Roman" w:hAnsi="Times New Roman"/>
          <w:lang w:eastAsia="en-CA"/>
        </w:rPr>
        <w:t xml:space="preserve"> </w:t>
      </w:r>
      <w:r w:rsidR="00EE63C5" w:rsidRPr="00E168A1">
        <w:rPr>
          <w:rFonts w:ascii="Times New Roman" w:hAnsi="Times New Roman"/>
          <w:lang w:eastAsia="en-CA"/>
        </w:rPr>
        <w:t>A</w:t>
      </w:r>
      <w:r w:rsidRPr="00E168A1">
        <w:rPr>
          <w:rFonts w:ascii="Times New Roman" w:hAnsi="Times New Roman"/>
          <w:lang w:eastAsia="en-CA"/>
        </w:rPr>
        <w:t>rticle</w:t>
      </w:r>
      <w:r w:rsidR="00900061" w:rsidRPr="00E168A1">
        <w:rPr>
          <w:rFonts w:ascii="Times New Roman" w:hAnsi="Times New Roman"/>
          <w:lang w:eastAsia="en-CA"/>
        </w:rPr>
        <w:t xml:space="preserve"> </w:t>
      </w:r>
      <w:r w:rsidRPr="00E168A1">
        <w:rPr>
          <w:rFonts w:ascii="Times New Roman" w:hAnsi="Times New Roman"/>
          <w:lang w:eastAsia="en-CA"/>
        </w:rPr>
        <w:t>143</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PPL)</w:t>
      </w:r>
      <w:r w:rsidR="003D4B85" w:rsidRPr="00E168A1">
        <w:rPr>
          <w:rFonts w:ascii="Times New Roman" w:hAnsi="Times New Roman"/>
          <w:lang w:eastAsia="en-CA"/>
        </w:rPr>
        <w:t>,</w:t>
      </w:r>
      <w:r w:rsidR="00900061" w:rsidRPr="00E168A1">
        <w:rPr>
          <w:rFonts w:ascii="Times New Roman" w:hAnsi="Times New Roman"/>
          <w:lang w:eastAsia="en-CA"/>
        </w:rPr>
        <w:t xml:space="preserve"> </w:t>
      </w:r>
      <w:r w:rsidRPr="00E168A1">
        <w:rPr>
          <w:rFonts w:ascii="Times New Roman" w:hAnsi="Times New Roman"/>
          <w:lang w:eastAsia="en-CA"/>
        </w:rPr>
        <w:t>who</w:t>
      </w:r>
      <w:r w:rsidR="00900061" w:rsidRPr="00E168A1">
        <w:rPr>
          <w:rFonts w:ascii="Times New Roman" w:hAnsi="Times New Roman"/>
          <w:lang w:eastAsia="en-CA"/>
        </w:rPr>
        <w:t xml:space="preserve"> </w:t>
      </w:r>
      <w:r w:rsidRPr="00E168A1">
        <w:rPr>
          <w:rFonts w:ascii="Times New Roman" w:hAnsi="Times New Roman"/>
          <w:lang w:eastAsia="en-CA"/>
        </w:rPr>
        <w:t>participate</w:t>
      </w:r>
      <w:r w:rsidR="00900061" w:rsidRPr="00E168A1">
        <w:rPr>
          <w:rFonts w:ascii="Times New Roman" w:hAnsi="Times New Roman"/>
          <w:lang w:eastAsia="en-CA"/>
        </w:rPr>
        <w:t xml:space="preserve"> </w:t>
      </w:r>
      <w:r w:rsidRPr="00E168A1">
        <w:rPr>
          <w:rFonts w:ascii="Times New Roman" w:hAnsi="Times New Roman"/>
          <w:lang w:eastAsia="en-CA"/>
        </w:rPr>
        <w:t>in</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work</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RC</w:t>
      </w:r>
      <w:r w:rsidR="003D4B85" w:rsidRPr="00E168A1">
        <w:rPr>
          <w:rFonts w:ascii="Times New Roman" w:hAnsi="Times New Roman"/>
          <w:lang w:eastAsia="en-CA"/>
        </w:rPr>
        <w:t>,</w:t>
      </w:r>
      <w:r w:rsidR="00900061" w:rsidRPr="00E168A1">
        <w:rPr>
          <w:rFonts w:ascii="Times New Roman" w:hAnsi="Times New Roman"/>
          <w:lang w:eastAsia="en-CA"/>
        </w:rPr>
        <w:t xml:space="preserve"> </w:t>
      </w:r>
      <w:r w:rsidRPr="00E168A1">
        <w:rPr>
          <w:rFonts w:ascii="Times New Roman" w:hAnsi="Times New Roman"/>
          <w:lang w:eastAsia="en-CA"/>
        </w:rPr>
        <w:t>depending</w:t>
      </w:r>
      <w:r w:rsidR="00900061" w:rsidRPr="00E168A1">
        <w:rPr>
          <w:rFonts w:ascii="Times New Roman" w:hAnsi="Times New Roman"/>
          <w:lang w:eastAsia="en-CA"/>
        </w:rPr>
        <w:t xml:space="preserve"> </w:t>
      </w:r>
      <w:r w:rsidRPr="00E168A1">
        <w:rPr>
          <w:rFonts w:ascii="Times New Roman" w:hAnsi="Times New Roman"/>
          <w:lang w:eastAsia="en-CA"/>
        </w:rPr>
        <w:t>on</w:t>
      </w:r>
      <w:r w:rsidR="00900061" w:rsidRPr="00E168A1">
        <w:rPr>
          <w:rFonts w:ascii="Times New Roman" w:hAnsi="Times New Roman"/>
          <w:lang w:eastAsia="en-CA"/>
        </w:rPr>
        <w:t xml:space="preserve"> </w:t>
      </w:r>
      <w:r w:rsidRPr="00E168A1">
        <w:rPr>
          <w:rFonts w:ascii="Times New Roman" w:hAnsi="Times New Roman"/>
          <w:lang w:eastAsia="en-CA"/>
        </w:rPr>
        <w:t>current</w:t>
      </w:r>
      <w:r w:rsidR="00900061" w:rsidRPr="00E168A1">
        <w:rPr>
          <w:rFonts w:ascii="Times New Roman" w:hAnsi="Times New Roman"/>
          <w:lang w:eastAsia="en-CA"/>
        </w:rPr>
        <w:t xml:space="preserve"> </w:t>
      </w:r>
      <w:r w:rsidRPr="00E168A1">
        <w:rPr>
          <w:rFonts w:ascii="Times New Roman" w:hAnsi="Times New Roman"/>
          <w:lang w:eastAsia="en-CA"/>
        </w:rPr>
        <w:t>needs</w:t>
      </w:r>
      <w:r w:rsidR="003D4B85" w:rsidRPr="00E168A1">
        <w:rPr>
          <w:rFonts w:ascii="Times New Roman" w:hAnsi="Times New Roman"/>
          <w:lang w:eastAsia="en-CA"/>
        </w:rPr>
        <w:t>.</w:t>
      </w:r>
      <w:r w:rsidRPr="00E168A1">
        <w:rPr>
          <w:rStyle w:val="FootnoteReference"/>
          <w:rFonts w:ascii="Times New Roman" w:hAnsi="Times New Roman"/>
          <w:lang w:eastAsia="en-CA"/>
        </w:rPr>
        <w:footnoteReference w:id="53"/>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RC</w:t>
      </w:r>
      <w:r w:rsidR="00900061" w:rsidRPr="00E168A1">
        <w:rPr>
          <w:rFonts w:ascii="Times New Roman" w:hAnsi="Times New Roman"/>
          <w:lang w:eastAsia="en-CA"/>
        </w:rPr>
        <w:t xml:space="preserve"> </w:t>
      </w:r>
      <w:r w:rsidRPr="00E168A1">
        <w:rPr>
          <w:rFonts w:ascii="Times New Roman" w:hAnsi="Times New Roman"/>
          <w:lang w:eastAsia="en-CA"/>
        </w:rPr>
        <w:lastRenderedPageBreak/>
        <w:t>exercises</w:t>
      </w:r>
      <w:r w:rsidR="00900061" w:rsidRPr="00E168A1">
        <w:rPr>
          <w:rFonts w:ascii="Times New Roman" w:hAnsi="Times New Roman"/>
          <w:lang w:eastAsia="en-CA"/>
        </w:rPr>
        <w:t xml:space="preserve"> </w:t>
      </w:r>
      <w:r w:rsidRPr="00E168A1">
        <w:rPr>
          <w:rFonts w:ascii="Times New Roman" w:hAnsi="Times New Roman"/>
          <w:lang w:eastAsia="en-CA"/>
        </w:rPr>
        <w:t>its</w:t>
      </w:r>
      <w:r w:rsidR="00900061" w:rsidRPr="00E168A1">
        <w:rPr>
          <w:rFonts w:ascii="Times New Roman" w:hAnsi="Times New Roman"/>
          <w:lang w:eastAsia="en-CA"/>
        </w:rPr>
        <w:t xml:space="preserve"> </w:t>
      </w:r>
      <w:r w:rsidRPr="00E168A1">
        <w:rPr>
          <w:rFonts w:ascii="Times New Roman" w:hAnsi="Times New Roman"/>
          <w:lang w:eastAsia="en-CA"/>
        </w:rPr>
        <w:t>authority</w:t>
      </w:r>
      <w:r w:rsidR="00900061" w:rsidRPr="00E168A1">
        <w:rPr>
          <w:rFonts w:ascii="Times New Roman" w:hAnsi="Times New Roman"/>
          <w:lang w:eastAsia="en-CA"/>
        </w:rPr>
        <w:t xml:space="preserve"> </w:t>
      </w:r>
      <w:r w:rsidRPr="00E168A1">
        <w:rPr>
          <w:rFonts w:ascii="Times New Roman" w:hAnsi="Times New Roman"/>
          <w:lang w:eastAsia="en-CA"/>
        </w:rPr>
        <w:t>to</w:t>
      </w:r>
      <w:r w:rsidR="00900061" w:rsidRPr="00E168A1">
        <w:rPr>
          <w:rFonts w:ascii="Times New Roman" w:hAnsi="Times New Roman"/>
          <w:lang w:eastAsia="en-CA"/>
        </w:rPr>
        <w:t xml:space="preserve"> </w:t>
      </w:r>
      <w:r w:rsidRPr="00E168A1">
        <w:rPr>
          <w:rFonts w:ascii="Times New Roman" w:hAnsi="Times New Roman"/>
          <w:lang w:eastAsia="en-CA"/>
        </w:rPr>
        <w:t>suspend</w:t>
      </w:r>
      <w:r w:rsidR="00900061" w:rsidRPr="00E168A1">
        <w:rPr>
          <w:rFonts w:ascii="Times New Roman" w:hAnsi="Times New Roman"/>
          <w:lang w:eastAsia="en-CA"/>
        </w:rPr>
        <w:t xml:space="preserve"> </w:t>
      </w:r>
      <w:r w:rsidRPr="00E168A1">
        <w:rPr>
          <w:rFonts w:ascii="Times New Roman" w:hAnsi="Times New Roman"/>
          <w:lang w:eastAsia="en-CA"/>
        </w:rPr>
        <w:t>procurement</w:t>
      </w:r>
      <w:r w:rsidR="00900061" w:rsidRPr="00E168A1">
        <w:rPr>
          <w:rFonts w:ascii="Times New Roman" w:hAnsi="Times New Roman"/>
          <w:lang w:eastAsia="en-CA"/>
        </w:rPr>
        <w:t xml:space="preserve"> </w:t>
      </w:r>
      <w:r w:rsidRPr="00E168A1">
        <w:rPr>
          <w:rFonts w:ascii="Times New Roman" w:hAnsi="Times New Roman"/>
          <w:lang w:eastAsia="en-CA"/>
        </w:rPr>
        <w:t>processes</w:t>
      </w:r>
      <w:r w:rsidR="00900061" w:rsidRPr="00E168A1">
        <w:rPr>
          <w:rFonts w:ascii="Times New Roman" w:hAnsi="Times New Roman"/>
          <w:lang w:eastAsia="en-CA"/>
        </w:rPr>
        <w:t xml:space="preserve"> </w:t>
      </w:r>
      <w:r w:rsidRPr="00E168A1">
        <w:rPr>
          <w:rFonts w:ascii="Times New Roman" w:hAnsi="Times New Roman"/>
          <w:lang w:eastAsia="en-CA"/>
        </w:rPr>
        <w:t>in</w:t>
      </w:r>
      <w:r w:rsidR="00900061" w:rsidRPr="00E168A1">
        <w:rPr>
          <w:rFonts w:ascii="Times New Roman" w:hAnsi="Times New Roman"/>
          <w:lang w:eastAsia="en-CA"/>
        </w:rPr>
        <w:t xml:space="preserve"> </w:t>
      </w:r>
      <w:r w:rsidRPr="00E168A1">
        <w:rPr>
          <w:rFonts w:ascii="Times New Roman" w:hAnsi="Times New Roman"/>
          <w:lang w:eastAsia="en-CA"/>
        </w:rPr>
        <w:t>practice,</w:t>
      </w:r>
      <w:r w:rsidR="00900061" w:rsidRPr="00E168A1">
        <w:rPr>
          <w:rFonts w:ascii="Times New Roman" w:hAnsi="Times New Roman"/>
          <w:lang w:eastAsia="en-CA"/>
        </w:rPr>
        <w:t xml:space="preserve"> </w:t>
      </w:r>
      <w:r w:rsidRPr="00E168A1">
        <w:rPr>
          <w:rFonts w:ascii="Times New Roman" w:hAnsi="Times New Roman"/>
          <w:lang w:eastAsia="en-CA"/>
        </w:rPr>
        <w:t>in</w:t>
      </w:r>
      <w:r w:rsidR="00900061" w:rsidRPr="00E168A1">
        <w:rPr>
          <w:rFonts w:ascii="Times New Roman" w:hAnsi="Times New Roman"/>
          <w:lang w:eastAsia="en-CA"/>
        </w:rPr>
        <w:t xml:space="preserve"> </w:t>
      </w:r>
      <w:r w:rsidRPr="00E168A1">
        <w:rPr>
          <w:rFonts w:ascii="Times New Roman" w:hAnsi="Times New Roman"/>
          <w:lang w:eastAsia="en-CA"/>
        </w:rPr>
        <w:t>line</w:t>
      </w:r>
      <w:r w:rsidR="00900061" w:rsidRPr="00E168A1">
        <w:rPr>
          <w:rFonts w:ascii="Times New Roman" w:hAnsi="Times New Roman"/>
          <w:lang w:eastAsia="en-CA"/>
        </w:rPr>
        <w:t xml:space="preserve"> </w:t>
      </w:r>
      <w:r w:rsidRPr="00E168A1">
        <w:rPr>
          <w:rFonts w:ascii="Times New Roman" w:hAnsi="Times New Roman"/>
          <w:lang w:eastAsia="en-CA"/>
        </w:rPr>
        <w:t>with</w:t>
      </w:r>
      <w:r w:rsidR="00900061" w:rsidRPr="00E168A1">
        <w:rPr>
          <w:rFonts w:ascii="Times New Roman" w:hAnsi="Times New Roman"/>
          <w:lang w:eastAsia="en-CA"/>
        </w:rPr>
        <w:t xml:space="preserve"> </w:t>
      </w:r>
      <w:r w:rsidR="000D197C" w:rsidRPr="00E168A1">
        <w:rPr>
          <w:rFonts w:ascii="Times New Roman" w:hAnsi="Times New Roman"/>
          <w:lang w:eastAsia="en-CA"/>
        </w:rPr>
        <w:t>A</w:t>
      </w:r>
      <w:r w:rsidRPr="00E168A1">
        <w:rPr>
          <w:rFonts w:ascii="Times New Roman" w:hAnsi="Times New Roman"/>
          <w:lang w:eastAsia="en-CA"/>
        </w:rPr>
        <w:t>rticle</w:t>
      </w:r>
      <w:r w:rsidR="00900061" w:rsidRPr="00E168A1">
        <w:rPr>
          <w:rFonts w:ascii="Times New Roman" w:hAnsi="Times New Roman"/>
          <w:lang w:eastAsia="en-CA"/>
        </w:rPr>
        <w:t xml:space="preserve"> </w:t>
      </w:r>
      <w:r w:rsidRPr="00E168A1">
        <w:rPr>
          <w:rFonts w:ascii="Times New Roman" w:hAnsi="Times New Roman"/>
          <w:lang w:eastAsia="en-CA"/>
        </w:rPr>
        <w:t>163</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PPL.</w:t>
      </w:r>
    </w:p>
    <w:p w14:paraId="3997F1F2" w14:textId="2EC50016" w:rsidR="00AE54E5" w:rsidRPr="00E168A1" w:rsidRDefault="00AE54E5" w:rsidP="00645878">
      <w:pPr>
        <w:pStyle w:val="ListParagraph"/>
        <w:numPr>
          <w:ilvl w:val="0"/>
          <w:numId w:val="9"/>
        </w:numPr>
        <w:ind w:left="0" w:firstLine="0"/>
        <w:contextualSpacing w:val="0"/>
        <w:rPr>
          <w:rFonts w:ascii="Times New Roman" w:hAnsi="Times New Roman"/>
          <w:lang w:eastAsia="en-CA"/>
        </w:rPr>
      </w:pP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RC</w:t>
      </w:r>
      <w:r w:rsidR="00900061" w:rsidRPr="00E168A1">
        <w:rPr>
          <w:rFonts w:ascii="Times New Roman" w:eastAsia="Times New Roman" w:hAnsi="Times New Roman"/>
          <w:b/>
        </w:rPr>
        <w:t xml:space="preserve"> </w:t>
      </w:r>
      <w:r w:rsidRPr="00E168A1">
        <w:rPr>
          <w:rFonts w:ascii="Times New Roman" w:eastAsia="Times New Roman" w:hAnsi="Times New Roman"/>
          <w:b/>
        </w:rPr>
        <w:t>faces</w:t>
      </w:r>
      <w:r w:rsidR="00900061" w:rsidRPr="00E168A1">
        <w:rPr>
          <w:rFonts w:ascii="Times New Roman" w:eastAsia="Times New Roman" w:hAnsi="Times New Roman"/>
          <w:b/>
        </w:rPr>
        <w:t xml:space="preserve"> </w:t>
      </w:r>
      <w:r w:rsidRPr="00E168A1">
        <w:rPr>
          <w:rFonts w:ascii="Times New Roman" w:eastAsia="Times New Roman" w:hAnsi="Times New Roman"/>
          <w:b/>
        </w:rPr>
        <w:t>significant</w:t>
      </w:r>
      <w:r w:rsidR="00900061" w:rsidRPr="00E168A1">
        <w:rPr>
          <w:rFonts w:ascii="Times New Roman" w:eastAsia="Times New Roman" w:hAnsi="Times New Roman"/>
          <w:b/>
        </w:rPr>
        <w:t xml:space="preserve"> </w:t>
      </w:r>
      <w:r w:rsidRPr="00E168A1">
        <w:rPr>
          <w:rFonts w:ascii="Times New Roman" w:eastAsia="Times New Roman" w:hAnsi="Times New Roman"/>
          <w:b/>
        </w:rPr>
        <w:t>challenges</w:t>
      </w:r>
      <w:r w:rsidR="00900061" w:rsidRPr="00E168A1">
        <w:rPr>
          <w:rFonts w:ascii="Times New Roman" w:eastAsia="Times New Roman" w:hAnsi="Times New Roman"/>
          <w:b/>
        </w:rPr>
        <w:t xml:space="preserve"> </w:t>
      </w:r>
      <w:r w:rsidRPr="00E168A1">
        <w:rPr>
          <w:rFonts w:ascii="Times New Roman" w:eastAsia="Times New Roman" w:hAnsi="Times New Roman"/>
          <w:b/>
        </w:rPr>
        <w:t>to</w:t>
      </w:r>
      <w:r w:rsidR="00900061" w:rsidRPr="00E168A1">
        <w:rPr>
          <w:rFonts w:ascii="Times New Roman" w:eastAsia="Times New Roman" w:hAnsi="Times New Roman"/>
          <w:b/>
        </w:rPr>
        <w:t xml:space="preserve"> </w:t>
      </w:r>
      <w:r w:rsidRPr="00E168A1">
        <w:rPr>
          <w:rFonts w:ascii="Times New Roman" w:eastAsia="Times New Roman" w:hAnsi="Times New Roman"/>
          <w:b/>
        </w:rPr>
        <w:t>cope</w:t>
      </w:r>
      <w:r w:rsidR="00900061" w:rsidRPr="00E168A1">
        <w:rPr>
          <w:rFonts w:ascii="Times New Roman" w:eastAsia="Times New Roman" w:hAnsi="Times New Roman"/>
          <w:b/>
        </w:rPr>
        <w:t xml:space="preserve"> </w:t>
      </w:r>
      <w:r w:rsidRPr="00E168A1">
        <w:rPr>
          <w:rFonts w:ascii="Times New Roman" w:eastAsia="Times New Roman" w:hAnsi="Times New Roman"/>
          <w:b/>
        </w:rPr>
        <w:t>with</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growing</w:t>
      </w:r>
      <w:r w:rsidR="00900061" w:rsidRPr="00E168A1">
        <w:rPr>
          <w:rFonts w:ascii="Times New Roman" w:eastAsia="Times New Roman" w:hAnsi="Times New Roman"/>
          <w:b/>
        </w:rPr>
        <w:t xml:space="preserve"> </w:t>
      </w:r>
      <w:r w:rsidRPr="00E168A1">
        <w:rPr>
          <w:rFonts w:ascii="Times New Roman" w:eastAsia="Times New Roman" w:hAnsi="Times New Roman"/>
          <w:b/>
        </w:rPr>
        <w:t>number</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appeals</w:t>
      </w:r>
      <w:r w:rsidR="00900061" w:rsidRPr="00E168A1">
        <w:rPr>
          <w:rFonts w:ascii="Times New Roman" w:eastAsia="Times New Roman" w:hAnsi="Times New Roman"/>
          <w:b/>
        </w:rPr>
        <w:t xml:space="preserve"> </w:t>
      </w:r>
      <w:r w:rsidR="003D4B85" w:rsidRPr="00E168A1">
        <w:rPr>
          <w:rFonts w:ascii="Times New Roman" w:eastAsia="Times New Roman" w:hAnsi="Times New Roman"/>
          <w:b/>
        </w:rPr>
        <w:t>promptly</w:t>
      </w:r>
      <w:r w:rsidRPr="00E168A1">
        <w:rPr>
          <w:rFonts w:ascii="Times New Roman" w:eastAsia="Times New Roman" w:hAnsi="Times New Roman"/>
          <w:b/>
        </w:rPr>
        <w:t>.</w:t>
      </w:r>
      <w:r w:rsidR="00900061" w:rsidRPr="00E168A1">
        <w:rPr>
          <w:rFonts w:ascii="Times New Roman" w:eastAsia="Times New Roman" w:hAnsi="Times New Roman"/>
          <w:b/>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appeals</w:t>
      </w:r>
      <w:r w:rsidR="00900061" w:rsidRPr="00E168A1">
        <w:rPr>
          <w:rFonts w:ascii="Times New Roman" w:eastAsia="Times New Roman" w:hAnsi="Times New Roman"/>
        </w:rPr>
        <w:t xml:space="preserve"> </w:t>
      </w:r>
      <w:r w:rsidRPr="00E168A1">
        <w:rPr>
          <w:rFonts w:ascii="Times New Roman" w:eastAsia="Times New Roman" w:hAnsi="Times New Roman"/>
        </w:rPr>
        <w:t>submitted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eastAsia="Times New Roman" w:hAnsi="Times New Roman"/>
        </w:rPr>
        <w:t>has</w:t>
      </w:r>
      <w:r w:rsidR="00900061" w:rsidRPr="00E168A1">
        <w:rPr>
          <w:rFonts w:ascii="Times New Roman" w:eastAsia="Times New Roman" w:hAnsi="Times New Roman"/>
        </w:rPr>
        <w:t xml:space="preserve"> </w:t>
      </w:r>
      <w:r w:rsidRPr="00E168A1">
        <w:rPr>
          <w:rFonts w:ascii="Times New Roman" w:eastAsia="Times New Roman" w:hAnsi="Times New Roman"/>
        </w:rPr>
        <w:t>increased</w:t>
      </w:r>
      <w:r w:rsidR="00900061" w:rsidRPr="00E168A1">
        <w:rPr>
          <w:rFonts w:ascii="Times New Roman" w:eastAsia="Times New Roman" w:hAnsi="Times New Roman"/>
        </w:rPr>
        <w:t xml:space="preserve"> </w:t>
      </w:r>
      <w:r w:rsidRPr="00E168A1">
        <w:rPr>
          <w:rFonts w:ascii="Times New Roman" w:eastAsia="Times New Roman" w:hAnsi="Times New Roman"/>
        </w:rPr>
        <w:t>significantly</w:t>
      </w:r>
      <w:r w:rsidR="00900061" w:rsidRPr="00E168A1">
        <w:rPr>
          <w:rFonts w:ascii="Times New Roman" w:eastAsia="Times New Roman" w:hAnsi="Times New Roman"/>
        </w:rPr>
        <w:t xml:space="preserve"> </w:t>
      </w:r>
      <w:r w:rsidRPr="00E168A1">
        <w:rPr>
          <w:rFonts w:ascii="Times New Roman" w:eastAsia="Times New Roman" w:hAnsi="Times New Roman"/>
        </w:rPr>
        <w:t>(2</w:t>
      </w:r>
      <w:r w:rsidR="0031542A" w:rsidRPr="00E168A1">
        <w:rPr>
          <w:rFonts w:ascii="Times New Roman" w:eastAsia="Times New Roman" w:hAnsi="Times New Roman"/>
        </w:rPr>
        <w:t>,</w:t>
      </w:r>
      <w:r w:rsidRPr="00E168A1">
        <w:rPr>
          <w:rFonts w:ascii="Times New Roman" w:eastAsia="Times New Roman" w:hAnsi="Times New Roman"/>
        </w:rPr>
        <w:t>067</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Pr="00E168A1">
        <w:rPr>
          <w:rFonts w:ascii="Times New Roman" w:eastAsia="Times New Roman" w:hAnsi="Times New Roman"/>
        </w:rPr>
        <w:t>were</w:t>
      </w:r>
      <w:r w:rsidR="00900061" w:rsidRPr="00E168A1">
        <w:rPr>
          <w:rFonts w:ascii="Times New Roman" w:eastAsia="Times New Roman" w:hAnsi="Times New Roman"/>
        </w:rPr>
        <w:t xml:space="preserve"> </w:t>
      </w:r>
      <w:r w:rsidRPr="00E168A1">
        <w:rPr>
          <w:rFonts w:ascii="Times New Roman" w:eastAsia="Times New Roman" w:hAnsi="Times New Roman"/>
        </w:rPr>
        <w:t>received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compared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1</w:t>
      </w:r>
      <w:r w:rsidR="0031542A" w:rsidRPr="00E168A1">
        <w:rPr>
          <w:rFonts w:ascii="Times New Roman" w:eastAsia="Times New Roman" w:hAnsi="Times New Roman"/>
        </w:rPr>
        <w:t>,</w:t>
      </w:r>
      <w:r w:rsidRPr="00E168A1">
        <w:rPr>
          <w:rFonts w:ascii="Times New Roman" w:eastAsia="Times New Roman" w:hAnsi="Times New Roman"/>
        </w:rPr>
        <w:t>622</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eastAsia="Times New Roman" w:hAnsi="Times New Roman"/>
        </w:rPr>
        <w:t>held</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total</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422</w:t>
      </w:r>
      <w:r w:rsidR="00900061" w:rsidRPr="00E168A1">
        <w:rPr>
          <w:rFonts w:ascii="Times New Roman" w:eastAsia="Times New Roman" w:hAnsi="Times New Roman"/>
        </w:rPr>
        <w:t xml:space="preserve"> </w:t>
      </w:r>
      <w:r w:rsidRPr="00E168A1">
        <w:rPr>
          <w:rFonts w:ascii="Times New Roman" w:eastAsia="Times New Roman" w:hAnsi="Times New Roman"/>
        </w:rPr>
        <w:t>sessions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made</w:t>
      </w:r>
      <w:r w:rsidR="00900061" w:rsidRPr="00E168A1">
        <w:rPr>
          <w:rFonts w:ascii="Times New Roman" w:eastAsia="Times New Roman" w:hAnsi="Times New Roman"/>
        </w:rPr>
        <w:t xml:space="preserve"> </w:t>
      </w:r>
      <w:r w:rsidRPr="00E168A1">
        <w:rPr>
          <w:rFonts w:ascii="Times New Roman" w:eastAsia="Times New Roman" w:hAnsi="Times New Roman"/>
        </w:rPr>
        <w:t>1</w:t>
      </w:r>
      <w:r w:rsidR="0031542A" w:rsidRPr="00E168A1">
        <w:rPr>
          <w:rFonts w:ascii="Times New Roman" w:eastAsia="Times New Roman" w:hAnsi="Times New Roman"/>
        </w:rPr>
        <w:t>,</w:t>
      </w:r>
      <w:r w:rsidRPr="00E168A1">
        <w:rPr>
          <w:rFonts w:ascii="Times New Roman" w:eastAsia="Times New Roman" w:hAnsi="Times New Roman"/>
        </w:rPr>
        <w:t>879</w:t>
      </w:r>
      <w:r w:rsidR="00900061" w:rsidRPr="00E168A1">
        <w:rPr>
          <w:rFonts w:ascii="Times New Roman" w:eastAsia="Times New Roman" w:hAnsi="Times New Roman"/>
        </w:rPr>
        <w:t xml:space="preserve"> </w:t>
      </w:r>
      <w:r w:rsidRPr="00E168A1">
        <w:rPr>
          <w:rFonts w:ascii="Times New Roman" w:eastAsia="Times New Roman" w:hAnsi="Times New Roman"/>
        </w:rPr>
        <w:t>decisions.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same</w:t>
      </w:r>
      <w:r w:rsidR="00900061" w:rsidRPr="00E168A1">
        <w:rPr>
          <w:rFonts w:ascii="Times New Roman" w:eastAsia="Times New Roman" w:hAnsi="Times New Roman"/>
        </w:rPr>
        <w:t xml:space="preserve"> </w:t>
      </w:r>
      <w:r w:rsidRPr="00E168A1">
        <w:rPr>
          <w:rFonts w:ascii="Times New Roman" w:eastAsia="Times New Roman" w:hAnsi="Times New Roman"/>
        </w:rPr>
        <w:t>year,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eastAsia="Times New Roman" w:hAnsi="Times New Roman"/>
        </w:rPr>
        <w:t>built</w:t>
      </w:r>
      <w:r w:rsidR="00900061" w:rsidRPr="00E168A1">
        <w:rPr>
          <w:rFonts w:ascii="Times New Roman" w:eastAsia="Times New Roman" w:hAnsi="Times New Roman"/>
        </w:rPr>
        <w:t xml:space="preserve"> </w:t>
      </w:r>
      <w:r w:rsidRPr="00E168A1">
        <w:rPr>
          <w:rFonts w:ascii="Times New Roman" w:eastAsia="Times New Roman" w:hAnsi="Times New Roman"/>
        </w:rPr>
        <w:t>up</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enforcement</w:t>
      </w:r>
      <w:r w:rsidR="00900061" w:rsidRPr="00E168A1">
        <w:rPr>
          <w:rFonts w:ascii="Times New Roman" w:eastAsia="Times New Roman" w:hAnsi="Times New Roman"/>
        </w:rPr>
        <w:t xml:space="preserve"> </w:t>
      </w:r>
      <w:r w:rsidRPr="00E168A1">
        <w:rPr>
          <w:rFonts w:ascii="Times New Roman" w:eastAsia="Times New Roman" w:hAnsi="Times New Roman"/>
        </w:rPr>
        <w:t>record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reviewing</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implementation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635</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decisions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concluded</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041336"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24</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Pr="00E168A1">
        <w:rPr>
          <w:rFonts w:ascii="Times New Roman" w:eastAsia="Times New Roman" w:hAnsi="Times New Roman"/>
        </w:rPr>
        <w:t>they</w:t>
      </w:r>
      <w:r w:rsidR="00900061" w:rsidRPr="00E168A1">
        <w:rPr>
          <w:rFonts w:ascii="Times New Roman" w:eastAsia="Times New Roman" w:hAnsi="Times New Roman"/>
        </w:rPr>
        <w:t xml:space="preserve"> </w:t>
      </w:r>
      <w:r w:rsidRPr="00E168A1">
        <w:rPr>
          <w:rFonts w:ascii="Times New Roman" w:eastAsia="Times New Roman" w:hAnsi="Times New Roman"/>
        </w:rPr>
        <w:t>had</w:t>
      </w:r>
      <w:r w:rsidR="00900061" w:rsidRPr="00E168A1">
        <w:rPr>
          <w:rFonts w:ascii="Times New Roman" w:eastAsia="Times New Roman" w:hAnsi="Times New Roman"/>
        </w:rPr>
        <w:t xml:space="preserve"> </w:t>
      </w:r>
      <w:r w:rsidRPr="00E168A1">
        <w:rPr>
          <w:rFonts w:ascii="Times New Roman" w:eastAsia="Times New Roman" w:hAnsi="Times New Roman"/>
        </w:rPr>
        <w:t>not</w:t>
      </w:r>
      <w:r w:rsidR="00900061" w:rsidRPr="00E168A1">
        <w:rPr>
          <w:rFonts w:ascii="Times New Roman" w:eastAsia="Times New Roman" w:hAnsi="Times New Roman"/>
        </w:rPr>
        <w:t xml:space="preserve"> </w:t>
      </w:r>
      <w:r w:rsidRPr="00E168A1">
        <w:rPr>
          <w:rFonts w:ascii="Times New Roman" w:eastAsia="Times New Roman" w:hAnsi="Times New Roman"/>
        </w:rPr>
        <w:t>been</w:t>
      </w:r>
      <w:r w:rsidR="00900061" w:rsidRPr="00E168A1">
        <w:rPr>
          <w:rFonts w:ascii="Times New Roman" w:eastAsia="Times New Roman" w:hAnsi="Times New Roman"/>
        </w:rPr>
        <w:t xml:space="preserve"> </w:t>
      </w:r>
      <w:r w:rsidRPr="00E168A1">
        <w:rPr>
          <w:rFonts w:ascii="Times New Roman" w:eastAsia="Times New Roman" w:hAnsi="Times New Roman"/>
        </w:rPr>
        <w:t>properly</w:t>
      </w:r>
      <w:r w:rsidR="00900061" w:rsidRPr="00E168A1">
        <w:rPr>
          <w:rFonts w:ascii="Times New Roman" w:eastAsia="Times New Roman" w:hAnsi="Times New Roman"/>
        </w:rPr>
        <w:t xml:space="preserve"> </w:t>
      </w:r>
      <w:r w:rsidRPr="00E168A1">
        <w:rPr>
          <w:rFonts w:ascii="Times New Roman" w:eastAsia="Times New Roman" w:hAnsi="Times New Roman"/>
        </w:rPr>
        <w:t>enforced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31542A" w:rsidRPr="00E168A1">
        <w:rPr>
          <w:rFonts w:ascii="Times New Roman" w:eastAsia="Times New Roman" w:hAnsi="Times New Roman"/>
        </w:rPr>
        <w:t>.</w:t>
      </w:r>
      <w:r w:rsidRPr="00E168A1">
        <w:rPr>
          <w:rStyle w:val="FootnoteReference"/>
          <w:rFonts w:ascii="Times New Roman" w:eastAsia="Times New Roman" w:hAnsi="Times New Roman"/>
        </w:rPr>
        <w:footnoteReference w:id="54"/>
      </w:r>
      <w:r w:rsidR="00900061" w:rsidRPr="00E168A1">
        <w:rPr>
          <w:rFonts w:ascii="Times New Roman" w:eastAsia="Times New Roman" w:hAnsi="Times New Roman"/>
        </w:rPr>
        <w:t xml:space="preserve"> </w:t>
      </w:r>
      <w:r w:rsidRPr="00E168A1">
        <w:rPr>
          <w:rFonts w:ascii="Times New Roman" w:eastAsia="Times New Roman" w:hAnsi="Times New Roman"/>
        </w:rPr>
        <w:t>Although</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447621" w:rsidRPr="00E168A1">
        <w:rPr>
          <w:rFonts w:ascii="Times New Roman" w:eastAsia="Times New Roman" w:hAnsi="Times New Roman"/>
        </w:rPr>
        <w:t>RC’</w:t>
      </w:r>
      <w:r w:rsidRPr="00E168A1">
        <w:rPr>
          <w:rFonts w:ascii="Times New Roman" w:eastAsia="Times New Roman" w:hAnsi="Times New Roman"/>
        </w:rPr>
        <w:t>s</w:t>
      </w:r>
      <w:r w:rsidR="00900061" w:rsidRPr="00E168A1">
        <w:rPr>
          <w:rFonts w:ascii="Times New Roman" w:eastAsia="Times New Roman" w:hAnsi="Times New Roman"/>
        </w:rPr>
        <w:t xml:space="preserve"> </w:t>
      </w:r>
      <w:r w:rsidRPr="00E168A1">
        <w:rPr>
          <w:rFonts w:ascii="Times New Roman" w:eastAsia="Times New Roman" w:hAnsi="Times New Roman"/>
        </w:rPr>
        <w:t>average</w:t>
      </w:r>
      <w:r w:rsidR="00900061" w:rsidRPr="00E168A1">
        <w:rPr>
          <w:rFonts w:ascii="Times New Roman" w:eastAsia="Times New Roman" w:hAnsi="Times New Roman"/>
        </w:rPr>
        <w:t xml:space="preserve"> </w:t>
      </w:r>
      <w:r w:rsidRPr="00E168A1">
        <w:rPr>
          <w:rFonts w:ascii="Times New Roman" w:eastAsia="Times New Roman" w:hAnsi="Times New Roman"/>
        </w:rPr>
        <w:t>time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resolve</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request</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protection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rights</w:t>
      </w:r>
      <w:r w:rsidR="00900061" w:rsidRPr="00E168A1">
        <w:rPr>
          <w:rFonts w:ascii="Times New Roman" w:eastAsia="Times New Roman" w:hAnsi="Times New Roman"/>
        </w:rPr>
        <w:t xml:space="preserve"> </w:t>
      </w:r>
      <w:r w:rsidRPr="00E168A1">
        <w:rPr>
          <w:rFonts w:ascii="Times New Roman" w:eastAsia="Times New Roman" w:hAnsi="Times New Roman"/>
        </w:rPr>
        <w:t>was</w:t>
      </w:r>
      <w:r w:rsidR="00900061" w:rsidRPr="00E168A1">
        <w:rPr>
          <w:rFonts w:ascii="Times New Roman" w:eastAsia="Times New Roman" w:hAnsi="Times New Roman"/>
        </w:rPr>
        <w:t xml:space="preserve"> </w:t>
      </w:r>
      <w:r w:rsidRPr="00E168A1">
        <w:rPr>
          <w:rFonts w:ascii="Times New Roman" w:eastAsia="Times New Roman" w:hAnsi="Times New Roman"/>
        </w:rPr>
        <w:t>within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time</w:t>
      </w:r>
      <w:r w:rsidR="00900061" w:rsidRPr="00E168A1">
        <w:rPr>
          <w:rFonts w:ascii="Times New Roman" w:eastAsia="Times New Roman" w:hAnsi="Times New Roman"/>
        </w:rPr>
        <w:t xml:space="preserve"> </w:t>
      </w:r>
      <w:r w:rsidRPr="00E168A1">
        <w:rPr>
          <w:rFonts w:ascii="Times New Roman" w:eastAsia="Times New Roman" w:hAnsi="Times New Roman"/>
        </w:rPr>
        <w:t>limit</w:t>
      </w:r>
      <w:r w:rsidR="00900061" w:rsidRPr="00E168A1">
        <w:rPr>
          <w:rFonts w:ascii="Times New Roman" w:eastAsia="Times New Roman" w:hAnsi="Times New Roman"/>
        </w:rPr>
        <w:t xml:space="preserve"> </w:t>
      </w:r>
      <w:r w:rsidRPr="00E168A1">
        <w:rPr>
          <w:rFonts w:ascii="Times New Roman" w:eastAsia="Times New Roman" w:hAnsi="Times New Roman"/>
        </w:rPr>
        <w:t>imparted</w:t>
      </w:r>
      <w:r w:rsidR="00900061" w:rsidRPr="00E168A1">
        <w:rPr>
          <w:rFonts w:ascii="Times New Roman" w:eastAsia="Times New Roman" w:hAnsi="Times New Roman"/>
        </w:rPr>
        <w:t xml:space="preserve"> </w:t>
      </w:r>
      <w:r w:rsidRPr="00E168A1">
        <w:rPr>
          <w:rFonts w:ascii="Times New Roman" w:eastAsia="Times New Roman" w:hAnsi="Times New Roman"/>
        </w:rPr>
        <w:t>(an</w:t>
      </w:r>
      <w:r w:rsidR="00900061" w:rsidRPr="00E168A1">
        <w:rPr>
          <w:rFonts w:ascii="Times New Roman" w:eastAsia="Times New Roman" w:hAnsi="Times New Roman"/>
        </w:rPr>
        <w:t xml:space="preserve"> </w:t>
      </w:r>
      <w:r w:rsidRPr="00E168A1">
        <w:rPr>
          <w:rFonts w:ascii="Times New Roman" w:eastAsia="Times New Roman" w:hAnsi="Times New Roman"/>
        </w:rPr>
        <w:t>average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19.26</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E97366"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thus</w:t>
      </w:r>
      <w:r w:rsidR="00900061" w:rsidRPr="00E168A1">
        <w:rPr>
          <w:rFonts w:ascii="Times New Roman" w:eastAsia="Times New Roman" w:hAnsi="Times New Roman"/>
        </w:rPr>
        <w:t xml:space="preserve"> </w:t>
      </w:r>
      <w:r w:rsidRPr="00E168A1">
        <w:rPr>
          <w:rFonts w:ascii="Times New Roman" w:eastAsia="Times New Roman" w:hAnsi="Times New Roman"/>
        </w:rPr>
        <w:t>within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20</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time</w:t>
      </w:r>
      <w:r w:rsidR="00900061" w:rsidRPr="00E168A1">
        <w:rPr>
          <w:rFonts w:ascii="Times New Roman" w:eastAsia="Times New Roman" w:hAnsi="Times New Roman"/>
        </w:rPr>
        <w:t xml:space="preserve"> </w:t>
      </w:r>
      <w:r w:rsidRPr="00E168A1">
        <w:rPr>
          <w:rFonts w:ascii="Times New Roman" w:eastAsia="Times New Roman" w:hAnsi="Times New Roman"/>
        </w:rPr>
        <w:t>limit)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PEFA</w:t>
      </w:r>
      <w:r w:rsidR="00900061" w:rsidRPr="00E168A1">
        <w:rPr>
          <w:rFonts w:ascii="Times New Roman" w:eastAsia="Times New Roman" w:hAnsi="Times New Roman"/>
        </w:rPr>
        <w:t xml:space="preserve"> </w:t>
      </w:r>
      <w:r w:rsidRPr="00E168A1">
        <w:rPr>
          <w:rFonts w:ascii="Times New Roman" w:eastAsia="Times New Roman" w:hAnsi="Times New Roman"/>
        </w:rPr>
        <w:t>assessment</w:t>
      </w:r>
      <w:r w:rsidR="00900061" w:rsidRPr="00E168A1">
        <w:rPr>
          <w:rFonts w:ascii="Times New Roman" w:eastAsia="Times New Roman" w:hAnsi="Times New Roman"/>
        </w:rPr>
        <w:t xml:space="preserve"> </w:t>
      </w:r>
      <w:r w:rsidRPr="00E168A1">
        <w:rPr>
          <w:rFonts w:ascii="Times New Roman" w:eastAsia="Times New Roman" w:hAnsi="Times New Roman"/>
        </w:rPr>
        <w:t>notes</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900061" w:rsidRPr="00E168A1">
        <w:rPr>
          <w:rFonts w:ascii="Times New Roman" w:eastAsia="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RC</w:t>
      </w:r>
      <w:r w:rsidR="00900061" w:rsidRPr="00E168A1">
        <w:rPr>
          <w:rFonts w:ascii="Times New Roman" w:hAnsi="Times New Roman"/>
          <w:lang w:eastAsia="en-CA"/>
        </w:rPr>
        <w:t xml:space="preserve"> </w:t>
      </w:r>
      <w:r w:rsidRPr="00E168A1">
        <w:rPr>
          <w:rFonts w:ascii="Times New Roman" w:hAnsi="Times New Roman"/>
          <w:lang w:eastAsia="en-CA"/>
        </w:rPr>
        <w:t>mainly</w:t>
      </w:r>
      <w:r w:rsidR="00900061" w:rsidRPr="00E168A1">
        <w:rPr>
          <w:rFonts w:ascii="Times New Roman" w:hAnsi="Times New Roman"/>
          <w:lang w:eastAsia="en-CA"/>
        </w:rPr>
        <w:t xml:space="preserve"> </w:t>
      </w:r>
      <w:r w:rsidRPr="00E168A1">
        <w:rPr>
          <w:rFonts w:ascii="Times New Roman" w:hAnsi="Times New Roman"/>
          <w:lang w:eastAsia="en-CA"/>
        </w:rPr>
        <w:t>makes</w:t>
      </w:r>
      <w:r w:rsidR="00900061" w:rsidRPr="00E168A1">
        <w:rPr>
          <w:rFonts w:ascii="Times New Roman" w:hAnsi="Times New Roman"/>
          <w:lang w:eastAsia="en-CA"/>
        </w:rPr>
        <w:t xml:space="preserve"> </w:t>
      </w:r>
      <w:r w:rsidRPr="00E168A1">
        <w:rPr>
          <w:rFonts w:ascii="Times New Roman" w:hAnsi="Times New Roman"/>
          <w:lang w:eastAsia="en-CA"/>
        </w:rPr>
        <w:t>and</w:t>
      </w:r>
      <w:r w:rsidR="00900061" w:rsidRPr="00E168A1">
        <w:rPr>
          <w:rFonts w:ascii="Times New Roman" w:hAnsi="Times New Roman"/>
          <w:lang w:eastAsia="en-CA"/>
        </w:rPr>
        <w:t xml:space="preserve"> </w:t>
      </w:r>
      <w:r w:rsidRPr="00E168A1">
        <w:rPr>
          <w:rFonts w:ascii="Times New Roman" w:hAnsi="Times New Roman"/>
          <w:lang w:eastAsia="en-CA"/>
        </w:rPr>
        <w:t>delivers</w:t>
      </w:r>
      <w:r w:rsidR="00900061" w:rsidRPr="00E168A1">
        <w:rPr>
          <w:rFonts w:ascii="Times New Roman" w:hAnsi="Times New Roman"/>
          <w:lang w:eastAsia="en-CA"/>
        </w:rPr>
        <w:t xml:space="preserve"> </w:t>
      </w:r>
      <w:r w:rsidRPr="00E168A1">
        <w:rPr>
          <w:rFonts w:ascii="Times New Roman" w:hAnsi="Times New Roman"/>
          <w:lang w:eastAsia="en-CA"/>
        </w:rPr>
        <w:t>decisions</w:t>
      </w:r>
      <w:r w:rsidR="00900061" w:rsidRPr="00E168A1">
        <w:rPr>
          <w:rFonts w:ascii="Times New Roman" w:hAnsi="Times New Roman"/>
          <w:lang w:eastAsia="en-CA"/>
        </w:rPr>
        <w:t xml:space="preserve"> </w:t>
      </w:r>
      <w:r w:rsidRPr="00E168A1">
        <w:rPr>
          <w:rFonts w:ascii="Times New Roman" w:hAnsi="Times New Roman"/>
          <w:lang w:eastAsia="en-CA"/>
        </w:rPr>
        <w:t>within</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time</w:t>
      </w:r>
      <w:r w:rsidR="00041336" w:rsidRPr="00E168A1">
        <w:rPr>
          <w:rFonts w:ascii="Times New Roman" w:hAnsi="Times New Roman"/>
          <w:lang w:eastAsia="en-CA"/>
        </w:rPr>
        <w:t xml:space="preserve"> </w:t>
      </w:r>
      <w:r w:rsidRPr="00E168A1">
        <w:rPr>
          <w:rFonts w:ascii="Times New Roman" w:hAnsi="Times New Roman"/>
          <w:lang w:eastAsia="en-CA"/>
        </w:rPr>
        <w:t>frame</w:t>
      </w:r>
      <w:r w:rsidR="00900061" w:rsidRPr="00E168A1">
        <w:rPr>
          <w:rFonts w:ascii="Times New Roman" w:hAnsi="Times New Roman"/>
          <w:lang w:eastAsia="en-CA"/>
        </w:rPr>
        <w:t xml:space="preserve"> </w:t>
      </w:r>
      <w:r w:rsidRPr="00E168A1">
        <w:rPr>
          <w:rFonts w:ascii="Times New Roman" w:hAnsi="Times New Roman"/>
          <w:lang w:eastAsia="en-CA"/>
        </w:rPr>
        <w:t>specified</w:t>
      </w:r>
      <w:r w:rsidR="00900061" w:rsidRPr="00E168A1">
        <w:rPr>
          <w:rFonts w:ascii="Times New Roman" w:hAnsi="Times New Roman"/>
          <w:lang w:eastAsia="en-CA"/>
        </w:rPr>
        <w:t xml:space="preserve"> </w:t>
      </w:r>
      <w:r w:rsidRPr="00E168A1">
        <w:rPr>
          <w:rFonts w:ascii="Times New Roman" w:hAnsi="Times New Roman"/>
          <w:lang w:eastAsia="en-CA"/>
        </w:rPr>
        <w:t>in</w:t>
      </w:r>
      <w:r w:rsidR="00900061" w:rsidRPr="00E168A1">
        <w:rPr>
          <w:rFonts w:ascii="Times New Roman" w:hAnsi="Times New Roman"/>
          <w:lang w:eastAsia="en-CA"/>
        </w:rPr>
        <w:t xml:space="preserve"> </w:t>
      </w:r>
      <w:r w:rsidR="00650AEB" w:rsidRPr="00E168A1">
        <w:rPr>
          <w:rFonts w:ascii="Times New Roman" w:hAnsi="Times New Roman"/>
          <w:lang w:eastAsia="en-CA"/>
        </w:rPr>
        <w:t>A</w:t>
      </w:r>
      <w:r w:rsidRPr="00E168A1">
        <w:rPr>
          <w:rFonts w:ascii="Times New Roman" w:hAnsi="Times New Roman"/>
          <w:lang w:eastAsia="en-CA"/>
        </w:rPr>
        <w:t>rticle</w:t>
      </w:r>
      <w:r w:rsidR="00900061" w:rsidRPr="00E168A1">
        <w:rPr>
          <w:rFonts w:ascii="Times New Roman" w:hAnsi="Times New Roman"/>
          <w:lang w:eastAsia="en-CA"/>
        </w:rPr>
        <w:t xml:space="preserve"> </w:t>
      </w:r>
      <w:r w:rsidRPr="00E168A1">
        <w:rPr>
          <w:rFonts w:ascii="Times New Roman" w:hAnsi="Times New Roman"/>
          <w:lang w:eastAsia="en-CA"/>
        </w:rPr>
        <w:t>158</w:t>
      </w:r>
      <w:r w:rsidR="00900061" w:rsidRPr="00E168A1">
        <w:rPr>
          <w:rFonts w:ascii="Times New Roman" w:hAnsi="Times New Roman"/>
          <w:lang w:eastAsia="en-CA"/>
        </w:rPr>
        <w:t xml:space="preserve"> </w:t>
      </w:r>
      <w:r w:rsidRPr="00E168A1">
        <w:rPr>
          <w:rFonts w:ascii="Times New Roman" w:hAnsi="Times New Roman"/>
          <w:lang w:eastAsia="en-CA"/>
        </w:rPr>
        <w:t>of</w:t>
      </w:r>
      <w:r w:rsidR="00900061" w:rsidRPr="00E168A1">
        <w:rPr>
          <w:rFonts w:ascii="Times New Roman" w:hAnsi="Times New Roman"/>
          <w:lang w:eastAsia="en-CA"/>
        </w:rPr>
        <w:t xml:space="preserve"> </w:t>
      </w:r>
      <w:r w:rsidRPr="00E168A1">
        <w:rPr>
          <w:rFonts w:ascii="Times New Roman" w:hAnsi="Times New Roman"/>
          <w:lang w:eastAsia="en-CA"/>
        </w:rPr>
        <w:t>the</w:t>
      </w:r>
      <w:r w:rsidR="00900061" w:rsidRPr="00E168A1">
        <w:rPr>
          <w:rFonts w:ascii="Times New Roman" w:hAnsi="Times New Roman"/>
          <w:lang w:eastAsia="en-CA"/>
        </w:rPr>
        <w:t xml:space="preserve"> </w:t>
      </w:r>
      <w:r w:rsidRPr="00E168A1">
        <w:rPr>
          <w:rFonts w:ascii="Times New Roman" w:hAnsi="Times New Roman"/>
          <w:lang w:eastAsia="en-CA"/>
        </w:rPr>
        <w:t>PPL,</w:t>
      </w:r>
      <w:r w:rsidR="00900061" w:rsidRPr="00E168A1">
        <w:rPr>
          <w:rFonts w:ascii="Times New Roman" w:hAnsi="Times New Roman"/>
          <w:lang w:eastAsia="en-CA"/>
        </w:rPr>
        <w:t xml:space="preserve"> </w:t>
      </w:r>
      <w:r w:rsidRPr="00E168A1">
        <w:rPr>
          <w:rFonts w:ascii="Times New Roman" w:eastAsia="Times New Roman" w:hAnsi="Times New Roman"/>
        </w:rPr>
        <w:t>several</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reported</w:t>
      </w:r>
      <w:r w:rsidR="00900061" w:rsidRPr="00E168A1">
        <w:rPr>
          <w:rFonts w:ascii="Times New Roman" w:eastAsia="Times New Roman" w:hAnsi="Times New Roman"/>
        </w:rPr>
        <w:t xml:space="preserve"> </w:t>
      </w:r>
      <w:r w:rsidRPr="00E168A1">
        <w:rPr>
          <w:rFonts w:ascii="Times New Roman" w:eastAsia="Times New Roman" w:hAnsi="Times New Roman"/>
        </w:rPr>
        <w:t>delays,</w:t>
      </w:r>
      <w:r w:rsidR="00900061" w:rsidRPr="00E168A1">
        <w:rPr>
          <w:rFonts w:ascii="Times New Roman" w:eastAsia="Times New Roman" w:hAnsi="Times New Roman"/>
        </w:rPr>
        <w:t xml:space="preserve"> </w:t>
      </w:r>
      <w:r w:rsidRPr="00E168A1">
        <w:rPr>
          <w:rFonts w:ascii="Times New Roman" w:eastAsia="Times New Roman" w:hAnsi="Times New Roman"/>
        </w:rPr>
        <w:t>sometimes</w:t>
      </w:r>
      <w:r w:rsidR="00900061" w:rsidRPr="00E168A1">
        <w:rPr>
          <w:rFonts w:ascii="Times New Roman" w:eastAsia="Times New Roman" w:hAnsi="Times New Roman"/>
        </w:rPr>
        <w:t xml:space="preserve"> </w:t>
      </w:r>
      <w:r w:rsidRPr="00E168A1">
        <w:rPr>
          <w:rFonts w:ascii="Times New Roman" w:eastAsia="Times New Roman" w:hAnsi="Times New Roman"/>
        </w:rPr>
        <w:t>even</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noncomplex</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00E97366" w:rsidRPr="00E168A1">
        <w:rPr>
          <w:rFonts w:ascii="Times New Roman" w:eastAsia="Times New Roman" w:hAnsi="Times New Roman"/>
        </w:rPr>
        <w:t xml:space="preserve">All </w:t>
      </w:r>
      <w:r w:rsidRPr="00E168A1">
        <w:rPr>
          <w:rFonts w:ascii="Times New Roman" w:eastAsia="Times New Roman" w:hAnsi="Times New Roman"/>
        </w:rPr>
        <w:t>three</w:t>
      </w:r>
      <w:r w:rsidR="00900061" w:rsidRPr="00E168A1">
        <w:rPr>
          <w:rFonts w:ascii="Times New Roman" w:eastAsia="Times New Roman" w:hAnsi="Times New Roman"/>
        </w:rPr>
        <w:t xml:space="preserve"> </w:t>
      </w:r>
      <w:r w:rsidRPr="00E168A1">
        <w:rPr>
          <w:rFonts w:ascii="Times New Roman" w:eastAsia="Times New Roman" w:hAnsi="Times New Roman"/>
        </w:rPr>
        <w:t>requests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cancellation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contracts</w:t>
      </w:r>
      <w:r w:rsidR="00900061" w:rsidRPr="00E168A1">
        <w:rPr>
          <w:rFonts w:ascii="Times New Roman" w:eastAsia="Times New Roman" w:hAnsi="Times New Roman"/>
        </w:rPr>
        <w:t xml:space="preserve"> </w:t>
      </w:r>
      <w:r w:rsidRPr="00E168A1">
        <w:rPr>
          <w:rFonts w:ascii="Times New Roman" w:eastAsia="Times New Roman" w:hAnsi="Times New Roman"/>
        </w:rPr>
        <w:t>submitted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0B3BDA" w:rsidRPr="00E168A1">
        <w:rPr>
          <w:rFonts w:ascii="Times New Roman" w:eastAsia="Times New Roman" w:hAnsi="Times New Roman"/>
        </w:rPr>
        <w:t xml:space="preserve"> </w:t>
      </w:r>
      <w:r w:rsidRPr="00E168A1">
        <w:rPr>
          <w:rFonts w:ascii="Times New Roman" w:eastAsia="Times New Roman" w:hAnsi="Times New Roman"/>
        </w:rPr>
        <w:t>were</w:t>
      </w:r>
      <w:r w:rsidR="00900061" w:rsidRPr="00E168A1">
        <w:rPr>
          <w:rFonts w:ascii="Times New Roman" w:eastAsia="Times New Roman" w:hAnsi="Times New Roman"/>
        </w:rPr>
        <w:t xml:space="preserve"> </w:t>
      </w:r>
      <w:r w:rsidRPr="00E168A1">
        <w:rPr>
          <w:rFonts w:ascii="Times New Roman" w:eastAsia="Times New Roman" w:hAnsi="Times New Roman"/>
        </w:rPr>
        <w:t>considered</w:t>
      </w:r>
      <w:r w:rsidR="00900061" w:rsidRPr="00E168A1">
        <w:rPr>
          <w:rFonts w:ascii="Times New Roman" w:eastAsia="Times New Roman" w:hAnsi="Times New Roman"/>
        </w:rPr>
        <w:t xml:space="preserve"> </w:t>
      </w:r>
      <w:r w:rsidRPr="00E168A1">
        <w:rPr>
          <w:rFonts w:ascii="Times New Roman" w:eastAsia="Times New Roman" w:hAnsi="Times New Roman"/>
        </w:rPr>
        <w:t>unfounded</w:t>
      </w:r>
      <w:r w:rsidR="00900061" w:rsidRPr="00E168A1">
        <w:rPr>
          <w:rFonts w:ascii="Times New Roman" w:eastAsia="Times New Roman" w:hAnsi="Times New Roman"/>
        </w:rPr>
        <w:t xml:space="preserve"> </w:t>
      </w:r>
      <w:r w:rsidRPr="00E168A1">
        <w:rPr>
          <w:rFonts w:ascii="Times New Roman" w:eastAsia="Times New Roman" w:hAnsi="Times New Roman"/>
        </w:rPr>
        <w:t>but</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justification</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these</w:t>
      </w:r>
      <w:r w:rsidR="00900061" w:rsidRPr="00E168A1">
        <w:rPr>
          <w:rFonts w:ascii="Times New Roman" w:eastAsia="Times New Roman" w:hAnsi="Times New Roman"/>
        </w:rPr>
        <w:t xml:space="preserve"> </w:t>
      </w:r>
      <w:r w:rsidRPr="00E168A1">
        <w:rPr>
          <w:rFonts w:ascii="Times New Roman" w:eastAsia="Times New Roman" w:hAnsi="Times New Roman"/>
        </w:rPr>
        <w:t>decisions</w:t>
      </w:r>
      <w:r w:rsidR="00900061" w:rsidRPr="00E168A1">
        <w:rPr>
          <w:rFonts w:ascii="Times New Roman" w:eastAsia="Times New Roman" w:hAnsi="Times New Roman"/>
        </w:rPr>
        <w:t xml:space="preserve"> </w:t>
      </w:r>
      <w:r w:rsidRPr="00E168A1">
        <w:rPr>
          <w:rFonts w:ascii="Times New Roman" w:eastAsia="Times New Roman" w:hAnsi="Times New Roman"/>
        </w:rPr>
        <w:t>was</w:t>
      </w:r>
      <w:r w:rsidR="00900061" w:rsidRPr="00E168A1">
        <w:rPr>
          <w:rFonts w:ascii="Times New Roman" w:eastAsia="Times New Roman" w:hAnsi="Times New Roman"/>
        </w:rPr>
        <w:t xml:space="preserve"> </w:t>
      </w:r>
      <w:r w:rsidRPr="00E168A1">
        <w:rPr>
          <w:rFonts w:ascii="Times New Roman" w:eastAsia="Times New Roman" w:hAnsi="Times New Roman"/>
        </w:rPr>
        <w:t>considered</w:t>
      </w:r>
      <w:r w:rsidR="00900061" w:rsidRPr="00E168A1">
        <w:rPr>
          <w:rFonts w:ascii="Times New Roman" w:eastAsia="Times New Roman" w:hAnsi="Times New Roman"/>
        </w:rPr>
        <w:t xml:space="preserve"> </w:t>
      </w:r>
      <w:r w:rsidRPr="00E168A1">
        <w:rPr>
          <w:rFonts w:ascii="Times New Roman" w:eastAsia="Times New Roman" w:hAnsi="Times New Roman"/>
        </w:rPr>
        <w:t>insufficient.</w:t>
      </w:r>
      <w:r w:rsidR="00900061" w:rsidRPr="00E168A1">
        <w:rPr>
          <w:rFonts w:ascii="Times New Roman" w:eastAsia="Times New Roman" w:hAnsi="Times New Roman"/>
        </w:rPr>
        <w:t xml:space="preserve"> </w:t>
      </w:r>
      <w:r w:rsidRPr="00E168A1">
        <w:rPr>
          <w:rFonts w:ascii="Times New Roman" w:eastAsia="Times New Roman" w:hAnsi="Times New Roman"/>
        </w:rPr>
        <w:t>Some</w:t>
      </w:r>
      <w:r w:rsidR="00900061" w:rsidRPr="00E168A1">
        <w:rPr>
          <w:rFonts w:ascii="Times New Roman" w:eastAsia="Times New Roman" w:hAnsi="Times New Roman"/>
        </w:rPr>
        <w:t xml:space="preserve"> </w:t>
      </w:r>
      <w:r w:rsidRPr="00E168A1">
        <w:rPr>
          <w:rFonts w:ascii="Times New Roman" w:eastAsia="Times New Roman" w:hAnsi="Times New Roman"/>
        </w:rPr>
        <w:t>inconsistencies</w:t>
      </w:r>
      <w:r w:rsidR="00900061" w:rsidRPr="00E168A1">
        <w:rPr>
          <w:rFonts w:ascii="Times New Roman" w:eastAsia="Times New Roman" w:hAnsi="Times New Roman"/>
        </w:rPr>
        <w:t xml:space="preserve"> </w:t>
      </w:r>
      <w:r w:rsidRPr="00E168A1">
        <w:rPr>
          <w:rFonts w:ascii="Times New Roman" w:eastAsia="Times New Roman" w:hAnsi="Times New Roman"/>
        </w:rPr>
        <w:t>between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current</w:t>
      </w:r>
      <w:r w:rsidR="00900061" w:rsidRPr="00E168A1">
        <w:rPr>
          <w:rFonts w:ascii="Times New Roman" w:eastAsia="Times New Roman" w:hAnsi="Times New Roman"/>
        </w:rPr>
        <w:t xml:space="preserve"> </w:t>
      </w:r>
      <w:r w:rsidRPr="00E168A1">
        <w:rPr>
          <w:rFonts w:ascii="Times New Roman" w:eastAsia="Times New Roman" w:hAnsi="Times New Roman"/>
        </w:rPr>
        <w:t>Misdemeanour</w:t>
      </w:r>
      <w:r w:rsidR="00900061" w:rsidRPr="00E168A1">
        <w:rPr>
          <w:rFonts w:ascii="Times New Roman" w:eastAsia="Times New Roman" w:hAnsi="Times New Roman"/>
        </w:rPr>
        <w:t xml:space="preserve"> </w:t>
      </w:r>
      <w:r w:rsidRPr="00E168A1">
        <w:rPr>
          <w:rFonts w:ascii="Times New Roman" w:eastAsia="Times New Roman" w:hAnsi="Times New Roman"/>
        </w:rPr>
        <w:t>Law</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blocked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possibility</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initiating</w:t>
      </w:r>
      <w:r w:rsidR="00900061" w:rsidRPr="00E168A1">
        <w:rPr>
          <w:rFonts w:ascii="Times New Roman" w:eastAsia="Times New Roman" w:hAnsi="Times New Roman"/>
        </w:rPr>
        <w:t xml:space="preserve"> </w:t>
      </w:r>
      <w:r w:rsidRPr="00E168A1">
        <w:rPr>
          <w:rFonts w:ascii="Times New Roman" w:eastAsia="Times New Roman" w:hAnsi="Times New Roman"/>
        </w:rPr>
        <w:t>misdemeanour</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31542A" w:rsidRPr="00E168A1">
        <w:rPr>
          <w:rFonts w:ascii="Times New Roman" w:eastAsia="Times New Roman" w:hAnsi="Times New Roman"/>
        </w:rPr>
        <w:t>.</w:t>
      </w:r>
      <w:r w:rsidRPr="00E168A1">
        <w:rPr>
          <w:rStyle w:val="FootnoteReference"/>
          <w:rFonts w:ascii="Times New Roman" w:eastAsia="Times New Roman" w:hAnsi="Times New Roman"/>
        </w:rPr>
        <w:footnoteReference w:id="55"/>
      </w:r>
      <w:r w:rsidR="00900061" w:rsidRPr="00E168A1">
        <w:rPr>
          <w:rFonts w:ascii="Times New Roman" w:eastAsia="Times New Roman" w:hAnsi="Times New Roman"/>
        </w:rPr>
        <w:t xml:space="preserve"> </w:t>
      </w:r>
      <w:r w:rsidRPr="00E168A1">
        <w:rPr>
          <w:rFonts w:ascii="Times New Roman" w:eastAsia="Times New Roman" w:hAnsi="Times New Roman"/>
        </w:rPr>
        <w:t>Although</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447621" w:rsidRPr="00E168A1">
        <w:rPr>
          <w:rFonts w:ascii="Times New Roman" w:eastAsia="Times New Roman" w:hAnsi="Times New Roman"/>
        </w:rPr>
        <w:t>RC’</w:t>
      </w:r>
      <w:r w:rsidRPr="00E168A1">
        <w:rPr>
          <w:rFonts w:ascii="Times New Roman" w:eastAsia="Times New Roman" w:hAnsi="Times New Roman"/>
        </w:rPr>
        <w:t>s</w:t>
      </w:r>
      <w:r w:rsidR="00900061" w:rsidRPr="00E168A1">
        <w:rPr>
          <w:rFonts w:ascii="Times New Roman" w:eastAsia="Times New Roman" w:hAnsi="Times New Roman"/>
        </w:rPr>
        <w:t xml:space="preserve"> </w:t>
      </w:r>
      <w:r w:rsidRPr="00E168A1">
        <w:rPr>
          <w:rFonts w:ascii="Times New Roman" w:eastAsia="Times New Roman" w:hAnsi="Times New Roman"/>
        </w:rPr>
        <w:t>staff</w:t>
      </w:r>
      <w:r w:rsidR="00900061" w:rsidRPr="00E168A1">
        <w:rPr>
          <w:rFonts w:ascii="Times New Roman" w:eastAsia="Times New Roman" w:hAnsi="Times New Roman"/>
        </w:rPr>
        <w:t xml:space="preserve"> </w:t>
      </w:r>
      <w:r w:rsidRPr="00E168A1">
        <w:rPr>
          <w:rFonts w:ascii="Times New Roman" w:eastAsia="Times New Roman" w:hAnsi="Times New Roman"/>
        </w:rPr>
        <w:t>recently</w:t>
      </w:r>
      <w:r w:rsidR="00900061" w:rsidRPr="00E168A1">
        <w:rPr>
          <w:rFonts w:ascii="Times New Roman" w:eastAsia="Times New Roman" w:hAnsi="Times New Roman"/>
        </w:rPr>
        <w:t xml:space="preserve"> </w:t>
      </w:r>
      <w:r w:rsidRPr="00E168A1">
        <w:rPr>
          <w:rFonts w:ascii="Times New Roman" w:eastAsia="Times New Roman" w:hAnsi="Times New Roman"/>
        </w:rPr>
        <w:t>increased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total</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54</w:t>
      </w:r>
      <w:r w:rsidR="00900061" w:rsidRPr="00E168A1">
        <w:rPr>
          <w:rFonts w:ascii="Times New Roman" w:eastAsia="Times New Roman" w:hAnsi="Times New Roman"/>
        </w:rPr>
        <w:t xml:space="preserve"> </w:t>
      </w:r>
      <w:r w:rsidRPr="00E168A1">
        <w:rPr>
          <w:rFonts w:ascii="Times New Roman" w:eastAsia="Times New Roman" w:hAnsi="Times New Roman"/>
        </w:rPr>
        <w:t>employees,</w:t>
      </w:r>
      <w:r w:rsidR="00900061" w:rsidRPr="00E168A1">
        <w:rPr>
          <w:rFonts w:ascii="Times New Roman" w:eastAsia="Times New Roman" w:hAnsi="Times New Roman"/>
        </w:rPr>
        <w:t xml:space="preserve"> </w:t>
      </w:r>
      <w:r w:rsidRPr="00E168A1">
        <w:rPr>
          <w:rFonts w:ascii="Times New Roman" w:eastAsia="Times New Roman" w:hAnsi="Times New Roman"/>
        </w:rPr>
        <w:t>further</w:t>
      </w:r>
      <w:r w:rsidR="00900061" w:rsidRPr="00E168A1">
        <w:rPr>
          <w:rFonts w:ascii="Times New Roman" w:eastAsia="Times New Roman" w:hAnsi="Times New Roman"/>
        </w:rPr>
        <w:t xml:space="preserve"> </w:t>
      </w:r>
      <w:r w:rsidRPr="00E168A1">
        <w:rPr>
          <w:rFonts w:ascii="Times New Roman" w:eastAsia="Times New Roman" w:hAnsi="Times New Roman"/>
        </w:rPr>
        <w:t>strengthening</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00041336" w:rsidRPr="00E168A1">
        <w:rPr>
          <w:rFonts w:ascii="Times New Roman" w:eastAsia="Times New Roman" w:hAnsi="Times New Roman"/>
        </w:rPr>
        <w:t xml:space="preserve">the </w:t>
      </w:r>
      <w:r w:rsidRPr="00E168A1">
        <w:rPr>
          <w:rFonts w:ascii="Times New Roman" w:hAnsi="Times New Roman"/>
        </w:rPr>
        <w:t>institutional</w:t>
      </w:r>
      <w:r w:rsidR="00900061" w:rsidRPr="00E168A1">
        <w:rPr>
          <w:rFonts w:ascii="Times New Roman" w:hAnsi="Times New Roman"/>
        </w:rPr>
        <w:t xml:space="preserve"> </w:t>
      </w:r>
      <w:r w:rsidRPr="00E168A1">
        <w:rPr>
          <w:rFonts w:ascii="Times New Roman" w:hAnsi="Times New Roman"/>
        </w:rPr>
        <w:t>capacity,</w:t>
      </w:r>
      <w:r w:rsidR="00900061" w:rsidRPr="00E168A1">
        <w:rPr>
          <w:rFonts w:ascii="Times New Roman" w:hAnsi="Times New Roman"/>
        </w:rPr>
        <w:t xml:space="preserve"> </w:t>
      </w:r>
      <w:r w:rsidRPr="00E168A1">
        <w:rPr>
          <w:rFonts w:ascii="Times New Roman" w:hAnsi="Times New Roman"/>
        </w:rPr>
        <w:t>through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provision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adequate</w:t>
      </w:r>
      <w:r w:rsidR="00900061" w:rsidRPr="00E168A1">
        <w:rPr>
          <w:rFonts w:ascii="Times New Roman" w:hAnsi="Times New Roman"/>
        </w:rPr>
        <w:t xml:space="preserve"> </w:t>
      </w:r>
      <w:r w:rsidRPr="00E168A1">
        <w:rPr>
          <w:rFonts w:ascii="Times New Roman" w:hAnsi="Times New Roman"/>
        </w:rPr>
        <w:t>financial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human</w:t>
      </w:r>
      <w:r w:rsidR="00900061" w:rsidRPr="00E168A1">
        <w:rPr>
          <w:rFonts w:ascii="Times New Roman" w:hAnsi="Times New Roman"/>
        </w:rPr>
        <w:t xml:space="preserve"> </w:t>
      </w:r>
      <w:r w:rsidRPr="00E168A1">
        <w:rPr>
          <w:rFonts w:ascii="Times New Roman" w:hAnsi="Times New Roman"/>
        </w:rPr>
        <w:t>resources</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well</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capabilities</w:t>
      </w:r>
      <w:r w:rsidR="00900061" w:rsidRPr="00E168A1">
        <w:rPr>
          <w:rFonts w:ascii="Times New Roman" w:hAnsi="Times New Roman"/>
        </w:rPr>
        <w:t xml:space="preserve"> </w:t>
      </w:r>
      <w:r w:rsidRPr="00E168A1">
        <w:rPr>
          <w:rFonts w:ascii="Times New Roman" w:hAnsi="Times New Roman"/>
        </w:rPr>
        <w:t>will</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essential</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ensure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sustainability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447621" w:rsidRPr="00E168A1">
        <w:rPr>
          <w:rFonts w:ascii="Times New Roman" w:hAnsi="Times New Roman"/>
        </w:rPr>
        <w:t>RC’</w:t>
      </w:r>
      <w:r w:rsidRPr="00E168A1">
        <w:rPr>
          <w:rFonts w:ascii="Times New Roman" w:hAnsi="Times New Roman"/>
        </w:rPr>
        <w:t>s</w:t>
      </w:r>
      <w:r w:rsidR="00900061" w:rsidRPr="00E168A1">
        <w:rPr>
          <w:rFonts w:ascii="Times New Roman" w:hAnsi="Times New Roman"/>
        </w:rPr>
        <w:t xml:space="preserve"> </w:t>
      </w:r>
      <w:r w:rsidRPr="00E168A1">
        <w:rPr>
          <w:rFonts w:ascii="Times New Roman" w:hAnsi="Times New Roman"/>
        </w:rPr>
        <w:t>work.</w:t>
      </w:r>
      <w:r w:rsidR="00900061" w:rsidRPr="00E168A1">
        <w:rPr>
          <w:rFonts w:ascii="Times New Roman" w:hAnsi="Times New Roman"/>
          <w:b/>
        </w:rPr>
        <w:t xml:space="preserve"> </w:t>
      </w:r>
    </w:p>
    <w:p w14:paraId="1529A00B" w14:textId="77777777" w:rsidR="00AE54E5" w:rsidRPr="00E168A1" w:rsidRDefault="00AE54E5" w:rsidP="00220F7E">
      <w:pPr>
        <w:pStyle w:val="Heading1"/>
        <w:spacing w:before="120" w:after="120" w:line="240" w:lineRule="auto"/>
        <w:ind w:left="0" w:firstLine="0"/>
      </w:pPr>
      <w:bookmarkStart w:id="44" w:name="_Toc305833862"/>
      <w:bookmarkStart w:id="45" w:name="_Toc442428969"/>
      <w:r w:rsidRPr="00E168A1">
        <w:t>Conclusions</w:t>
      </w:r>
      <w:r w:rsidR="00900061" w:rsidRPr="00E168A1">
        <w:t xml:space="preserve"> </w:t>
      </w:r>
      <w:r w:rsidRPr="00E168A1">
        <w:t>on</w:t>
      </w:r>
      <w:r w:rsidR="00900061" w:rsidRPr="00E168A1">
        <w:t xml:space="preserve"> </w:t>
      </w:r>
      <w:r w:rsidRPr="00E168A1">
        <w:t>P</w:t>
      </w:r>
      <w:r w:rsidR="00005D7A" w:rsidRPr="00E168A1">
        <w:t>rogram</w:t>
      </w:r>
      <w:r w:rsidRPr="00E168A1">
        <w:t>-for-R</w:t>
      </w:r>
      <w:r w:rsidR="00005D7A" w:rsidRPr="00E168A1">
        <w:t>esults</w:t>
      </w:r>
      <w:r w:rsidRPr="00E168A1">
        <w:t>-specific</w:t>
      </w:r>
      <w:r w:rsidR="00900061" w:rsidRPr="00E168A1">
        <w:t xml:space="preserve"> </w:t>
      </w:r>
      <w:r w:rsidR="008268AE" w:rsidRPr="00E168A1">
        <w:t>Procurement Arrangements</w:t>
      </w:r>
      <w:bookmarkEnd w:id="44"/>
      <w:bookmarkEnd w:id="45"/>
      <w:r w:rsidR="008268AE" w:rsidRPr="00E168A1">
        <w:t xml:space="preserve"> </w:t>
      </w:r>
    </w:p>
    <w:p w14:paraId="78ED7247" w14:textId="7D638300" w:rsidR="00AE54E5" w:rsidRPr="00E168A1" w:rsidRDefault="00AE54E5" w:rsidP="00220F7E">
      <w:pPr>
        <w:pStyle w:val="Heading2"/>
        <w:spacing w:before="120" w:after="120" w:line="240" w:lineRule="auto"/>
        <w:ind w:left="0" w:firstLine="0"/>
      </w:pPr>
      <w:bookmarkStart w:id="46" w:name="_Toc305833863"/>
      <w:bookmarkStart w:id="47" w:name="_Toc442428970"/>
      <w:r w:rsidRPr="00E168A1">
        <w:t>Overall</w:t>
      </w:r>
      <w:r w:rsidR="00900061" w:rsidRPr="00E168A1">
        <w:t xml:space="preserve"> </w:t>
      </w:r>
      <w:r w:rsidR="001C207D" w:rsidRPr="00E168A1">
        <w:t>R</w:t>
      </w:r>
      <w:r w:rsidRPr="00E168A1">
        <w:t>isk</w:t>
      </w:r>
      <w:r w:rsidR="00900061" w:rsidRPr="00E168A1">
        <w:t xml:space="preserve"> </w:t>
      </w:r>
      <w:r w:rsidR="001C207D" w:rsidRPr="00E168A1">
        <w:t>A</w:t>
      </w:r>
      <w:r w:rsidRPr="00E168A1">
        <w:t>ssessment</w:t>
      </w:r>
      <w:bookmarkEnd w:id="46"/>
      <w:bookmarkEnd w:id="47"/>
    </w:p>
    <w:p w14:paraId="4845F50B" w14:textId="01259FFE" w:rsidR="00AE54E5" w:rsidRPr="00E168A1" w:rsidRDefault="00247D97"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rPr>
        <w:t>The</w:t>
      </w:r>
      <w:r w:rsidR="00900061" w:rsidRPr="00E168A1">
        <w:rPr>
          <w:rFonts w:ascii="Times New Roman" w:hAnsi="Times New Roman"/>
        </w:rPr>
        <w:t xml:space="preserve"> </w:t>
      </w:r>
      <w:r w:rsidR="00AE54E5" w:rsidRPr="00E168A1">
        <w:rPr>
          <w:rFonts w:ascii="Times New Roman" w:hAnsi="Times New Roman"/>
        </w:rPr>
        <w:t>assessment</w:t>
      </w:r>
      <w:r w:rsidR="00900061" w:rsidRPr="00E168A1">
        <w:rPr>
          <w:rFonts w:ascii="Times New Roman" w:hAnsi="Times New Roman"/>
        </w:rPr>
        <w:t xml:space="preserve"> </w:t>
      </w:r>
      <w:r w:rsidR="00AE54E5" w:rsidRPr="00E168A1">
        <w:rPr>
          <w:rFonts w:ascii="Times New Roman" w:hAnsi="Times New Roman"/>
        </w:rPr>
        <w:t>concludes</w:t>
      </w:r>
      <w:r w:rsidR="00900061" w:rsidRPr="00E168A1">
        <w:rPr>
          <w:rFonts w:ascii="Times New Roman" w:hAnsi="Times New Roman"/>
        </w:rPr>
        <w:t xml:space="preserve"> </w:t>
      </w:r>
      <w:r w:rsidR="00AE54E5" w:rsidRPr="00E168A1">
        <w:rPr>
          <w:rFonts w:ascii="Times New Roman" w:hAnsi="Times New Roman"/>
        </w:rPr>
        <w:t>that</w:t>
      </w:r>
      <w:r w:rsidR="00900061" w:rsidRPr="00E168A1">
        <w:rPr>
          <w:rFonts w:ascii="Times New Roman" w:hAnsi="Times New Roman"/>
        </w:rPr>
        <w:t xml:space="preserve"> </w:t>
      </w:r>
      <w:r w:rsidR="00AE54E5" w:rsidRPr="00E168A1">
        <w:rPr>
          <w:rFonts w:ascii="Times New Roman" w:hAnsi="Times New Roman"/>
        </w:rPr>
        <w:t>there</w:t>
      </w:r>
      <w:r w:rsidR="00900061" w:rsidRPr="00E168A1">
        <w:rPr>
          <w:rFonts w:ascii="Times New Roman" w:hAnsi="Times New Roman"/>
        </w:rPr>
        <w:t xml:space="preserve"> </w:t>
      </w:r>
      <w:r w:rsidR="00AE54E5" w:rsidRPr="00E168A1">
        <w:rPr>
          <w:rFonts w:ascii="Times New Roman" w:hAnsi="Times New Roman"/>
        </w:rPr>
        <w:t>is</w:t>
      </w:r>
      <w:r w:rsidR="00900061" w:rsidRPr="00E168A1">
        <w:rPr>
          <w:rFonts w:ascii="Times New Roman" w:hAnsi="Times New Roman"/>
        </w:rPr>
        <w:t xml:space="preserve"> </w:t>
      </w:r>
      <w:r w:rsidR="00AE54E5" w:rsidRPr="00E168A1">
        <w:rPr>
          <w:rFonts w:ascii="Times New Roman" w:hAnsi="Times New Roman"/>
        </w:rPr>
        <w:t>reasonable</w:t>
      </w:r>
      <w:r w:rsidR="00900061" w:rsidRPr="00E168A1">
        <w:rPr>
          <w:rFonts w:ascii="Times New Roman" w:hAnsi="Times New Roman"/>
        </w:rPr>
        <w:t xml:space="preserve"> </w:t>
      </w:r>
      <w:r w:rsidR="00CF175C" w:rsidRPr="00E168A1">
        <w:rPr>
          <w:rFonts w:ascii="Times New Roman" w:hAnsi="Times New Roman"/>
        </w:rPr>
        <w:t>assurance</w:t>
      </w:r>
      <w:r w:rsidR="00900061" w:rsidRPr="00E168A1">
        <w:rPr>
          <w:rFonts w:ascii="Times New Roman" w:hAnsi="Times New Roman"/>
        </w:rPr>
        <w:t xml:space="preserve"> </w:t>
      </w:r>
      <w:r w:rsidR="00AE54E5" w:rsidRPr="00E168A1">
        <w:rPr>
          <w:rFonts w:ascii="Times New Roman" w:hAnsi="Times New Roman"/>
        </w:rPr>
        <w:t>that</w:t>
      </w:r>
      <w:r w:rsidR="00900061" w:rsidRPr="00E168A1">
        <w:rPr>
          <w:rFonts w:ascii="Times New Roman" w:hAnsi="Times New Roman"/>
        </w:rPr>
        <w:t xml:space="preserve"> </w:t>
      </w:r>
      <w:r w:rsidR="00AE54E5" w:rsidRPr="00E168A1">
        <w:rPr>
          <w:rFonts w:ascii="Times New Roman" w:hAnsi="Times New Roman"/>
        </w:rPr>
        <w:t>Serbia's</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00AE54E5" w:rsidRPr="00E168A1">
        <w:rPr>
          <w:rFonts w:ascii="Times New Roman" w:hAnsi="Times New Roman"/>
        </w:rPr>
        <w:t>systems</w:t>
      </w:r>
      <w:r w:rsidR="00900061" w:rsidRPr="00E168A1">
        <w:rPr>
          <w:rFonts w:ascii="Times New Roman" w:hAnsi="Times New Roman"/>
        </w:rPr>
        <w:t xml:space="preserve"> </w:t>
      </w:r>
      <w:r w:rsidR="00AE54E5" w:rsidRPr="00E168A1">
        <w:rPr>
          <w:rFonts w:ascii="Times New Roman" w:hAnsi="Times New Roman"/>
        </w:rPr>
        <w:t>for</w:t>
      </w:r>
      <w:r w:rsidR="00900061" w:rsidRPr="00E168A1">
        <w:rPr>
          <w:rFonts w:ascii="Times New Roman" w:hAnsi="Times New Roman"/>
        </w:rPr>
        <w:t xml:space="preserve"> </w:t>
      </w:r>
      <w:r w:rsidR="00AE54E5" w:rsidRPr="00E168A1">
        <w:rPr>
          <w:rFonts w:ascii="Times New Roman" w:hAnsi="Times New Roman"/>
        </w:rPr>
        <w:t>the</w:t>
      </w:r>
      <w:r w:rsidR="00900061" w:rsidRPr="00E168A1">
        <w:rPr>
          <w:rFonts w:ascii="Times New Roman" w:hAnsi="Times New Roman"/>
        </w:rPr>
        <w:t xml:space="preserve"> </w:t>
      </w:r>
      <w:r w:rsidR="004E3B14" w:rsidRPr="00E168A1">
        <w:rPr>
          <w:rFonts w:ascii="Times New Roman" w:hAnsi="Times New Roman"/>
        </w:rPr>
        <w:t>P</w:t>
      </w:r>
      <w:r w:rsidR="001B78A4" w:rsidRPr="00E168A1">
        <w:rPr>
          <w:rFonts w:ascii="Times New Roman" w:hAnsi="Times New Roman"/>
        </w:rPr>
        <w:t>rogram</w:t>
      </w:r>
      <w:r w:rsidR="00900061" w:rsidRPr="00E168A1">
        <w:rPr>
          <w:rFonts w:ascii="Times New Roman" w:hAnsi="Times New Roman"/>
          <w:sz w:val="32"/>
        </w:rPr>
        <w:t xml:space="preserve"> </w:t>
      </w:r>
      <w:r w:rsidR="00AE54E5" w:rsidRPr="00E168A1">
        <w:rPr>
          <w:rFonts w:ascii="Times New Roman" w:hAnsi="Times New Roman"/>
        </w:rPr>
        <w:t>(planning,</w:t>
      </w:r>
      <w:r w:rsidR="00900061" w:rsidRPr="00E168A1">
        <w:rPr>
          <w:rFonts w:ascii="Times New Roman" w:hAnsi="Times New Roman"/>
        </w:rPr>
        <w:t xml:space="preserve"> </w:t>
      </w:r>
      <w:r w:rsidR="00AE54E5" w:rsidRPr="00E168A1">
        <w:rPr>
          <w:rFonts w:ascii="Times New Roman" w:hAnsi="Times New Roman"/>
        </w:rPr>
        <w:t>bidding,</w:t>
      </w:r>
      <w:r w:rsidR="00900061" w:rsidRPr="00E168A1">
        <w:rPr>
          <w:rFonts w:ascii="Times New Roman" w:hAnsi="Times New Roman"/>
        </w:rPr>
        <w:t xml:space="preserve"> </w:t>
      </w:r>
      <w:r w:rsidR="00AE54E5" w:rsidRPr="00E168A1">
        <w:rPr>
          <w:rFonts w:ascii="Times New Roman" w:hAnsi="Times New Roman"/>
        </w:rPr>
        <w:t>evaluation,</w:t>
      </w:r>
      <w:r w:rsidR="00900061" w:rsidRPr="00E168A1">
        <w:rPr>
          <w:rFonts w:ascii="Times New Roman" w:hAnsi="Times New Roman"/>
        </w:rPr>
        <w:t xml:space="preserve"> </w:t>
      </w:r>
      <w:r w:rsidR="00AE54E5" w:rsidRPr="00E168A1">
        <w:rPr>
          <w:rFonts w:ascii="Times New Roman" w:hAnsi="Times New Roman"/>
        </w:rPr>
        <w:t>contract</w:t>
      </w:r>
      <w:r w:rsidR="00900061" w:rsidRPr="00E168A1">
        <w:rPr>
          <w:rFonts w:ascii="Times New Roman" w:hAnsi="Times New Roman"/>
        </w:rPr>
        <w:t xml:space="preserve"> </w:t>
      </w:r>
      <w:r w:rsidR="00AE54E5" w:rsidRPr="00E168A1">
        <w:rPr>
          <w:rFonts w:ascii="Times New Roman" w:hAnsi="Times New Roman"/>
        </w:rPr>
        <w:t>award</w:t>
      </w:r>
      <w:r w:rsidR="00E97366" w:rsidRPr="00E168A1">
        <w:rPr>
          <w:rFonts w:ascii="Times New Roman" w:hAnsi="Times New Roman"/>
        </w:rPr>
        <w:t>,</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contract</w:t>
      </w:r>
      <w:r w:rsidR="00900061" w:rsidRPr="00E168A1">
        <w:rPr>
          <w:rFonts w:ascii="Times New Roman" w:hAnsi="Times New Roman"/>
        </w:rPr>
        <w:t xml:space="preserve"> </w:t>
      </w:r>
      <w:r w:rsidR="00AE54E5" w:rsidRPr="00E168A1">
        <w:rPr>
          <w:rFonts w:ascii="Times New Roman" w:hAnsi="Times New Roman"/>
        </w:rPr>
        <w:t>administration</w:t>
      </w:r>
      <w:r w:rsidR="00900061" w:rsidRPr="00E168A1">
        <w:rPr>
          <w:rFonts w:ascii="Times New Roman" w:hAnsi="Times New Roman"/>
        </w:rPr>
        <w:t xml:space="preserve"> </w:t>
      </w:r>
      <w:r w:rsidR="00AE54E5" w:rsidRPr="00E168A1">
        <w:rPr>
          <w:rFonts w:ascii="Times New Roman" w:hAnsi="Times New Roman"/>
        </w:rPr>
        <w:t>arrangements</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practices</w:t>
      </w:r>
      <w:r w:rsidR="00900061" w:rsidRPr="00E168A1">
        <w:rPr>
          <w:rFonts w:ascii="Times New Roman" w:hAnsi="Times New Roman"/>
        </w:rPr>
        <w:t xml:space="preserve"> </w:t>
      </w:r>
      <w:r w:rsidR="00AE54E5" w:rsidRPr="00E168A1">
        <w:rPr>
          <w:rFonts w:ascii="Times New Roman" w:hAnsi="Times New Roman"/>
        </w:rPr>
        <w:t>as</w:t>
      </w:r>
      <w:r w:rsidR="00900061" w:rsidRPr="00E168A1">
        <w:rPr>
          <w:rFonts w:ascii="Times New Roman" w:hAnsi="Times New Roman"/>
        </w:rPr>
        <w:t xml:space="preserve"> </w:t>
      </w:r>
      <w:r w:rsidR="00AE54E5" w:rsidRPr="00E168A1">
        <w:rPr>
          <w:rFonts w:ascii="Times New Roman" w:hAnsi="Times New Roman"/>
        </w:rPr>
        <w:t>well</w:t>
      </w:r>
      <w:r w:rsidR="00900061" w:rsidRPr="00E168A1">
        <w:rPr>
          <w:rFonts w:ascii="Times New Roman" w:hAnsi="Times New Roman"/>
        </w:rPr>
        <w:t xml:space="preserve"> </w:t>
      </w:r>
      <w:r w:rsidR="00AE54E5" w:rsidRPr="00E168A1">
        <w:rPr>
          <w:rFonts w:ascii="Times New Roman" w:hAnsi="Times New Roman"/>
        </w:rPr>
        <w:t>as</w:t>
      </w:r>
      <w:r w:rsidR="00900061" w:rsidRPr="00E168A1">
        <w:rPr>
          <w:rFonts w:ascii="Times New Roman" w:hAnsi="Times New Roman"/>
        </w:rPr>
        <w:t xml:space="preserve"> </w:t>
      </w:r>
      <w:r w:rsidR="00AE54E5" w:rsidRPr="00E168A1">
        <w:rPr>
          <w:rFonts w:ascii="Times New Roman" w:hAnsi="Times New Roman"/>
        </w:rPr>
        <w:t>complaint</w:t>
      </w:r>
      <w:r w:rsidR="00900061" w:rsidRPr="00E168A1">
        <w:rPr>
          <w:rFonts w:ascii="Times New Roman" w:hAnsi="Times New Roman"/>
        </w:rPr>
        <w:t xml:space="preserve"> </w:t>
      </w:r>
      <w:r w:rsidR="00AE54E5" w:rsidRPr="00E168A1">
        <w:rPr>
          <w:rFonts w:ascii="Times New Roman" w:hAnsi="Times New Roman"/>
        </w:rPr>
        <w:t>mechanims</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management</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mitigation</w:t>
      </w:r>
      <w:r w:rsidR="00900061" w:rsidRPr="00E168A1">
        <w:rPr>
          <w:rFonts w:ascii="Times New Roman" w:hAnsi="Times New Roman"/>
        </w:rPr>
        <w:t xml:space="preserve"> </w:t>
      </w:r>
      <w:r w:rsidR="00AE54E5" w:rsidRPr="00E168A1">
        <w:rPr>
          <w:rFonts w:ascii="Times New Roman" w:hAnsi="Times New Roman"/>
        </w:rPr>
        <w:t>of</w:t>
      </w:r>
      <w:r w:rsidR="00900061" w:rsidRPr="00E168A1">
        <w:rPr>
          <w:rFonts w:ascii="Times New Roman" w:hAnsi="Times New Roman"/>
        </w:rPr>
        <w:t xml:space="preserve"> </w:t>
      </w:r>
      <w:r w:rsidR="00AE54E5" w:rsidRPr="00E168A1">
        <w:rPr>
          <w:rFonts w:ascii="Times New Roman" w:hAnsi="Times New Roman"/>
        </w:rPr>
        <w:t>fraud</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corruption</w:t>
      </w:r>
      <w:r w:rsidR="00900061" w:rsidRPr="00E168A1">
        <w:rPr>
          <w:rFonts w:ascii="Times New Roman" w:hAnsi="Times New Roman"/>
        </w:rPr>
        <w:t xml:space="preserve"> </w:t>
      </w:r>
      <w:r w:rsidR="00A34355" w:rsidRPr="00E168A1">
        <w:rPr>
          <w:rFonts w:ascii="Times New Roman" w:hAnsi="Times New Roman"/>
        </w:rPr>
        <w:t xml:space="preserve">[F&amp;C] </w:t>
      </w:r>
      <w:r w:rsidR="00AE54E5" w:rsidRPr="00E168A1">
        <w:rPr>
          <w:rFonts w:ascii="Times New Roman" w:hAnsi="Times New Roman"/>
        </w:rPr>
        <w:t>risk)</w:t>
      </w:r>
      <w:r w:rsidR="00900061" w:rsidRPr="00E168A1">
        <w:rPr>
          <w:rFonts w:ascii="Times New Roman" w:hAnsi="Times New Roman"/>
        </w:rPr>
        <w:t xml:space="preserve"> </w:t>
      </w:r>
      <w:r w:rsidR="00AE54E5" w:rsidRPr="00E168A1">
        <w:rPr>
          <w:rFonts w:ascii="Times New Roman" w:hAnsi="Times New Roman"/>
        </w:rPr>
        <w:t>will</w:t>
      </w:r>
      <w:r w:rsidR="00900061" w:rsidRPr="00E168A1">
        <w:rPr>
          <w:rFonts w:ascii="Times New Roman" w:hAnsi="Times New Roman"/>
        </w:rPr>
        <w:t xml:space="preserve"> </w:t>
      </w:r>
      <w:r w:rsidR="00AE54E5" w:rsidRPr="00E168A1">
        <w:rPr>
          <w:rFonts w:ascii="Times New Roman" w:hAnsi="Times New Roman"/>
        </w:rPr>
        <w:t>achieve</w:t>
      </w:r>
      <w:r w:rsidR="00900061" w:rsidRPr="00E168A1">
        <w:rPr>
          <w:rFonts w:ascii="Times New Roman" w:hAnsi="Times New Roman"/>
        </w:rPr>
        <w:t xml:space="preserve"> </w:t>
      </w:r>
      <w:r w:rsidR="00E97366" w:rsidRPr="00E168A1">
        <w:rPr>
          <w:rFonts w:ascii="Times New Roman" w:hAnsi="Times New Roman"/>
        </w:rPr>
        <w:t xml:space="preserve">the </w:t>
      </w:r>
      <w:r w:rsidR="00AE54E5" w:rsidRPr="00E168A1">
        <w:rPr>
          <w:rFonts w:ascii="Times New Roman" w:hAnsi="Times New Roman"/>
        </w:rPr>
        <w:t>intended</w:t>
      </w:r>
      <w:r w:rsidR="00900061" w:rsidRPr="00E168A1">
        <w:rPr>
          <w:rFonts w:ascii="Times New Roman" w:hAnsi="Times New Roman"/>
        </w:rPr>
        <w:t xml:space="preserve"> </w:t>
      </w:r>
      <w:r w:rsidR="00AE54E5" w:rsidRPr="00E168A1">
        <w:rPr>
          <w:rFonts w:ascii="Times New Roman" w:hAnsi="Times New Roman"/>
        </w:rPr>
        <w:t>results</w:t>
      </w:r>
      <w:r w:rsidR="00900061" w:rsidRPr="00E168A1">
        <w:rPr>
          <w:rFonts w:ascii="Times New Roman" w:hAnsi="Times New Roman"/>
        </w:rPr>
        <w:t xml:space="preserve"> </w:t>
      </w:r>
      <w:r w:rsidR="00AE54E5" w:rsidRPr="00E168A1">
        <w:rPr>
          <w:rFonts w:ascii="Times New Roman" w:hAnsi="Times New Roman"/>
        </w:rPr>
        <w:t>through</w:t>
      </w:r>
      <w:r w:rsidR="00900061" w:rsidRPr="00E168A1">
        <w:rPr>
          <w:rFonts w:ascii="Times New Roman" w:hAnsi="Times New Roman"/>
        </w:rPr>
        <w:t xml:space="preserve"> </w:t>
      </w:r>
      <w:r w:rsidR="00AE54E5" w:rsidRPr="00E168A1">
        <w:rPr>
          <w:rFonts w:ascii="Times New Roman" w:hAnsi="Times New Roman"/>
        </w:rPr>
        <w:t>its</w:t>
      </w:r>
      <w:r w:rsidR="00900061" w:rsidRPr="00E168A1">
        <w:rPr>
          <w:rFonts w:ascii="Times New Roman" w:hAnsi="Times New Roman"/>
        </w:rPr>
        <w:t xml:space="preserve"> </w:t>
      </w:r>
      <w:r w:rsidR="00AE54E5" w:rsidRPr="00E168A1">
        <w:rPr>
          <w:rFonts w:ascii="Times New Roman" w:hAnsi="Times New Roman"/>
        </w:rPr>
        <w:t>procurement</w:t>
      </w:r>
      <w:r w:rsidR="00900061" w:rsidRPr="00E168A1">
        <w:rPr>
          <w:rFonts w:ascii="Times New Roman" w:hAnsi="Times New Roman"/>
        </w:rPr>
        <w:t xml:space="preserve"> </w:t>
      </w:r>
      <w:r w:rsidR="00AE54E5" w:rsidRPr="00E168A1">
        <w:rPr>
          <w:rFonts w:ascii="Times New Roman" w:hAnsi="Times New Roman"/>
        </w:rPr>
        <w:t>processes</w:t>
      </w:r>
      <w:r w:rsidR="00900061" w:rsidRPr="00E168A1">
        <w:rPr>
          <w:rFonts w:ascii="Times New Roman" w:hAnsi="Times New Roman"/>
        </w:rPr>
        <w:t xml:space="preserve"> </w:t>
      </w:r>
      <w:r w:rsidR="00AE54E5" w:rsidRPr="00E168A1">
        <w:rPr>
          <w:rFonts w:ascii="Times New Roman" w:hAnsi="Times New Roman"/>
        </w:rPr>
        <w:t>and</w:t>
      </w:r>
      <w:r w:rsidR="00900061" w:rsidRPr="00E168A1">
        <w:rPr>
          <w:rFonts w:ascii="Times New Roman" w:hAnsi="Times New Roman"/>
        </w:rPr>
        <w:t xml:space="preserve"> </w:t>
      </w:r>
      <w:r w:rsidR="00AE54E5" w:rsidRPr="00E168A1">
        <w:rPr>
          <w:rFonts w:ascii="Times New Roman" w:hAnsi="Times New Roman"/>
        </w:rPr>
        <w:t>procedures.</w:t>
      </w:r>
      <w:r w:rsidR="00900061" w:rsidRPr="00E168A1">
        <w:rPr>
          <w:rFonts w:ascii="Times New Roman" w:hAnsi="Times New Roman"/>
        </w:rPr>
        <w:t xml:space="preserve"> </w:t>
      </w:r>
    </w:p>
    <w:p w14:paraId="3ED68C86" w14:textId="1B777AC3" w:rsidR="00AE54E5" w:rsidRPr="00E168A1" w:rsidRDefault="001F5AA8" w:rsidP="00220F7E">
      <w:pPr>
        <w:pStyle w:val="Heading2"/>
        <w:spacing w:before="120" w:after="120" w:line="240" w:lineRule="auto"/>
        <w:ind w:left="0" w:firstLine="0"/>
        <w:rPr>
          <w:color w:val="2F5496" w:themeColor="accent5" w:themeShade="BF"/>
        </w:rPr>
      </w:pPr>
      <w:bookmarkStart w:id="48" w:name="_Toc305833864"/>
      <w:bookmarkStart w:id="49" w:name="_Toc442428971"/>
      <w:r w:rsidRPr="00E168A1">
        <w:t>Procurement</w:t>
      </w:r>
      <w:r w:rsidR="00900061" w:rsidRPr="00E168A1">
        <w:t xml:space="preserve"> </w:t>
      </w:r>
      <w:r w:rsidR="001C207D" w:rsidRPr="00E168A1">
        <w:t>P</w:t>
      </w:r>
      <w:r w:rsidRPr="00E168A1">
        <w:t>rofile</w:t>
      </w:r>
      <w:r w:rsidR="00900061" w:rsidRPr="00E168A1">
        <w:t xml:space="preserve"> </w:t>
      </w:r>
      <w:r w:rsidRPr="00E168A1">
        <w:t>of</w:t>
      </w:r>
      <w:r w:rsidR="00900061" w:rsidRPr="00E168A1">
        <w:t xml:space="preserve"> </w:t>
      </w:r>
      <w:r w:rsidRPr="00E168A1">
        <w:t>the</w:t>
      </w:r>
      <w:r w:rsidR="00900061" w:rsidRPr="00E168A1">
        <w:t xml:space="preserve"> </w:t>
      </w:r>
      <w:r w:rsidRPr="00E168A1">
        <w:t>P</w:t>
      </w:r>
      <w:r w:rsidR="00AE54E5" w:rsidRPr="00E168A1">
        <w:t>rogram</w:t>
      </w:r>
      <w:bookmarkEnd w:id="48"/>
      <w:bookmarkEnd w:id="49"/>
      <w:r w:rsidR="00900061" w:rsidRPr="00E168A1">
        <w:rPr>
          <w:color w:val="2F5496" w:themeColor="accent5" w:themeShade="BF"/>
        </w:rPr>
        <w:t xml:space="preserve"> </w:t>
      </w:r>
    </w:p>
    <w:p w14:paraId="47D9CF3D" w14:textId="0266F6A0" w:rsidR="004C0935" w:rsidRPr="00E168A1" w:rsidRDefault="00B03657" w:rsidP="00645878">
      <w:pPr>
        <w:pStyle w:val="ListParagraph"/>
        <w:numPr>
          <w:ilvl w:val="0"/>
          <w:numId w:val="9"/>
        </w:numPr>
        <w:ind w:left="0" w:firstLine="0"/>
        <w:contextualSpacing w:val="0"/>
        <w:rPr>
          <w:rFonts w:ascii="Times New Roman" w:hAnsi="Times New Roman"/>
          <w:b/>
        </w:rPr>
      </w:pP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9329A9" w:rsidRPr="00E168A1">
        <w:rPr>
          <w:rFonts w:ascii="Times New Roman" w:hAnsi="Times New Roman"/>
        </w:rPr>
        <w:t>P</w:t>
      </w:r>
      <w:r w:rsidR="001B78A4" w:rsidRPr="00E168A1">
        <w:rPr>
          <w:rFonts w:ascii="Times New Roman" w:hAnsi="Times New Roman"/>
        </w:rPr>
        <w:t>rogram</w:t>
      </w:r>
      <w:r w:rsidR="00900061" w:rsidRPr="00E168A1">
        <w:rPr>
          <w:rFonts w:ascii="Times New Roman" w:hAnsi="Times New Roman"/>
        </w:rPr>
        <w:t xml:space="preserve"> </w:t>
      </w:r>
      <w:r w:rsidRPr="00E168A1">
        <w:rPr>
          <w:rFonts w:ascii="Times New Roman" w:hAnsi="Times New Roman"/>
        </w:rPr>
        <w:t>will</w:t>
      </w:r>
      <w:r w:rsidR="00900061" w:rsidRPr="00E168A1">
        <w:rPr>
          <w:rFonts w:ascii="Times New Roman" w:hAnsi="Times New Roman"/>
        </w:rPr>
        <w:t xml:space="preserve"> </w:t>
      </w:r>
      <w:r w:rsidRPr="00E168A1">
        <w:rPr>
          <w:rFonts w:ascii="Times New Roman" w:hAnsi="Times New Roman"/>
        </w:rPr>
        <w:t>follow</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government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conducted</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9329A9" w:rsidRPr="00E168A1">
        <w:rPr>
          <w:rFonts w:ascii="Times New Roman" w:hAnsi="Times New Roman"/>
        </w:rPr>
        <w:t>P</w:t>
      </w:r>
      <w:r w:rsidRPr="00E168A1">
        <w:rPr>
          <w:rFonts w:ascii="Times New Roman" w:hAnsi="Times New Roman"/>
        </w:rPr>
        <w:t>rogram</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relatively</w:t>
      </w:r>
      <w:r w:rsidR="00900061" w:rsidRPr="00E168A1">
        <w:rPr>
          <w:rFonts w:ascii="Times New Roman" w:hAnsi="Times New Roman"/>
        </w:rPr>
        <w:t xml:space="preserve"> </w:t>
      </w:r>
      <w:r w:rsidRPr="00E168A1">
        <w:rPr>
          <w:rFonts w:ascii="Times New Roman" w:hAnsi="Times New Roman"/>
        </w:rPr>
        <w:t>modest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consist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equipment,</w:t>
      </w:r>
      <w:r w:rsidR="00900061" w:rsidRPr="00E168A1">
        <w:rPr>
          <w:rFonts w:ascii="Times New Roman" w:hAnsi="Times New Roman"/>
        </w:rPr>
        <w:t xml:space="preserve"> </w:t>
      </w:r>
      <w:r w:rsidRPr="00E168A1">
        <w:rPr>
          <w:rFonts w:ascii="Times New Roman" w:hAnsi="Times New Roman"/>
        </w:rPr>
        <w:t>consultancy</w:t>
      </w:r>
      <w:r w:rsidR="00105D1E"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training</w:t>
      </w:r>
      <w:r w:rsidR="00900061" w:rsidRPr="00E168A1">
        <w:rPr>
          <w:rFonts w:ascii="Times New Roman" w:hAnsi="Times New Roman"/>
        </w:rPr>
        <w:t xml:space="preserve"> </w:t>
      </w:r>
      <w:r w:rsidRPr="00E168A1">
        <w:rPr>
          <w:rFonts w:ascii="Times New Roman" w:hAnsi="Times New Roman"/>
        </w:rPr>
        <w:t>services</w:t>
      </w:r>
      <w:r w:rsidR="009344EC"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None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planned</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activities,</w:t>
      </w:r>
      <w:r w:rsidR="00900061" w:rsidRPr="00E168A1">
        <w:rPr>
          <w:rFonts w:ascii="Times New Roman" w:hAnsi="Times New Roman"/>
        </w:rPr>
        <w:t xml:space="preserve"> </w:t>
      </w:r>
      <w:r w:rsidRPr="00E168A1">
        <w:rPr>
          <w:rFonts w:ascii="Times New Roman" w:hAnsi="Times New Roman"/>
        </w:rPr>
        <w:t>based</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their</w:t>
      </w:r>
      <w:r w:rsidR="00900061" w:rsidRPr="00E168A1">
        <w:rPr>
          <w:rFonts w:ascii="Times New Roman" w:hAnsi="Times New Roman"/>
        </w:rPr>
        <w:t xml:space="preserve"> </w:t>
      </w:r>
      <w:r w:rsidRPr="00E168A1">
        <w:rPr>
          <w:rFonts w:ascii="Times New Roman" w:hAnsi="Times New Roman"/>
        </w:rPr>
        <w:t>estimated</w:t>
      </w:r>
      <w:r w:rsidR="00900061" w:rsidRPr="00E168A1">
        <w:rPr>
          <w:rFonts w:ascii="Times New Roman" w:hAnsi="Times New Roman"/>
        </w:rPr>
        <w:t xml:space="preserve"> </w:t>
      </w:r>
      <w:r w:rsidRPr="00E168A1">
        <w:rPr>
          <w:rFonts w:ascii="Times New Roman" w:hAnsi="Times New Roman"/>
        </w:rPr>
        <w:t>values</w:t>
      </w:r>
      <w:r w:rsidR="00900061" w:rsidRPr="00E168A1">
        <w:rPr>
          <w:rFonts w:ascii="Times New Roman" w:hAnsi="Times New Roman"/>
        </w:rPr>
        <w:t xml:space="preserve"> </w:t>
      </w:r>
      <w:r w:rsidRPr="00E168A1">
        <w:rPr>
          <w:rFonts w:ascii="Times New Roman" w:hAnsi="Times New Roman"/>
        </w:rPr>
        <w:t>at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time,</w:t>
      </w:r>
      <w:r w:rsidR="00900061" w:rsidRPr="00E168A1">
        <w:rPr>
          <w:rFonts w:ascii="Times New Roman" w:hAnsi="Times New Roman"/>
        </w:rPr>
        <w:t xml:space="preserve"> </w:t>
      </w:r>
      <w:r w:rsidRPr="00E168A1">
        <w:rPr>
          <w:rFonts w:ascii="Times New Roman" w:hAnsi="Times New Roman"/>
        </w:rPr>
        <w:t>will</w:t>
      </w:r>
      <w:r w:rsidR="00900061" w:rsidRPr="00E168A1">
        <w:rPr>
          <w:rFonts w:ascii="Times New Roman" w:hAnsi="Times New Roman"/>
        </w:rPr>
        <w:t xml:space="preserve"> </w:t>
      </w:r>
      <w:r w:rsidRPr="00E168A1">
        <w:rPr>
          <w:rFonts w:ascii="Times New Roman" w:hAnsi="Times New Roman"/>
        </w:rPr>
        <w:t>require</w:t>
      </w:r>
      <w:r w:rsidR="00900061" w:rsidRPr="00E168A1">
        <w:rPr>
          <w:rFonts w:ascii="Times New Roman" w:hAnsi="Times New Roman"/>
        </w:rPr>
        <w:t xml:space="preserve"> </w:t>
      </w:r>
      <w:r w:rsidRPr="00E168A1">
        <w:rPr>
          <w:rFonts w:ascii="Times New Roman" w:hAnsi="Times New Roman"/>
        </w:rPr>
        <w:t>review</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approval</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Operational</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Review.</w:t>
      </w:r>
      <w:r w:rsidR="00900061" w:rsidRPr="00E168A1">
        <w:rPr>
          <w:rFonts w:ascii="Times New Roman" w:hAnsi="Times New Roman"/>
          <w:b/>
        </w:rPr>
        <w:t xml:space="preserve"> </w:t>
      </w:r>
    </w:p>
    <w:p w14:paraId="09F039D8" w14:textId="430FF918" w:rsidR="00AE54E5" w:rsidRPr="00E168A1" w:rsidRDefault="00AE54E5" w:rsidP="00220F7E">
      <w:pPr>
        <w:pStyle w:val="Heading2"/>
        <w:spacing w:before="120" w:after="120" w:line="240" w:lineRule="auto"/>
        <w:ind w:left="0" w:firstLine="0"/>
        <w:rPr>
          <w:i/>
          <w:color w:val="2F5496" w:themeColor="accent5" w:themeShade="BF"/>
        </w:rPr>
      </w:pPr>
      <w:bookmarkStart w:id="50" w:name="_Toc305833866"/>
      <w:bookmarkStart w:id="51" w:name="_Toc442428972"/>
      <w:r w:rsidRPr="00E168A1">
        <w:t>Procurement</w:t>
      </w:r>
      <w:r w:rsidR="00900061" w:rsidRPr="00E168A1">
        <w:t xml:space="preserve"> </w:t>
      </w:r>
      <w:r w:rsidR="001C207D" w:rsidRPr="00E168A1">
        <w:t>C</w:t>
      </w:r>
      <w:r w:rsidRPr="00E168A1">
        <w:t>apacity</w:t>
      </w:r>
      <w:bookmarkEnd w:id="50"/>
      <w:bookmarkEnd w:id="51"/>
      <w:r w:rsidR="00900061" w:rsidRPr="00E168A1">
        <w:rPr>
          <w:i/>
          <w:color w:val="2F5496" w:themeColor="accent5" w:themeShade="BF"/>
        </w:rPr>
        <w:t xml:space="preserve"> </w:t>
      </w:r>
    </w:p>
    <w:p w14:paraId="63D9F741" w14:textId="77777777" w:rsidR="000E798B" w:rsidRDefault="00AE54E5"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implementing</w:t>
      </w:r>
      <w:r w:rsidR="00900061" w:rsidRPr="00E168A1">
        <w:rPr>
          <w:rFonts w:ascii="Times New Roman" w:hAnsi="Times New Roman"/>
          <w:b/>
        </w:rPr>
        <w:t xml:space="preserve"> </w:t>
      </w:r>
      <w:r w:rsidRPr="00E168A1">
        <w:rPr>
          <w:rFonts w:ascii="Times New Roman" w:hAnsi="Times New Roman"/>
          <w:b/>
        </w:rPr>
        <w:t>agencies</w:t>
      </w:r>
      <w:r w:rsidR="00900061" w:rsidRPr="00E168A1">
        <w:rPr>
          <w:rFonts w:ascii="Times New Roman" w:hAnsi="Times New Roman"/>
          <w:b/>
        </w:rPr>
        <w:t xml:space="preserve"> </w:t>
      </w:r>
      <w:r w:rsidRPr="00E168A1">
        <w:rPr>
          <w:rFonts w:ascii="Times New Roman" w:hAnsi="Times New Roman"/>
          <w:b/>
        </w:rPr>
        <w:t>will</w:t>
      </w:r>
      <w:r w:rsidR="00900061" w:rsidRPr="00E168A1">
        <w:rPr>
          <w:rFonts w:ascii="Times New Roman" w:hAnsi="Times New Roman"/>
          <w:b/>
        </w:rPr>
        <w:t xml:space="preserve"> </w:t>
      </w:r>
      <w:r w:rsidRPr="00E168A1">
        <w:rPr>
          <w:rFonts w:ascii="Times New Roman" w:hAnsi="Times New Roman"/>
          <w:b/>
        </w:rPr>
        <w:t>be</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MPALSG</w:t>
      </w:r>
      <w:r w:rsidR="00E97366" w:rsidRPr="00E168A1">
        <w:rPr>
          <w:rFonts w:ascii="Times New Roman" w:hAnsi="Times New Roman"/>
          <w:b/>
        </w:rPr>
        <w:t>,</w:t>
      </w:r>
      <w:r w:rsidR="00900061" w:rsidRPr="00E168A1">
        <w:rPr>
          <w:rFonts w:ascii="Times New Roman" w:hAnsi="Times New Roman"/>
          <w:b/>
        </w:rPr>
        <w:t xml:space="preserve"> </w:t>
      </w:r>
      <w:r w:rsidR="001700A2" w:rsidRPr="00E168A1">
        <w:rPr>
          <w:rFonts w:ascii="Times New Roman" w:hAnsi="Times New Roman"/>
          <w:b/>
        </w:rPr>
        <w:t>the</w:t>
      </w:r>
      <w:r w:rsidR="00900061" w:rsidRPr="00E168A1">
        <w:rPr>
          <w:rFonts w:ascii="Times New Roman" w:hAnsi="Times New Roman"/>
          <w:b/>
        </w:rPr>
        <w:t xml:space="preserve"> </w:t>
      </w:r>
      <w:r w:rsidR="00A77BC5" w:rsidRPr="00E168A1">
        <w:rPr>
          <w:rFonts w:ascii="Times New Roman" w:hAnsi="Times New Roman"/>
          <w:b/>
        </w:rPr>
        <w:t>MoF</w:t>
      </w:r>
      <w:r w:rsidR="00900061" w:rsidRPr="00E168A1">
        <w:rPr>
          <w:rFonts w:ascii="Times New Roman" w:hAnsi="Times New Roman"/>
          <w:b/>
        </w:rPr>
        <w:t xml:space="preserve"> </w:t>
      </w:r>
      <w:r w:rsidR="00247D97" w:rsidRPr="00E168A1">
        <w:rPr>
          <w:rFonts w:ascii="Times New Roman" w:hAnsi="Times New Roman"/>
          <w:b/>
        </w:rPr>
        <w:t>(</w:t>
      </w:r>
      <w:r w:rsidRPr="00E168A1">
        <w:rPr>
          <w:rFonts w:ascii="Times New Roman" w:hAnsi="Times New Roman"/>
          <w:b/>
        </w:rPr>
        <w:t>T</w:t>
      </w:r>
      <w:r w:rsidR="00247D97" w:rsidRPr="00E168A1">
        <w:rPr>
          <w:rFonts w:ascii="Times New Roman" w:hAnsi="Times New Roman"/>
          <w:b/>
        </w:rPr>
        <w:t>reasury)</w:t>
      </w:r>
      <w:r w:rsidR="001700A2" w:rsidRPr="00E168A1">
        <w:rPr>
          <w:rFonts w:ascii="Times New Roman" w:hAnsi="Times New Roman"/>
          <w:b/>
        </w:rPr>
        <w:t>,</w:t>
      </w:r>
      <w:r w:rsidR="00900061" w:rsidRPr="00E168A1">
        <w:rPr>
          <w:rFonts w:ascii="Times New Roman" w:hAnsi="Times New Roman"/>
          <w:b/>
        </w:rPr>
        <w:t xml:space="preserve"> </w:t>
      </w:r>
      <w:r w:rsidRPr="00E168A1">
        <w:rPr>
          <w:rFonts w:ascii="Times New Roman" w:hAnsi="Times New Roman"/>
          <w:b/>
        </w:rPr>
        <w:t>the</w:t>
      </w:r>
      <w:r w:rsidR="00900061" w:rsidRPr="00E168A1">
        <w:rPr>
          <w:rFonts w:ascii="Times New Roman" w:hAnsi="Times New Roman"/>
          <w:b/>
        </w:rPr>
        <w:t xml:space="preserve"> </w:t>
      </w:r>
      <w:r w:rsidRPr="00E168A1">
        <w:rPr>
          <w:rFonts w:ascii="Times New Roman" w:hAnsi="Times New Roman"/>
          <w:b/>
        </w:rPr>
        <w:t>PPO</w:t>
      </w:r>
      <w:r w:rsidR="001700A2" w:rsidRPr="00E168A1">
        <w:rPr>
          <w:rFonts w:ascii="Times New Roman" w:hAnsi="Times New Roman"/>
          <w:b/>
        </w:rPr>
        <w:t>,</w:t>
      </w:r>
      <w:r w:rsidR="00900061" w:rsidRPr="00E168A1">
        <w:rPr>
          <w:rFonts w:ascii="Times New Roman" w:hAnsi="Times New Roman"/>
          <w:b/>
        </w:rPr>
        <w:t xml:space="preserve"> </w:t>
      </w:r>
      <w:r w:rsidR="001700A2" w:rsidRPr="00E168A1">
        <w:rPr>
          <w:rFonts w:ascii="Times New Roman" w:hAnsi="Times New Roman"/>
          <w:b/>
        </w:rPr>
        <w:t>the</w:t>
      </w:r>
      <w:r w:rsidR="00900061" w:rsidRPr="00E168A1">
        <w:rPr>
          <w:rFonts w:ascii="Times New Roman" w:hAnsi="Times New Roman"/>
          <w:b/>
        </w:rPr>
        <w:t xml:space="preserve"> </w:t>
      </w:r>
      <w:r w:rsidR="001700A2" w:rsidRPr="00E168A1">
        <w:rPr>
          <w:rFonts w:ascii="Times New Roman" w:hAnsi="Times New Roman"/>
          <w:b/>
        </w:rPr>
        <w:t>National</w:t>
      </w:r>
      <w:r w:rsidR="00900061" w:rsidRPr="00E168A1">
        <w:rPr>
          <w:rFonts w:ascii="Times New Roman" w:hAnsi="Times New Roman"/>
          <w:b/>
        </w:rPr>
        <w:t xml:space="preserve"> </w:t>
      </w:r>
      <w:r w:rsidR="001700A2" w:rsidRPr="00E168A1">
        <w:rPr>
          <w:rFonts w:ascii="Times New Roman" w:hAnsi="Times New Roman"/>
          <w:b/>
        </w:rPr>
        <w:t>Employment</w:t>
      </w:r>
      <w:r w:rsidR="00900061" w:rsidRPr="00E168A1">
        <w:rPr>
          <w:rFonts w:ascii="Times New Roman" w:hAnsi="Times New Roman"/>
          <w:b/>
        </w:rPr>
        <w:t xml:space="preserve"> </w:t>
      </w:r>
      <w:r w:rsidR="001700A2" w:rsidRPr="00E168A1">
        <w:rPr>
          <w:rFonts w:ascii="Times New Roman" w:hAnsi="Times New Roman"/>
          <w:b/>
        </w:rPr>
        <w:t>Service</w:t>
      </w:r>
      <w:r w:rsidR="00900061" w:rsidRPr="00E168A1">
        <w:rPr>
          <w:rFonts w:ascii="Times New Roman" w:hAnsi="Times New Roman"/>
          <w:b/>
        </w:rPr>
        <w:t xml:space="preserve"> </w:t>
      </w:r>
      <w:r w:rsidR="001700A2" w:rsidRPr="00E168A1">
        <w:rPr>
          <w:rFonts w:ascii="Times New Roman" w:hAnsi="Times New Roman"/>
          <w:b/>
        </w:rPr>
        <w:t>(NES)</w:t>
      </w:r>
      <w:r w:rsidR="00E97366" w:rsidRPr="00E168A1">
        <w:rPr>
          <w:rFonts w:ascii="Times New Roman" w:hAnsi="Times New Roman"/>
          <w:b/>
        </w:rPr>
        <w:t>,</w:t>
      </w:r>
      <w:r w:rsidR="00900061" w:rsidRPr="00E168A1">
        <w:rPr>
          <w:rFonts w:ascii="Times New Roman" w:hAnsi="Times New Roman"/>
          <w:b/>
        </w:rPr>
        <w:t xml:space="preserve"> </w:t>
      </w:r>
      <w:r w:rsidR="001700A2" w:rsidRPr="00E168A1">
        <w:rPr>
          <w:rFonts w:ascii="Times New Roman" w:hAnsi="Times New Roman"/>
          <w:b/>
        </w:rPr>
        <w:t>the</w:t>
      </w:r>
      <w:r w:rsidR="00900061" w:rsidRPr="00E168A1">
        <w:rPr>
          <w:rFonts w:ascii="Times New Roman" w:hAnsi="Times New Roman"/>
          <w:b/>
        </w:rPr>
        <w:t xml:space="preserve"> </w:t>
      </w:r>
      <w:r w:rsidR="009A3C22" w:rsidRPr="00E168A1">
        <w:rPr>
          <w:rFonts w:ascii="Times New Roman" w:hAnsi="Times New Roman"/>
          <w:b/>
        </w:rPr>
        <w:t>g</w:t>
      </w:r>
      <w:r w:rsidR="001700A2" w:rsidRPr="00E168A1">
        <w:rPr>
          <w:rFonts w:ascii="Times New Roman" w:hAnsi="Times New Roman"/>
          <w:b/>
        </w:rPr>
        <w:t>overnment</w:t>
      </w:r>
      <w:r w:rsidR="00900061" w:rsidRPr="00E168A1">
        <w:rPr>
          <w:rFonts w:ascii="Times New Roman" w:hAnsi="Times New Roman"/>
          <w:b/>
        </w:rPr>
        <w:t xml:space="preserve"> </w:t>
      </w:r>
      <w:r w:rsidR="001700A2" w:rsidRPr="00E168A1">
        <w:rPr>
          <w:rFonts w:ascii="Times New Roman" w:hAnsi="Times New Roman"/>
          <w:b/>
        </w:rPr>
        <w:t>Human</w:t>
      </w:r>
      <w:r w:rsidR="00900061" w:rsidRPr="00E168A1">
        <w:rPr>
          <w:rFonts w:ascii="Times New Roman" w:hAnsi="Times New Roman"/>
          <w:b/>
        </w:rPr>
        <w:t xml:space="preserve"> </w:t>
      </w:r>
      <w:r w:rsidR="001700A2" w:rsidRPr="00E168A1">
        <w:rPr>
          <w:rFonts w:ascii="Times New Roman" w:hAnsi="Times New Roman"/>
          <w:b/>
        </w:rPr>
        <w:t>Resource</w:t>
      </w:r>
      <w:r w:rsidR="00900061" w:rsidRPr="00E168A1">
        <w:rPr>
          <w:rFonts w:ascii="Times New Roman" w:hAnsi="Times New Roman"/>
          <w:b/>
        </w:rPr>
        <w:t xml:space="preserve"> </w:t>
      </w:r>
      <w:r w:rsidR="001700A2" w:rsidRPr="00E168A1">
        <w:rPr>
          <w:rFonts w:ascii="Times New Roman" w:hAnsi="Times New Roman"/>
          <w:b/>
        </w:rPr>
        <w:t>Management</w:t>
      </w:r>
      <w:r w:rsidR="00900061" w:rsidRPr="00E168A1">
        <w:rPr>
          <w:rFonts w:ascii="Times New Roman" w:hAnsi="Times New Roman"/>
          <w:b/>
        </w:rPr>
        <w:t xml:space="preserve"> </w:t>
      </w:r>
      <w:r w:rsidR="001700A2" w:rsidRPr="00E168A1">
        <w:rPr>
          <w:rFonts w:ascii="Times New Roman" w:hAnsi="Times New Roman"/>
          <w:b/>
        </w:rPr>
        <w:t>Services</w:t>
      </w:r>
      <w:r w:rsidR="00E97366" w:rsidRPr="00E168A1">
        <w:rPr>
          <w:rFonts w:ascii="Times New Roman" w:hAnsi="Times New Roman"/>
          <w:b/>
        </w:rPr>
        <w:t>,</w:t>
      </w:r>
      <w:r w:rsidR="00900061" w:rsidRPr="00E168A1">
        <w:rPr>
          <w:rFonts w:ascii="Times New Roman" w:hAnsi="Times New Roman"/>
          <w:b/>
        </w:rPr>
        <w:t xml:space="preserve"> </w:t>
      </w:r>
      <w:r w:rsidR="001700A2" w:rsidRPr="00E168A1">
        <w:rPr>
          <w:rFonts w:ascii="Times New Roman" w:hAnsi="Times New Roman"/>
          <w:b/>
        </w:rPr>
        <w:t>and</w:t>
      </w:r>
      <w:r w:rsidR="00900061" w:rsidRPr="00E168A1">
        <w:rPr>
          <w:rFonts w:ascii="Times New Roman" w:hAnsi="Times New Roman"/>
          <w:b/>
        </w:rPr>
        <w:t xml:space="preserve"> </w:t>
      </w:r>
      <w:r w:rsidR="001700A2" w:rsidRPr="00E168A1">
        <w:rPr>
          <w:rFonts w:ascii="Times New Roman" w:hAnsi="Times New Roman"/>
          <w:b/>
        </w:rPr>
        <w:t>the</w:t>
      </w:r>
      <w:r w:rsidR="00900061" w:rsidRPr="00E168A1">
        <w:rPr>
          <w:rFonts w:ascii="Times New Roman" w:hAnsi="Times New Roman"/>
          <w:b/>
        </w:rPr>
        <w:t xml:space="preserve"> </w:t>
      </w:r>
      <w:r w:rsidR="001700A2" w:rsidRPr="00E168A1">
        <w:rPr>
          <w:rFonts w:ascii="Times New Roman" w:hAnsi="Times New Roman"/>
          <w:b/>
        </w:rPr>
        <w:t>SAI</w:t>
      </w:r>
      <w:r w:rsidRPr="00E168A1">
        <w:rPr>
          <w:rFonts w:ascii="Times New Roman" w:hAnsi="Times New Roman"/>
          <w:b/>
        </w:rPr>
        <w:t>.</w:t>
      </w:r>
      <w:r w:rsidR="00900061" w:rsidRPr="00E168A1">
        <w:rPr>
          <w:rFonts w:ascii="Times New Roman" w:hAnsi="Times New Roman"/>
        </w:rPr>
        <w:t xml:space="preserve"> </w:t>
      </w:r>
      <w:r w:rsidR="000E798B">
        <w:rPr>
          <w:rFonts w:ascii="Times New Roman" w:hAnsi="Times New Roman"/>
        </w:rPr>
        <w:t xml:space="preserve">The procurement capacity of these insitutions is reviewed below: </w:t>
      </w:r>
    </w:p>
    <w:p w14:paraId="003BC5D6" w14:textId="77777777" w:rsidR="000E798B" w:rsidRPr="000E798B" w:rsidRDefault="00AE54E5" w:rsidP="000E798B">
      <w:pPr>
        <w:pStyle w:val="ListParagraph"/>
        <w:numPr>
          <w:ilvl w:val="0"/>
          <w:numId w:val="36"/>
        </w:numPr>
        <w:contextualSpacing w:val="0"/>
        <w:rPr>
          <w:rFonts w:ascii="Times New Roman" w:hAnsi="Times New Roman"/>
        </w:rPr>
      </w:pP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MPALSG</w:t>
      </w:r>
      <w:r w:rsidR="00900061" w:rsidRPr="00E168A1">
        <w:rPr>
          <w:rFonts w:ascii="Times New Roman" w:hAnsi="Times New Roman"/>
        </w:rPr>
        <w:t xml:space="preserve"> </w:t>
      </w:r>
      <w:r w:rsidRPr="00E168A1">
        <w:rPr>
          <w:rFonts w:ascii="Times New Roman" w:hAnsi="Times New Roman"/>
        </w:rPr>
        <w:t>was</w:t>
      </w:r>
      <w:r w:rsidR="00900061" w:rsidRPr="00E168A1">
        <w:rPr>
          <w:rFonts w:ascii="Times New Roman" w:hAnsi="Times New Roman"/>
        </w:rPr>
        <w:t xml:space="preserve"> </w:t>
      </w:r>
      <w:r w:rsidRPr="00E168A1">
        <w:rPr>
          <w:rFonts w:ascii="Times New Roman" w:hAnsi="Times New Roman"/>
        </w:rPr>
        <w:t>established</w:t>
      </w:r>
      <w:r w:rsidR="00900061" w:rsidRPr="00E168A1">
        <w:rPr>
          <w:rFonts w:ascii="Times New Roman" w:hAnsi="Times New Roman"/>
        </w:rPr>
        <w:t xml:space="preserve"> </w:t>
      </w:r>
      <w:r w:rsidRPr="00E168A1">
        <w:rPr>
          <w:rFonts w:ascii="Times New Roman" w:hAnsi="Times New Roman"/>
        </w:rPr>
        <w:t>last</w:t>
      </w:r>
      <w:r w:rsidR="00900061" w:rsidRPr="00E168A1">
        <w:rPr>
          <w:rFonts w:ascii="Times New Roman" w:hAnsi="Times New Roman"/>
        </w:rPr>
        <w:t xml:space="preserve"> </w:t>
      </w:r>
      <w:r w:rsidRPr="00E168A1">
        <w:rPr>
          <w:rFonts w:ascii="Times New Roman" w:hAnsi="Times New Roman"/>
        </w:rPr>
        <w:t>year</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Secretariat</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00105D1E" w:rsidRPr="00E168A1">
        <w:rPr>
          <w:rFonts w:ascii="Times New Roman" w:hAnsi="Times New Roman"/>
        </w:rPr>
        <w:t xml:space="preserve">has the </w:t>
      </w:r>
      <w:r w:rsidRPr="00E168A1">
        <w:rPr>
          <w:rFonts w:ascii="Times New Roman" w:hAnsi="Times New Roman"/>
        </w:rPr>
        <w:t>responsibility</w:t>
      </w:r>
      <w:r w:rsidR="00900061" w:rsidRPr="00E168A1">
        <w:rPr>
          <w:rFonts w:ascii="Times New Roman" w:hAnsi="Times New Roman"/>
        </w:rPr>
        <w:t xml:space="preserve"> </w:t>
      </w:r>
      <w:r w:rsidR="00105D1E"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00D9693E" w:rsidRPr="00E168A1">
        <w:rPr>
          <w:rFonts w:ascii="Times New Roman" w:hAnsi="Times New Roman"/>
        </w:rPr>
        <w:t>Within</w:t>
      </w:r>
      <w:r w:rsidR="00900061" w:rsidRPr="00E168A1">
        <w:rPr>
          <w:rFonts w:ascii="Times New Roman" w:hAnsi="Times New Roman"/>
        </w:rPr>
        <w:t xml:space="preserve"> </w:t>
      </w:r>
      <w:r w:rsidR="00D9693E" w:rsidRPr="00E168A1">
        <w:rPr>
          <w:rFonts w:ascii="Times New Roman" w:hAnsi="Times New Roman"/>
        </w:rPr>
        <w:t>t</w:t>
      </w:r>
      <w:r w:rsidRPr="00E168A1">
        <w:rPr>
          <w:rFonts w:ascii="Times New Roman" w:hAnsi="Times New Roman"/>
        </w:rPr>
        <w:t>he</w:t>
      </w:r>
      <w:r w:rsidR="00900061" w:rsidRPr="00E168A1">
        <w:rPr>
          <w:rFonts w:ascii="Times New Roman" w:hAnsi="Times New Roman"/>
        </w:rPr>
        <w:t xml:space="preserve"> </w:t>
      </w:r>
      <w:r w:rsidRPr="00E168A1">
        <w:rPr>
          <w:rFonts w:ascii="Times New Roman" w:hAnsi="Times New Roman"/>
        </w:rPr>
        <w:t>Secretariat</w:t>
      </w:r>
      <w:r w:rsidR="00034F2C" w:rsidRPr="00E168A1">
        <w:rPr>
          <w:rFonts w:ascii="Times New Roman" w:hAnsi="Times New Roman"/>
        </w:rPr>
        <w:t>,</w:t>
      </w:r>
      <w:r w:rsidR="00900061" w:rsidRPr="00E168A1">
        <w:rPr>
          <w:rFonts w:ascii="Times New Roman" w:hAnsi="Times New Roman"/>
        </w:rPr>
        <w:t xml:space="preserve"> </w:t>
      </w:r>
      <w:r w:rsidR="007328D2" w:rsidRPr="00E168A1">
        <w:rPr>
          <w:rFonts w:ascii="Times New Roman" w:hAnsi="Times New Roman"/>
        </w:rPr>
        <w:t>there</w:t>
      </w:r>
      <w:r w:rsidR="00900061" w:rsidRPr="00E168A1">
        <w:rPr>
          <w:rFonts w:ascii="Times New Roman" w:hAnsi="Times New Roman"/>
        </w:rPr>
        <w:t xml:space="preserve"> </w:t>
      </w:r>
      <w:r w:rsidR="007328D2" w:rsidRPr="00E168A1">
        <w:rPr>
          <w:rFonts w:ascii="Times New Roman" w:hAnsi="Times New Roman"/>
        </w:rPr>
        <w:t>is</w:t>
      </w:r>
      <w:r w:rsidR="00900061" w:rsidRPr="00E168A1">
        <w:rPr>
          <w:rFonts w:ascii="Times New Roman" w:hAnsi="Times New Roman"/>
        </w:rPr>
        <w:t xml:space="preserve"> </w:t>
      </w:r>
      <w:r w:rsidR="007328D2" w:rsidRPr="00E168A1">
        <w:rPr>
          <w:rFonts w:ascii="Times New Roman" w:hAnsi="Times New Roman"/>
        </w:rPr>
        <w:t>a</w:t>
      </w:r>
      <w:r w:rsidR="00900061" w:rsidRPr="00E168A1">
        <w:rPr>
          <w:rFonts w:ascii="Times New Roman" w:hAnsi="Times New Roman"/>
        </w:rPr>
        <w:t xml:space="preserve"> </w:t>
      </w:r>
      <w:r w:rsidR="007328D2" w:rsidRPr="00E168A1">
        <w:rPr>
          <w:rFonts w:ascii="Times New Roman" w:hAnsi="Times New Roman"/>
        </w:rPr>
        <w:t>Division</w:t>
      </w:r>
      <w:r w:rsidR="00900061" w:rsidRPr="00E168A1">
        <w:rPr>
          <w:rFonts w:ascii="Times New Roman" w:hAnsi="Times New Roman"/>
        </w:rPr>
        <w:t xml:space="preserve"> </w:t>
      </w:r>
      <w:r w:rsidR="007328D2" w:rsidRPr="00E168A1">
        <w:rPr>
          <w:rFonts w:ascii="Times New Roman" w:hAnsi="Times New Roman"/>
        </w:rPr>
        <w:t>for</w:t>
      </w:r>
      <w:r w:rsidR="00900061" w:rsidRPr="00E168A1">
        <w:rPr>
          <w:rFonts w:ascii="Times New Roman" w:hAnsi="Times New Roman"/>
        </w:rPr>
        <w:t xml:space="preserve"> </w:t>
      </w:r>
      <w:r w:rsidR="007328D2" w:rsidRPr="00E168A1">
        <w:rPr>
          <w:rFonts w:ascii="Times New Roman" w:hAnsi="Times New Roman"/>
        </w:rPr>
        <w:t>Administrative</w:t>
      </w:r>
      <w:r w:rsidR="00900061" w:rsidRPr="00E168A1">
        <w:rPr>
          <w:rFonts w:ascii="Times New Roman" w:hAnsi="Times New Roman"/>
        </w:rPr>
        <w:t xml:space="preserve"> </w:t>
      </w:r>
      <w:r w:rsidR="007328D2" w:rsidRPr="00E168A1">
        <w:rPr>
          <w:rFonts w:ascii="Times New Roman" w:hAnsi="Times New Roman"/>
        </w:rPr>
        <w:t>Matters,</w:t>
      </w:r>
      <w:r w:rsidR="00900061" w:rsidRPr="00E168A1">
        <w:rPr>
          <w:rFonts w:ascii="Times New Roman" w:hAnsi="Times New Roman"/>
        </w:rPr>
        <w:t xml:space="preserve"> </w:t>
      </w:r>
      <w:r w:rsidR="007328D2" w:rsidRPr="00E168A1">
        <w:rPr>
          <w:rFonts w:ascii="Times New Roman" w:hAnsi="Times New Roman"/>
        </w:rPr>
        <w:lastRenderedPageBreak/>
        <w:t>Human</w:t>
      </w:r>
      <w:r w:rsidR="00900061" w:rsidRPr="00E168A1">
        <w:rPr>
          <w:rFonts w:ascii="Times New Roman" w:hAnsi="Times New Roman"/>
        </w:rPr>
        <w:t xml:space="preserve"> </w:t>
      </w:r>
      <w:r w:rsidR="007328D2" w:rsidRPr="00E168A1">
        <w:rPr>
          <w:rFonts w:ascii="Times New Roman" w:hAnsi="Times New Roman"/>
        </w:rPr>
        <w:t>Resources</w:t>
      </w:r>
      <w:r w:rsidR="00206D2E" w:rsidRPr="00E168A1">
        <w:rPr>
          <w:rFonts w:ascii="Times New Roman" w:hAnsi="Times New Roman"/>
        </w:rPr>
        <w:t>,</w:t>
      </w:r>
      <w:r w:rsidR="00900061" w:rsidRPr="00E168A1">
        <w:rPr>
          <w:rFonts w:ascii="Times New Roman" w:hAnsi="Times New Roman"/>
        </w:rPr>
        <w:t xml:space="preserve"> </w:t>
      </w:r>
      <w:r w:rsidR="007328D2" w:rsidRPr="00E168A1">
        <w:rPr>
          <w:rFonts w:ascii="Times New Roman" w:hAnsi="Times New Roman"/>
        </w:rPr>
        <w:t>and</w:t>
      </w:r>
      <w:r w:rsidR="00900061" w:rsidRPr="00E168A1">
        <w:rPr>
          <w:rFonts w:ascii="Times New Roman" w:hAnsi="Times New Roman"/>
        </w:rPr>
        <w:t xml:space="preserve"> </w:t>
      </w:r>
      <w:r w:rsidR="007328D2" w:rsidRPr="00E168A1">
        <w:rPr>
          <w:rFonts w:ascii="Times New Roman" w:hAnsi="Times New Roman"/>
        </w:rPr>
        <w:t>Public</w:t>
      </w:r>
      <w:r w:rsidR="00900061" w:rsidRPr="00E168A1">
        <w:rPr>
          <w:rFonts w:ascii="Times New Roman" w:hAnsi="Times New Roman"/>
        </w:rPr>
        <w:t xml:space="preserve"> </w:t>
      </w:r>
      <w:r w:rsidR="007328D2"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staffed</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00502E45" w:rsidRPr="00E168A1">
        <w:rPr>
          <w:rFonts w:ascii="Times New Roman" w:hAnsi="Times New Roman"/>
        </w:rPr>
        <w:t>three</w:t>
      </w:r>
      <w:r w:rsidR="00900061" w:rsidRPr="00E168A1">
        <w:rPr>
          <w:rFonts w:ascii="Times New Roman" w:hAnsi="Times New Roman"/>
        </w:rPr>
        <w:t xml:space="preserve"> </w:t>
      </w:r>
      <w:r w:rsidR="007328D2" w:rsidRPr="00E168A1">
        <w:rPr>
          <w:rFonts w:ascii="Times New Roman" w:hAnsi="Times New Roman"/>
        </w:rPr>
        <w:t>professionals</w:t>
      </w:r>
      <w:r w:rsidR="00E97366" w:rsidRPr="00E168A1">
        <w:rPr>
          <w:rFonts w:ascii="Times New Roman" w:hAnsi="Times New Roman"/>
        </w:rPr>
        <w:t>,</w:t>
      </w:r>
      <w:r w:rsidR="00900061" w:rsidRPr="00E168A1">
        <w:rPr>
          <w:rFonts w:ascii="Times New Roman" w:hAnsi="Times New Roman"/>
        </w:rPr>
        <w:t xml:space="preserve"> </w:t>
      </w:r>
      <w:r w:rsidR="00502E45" w:rsidRPr="00E168A1">
        <w:rPr>
          <w:rFonts w:ascii="Times New Roman" w:hAnsi="Times New Roman"/>
        </w:rPr>
        <w:t>out</w:t>
      </w:r>
      <w:r w:rsidR="00900061" w:rsidRPr="00E168A1">
        <w:rPr>
          <w:rFonts w:ascii="Times New Roman" w:hAnsi="Times New Roman"/>
        </w:rPr>
        <w:t xml:space="preserve"> </w:t>
      </w:r>
      <w:r w:rsidR="00502E45" w:rsidRPr="00E168A1">
        <w:rPr>
          <w:rFonts w:ascii="Times New Roman" w:hAnsi="Times New Roman"/>
        </w:rPr>
        <w:t>of</w:t>
      </w:r>
      <w:r w:rsidR="00900061" w:rsidRPr="00E168A1">
        <w:rPr>
          <w:rFonts w:ascii="Times New Roman" w:hAnsi="Times New Roman"/>
        </w:rPr>
        <w:t xml:space="preserve"> </w:t>
      </w:r>
      <w:r w:rsidR="00502E45" w:rsidRPr="00E168A1">
        <w:rPr>
          <w:rFonts w:ascii="Times New Roman" w:hAnsi="Times New Roman"/>
        </w:rPr>
        <w:t>which</w:t>
      </w:r>
      <w:r w:rsidR="00900061" w:rsidRPr="00E168A1">
        <w:rPr>
          <w:rFonts w:ascii="Times New Roman" w:hAnsi="Times New Roman"/>
        </w:rPr>
        <w:t xml:space="preserve"> </w:t>
      </w:r>
      <w:r w:rsidR="00502E45" w:rsidRPr="00E168A1">
        <w:rPr>
          <w:rFonts w:ascii="Times New Roman" w:hAnsi="Times New Roman"/>
        </w:rPr>
        <w:t>one</w:t>
      </w:r>
      <w:r w:rsidR="00900061" w:rsidRPr="00E168A1">
        <w:rPr>
          <w:rFonts w:ascii="Times New Roman" w:hAnsi="Times New Roman"/>
        </w:rPr>
        <w:t xml:space="preserve"> </w:t>
      </w:r>
      <w:r w:rsidR="00502E45" w:rsidRPr="00E168A1">
        <w:rPr>
          <w:rFonts w:ascii="Times New Roman" w:hAnsi="Times New Roman"/>
        </w:rPr>
        <w:t>is</w:t>
      </w:r>
      <w:r w:rsidR="00900061" w:rsidRPr="00E168A1">
        <w:rPr>
          <w:rFonts w:ascii="Times New Roman" w:hAnsi="Times New Roman"/>
        </w:rPr>
        <w:t xml:space="preserve"> </w:t>
      </w:r>
      <w:r w:rsidR="00D9693E" w:rsidRPr="00E168A1">
        <w:rPr>
          <w:rFonts w:ascii="Times New Roman" w:hAnsi="Times New Roman"/>
        </w:rPr>
        <w:t>a</w:t>
      </w:r>
      <w:r w:rsidR="00900061" w:rsidRPr="00E168A1">
        <w:rPr>
          <w:rFonts w:ascii="Times New Roman" w:hAnsi="Times New Roman"/>
        </w:rPr>
        <w:t xml:space="preserve"> </w:t>
      </w:r>
      <w:r w:rsidR="00502E45" w:rsidRPr="00E168A1">
        <w:rPr>
          <w:rFonts w:ascii="Times New Roman" w:hAnsi="Times New Roman"/>
        </w:rPr>
        <w:t>certified</w:t>
      </w:r>
      <w:r w:rsidR="00900061" w:rsidRPr="00E168A1">
        <w:rPr>
          <w:rFonts w:ascii="Times New Roman" w:hAnsi="Times New Roman"/>
        </w:rPr>
        <w:t xml:space="preserve"> </w:t>
      </w:r>
      <w:r w:rsidR="00E36D73" w:rsidRPr="00E168A1">
        <w:rPr>
          <w:rFonts w:ascii="Times New Roman" w:hAnsi="Times New Roman"/>
        </w:rPr>
        <w:t>p</w:t>
      </w:r>
      <w:r w:rsidR="00D9693E" w:rsidRPr="00E168A1">
        <w:rPr>
          <w:rFonts w:ascii="Times New Roman" w:hAnsi="Times New Roman"/>
        </w:rPr>
        <w:t>rocurement</w:t>
      </w:r>
      <w:r w:rsidR="00900061" w:rsidRPr="00E168A1">
        <w:rPr>
          <w:rFonts w:ascii="Times New Roman" w:hAnsi="Times New Roman"/>
        </w:rPr>
        <w:t xml:space="preserve"> </w:t>
      </w:r>
      <w:r w:rsidR="00E36D73" w:rsidRPr="00E168A1">
        <w:rPr>
          <w:rFonts w:ascii="Times New Roman" w:hAnsi="Times New Roman"/>
        </w:rPr>
        <w:t>o</w:t>
      </w:r>
      <w:r w:rsidR="00D9693E" w:rsidRPr="00E168A1">
        <w:rPr>
          <w:rFonts w:ascii="Times New Roman" w:hAnsi="Times New Roman"/>
        </w:rPr>
        <w:t>fficer</w:t>
      </w:r>
      <w:r w:rsidR="00900061" w:rsidRPr="00E168A1">
        <w:rPr>
          <w:rFonts w:ascii="Times New Roman" w:hAnsi="Times New Roman"/>
        </w:rPr>
        <w:t xml:space="preserve"> </w:t>
      </w:r>
      <w:r w:rsidR="00E97366" w:rsidRPr="00E168A1">
        <w:rPr>
          <w:rFonts w:ascii="Times New Roman" w:hAnsi="Times New Roman"/>
        </w:rPr>
        <w:t xml:space="preserve">who </w:t>
      </w:r>
      <w:r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spacing w:val="-1"/>
        </w:rPr>
        <w:t>acceptable</w:t>
      </w:r>
      <w:r w:rsidR="00900061" w:rsidRPr="00E168A1">
        <w:rPr>
          <w:rFonts w:ascii="Times New Roman" w:hAnsi="Times New Roman"/>
          <w:spacing w:val="48"/>
        </w:rPr>
        <w:t xml:space="preserve"> </w:t>
      </w:r>
      <w:r w:rsidRPr="00E168A1">
        <w:rPr>
          <w:rFonts w:ascii="Times New Roman" w:hAnsi="Times New Roman"/>
          <w:spacing w:val="-1"/>
        </w:rPr>
        <w:t>level</w:t>
      </w:r>
      <w:r w:rsidR="00900061" w:rsidRPr="00E168A1">
        <w:rPr>
          <w:rFonts w:ascii="Times New Roman" w:hAnsi="Times New Roman"/>
          <w:spacing w:val="51"/>
        </w:rPr>
        <w:t xml:space="preserve"> </w:t>
      </w:r>
      <w:r w:rsidRPr="00E168A1">
        <w:rPr>
          <w:rFonts w:ascii="Times New Roman" w:hAnsi="Times New Roman"/>
        </w:rPr>
        <w:t>of</w:t>
      </w:r>
      <w:r w:rsidR="00900061" w:rsidRPr="00E168A1">
        <w:rPr>
          <w:rFonts w:ascii="Times New Roman" w:hAnsi="Times New Roman"/>
          <w:spacing w:val="49"/>
        </w:rPr>
        <w:t xml:space="preserve"> </w:t>
      </w:r>
      <w:r w:rsidRPr="00E168A1">
        <w:rPr>
          <w:rFonts w:ascii="Times New Roman" w:hAnsi="Times New Roman"/>
          <w:spacing w:val="-1"/>
        </w:rPr>
        <w:t>experience</w:t>
      </w:r>
      <w:r w:rsidR="00900061" w:rsidRPr="00E168A1">
        <w:rPr>
          <w:rFonts w:ascii="Times New Roman" w:hAnsi="Times New Roman"/>
          <w:spacing w:val="48"/>
        </w:rPr>
        <w:t xml:space="preserve"> </w:t>
      </w:r>
      <w:r w:rsidRPr="00E168A1">
        <w:rPr>
          <w:rFonts w:ascii="Times New Roman" w:hAnsi="Times New Roman"/>
        </w:rPr>
        <w:t>in</w:t>
      </w:r>
      <w:r w:rsidR="00900061" w:rsidRPr="00E168A1">
        <w:rPr>
          <w:rFonts w:ascii="Times New Roman" w:hAnsi="Times New Roman"/>
          <w:spacing w:val="50"/>
        </w:rPr>
        <w:t xml:space="preserve"> </w:t>
      </w:r>
      <w:r w:rsidR="00127E84"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spacing w:val="-1"/>
        </w:rPr>
        <w:t>procurement</w:t>
      </w:r>
      <w:r w:rsidR="00D9693E" w:rsidRPr="00E168A1">
        <w:rPr>
          <w:rFonts w:ascii="Times New Roman" w:hAnsi="Times New Roman"/>
          <w:spacing w:val="-1"/>
        </w:rPr>
        <w:t>.</w:t>
      </w:r>
      <w:r w:rsidR="00900061" w:rsidRPr="00E168A1">
        <w:rPr>
          <w:rFonts w:ascii="Times New Roman" w:hAnsi="Times New Roman"/>
          <w:spacing w:val="-1"/>
        </w:rPr>
        <w:t xml:space="preserve"> </w:t>
      </w:r>
      <w:r w:rsidR="007328D2" w:rsidRPr="00E168A1">
        <w:rPr>
          <w:rFonts w:ascii="Times New Roman" w:hAnsi="Times New Roman"/>
          <w:spacing w:val="-1"/>
        </w:rPr>
        <w:t>The</w:t>
      </w:r>
      <w:r w:rsidR="00900061" w:rsidRPr="00E168A1">
        <w:rPr>
          <w:rFonts w:ascii="Times New Roman" w:hAnsi="Times New Roman"/>
          <w:spacing w:val="-1"/>
        </w:rPr>
        <w:t xml:space="preserve"> </w:t>
      </w:r>
      <w:r w:rsidR="00E97366" w:rsidRPr="00E168A1">
        <w:rPr>
          <w:rFonts w:ascii="Times New Roman" w:hAnsi="Times New Roman"/>
          <w:spacing w:val="-1"/>
        </w:rPr>
        <w:t>m</w:t>
      </w:r>
      <w:r w:rsidR="007328D2" w:rsidRPr="00E168A1">
        <w:rPr>
          <w:rFonts w:ascii="Times New Roman" w:hAnsi="Times New Roman"/>
          <w:spacing w:val="-1"/>
        </w:rPr>
        <w:t>inistry</w:t>
      </w:r>
      <w:r w:rsidR="00900061" w:rsidRPr="00E168A1">
        <w:rPr>
          <w:rFonts w:ascii="Times New Roman" w:hAnsi="Times New Roman"/>
          <w:spacing w:val="-1"/>
        </w:rPr>
        <w:t xml:space="preserve"> </w:t>
      </w:r>
      <w:r w:rsidR="007328D2" w:rsidRPr="00E168A1">
        <w:rPr>
          <w:rFonts w:ascii="Times New Roman" w:hAnsi="Times New Roman"/>
          <w:spacing w:val="-1"/>
        </w:rPr>
        <w:t>conducts</w:t>
      </w:r>
      <w:r w:rsidR="00900061" w:rsidRPr="00E168A1">
        <w:rPr>
          <w:rFonts w:ascii="Times New Roman" w:hAnsi="Times New Roman"/>
          <w:spacing w:val="-1"/>
        </w:rPr>
        <w:t xml:space="preserve"> </w:t>
      </w:r>
      <w:r w:rsidR="007328D2" w:rsidRPr="00E168A1">
        <w:rPr>
          <w:rFonts w:ascii="Times New Roman" w:hAnsi="Times New Roman"/>
          <w:spacing w:val="-1"/>
        </w:rPr>
        <w:t>procurement</w:t>
      </w:r>
      <w:r w:rsidR="00900061" w:rsidRPr="00E168A1">
        <w:rPr>
          <w:rFonts w:ascii="Times New Roman" w:hAnsi="Times New Roman"/>
          <w:spacing w:val="-1"/>
        </w:rPr>
        <w:t xml:space="preserve"> </w:t>
      </w:r>
      <w:r w:rsidR="007328D2" w:rsidRPr="00E168A1">
        <w:rPr>
          <w:rFonts w:ascii="Times New Roman" w:hAnsi="Times New Roman"/>
          <w:spacing w:val="-1"/>
        </w:rPr>
        <w:t>procedures</w:t>
      </w:r>
      <w:r w:rsidR="00900061" w:rsidRPr="00E168A1">
        <w:rPr>
          <w:rFonts w:ascii="Times New Roman" w:hAnsi="Times New Roman"/>
          <w:spacing w:val="-1"/>
        </w:rPr>
        <w:t xml:space="preserve"> </w:t>
      </w:r>
      <w:r w:rsidR="007328D2" w:rsidRPr="00E168A1">
        <w:rPr>
          <w:rFonts w:ascii="Times New Roman" w:hAnsi="Times New Roman"/>
          <w:spacing w:val="-1"/>
        </w:rPr>
        <w:t>for</w:t>
      </w:r>
      <w:r w:rsidR="00900061" w:rsidRPr="00E168A1">
        <w:rPr>
          <w:rFonts w:ascii="Times New Roman" w:hAnsi="Times New Roman"/>
          <w:spacing w:val="-1"/>
        </w:rPr>
        <w:t xml:space="preserve"> </w:t>
      </w:r>
      <w:r w:rsidR="007328D2" w:rsidRPr="00E168A1">
        <w:rPr>
          <w:rFonts w:ascii="Times New Roman" w:hAnsi="Times New Roman"/>
          <w:spacing w:val="-1"/>
        </w:rPr>
        <w:t>services</w:t>
      </w:r>
      <w:r w:rsidR="00900061" w:rsidRPr="00E168A1">
        <w:rPr>
          <w:rFonts w:ascii="Times New Roman" w:hAnsi="Times New Roman"/>
          <w:spacing w:val="-1"/>
        </w:rPr>
        <w:t xml:space="preserve"> </w:t>
      </w:r>
      <w:r w:rsidR="007328D2" w:rsidRPr="00E168A1">
        <w:rPr>
          <w:rFonts w:ascii="Times New Roman" w:hAnsi="Times New Roman"/>
          <w:spacing w:val="-1"/>
        </w:rPr>
        <w:t>(total</w:t>
      </w:r>
      <w:r w:rsidR="00900061" w:rsidRPr="00E168A1">
        <w:rPr>
          <w:rFonts w:ascii="Times New Roman" w:hAnsi="Times New Roman"/>
          <w:spacing w:val="-1"/>
        </w:rPr>
        <w:t xml:space="preserve"> </w:t>
      </w:r>
      <w:r w:rsidR="007328D2" w:rsidRPr="00E168A1">
        <w:rPr>
          <w:rFonts w:ascii="Times New Roman" w:hAnsi="Times New Roman"/>
          <w:spacing w:val="-1"/>
        </w:rPr>
        <w:t>value</w:t>
      </w:r>
      <w:r w:rsidR="00900061" w:rsidRPr="00E168A1">
        <w:rPr>
          <w:rFonts w:ascii="Times New Roman" w:hAnsi="Times New Roman"/>
          <w:spacing w:val="-1"/>
        </w:rPr>
        <w:t xml:space="preserve"> </w:t>
      </w:r>
      <w:r w:rsidR="007328D2" w:rsidRPr="00E168A1">
        <w:rPr>
          <w:rFonts w:ascii="Times New Roman" w:hAnsi="Times New Roman"/>
          <w:spacing w:val="-1"/>
        </w:rPr>
        <w:t>for</w:t>
      </w:r>
      <w:r w:rsidR="00900061" w:rsidRPr="00E168A1">
        <w:rPr>
          <w:rFonts w:ascii="Times New Roman" w:hAnsi="Times New Roman"/>
          <w:spacing w:val="-1"/>
        </w:rPr>
        <w:t xml:space="preserve"> </w:t>
      </w:r>
      <w:r w:rsidR="007328D2" w:rsidRPr="00E168A1">
        <w:rPr>
          <w:rFonts w:ascii="Times New Roman" w:hAnsi="Times New Roman"/>
          <w:spacing w:val="-1"/>
        </w:rPr>
        <w:t>2015</w:t>
      </w:r>
      <w:r w:rsidR="00900061" w:rsidRPr="00E168A1">
        <w:rPr>
          <w:rFonts w:ascii="Times New Roman" w:hAnsi="Times New Roman"/>
          <w:spacing w:val="-1"/>
        </w:rPr>
        <w:t xml:space="preserve"> </w:t>
      </w:r>
      <w:r w:rsidR="007328D2" w:rsidRPr="00E168A1">
        <w:rPr>
          <w:rFonts w:ascii="Times New Roman" w:hAnsi="Times New Roman"/>
          <w:spacing w:val="-1"/>
        </w:rPr>
        <w:t>is</w:t>
      </w:r>
      <w:r w:rsidR="00900061" w:rsidRPr="00E168A1">
        <w:rPr>
          <w:rFonts w:ascii="Times New Roman" w:hAnsi="Times New Roman"/>
          <w:spacing w:val="-1"/>
        </w:rPr>
        <w:t xml:space="preserve"> </w:t>
      </w:r>
      <w:r w:rsidR="007328D2" w:rsidRPr="00E168A1">
        <w:rPr>
          <w:rFonts w:ascii="Times New Roman" w:hAnsi="Times New Roman"/>
          <w:spacing w:val="-1"/>
        </w:rPr>
        <w:t>approximately</w:t>
      </w:r>
      <w:r w:rsidR="00900061" w:rsidRPr="00E168A1">
        <w:rPr>
          <w:rFonts w:ascii="Times New Roman" w:hAnsi="Times New Roman"/>
          <w:spacing w:val="-1"/>
        </w:rPr>
        <w:t xml:space="preserve"> </w:t>
      </w:r>
      <w:r w:rsidR="007328D2" w:rsidRPr="00E168A1">
        <w:rPr>
          <w:rFonts w:ascii="Times New Roman" w:hAnsi="Times New Roman"/>
          <w:spacing w:val="-1"/>
        </w:rPr>
        <w:t>RSD</w:t>
      </w:r>
      <w:r w:rsidR="00900061" w:rsidRPr="00E168A1">
        <w:rPr>
          <w:rFonts w:ascii="Times New Roman" w:hAnsi="Times New Roman"/>
          <w:spacing w:val="-1"/>
        </w:rPr>
        <w:t xml:space="preserve"> </w:t>
      </w:r>
      <w:r w:rsidR="007328D2" w:rsidRPr="00E168A1">
        <w:rPr>
          <w:rFonts w:ascii="Times New Roman" w:hAnsi="Times New Roman"/>
          <w:spacing w:val="-1"/>
        </w:rPr>
        <w:t>50</w:t>
      </w:r>
      <w:r w:rsidR="00900061" w:rsidRPr="00E168A1">
        <w:rPr>
          <w:rFonts w:ascii="Times New Roman" w:hAnsi="Times New Roman"/>
          <w:spacing w:val="-1"/>
        </w:rPr>
        <w:t xml:space="preserve"> </w:t>
      </w:r>
      <w:r w:rsidR="007328D2" w:rsidRPr="00E168A1">
        <w:rPr>
          <w:rFonts w:ascii="Times New Roman" w:hAnsi="Times New Roman"/>
          <w:spacing w:val="-1"/>
        </w:rPr>
        <w:t>million,</w:t>
      </w:r>
      <w:r w:rsidR="00900061" w:rsidRPr="00E168A1">
        <w:rPr>
          <w:rFonts w:ascii="Times New Roman" w:hAnsi="Times New Roman"/>
          <w:spacing w:val="-1"/>
        </w:rPr>
        <w:t xml:space="preserve"> </w:t>
      </w:r>
      <w:r w:rsidR="00E97366" w:rsidRPr="00E168A1">
        <w:rPr>
          <w:rFonts w:ascii="Times New Roman" w:hAnsi="Times New Roman"/>
          <w:spacing w:val="-1"/>
        </w:rPr>
        <w:t>around</w:t>
      </w:r>
      <w:r w:rsidR="00900061" w:rsidRPr="00E168A1">
        <w:rPr>
          <w:rFonts w:ascii="Times New Roman" w:hAnsi="Times New Roman"/>
          <w:spacing w:val="-1"/>
        </w:rPr>
        <w:t xml:space="preserve"> </w:t>
      </w:r>
      <w:r w:rsidR="00127E84" w:rsidRPr="00E168A1">
        <w:rPr>
          <w:rFonts w:ascii="Times New Roman" w:hAnsi="Times New Roman"/>
          <w:spacing w:val="-1"/>
        </w:rPr>
        <w:t>US$</w:t>
      </w:r>
      <w:r w:rsidR="007328D2" w:rsidRPr="00E168A1">
        <w:rPr>
          <w:rFonts w:ascii="Times New Roman" w:hAnsi="Times New Roman"/>
          <w:spacing w:val="-1"/>
        </w:rPr>
        <w:t>4</w:t>
      </w:r>
      <w:r w:rsidR="00127E84" w:rsidRPr="00E168A1">
        <w:rPr>
          <w:rFonts w:ascii="Times New Roman" w:hAnsi="Times New Roman"/>
          <w:spacing w:val="-1"/>
        </w:rPr>
        <w:t>5</w:t>
      </w:r>
      <w:r w:rsidR="007328D2" w:rsidRPr="00E168A1">
        <w:rPr>
          <w:rFonts w:ascii="Times New Roman" w:hAnsi="Times New Roman"/>
          <w:spacing w:val="-1"/>
        </w:rPr>
        <w:t>0,000)</w:t>
      </w:r>
      <w:r w:rsidR="00900061" w:rsidRPr="00E168A1">
        <w:rPr>
          <w:rFonts w:ascii="Times New Roman" w:hAnsi="Times New Roman"/>
          <w:spacing w:val="-1"/>
        </w:rPr>
        <w:t xml:space="preserve"> </w:t>
      </w:r>
      <w:r w:rsidR="007328D2" w:rsidRPr="00E168A1">
        <w:rPr>
          <w:rFonts w:ascii="Times New Roman" w:hAnsi="Times New Roman"/>
          <w:spacing w:val="-1"/>
        </w:rPr>
        <w:t>and</w:t>
      </w:r>
      <w:r w:rsidR="00900061" w:rsidRPr="00E168A1">
        <w:rPr>
          <w:rFonts w:ascii="Times New Roman" w:hAnsi="Times New Roman"/>
          <w:spacing w:val="-1"/>
        </w:rPr>
        <w:t xml:space="preserve"> </w:t>
      </w:r>
      <w:r w:rsidR="007328D2" w:rsidRPr="00E168A1">
        <w:rPr>
          <w:rFonts w:ascii="Times New Roman" w:hAnsi="Times New Roman"/>
          <w:spacing w:val="-1"/>
        </w:rPr>
        <w:t>some</w:t>
      </w:r>
      <w:r w:rsidR="00900061" w:rsidRPr="00E168A1">
        <w:rPr>
          <w:rFonts w:ascii="Times New Roman" w:hAnsi="Times New Roman"/>
          <w:spacing w:val="-1"/>
        </w:rPr>
        <w:t xml:space="preserve"> </w:t>
      </w:r>
      <w:r w:rsidR="007328D2" w:rsidRPr="00E168A1">
        <w:rPr>
          <w:rFonts w:ascii="Times New Roman" w:hAnsi="Times New Roman"/>
          <w:spacing w:val="-1"/>
        </w:rPr>
        <w:t>minor</w:t>
      </w:r>
      <w:r w:rsidR="00900061" w:rsidRPr="00E168A1">
        <w:rPr>
          <w:rFonts w:ascii="Times New Roman" w:hAnsi="Times New Roman"/>
          <w:spacing w:val="-1"/>
        </w:rPr>
        <w:t xml:space="preserve"> </w:t>
      </w:r>
      <w:r w:rsidR="007328D2" w:rsidRPr="00E168A1">
        <w:rPr>
          <w:rFonts w:ascii="Times New Roman" w:hAnsi="Times New Roman"/>
          <w:spacing w:val="-1"/>
        </w:rPr>
        <w:t>procurement</w:t>
      </w:r>
      <w:r w:rsidR="00900061" w:rsidRPr="00E168A1">
        <w:rPr>
          <w:rFonts w:ascii="Times New Roman" w:hAnsi="Times New Roman"/>
          <w:spacing w:val="-1"/>
        </w:rPr>
        <w:t xml:space="preserve"> </w:t>
      </w:r>
      <w:r w:rsidR="007328D2" w:rsidRPr="00E168A1">
        <w:rPr>
          <w:rFonts w:ascii="Times New Roman" w:hAnsi="Times New Roman"/>
          <w:spacing w:val="-1"/>
        </w:rPr>
        <w:t>for</w:t>
      </w:r>
      <w:r w:rsidR="00900061" w:rsidRPr="00E168A1">
        <w:rPr>
          <w:rFonts w:ascii="Times New Roman" w:hAnsi="Times New Roman"/>
          <w:spacing w:val="-1"/>
        </w:rPr>
        <w:t xml:space="preserve"> </w:t>
      </w:r>
      <w:r w:rsidR="007328D2" w:rsidRPr="00E168A1">
        <w:rPr>
          <w:rFonts w:ascii="Times New Roman" w:hAnsi="Times New Roman"/>
          <w:spacing w:val="-1"/>
        </w:rPr>
        <w:t>goods</w:t>
      </w:r>
      <w:r w:rsidR="00900061" w:rsidRPr="00E168A1">
        <w:rPr>
          <w:rFonts w:ascii="Times New Roman" w:hAnsi="Times New Roman"/>
          <w:spacing w:val="-1"/>
        </w:rPr>
        <w:t xml:space="preserve"> </w:t>
      </w:r>
      <w:r w:rsidR="007328D2" w:rsidRPr="00E168A1">
        <w:rPr>
          <w:rFonts w:ascii="Times New Roman" w:hAnsi="Times New Roman"/>
          <w:spacing w:val="-1"/>
        </w:rPr>
        <w:t>(total</w:t>
      </w:r>
      <w:r w:rsidR="00900061" w:rsidRPr="00E168A1">
        <w:rPr>
          <w:rFonts w:ascii="Times New Roman" w:hAnsi="Times New Roman"/>
          <w:spacing w:val="-1"/>
        </w:rPr>
        <w:t xml:space="preserve"> </w:t>
      </w:r>
      <w:r w:rsidR="007328D2" w:rsidRPr="00E168A1">
        <w:rPr>
          <w:rFonts w:ascii="Times New Roman" w:hAnsi="Times New Roman"/>
          <w:spacing w:val="-1"/>
        </w:rPr>
        <w:t>value</w:t>
      </w:r>
      <w:r w:rsidR="00900061" w:rsidRPr="00E168A1">
        <w:rPr>
          <w:rFonts w:ascii="Times New Roman" w:hAnsi="Times New Roman"/>
          <w:spacing w:val="-1"/>
        </w:rPr>
        <w:t xml:space="preserve"> </w:t>
      </w:r>
      <w:r w:rsidR="007328D2" w:rsidRPr="00E168A1">
        <w:rPr>
          <w:rFonts w:ascii="Times New Roman" w:hAnsi="Times New Roman"/>
          <w:spacing w:val="-1"/>
        </w:rPr>
        <w:t>for</w:t>
      </w:r>
      <w:r w:rsidR="00900061" w:rsidRPr="00E168A1">
        <w:rPr>
          <w:rFonts w:ascii="Times New Roman" w:hAnsi="Times New Roman"/>
          <w:spacing w:val="-1"/>
        </w:rPr>
        <w:t xml:space="preserve"> </w:t>
      </w:r>
      <w:r w:rsidR="007328D2" w:rsidRPr="00E168A1">
        <w:rPr>
          <w:rFonts w:ascii="Times New Roman" w:hAnsi="Times New Roman"/>
          <w:spacing w:val="-1"/>
        </w:rPr>
        <w:t>2015</w:t>
      </w:r>
      <w:r w:rsidR="00900061" w:rsidRPr="00E168A1">
        <w:rPr>
          <w:rFonts w:ascii="Times New Roman" w:hAnsi="Times New Roman"/>
          <w:spacing w:val="-1"/>
        </w:rPr>
        <w:t xml:space="preserve"> </w:t>
      </w:r>
      <w:r w:rsidR="007328D2" w:rsidRPr="00E168A1">
        <w:rPr>
          <w:rFonts w:ascii="Times New Roman" w:hAnsi="Times New Roman"/>
          <w:spacing w:val="-1"/>
        </w:rPr>
        <w:t>is</w:t>
      </w:r>
      <w:r w:rsidR="00900061" w:rsidRPr="00E168A1">
        <w:rPr>
          <w:rFonts w:ascii="Times New Roman" w:hAnsi="Times New Roman"/>
          <w:spacing w:val="-1"/>
        </w:rPr>
        <w:t xml:space="preserve"> </w:t>
      </w:r>
      <w:r w:rsidR="007328D2" w:rsidRPr="00E168A1">
        <w:rPr>
          <w:rFonts w:ascii="Times New Roman" w:hAnsi="Times New Roman"/>
          <w:spacing w:val="-1"/>
        </w:rPr>
        <w:t>approximately</w:t>
      </w:r>
      <w:r w:rsidR="00900061" w:rsidRPr="00E168A1">
        <w:rPr>
          <w:rFonts w:ascii="Times New Roman" w:hAnsi="Times New Roman"/>
          <w:spacing w:val="-1"/>
        </w:rPr>
        <w:t xml:space="preserve"> </w:t>
      </w:r>
      <w:r w:rsidR="007328D2" w:rsidRPr="00E168A1">
        <w:rPr>
          <w:rFonts w:ascii="Times New Roman" w:hAnsi="Times New Roman"/>
          <w:spacing w:val="-1"/>
        </w:rPr>
        <w:t>RSD</w:t>
      </w:r>
      <w:r w:rsidR="00900061" w:rsidRPr="00E168A1">
        <w:rPr>
          <w:rFonts w:ascii="Times New Roman" w:hAnsi="Times New Roman"/>
          <w:spacing w:val="-1"/>
        </w:rPr>
        <w:t xml:space="preserve"> </w:t>
      </w:r>
      <w:r w:rsidR="007328D2" w:rsidRPr="00E168A1">
        <w:rPr>
          <w:rFonts w:ascii="Times New Roman" w:hAnsi="Times New Roman"/>
          <w:spacing w:val="-1"/>
        </w:rPr>
        <w:t>4,000,000,</w:t>
      </w:r>
      <w:r w:rsidR="00900061" w:rsidRPr="00E168A1">
        <w:rPr>
          <w:rFonts w:ascii="Times New Roman" w:hAnsi="Times New Roman"/>
          <w:spacing w:val="-1"/>
        </w:rPr>
        <w:t xml:space="preserve"> </w:t>
      </w:r>
      <w:r w:rsidR="00E97366" w:rsidRPr="00E168A1">
        <w:rPr>
          <w:rFonts w:ascii="Times New Roman" w:hAnsi="Times New Roman"/>
          <w:spacing w:val="-1"/>
        </w:rPr>
        <w:t>around</w:t>
      </w:r>
      <w:r w:rsidR="00900061" w:rsidRPr="00E168A1">
        <w:rPr>
          <w:rFonts w:ascii="Times New Roman" w:hAnsi="Times New Roman"/>
          <w:spacing w:val="-1"/>
        </w:rPr>
        <w:t xml:space="preserve"> </w:t>
      </w:r>
      <w:r w:rsidR="00127E84" w:rsidRPr="00E168A1">
        <w:rPr>
          <w:rFonts w:ascii="Times New Roman" w:hAnsi="Times New Roman"/>
          <w:spacing w:val="-1"/>
        </w:rPr>
        <w:t>US$36</w:t>
      </w:r>
      <w:r w:rsidR="007328D2" w:rsidRPr="00E168A1">
        <w:rPr>
          <w:rFonts w:ascii="Times New Roman" w:hAnsi="Times New Roman"/>
          <w:spacing w:val="-1"/>
        </w:rPr>
        <w:t>,000).</w:t>
      </w:r>
      <w:r w:rsidR="00900061" w:rsidRPr="00E168A1">
        <w:rPr>
          <w:rFonts w:ascii="Times New Roman" w:hAnsi="Times New Roman"/>
          <w:spacing w:val="-1"/>
        </w:rPr>
        <w:t xml:space="preserve"> </w:t>
      </w:r>
      <w:r w:rsidR="00D9693E" w:rsidRPr="00E168A1">
        <w:rPr>
          <w:rFonts w:ascii="Times New Roman" w:hAnsi="Times New Roman"/>
          <w:spacing w:val="-1"/>
        </w:rPr>
        <w:t>W</w:t>
      </w:r>
      <w:r w:rsidRPr="00E168A1">
        <w:rPr>
          <w:rFonts w:ascii="Times New Roman" w:hAnsi="Times New Roman"/>
          <w:spacing w:val="-1"/>
        </w:rPr>
        <w:t>orks</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goods</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procured</w:t>
      </w:r>
      <w:r w:rsidR="00900061" w:rsidRPr="00E168A1">
        <w:rPr>
          <w:rFonts w:ascii="Times New Roman" w:hAnsi="Times New Roman"/>
          <w:spacing w:val="-1"/>
        </w:rPr>
        <w:t xml:space="preserve"> </w:t>
      </w:r>
      <w:r w:rsidRPr="00E168A1">
        <w:rPr>
          <w:rFonts w:ascii="Times New Roman" w:hAnsi="Times New Roman"/>
          <w:spacing w:val="-1"/>
        </w:rPr>
        <w:t>on</w:t>
      </w:r>
      <w:r w:rsidR="00900061" w:rsidRPr="00E168A1">
        <w:rPr>
          <w:rFonts w:ascii="Times New Roman" w:hAnsi="Times New Roman"/>
          <w:spacing w:val="-1"/>
        </w:rPr>
        <w:t xml:space="preserve"> </w:t>
      </w:r>
      <w:r w:rsidRPr="00E168A1">
        <w:rPr>
          <w:rFonts w:ascii="Times New Roman" w:hAnsi="Times New Roman"/>
          <w:spacing w:val="-1"/>
        </w:rPr>
        <w:t>behalf</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the</w:t>
      </w:r>
      <w:r w:rsidR="00900061" w:rsidRPr="00E168A1">
        <w:rPr>
          <w:rFonts w:ascii="Times New Roman" w:hAnsi="Times New Roman"/>
          <w:spacing w:val="-1"/>
        </w:rPr>
        <w:t xml:space="preserve"> </w:t>
      </w:r>
      <w:r w:rsidR="00E97366" w:rsidRPr="00E168A1">
        <w:rPr>
          <w:rFonts w:ascii="Times New Roman" w:hAnsi="Times New Roman"/>
          <w:spacing w:val="-1"/>
        </w:rPr>
        <w:t>m</w:t>
      </w:r>
      <w:r w:rsidRPr="00E168A1">
        <w:rPr>
          <w:rFonts w:ascii="Times New Roman" w:hAnsi="Times New Roman"/>
          <w:spacing w:val="-1"/>
        </w:rPr>
        <w:t>inistry</w:t>
      </w:r>
      <w:r w:rsidR="00900061" w:rsidRPr="00E168A1">
        <w:rPr>
          <w:rFonts w:ascii="Times New Roman" w:hAnsi="Times New Roman"/>
          <w:spacing w:val="-1"/>
        </w:rPr>
        <w:t xml:space="preserve"> </w:t>
      </w:r>
      <w:r w:rsidRPr="00E168A1">
        <w:rPr>
          <w:rFonts w:ascii="Times New Roman" w:hAnsi="Times New Roman"/>
          <w:spacing w:val="-1"/>
        </w:rPr>
        <w:t>by</w:t>
      </w:r>
      <w:r w:rsidR="00900061" w:rsidRPr="00E168A1">
        <w:rPr>
          <w:rFonts w:ascii="Times New Roman" w:hAnsi="Times New Roman"/>
          <w:spacing w:val="-1"/>
        </w:rPr>
        <w:t xml:space="preserve"> </w:t>
      </w:r>
      <w:r w:rsidR="00E97366" w:rsidRPr="00E168A1">
        <w:rPr>
          <w:rFonts w:ascii="Times New Roman" w:hAnsi="Times New Roman"/>
          <w:spacing w:val="-1"/>
        </w:rPr>
        <w:t xml:space="preserve">the </w:t>
      </w:r>
      <w:r w:rsidRPr="00E168A1">
        <w:rPr>
          <w:rFonts w:ascii="Times New Roman" w:hAnsi="Times New Roman"/>
          <w:spacing w:val="-1"/>
        </w:rPr>
        <w:t>centralized</w:t>
      </w:r>
      <w:r w:rsidR="00900061" w:rsidRPr="00E168A1">
        <w:rPr>
          <w:rFonts w:ascii="Times New Roman" w:hAnsi="Times New Roman"/>
          <w:spacing w:val="-1"/>
        </w:rPr>
        <w:t xml:space="preserve"> </w:t>
      </w:r>
      <w:r w:rsidRPr="00E168A1">
        <w:rPr>
          <w:rFonts w:ascii="Times New Roman" w:hAnsi="Times New Roman"/>
          <w:spacing w:val="-1"/>
        </w:rPr>
        <w:t>government</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body</w:t>
      </w:r>
      <w:r w:rsidR="00DF4628" w:rsidRPr="00E168A1">
        <w:rPr>
          <w:rFonts w:ascii="Times New Roman" w:hAnsi="Times New Roman"/>
          <w:spacing w:val="-1"/>
        </w:rPr>
        <w:t>—</w:t>
      </w:r>
      <w:r w:rsidR="00127E84" w:rsidRPr="00E168A1">
        <w:rPr>
          <w:rFonts w:ascii="Times New Roman" w:hAnsi="Times New Roman"/>
          <w:spacing w:val="-1"/>
        </w:rPr>
        <w:t>the</w:t>
      </w:r>
      <w:r w:rsidR="00900061" w:rsidRPr="00E168A1">
        <w:rPr>
          <w:rFonts w:ascii="Times New Roman" w:hAnsi="Times New Roman"/>
          <w:spacing w:val="-1"/>
        </w:rPr>
        <w:t xml:space="preserve"> </w:t>
      </w:r>
      <w:r w:rsidR="00127E84" w:rsidRPr="00E168A1">
        <w:rPr>
          <w:rFonts w:ascii="Times New Roman" w:hAnsi="Times New Roman"/>
          <w:spacing w:val="-1"/>
        </w:rPr>
        <w:t>Administration</w:t>
      </w:r>
      <w:r w:rsidR="00900061" w:rsidRPr="00E168A1">
        <w:rPr>
          <w:rFonts w:ascii="Times New Roman" w:hAnsi="Times New Roman"/>
          <w:spacing w:val="-1"/>
        </w:rPr>
        <w:t xml:space="preserve"> </w:t>
      </w:r>
      <w:r w:rsidR="00127E84" w:rsidRPr="00E168A1">
        <w:rPr>
          <w:rFonts w:ascii="Times New Roman" w:hAnsi="Times New Roman"/>
          <w:spacing w:val="-1"/>
        </w:rPr>
        <w:t>for</w:t>
      </w:r>
      <w:r w:rsidR="00900061" w:rsidRPr="00E168A1">
        <w:rPr>
          <w:rFonts w:ascii="Times New Roman" w:hAnsi="Times New Roman"/>
          <w:spacing w:val="-1"/>
        </w:rPr>
        <w:t xml:space="preserve"> </w:t>
      </w:r>
      <w:r w:rsidR="00127E84" w:rsidRPr="00E168A1">
        <w:rPr>
          <w:rFonts w:ascii="Times New Roman" w:hAnsi="Times New Roman"/>
          <w:spacing w:val="-1"/>
        </w:rPr>
        <w:t>Joint</w:t>
      </w:r>
      <w:r w:rsidR="00900061" w:rsidRPr="00E168A1">
        <w:rPr>
          <w:rFonts w:ascii="Times New Roman" w:hAnsi="Times New Roman"/>
          <w:spacing w:val="-1"/>
        </w:rPr>
        <w:t xml:space="preserve"> </w:t>
      </w:r>
      <w:r w:rsidR="00127E84" w:rsidRPr="00E168A1">
        <w:rPr>
          <w:rFonts w:ascii="Times New Roman" w:hAnsi="Times New Roman"/>
          <w:spacing w:val="-1"/>
        </w:rPr>
        <w:t>Services</w:t>
      </w:r>
      <w:r w:rsidR="00900061" w:rsidRPr="00E168A1">
        <w:rPr>
          <w:rFonts w:ascii="Times New Roman" w:hAnsi="Times New Roman"/>
          <w:spacing w:val="-1"/>
        </w:rPr>
        <w:t xml:space="preserve"> </w:t>
      </w:r>
      <w:r w:rsidR="00127E84" w:rsidRPr="00E168A1">
        <w:rPr>
          <w:rFonts w:ascii="Times New Roman" w:hAnsi="Times New Roman"/>
          <w:spacing w:val="-1"/>
        </w:rPr>
        <w:t>of</w:t>
      </w:r>
      <w:r w:rsidR="00900061" w:rsidRPr="00E168A1">
        <w:rPr>
          <w:rFonts w:ascii="Times New Roman" w:hAnsi="Times New Roman"/>
          <w:spacing w:val="-1"/>
        </w:rPr>
        <w:t xml:space="preserve"> </w:t>
      </w:r>
      <w:r w:rsidR="00127E84" w:rsidRPr="00E168A1">
        <w:rPr>
          <w:rFonts w:ascii="Times New Roman" w:hAnsi="Times New Roman"/>
          <w:spacing w:val="-1"/>
        </w:rPr>
        <w:t>Republic</w:t>
      </w:r>
      <w:r w:rsidR="00900061" w:rsidRPr="00E168A1">
        <w:rPr>
          <w:rFonts w:ascii="Times New Roman" w:hAnsi="Times New Roman"/>
          <w:spacing w:val="-1"/>
        </w:rPr>
        <w:t xml:space="preserve"> </w:t>
      </w:r>
      <w:r w:rsidR="00127E84" w:rsidRPr="00E168A1">
        <w:rPr>
          <w:rFonts w:ascii="Times New Roman" w:hAnsi="Times New Roman"/>
          <w:spacing w:val="-1"/>
        </w:rPr>
        <w:t>Bodies</w:t>
      </w:r>
      <w:r w:rsidRPr="00E168A1">
        <w:rPr>
          <w:rFonts w:ascii="Times New Roman" w:hAnsi="Times New Roman"/>
          <w:spacing w:val="-1"/>
        </w:rPr>
        <w:t>.</w:t>
      </w:r>
      <w:r w:rsidR="00900061" w:rsidRPr="00E168A1">
        <w:rPr>
          <w:rFonts w:ascii="Times New Roman" w:hAnsi="Times New Roman"/>
          <w:spacing w:val="-1"/>
        </w:rPr>
        <w:t xml:space="preserve"> </w:t>
      </w:r>
    </w:p>
    <w:p w14:paraId="68DBC0B0" w14:textId="77777777" w:rsidR="000E798B" w:rsidRPr="000E798B" w:rsidRDefault="00A046F0" w:rsidP="000E798B">
      <w:pPr>
        <w:pStyle w:val="ListParagraph"/>
        <w:numPr>
          <w:ilvl w:val="0"/>
          <w:numId w:val="36"/>
        </w:numPr>
        <w:contextualSpacing w:val="0"/>
        <w:rPr>
          <w:rFonts w:ascii="Times New Roman" w:hAnsi="Times New Roman"/>
        </w:rPr>
      </w:pPr>
      <w:r w:rsidRPr="00E168A1">
        <w:rPr>
          <w:rFonts w:ascii="Times New Roman" w:hAnsi="Times New Roman"/>
          <w:spacing w:val="-1"/>
        </w:rPr>
        <w:t>The</w:t>
      </w:r>
      <w:r w:rsidR="00900061" w:rsidRPr="00E168A1">
        <w:rPr>
          <w:rFonts w:ascii="Times New Roman" w:hAnsi="Times New Roman"/>
          <w:spacing w:val="-1"/>
        </w:rPr>
        <w:t xml:space="preserve"> </w:t>
      </w:r>
      <w:r w:rsidRPr="00E168A1">
        <w:rPr>
          <w:rFonts w:ascii="Times New Roman" w:hAnsi="Times New Roman"/>
          <w:spacing w:val="-1"/>
        </w:rPr>
        <w:t>PPO’s</w:t>
      </w:r>
      <w:r w:rsidR="00900061" w:rsidRPr="00E168A1">
        <w:rPr>
          <w:rFonts w:ascii="Times New Roman" w:hAnsi="Times New Roman"/>
          <w:spacing w:val="-1"/>
        </w:rPr>
        <w:t xml:space="preserve"> </w:t>
      </w:r>
      <w:r w:rsidRPr="00E168A1">
        <w:rPr>
          <w:rFonts w:ascii="Times New Roman" w:hAnsi="Times New Roman"/>
          <w:spacing w:val="-1"/>
        </w:rPr>
        <w:t>Department</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Financial</w:t>
      </w:r>
      <w:r w:rsidR="00900061" w:rsidRPr="00E168A1">
        <w:rPr>
          <w:rFonts w:ascii="Times New Roman" w:hAnsi="Times New Roman"/>
          <w:spacing w:val="-1"/>
        </w:rPr>
        <w:t xml:space="preserve"> </w:t>
      </w:r>
      <w:r w:rsidR="0017132F" w:rsidRPr="00E168A1">
        <w:rPr>
          <w:rFonts w:ascii="Times New Roman" w:hAnsi="Times New Roman"/>
          <w:spacing w:val="-1"/>
        </w:rPr>
        <w:t>Affairs</w:t>
      </w:r>
      <w:r w:rsidR="00900061" w:rsidRPr="00E168A1">
        <w:rPr>
          <w:rFonts w:ascii="Times New Roman" w:hAnsi="Times New Roman"/>
          <w:spacing w:val="-1"/>
        </w:rPr>
        <w:t xml:space="preserve"> </w:t>
      </w:r>
      <w:r w:rsidR="0017132F" w:rsidRPr="00E168A1">
        <w:rPr>
          <w:rFonts w:ascii="Times New Roman" w:hAnsi="Times New Roman"/>
          <w:spacing w:val="-1"/>
        </w:rPr>
        <w:t>has</w:t>
      </w:r>
      <w:r w:rsidR="00900061" w:rsidRPr="00E168A1">
        <w:rPr>
          <w:rFonts w:ascii="Times New Roman" w:hAnsi="Times New Roman"/>
          <w:spacing w:val="-1"/>
        </w:rPr>
        <w:t xml:space="preserve"> </w:t>
      </w:r>
      <w:r w:rsidR="0017132F" w:rsidRPr="00E168A1">
        <w:rPr>
          <w:rFonts w:ascii="Times New Roman" w:hAnsi="Times New Roman"/>
          <w:spacing w:val="-1"/>
        </w:rPr>
        <w:t>one</w:t>
      </w:r>
      <w:r w:rsidR="00900061" w:rsidRPr="00E168A1">
        <w:rPr>
          <w:rFonts w:ascii="Times New Roman" w:hAnsi="Times New Roman"/>
          <w:spacing w:val="-1"/>
        </w:rPr>
        <w:t xml:space="preserve"> </w:t>
      </w:r>
      <w:r w:rsidR="0017132F" w:rsidRPr="00E168A1">
        <w:rPr>
          <w:rFonts w:ascii="Times New Roman" w:hAnsi="Times New Roman"/>
          <w:spacing w:val="-1"/>
        </w:rPr>
        <w:t>certified</w:t>
      </w:r>
      <w:r w:rsidR="00900061" w:rsidRPr="00E168A1">
        <w:rPr>
          <w:rFonts w:ascii="Times New Roman" w:hAnsi="Times New Roman"/>
          <w:spacing w:val="-1"/>
        </w:rPr>
        <w:t xml:space="preserve"> </w:t>
      </w:r>
      <w:r w:rsidR="00E36D73" w:rsidRPr="00E168A1">
        <w:rPr>
          <w:rFonts w:ascii="Times New Roman" w:hAnsi="Times New Roman"/>
          <w:spacing w:val="-1"/>
        </w:rPr>
        <w:t>p</w:t>
      </w:r>
      <w:r w:rsidR="0017132F" w:rsidRPr="00E168A1">
        <w:rPr>
          <w:rFonts w:ascii="Times New Roman" w:hAnsi="Times New Roman"/>
          <w:spacing w:val="-1"/>
        </w:rPr>
        <w:t>rocurement</w:t>
      </w:r>
      <w:r w:rsidR="00900061" w:rsidRPr="00E168A1">
        <w:rPr>
          <w:rFonts w:ascii="Times New Roman" w:hAnsi="Times New Roman"/>
          <w:spacing w:val="-1"/>
        </w:rPr>
        <w:t xml:space="preserve"> </w:t>
      </w:r>
      <w:r w:rsidR="00E36D73" w:rsidRPr="00E168A1">
        <w:rPr>
          <w:rFonts w:ascii="Times New Roman" w:hAnsi="Times New Roman"/>
          <w:spacing w:val="-1"/>
        </w:rPr>
        <w:t>o</w:t>
      </w:r>
      <w:r w:rsidRPr="00E168A1">
        <w:rPr>
          <w:rFonts w:ascii="Times New Roman" w:hAnsi="Times New Roman"/>
          <w:spacing w:val="-1"/>
        </w:rPr>
        <w:t>fficer</w:t>
      </w:r>
      <w:r w:rsidR="00900061" w:rsidRPr="00E168A1">
        <w:rPr>
          <w:rFonts w:ascii="Times New Roman" w:hAnsi="Times New Roman"/>
          <w:spacing w:val="-1"/>
        </w:rPr>
        <w:t xml:space="preserve"> </w:t>
      </w:r>
      <w:r w:rsidRPr="00E168A1">
        <w:rPr>
          <w:rFonts w:ascii="Times New Roman" w:hAnsi="Times New Roman"/>
          <w:spacing w:val="-1"/>
        </w:rPr>
        <w:t>who</w:t>
      </w:r>
      <w:r w:rsidR="00900061" w:rsidRPr="00E168A1">
        <w:rPr>
          <w:rFonts w:ascii="Times New Roman" w:hAnsi="Times New Roman"/>
          <w:spacing w:val="-1"/>
        </w:rPr>
        <w:t xml:space="preserve"> </w:t>
      </w:r>
      <w:r w:rsidR="008F2C78" w:rsidRPr="00E168A1">
        <w:rPr>
          <w:rFonts w:ascii="Times New Roman" w:hAnsi="Times New Roman"/>
          <w:spacing w:val="-1"/>
        </w:rPr>
        <w:t>has</w:t>
      </w:r>
      <w:r w:rsidR="00900061" w:rsidRPr="00E168A1">
        <w:rPr>
          <w:rFonts w:ascii="Times New Roman" w:hAnsi="Times New Roman"/>
          <w:spacing w:val="-1"/>
        </w:rPr>
        <w:t xml:space="preserve"> </w:t>
      </w:r>
      <w:r w:rsidR="008F2C78" w:rsidRPr="00E168A1">
        <w:rPr>
          <w:rFonts w:ascii="Times New Roman" w:hAnsi="Times New Roman"/>
          <w:spacing w:val="-1"/>
        </w:rPr>
        <w:t>acce</w:t>
      </w:r>
      <w:r w:rsidR="00692404" w:rsidRPr="00E168A1">
        <w:rPr>
          <w:rFonts w:ascii="Times New Roman" w:hAnsi="Times New Roman"/>
          <w:spacing w:val="-1"/>
        </w:rPr>
        <w:t>p</w:t>
      </w:r>
      <w:r w:rsidR="008F2C78" w:rsidRPr="00E168A1">
        <w:rPr>
          <w:rFonts w:ascii="Times New Roman" w:hAnsi="Times New Roman"/>
          <w:spacing w:val="-1"/>
        </w:rPr>
        <w:t>table</w:t>
      </w:r>
      <w:r w:rsidR="00900061" w:rsidRPr="00E168A1">
        <w:rPr>
          <w:rFonts w:ascii="Times New Roman" w:hAnsi="Times New Roman"/>
          <w:spacing w:val="-1"/>
        </w:rPr>
        <w:t xml:space="preserve"> </w:t>
      </w:r>
      <w:r w:rsidR="008F2C78" w:rsidRPr="00E168A1">
        <w:rPr>
          <w:rFonts w:ascii="Times New Roman" w:hAnsi="Times New Roman"/>
          <w:spacing w:val="-1"/>
        </w:rPr>
        <w:t>capacity</w:t>
      </w:r>
      <w:r w:rsidR="00900061" w:rsidRPr="00E168A1">
        <w:rPr>
          <w:rFonts w:ascii="Times New Roman" w:hAnsi="Times New Roman"/>
          <w:spacing w:val="-1"/>
        </w:rPr>
        <w:t xml:space="preserve"> </w:t>
      </w:r>
      <w:r w:rsidR="008F2C78"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conducts</w:t>
      </w:r>
      <w:r w:rsidR="00900061" w:rsidRPr="00E168A1">
        <w:rPr>
          <w:rFonts w:ascii="Times New Roman" w:hAnsi="Times New Roman"/>
          <w:spacing w:val="-1"/>
        </w:rPr>
        <w:t xml:space="preserve"> </w:t>
      </w:r>
      <w:r w:rsidRPr="00E168A1">
        <w:rPr>
          <w:rFonts w:ascii="Times New Roman" w:hAnsi="Times New Roman"/>
          <w:spacing w:val="-1"/>
        </w:rPr>
        <w:t>minor</w:t>
      </w:r>
      <w:r w:rsidR="00900061" w:rsidRPr="00E168A1">
        <w:rPr>
          <w:rFonts w:ascii="Times New Roman" w:hAnsi="Times New Roman"/>
          <w:spacing w:val="-1"/>
        </w:rPr>
        <w:t xml:space="preserve"> </w:t>
      </w:r>
      <w:r w:rsidRPr="00E168A1">
        <w:rPr>
          <w:rFonts w:ascii="Times New Roman" w:hAnsi="Times New Roman"/>
          <w:spacing w:val="-1"/>
        </w:rPr>
        <w:t>procureme</w:t>
      </w:r>
      <w:r w:rsidR="0017132F" w:rsidRPr="00E168A1">
        <w:rPr>
          <w:rFonts w:ascii="Times New Roman" w:hAnsi="Times New Roman"/>
          <w:spacing w:val="-1"/>
        </w:rPr>
        <w:t>nt</w:t>
      </w:r>
      <w:r w:rsidR="00900061" w:rsidRPr="00E168A1">
        <w:rPr>
          <w:rFonts w:ascii="Times New Roman" w:hAnsi="Times New Roman"/>
          <w:spacing w:val="-1"/>
        </w:rPr>
        <w:t xml:space="preserve"> </w:t>
      </w:r>
      <w:r w:rsidR="0017132F" w:rsidRPr="00E168A1">
        <w:rPr>
          <w:rFonts w:ascii="Times New Roman" w:hAnsi="Times New Roman"/>
          <w:spacing w:val="-1"/>
        </w:rPr>
        <w:t>procedures</w:t>
      </w:r>
      <w:r w:rsidR="00900061" w:rsidRPr="00E168A1">
        <w:rPr>
          <w:rFonts w:ascii="Times New Roman" w:hAnsi="Times New Roman"/>
          <w:spacing w:val="-1"/>
        </w:rPr>
        <w:t xml:space="preserve"> </w:t>
      </w:r>
      <w:r w:rsidR="0017132F" w:rsidRPr="00E168A1">
        <w:rPr>
          <w:rFonts w:ascii="Times New Roman" w:hAnsi="Times New Roman"/>
          <w:spacing w:val="-1"/>
        </w:rPr>
        <w:t>such</w:t>
      </w:r>
      <w:r w:rsidR="00900061" w:rsidRPr="00E168A1">
        <w:rPr>
          <w:rFonts w:ascii="Times New Roman" w:hAnsi="Times New Roman"/>
          <w:spacing w:val="-1"/>
        </w:rPr>
        <w:t xml:space="preserve"> </w:t>
      </w:r>
      <w:r w:rsidR="0017132F" w:rsidRPr="00E168A1">
        <w:rPr>
          <w:rFonts w:ascii="Times New Roman" w:hAnsi="Times New Roman"/>
          <w:spacing w:val="-1"/>
        </w:rPr>
        <w:t>as</w:t>
      </w:r>
      <w:r w:rsidR="00900061" w:rsidRPr="00E168A1">
        <w:rPr>
          <w:rFonts w:ascii="Times New Roman" w:hAnsi="Times New Roman"/>
          <w:spacing w:val="-1"/>
        </w:rPr>
        <w:t xml:space="preserve"> </w:t>
      </w:r>
      <w:r w:rsidRPr="00E168A1">
        <w:rPr>
          <w:rFonts w:ascii="Times New Roman" w:hAnsi="Times New Roman"/>
          <w:spacing w:val="-1"/>
        </w:rPr>
        <w:t>services</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maintenance</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the</w:t>
      </w:r>
      <w:r w:rsidR="00900061" w:rsidRPr="00E168A1">
        <w:rPr>
          <w:rFonts w:ascii="Times New Roman" w:hAnsi="Times New Roman"/>
          <w:spacing w:val="-1"/>
        </w:rPr>
        <w:t xml:space="preserve"> </w:t>
      </w:r>
      <w:r w:rsidR="00BF5602" w:rsidRPr="00E168A1">
        <w:rPr>
          <w:rFonts w:ascii="Times New Roman" w:hAnsi="Times New Roman"/>
          <w:spacing w:val="-1"/>
        </w:rPr>
        <w:t>p</w:t>
      </w:r>
      <w:r w:rsidRPr="00E168A1">
        <w:rPr>
          <w:rFonts w:ascii="Times New Roman" w:hAnsi="Times New Roman"/>
          <w:spacing w:val="-1"/>
        </w:rPr>
        <w:t>ublic</w:t>
      </w:r>
      <w:r w:rsidR="00900061" w:rsidRPr="00E168A1">
        <w:rPr>
          <w:rFonts w:ascii="Times New Roman" w:hAnsi="Times New Roman"/>
          <w:spacing w:val="-1"/>
        </w:rPr>
        <w:t xml:space="preserve"> </w:t>
      </w:r>
      <w:r w:rsidR="00BF5602" w:rsidRPr="00E168A1">
        <w:rPr>
          <w:rFonts w:ascii="Times New Roman" w:hAnsi="Times New Roman"/>
          <w:spacing w:val="-1"/>
        </w:rPr>
        <w:t>p</w:t>
      </w:r>
      <w:r w:rsidRPr="00E168A1">
        <w:rPr>
          <w:rFonts w:ascii="Times New Roman" w:hAnsi="Times New Roman"/>
          <w:spacing w:val="-1"/>
        </w:rPr>
        <w:t>rocurement</w:t>
      </w:r>
      <w:r w:rsidR="00900061" w:rsidRPr="00E168A1">
        <w:rPr>
          <w:rFonts w:ascii="Times New Roman" w:hAnsi="Times New Roman"/>
          <w:spacing w:val="-1"/>
        </w:rPr>
        <w:t xml:space="preserve"> </w:t>
      </w:r>
      <w:r w:rsidR="00BF5602" w:rsidRPr="00E168A1">
        <w:rPr>
          <w:rFonts w:ascii="Times New Roman" w:hAnsi="Times New Roman"/>
          <w:spacing w:val="-1"/>
        </w:rPr>
        <w:t>p</w:t>
      </w:r>
      <w:r w:rsidRPr="00E168A1">
        <w:rPr>
          <w:rFonts w:ascii="Times New Roman" w:hAnsi="Times New Roman"/>
          <w:spacing w:val="-1"/>
        </w:rPr>
        <w:t>ortal.</w:t>
      </w:r>
      <w:r w:rsidR="00900061" w:rsidRPr="00E168A1">
        <w:rPr>
          <w:rFonts w:ascii="Times New Roman" w:hAnsi="Times New Roman"/>
          <w:spacing w:val="-1"/>
        </w:rPr>
        <w:t xml:space="preserve"> </w:t>
      </w:r>
      <w:r w:rsidR="00BD4409" w:rsidRPr="00E168A1">
        <w:rPr>
          <w:rFonts w:ascii="Times New Roman" w:hAnsi="Times New Roman"/>
          <w:spacing w:val="-1"/>
        </w:rPr>
        <w:t>This</w:t>
      </w:r>
      <w:r w:rsidR="00900061" w:rsidRPr="00E168A1">
        <w:rPr>
          <w:rFonts w:ascii="Times New Roman" w:hAnsi="Times New Roman"/>
          <w:spacing w:val="-1"/>
        </w:rPr>
        <w:t xml:space="preserve"> </w:t>
      </w:r>
      <w:r w:rsidR="00BD4409" w:rsidRPr="00E168A1">
        <w:rPr>
          <w:rFonts w:ascii="Times New Roman" w:hAnsi="Times New Roman"/>
          <w:spacing w:val="-1"/>
        </w:rPr>
        <w:t>procurement</w:t>
      </w:r>
      <w:r w:rsidR="00900061" w:rsidRPr="00E168A1">
        <w:rPr>
          <w:rFonts w:ascii="Times New Roman" w:hAnsi="Times New Roman"/>
          <w:spacing w:val="-1"/>
        </w:rPr>
        <w:t xml:space="preserve"> </w:t>
      </w:r>
      <w:r w:rsidR="00BD4409" w:rsidRPr="00E168A1">
        <w:rPr>
          <w:rFonts w:ascii="Times New Roman" w:hAnsi="Times New Roman"/>
          <w:spacing w:val="-1"/>
        </w:rPr>
        <w:t>is</w:t>
      </w:r>
      <w:r w:rsidR="00900061" w:rsidRPr="00E168A1">
        <w:rPr>
          <w:rFonts w:ascii="Times New Roman" w:hAnsi="Times New Roman"/>
          <w:spacing w:val="-1"/>
        </w:rPr>
        <w:t xml:space="preserve"> </w:t>
      </w:r>
      <w:r w:rsidR="00BD4409" w:rsidRPr="00E168A1">
        <w:rPr>
          <w:rFonts w:ascii="Times New Roman" w:hAnsi="Times New Roman"/>
          <w:spacing w:val="-1"/>
        </w:rPr>
        <w:t>conducted</w:t>
      </w:r>
      <w:r w:rsidR="00900061" w:rsidRPr="00E168A1">
        <w:rPr>
          <w:rFonts w:ascii="Times New Roman" w:hAnsi="Times New Roman"/>
          <w:spacing w:val="-1"/>
        </w:rPr>
        <w:t xml:space="preserve"> </w:t>
      </w:r>
      <w:r w:rsidR="00BD4409" w:rsidRPr="00E168A1">
        <w:rPr>
          <w:rFonts w:ascii="Times New Roman" w:hAnsi="Times New Roman"/>
          <w:spacing w:val="-1"/>
        </w:rPr>
        <w:t>through</w:t>
      </w:r>
      <w:r w:rsidR="00900061" w:rsidRPr="00E168A1">
        <w:rPr>
          <w:rFonts w:ascii="Times New Roman" w:hAnsi="Times New Roman"/>
          <w:spacing w:val="-1"/>
        </w:rPr>
        <w:t xml:space="preserve"> </w:t>
      </w:r>
      <w:r w:rsidR="00BD4409" w:rsidRPr="00E168A1">
        <w:rPr>
          <w:rFonts w:ascii="Times New Roman" w:hAnsi="Times New Roman"/>
          <w:spacing w:val="-1"/>
        </w:rPr>
        <w:t>negotiated</w:t>
      </w:r>
      <w:r w:rsidR="00900061" w:rsidRPr="00E168A1">
        <w:rPr>
          <w:rFonts w:ascii="Times New Roman" w:hAnsi="Times New Roman"/>
          <w:spacing w:val="-1"/>
        </w:rPr>
        <w:t xml:space="preserve"> </w:t>
      </w:r>
      <w:r w:rsidR="00BD4409" w:rsidRPr="00E168A1">
        <w:rPr>
          <w:rFonts w:ascii="Times New Roman" w:hAnsi="Times New Roman"/>
          <w:spacing w:val="-1"/>
        </w:rPr>
        <w:t>procedure</w:t>
      </w:r>
      <w:r w:rsidR="00900061" w:rsidRPr="00E168A1">
        <w:rPr>
          <w:rFonts w:ascii="Times New Roman" w:hAnsi="Times New Roman"/>
          <w:spacing w:val="-1"/>
        </w:rPr>
        <w:t xml:space="preserve"> </w:t>
      </w:r>
      <w:r w:rsidR="00BD4409" w:rsidRPr="00E168A1">
        <w:rPr>
          <w:rFonts w:ascii="Times New Roman" w:hAnsi="Times New Roman"/>
          <w:spacing w:val="-1"/>
        </w:rPr>
        <w:t>without</w:t>
      </w:r>
      <w:r w:rsidR="00900061" w:rsidRPr="00E168A1">
        <w:rPr>
          <w:rFonts w:ascii="Times New Roman" w:hAnsi="Times New Roman"/>
          <w:spacing w:val="-1"/>
        </w:rPr>
        <w:t xml:space="preserve"> </w:t>
      </w:r>
      <w:r w:rsidR="00BD4409" w:rsidRPr="00E168A1">
        <w:rPr>
          <w:rFonts w:ascii="Times New Roman" w:hAnsi="Times New Roman"/>
          <w:spacing w:val="-1"/>
        </w:rPr>
        <w:t>invitation</w:t>
      </w:r>
      <w:r w:rsidR="00900061" w:rsidRPr="00E168A1">
        <w:rPr>
          <w:rFonts w:ascii="Times New Roman" w:hAnsi="Times New Roman"/>
          <w:spacing w:val="-1"/>
        </w:rPr>
        <w:t xml:space="preserve"> </w:t>
      </w:r>
      <w:r w:rsidR="00BD4409" w:rsidRPr="00E168A1">
        <w:rPr>
          <w:rFonts w:ascii="Times New Roman" w:hAnsi="Times New Roman"/>
          <w:spacing w:val="-1"/>
        </w:rPr>
        <w:t>to</w:t>
      </w:r>
      <w:r w:rsidR="00900061" w:rsidRPr="00E168A1">
        <w:rPr>
          <w:rFonts w:ascii="Times New Roman" w:hAnsi="Times New Roman"/>
          <w:spacing w:val="-1"/>
        </w:rPr>
        <w:t xml:space="preserve"> </w:t>
      </w:r>
      <w:r w:rsidR="00BD4409" w:rsidRPr="00E168A1">
        <w:rPr>
          <w:rFonts w:ascii="Times New Roman" w:hAnsi="Times New Roman"/>
          <w:spacing w:val="-1"/>
        </w:rPr>
        <w:t>bid</w:t>
      </w:r>
      <w:r w:rsidR="00900061" w:rsidRPr="00E168A1">
        <w:rPr>
          <w:rFonts w:ascii="Times New Roman" w:hAnsi="Times New Roman"/>
          <w:spacing w:val="-1"/>
        </w:rPr>
        <w:t xml:space="preserve"> </w:t>
      </w:r>
      <w:r w:rsidR="00BD4409" w:rsidRPr="00E168A1">
        <w:rPr>
          <w:rFonts w:ascii="Times New Roman" w:hAnsi="Times New Roman"/>
          <w:spacing w:val="-1"/>
        </w:rPr>
        <w:t>because</w:t>
      </w:r>
      <w:r w:rsidR="00900061" w:rsidRPr="00E168A1">
        <w:rPr>
          <w:rFonts w:ascii="Times New Roman" w:hAnsi="Times New Roman"/>
          <w:spacing w:val="-1"/>
        </w:rPr>
        <w:t xml:space="preserve"> </w:t>
      </w:r>
      <w:r w:rsidR="00BD4409" w:rsidRPr="00E168A1">
        <w:rPr>
          <w:rFonts w:ascii="Times New Roman" w:hAnsi="Times New Roman"/>
          <w:spacing w:val="-1"/>
        </w:rPr>
        <w:t>the</w:t>
      </w:r>
      <w:r w:rsidR="00900061" w:rsidRPr="00E168A1">
        <w:rPr>
          <w:rFonts w:ascii="Times New Roman" w:hAnsi="Times New Roman"/>
          <w:spacing w:val="-1"/>
        </w:rPr>
        <w:t xml:space="preserve"> </w:t>
      </w:r>
      <w:r w:rsidR="00BD4409" w:rsidRPr="00E168A1">
        <w:rPr>
          <w:rFonts w:ascii="Times New Roman" w:hAnsi="Times New Roman"/>
          <w:spacing w:val="-1"/>
        </w:rPr>
        <w:t>vendor</w:t>
      </w:r>
      <w:r w:rsidR="00900061" w:rsidRPr="00E168A1">
        <w:rPr>
          <w:rFonts w:ascii="Times New Roman" w:hAnsi="Times New Roman"/>
          <w:spacing w:val="-1"/>
        </w:rPr>
        <w:t xml:space="preserve"> </w:t>
      </w:r>
      <w:r w:rsidR="00BD4409" w:rsidRPr="00E168A1">
        <w:rPr>
          <w:rFonts w:ascii="Times New Roman" w:hAnsi="Times New Roman"/>
          <w:spacing w:val="-1"/>
        </w:rPr>
        <w:t>has</w:t>
      </w:r>
      <w:r w:rsidR="00900061" w:rsidRPr="00E168A1">
        <w:rPr>
          <w:rFonts w:ascii="Times New Roman" w:hAnsi="Times New Roman"/>
          <w:spacing w:val="-1"/>
        </w:rPr>
        <w:t xml:space="preserve"> </w:t>
      </w:r>
      <w:r w:rsidR="00BD4409" w:rsidRPr="00E168A1">
        <w:rPr>
          <w:rFonts w:ascii="Times New Roman" w:hAnsi="Times New Roman"/>
          <w:spacing w:val="-1"/>
        </w:rPr>
        <w:t>ownership</w:t>
      </w:r>
      <w:r w:rsidR="00900061" w:rsidRPr="00E168A1">
        <w:rPr>
          <w:rFonts w:ascii="Times New Roman" w:hAnsi="Times New Roman"/>
          <w:spacing w:val="-1"/>
        </w:rPr>
        <w:t xml:space="preserve"> </w:t>
      </w:r>
      <w:r w:rsidR="00BD4409" w:rsidRPr="00E168A1">
        <w:rPr>
          <w:rFonts w:ascii="Times New Roman" w:hAnsi="Times New Roman"/>
          <w:spacing w:val="-1"/>
        </w:rPr>
        <w:t>of</w:t>
      </w:r>
      <w:r w:rsidR="00900061" w:rsidRPr="00E168A1">
        <w:rPr>
          <w:rFonts w:ascii="Times New Roman" w:hAnsi="Times New Roman"/>
          <w:spacing w:val="-1"/>
        </w:rPr>
        <w:t xml:space="preserve"> </w:t>
      </w:r>
      <w:r w:rsidR="00BD4409" w:rsidRPr="00E168A1">
        <w:rPr>
          <w:rFonts w:ascii="Times New Roman" w:hAnsi="Times New Roman"/>
          <w:spacing w:val="-1"/>
        </w:rPr>
        <w:t>the</w:t>
      </w:r>
      <w:r w:rsidR="00900061" w:rsidRPr="00E168A1">
        <w:rPr>
          <w:rFonts w:ascii="Times New Roman" w:hAnsi="Times New Roman"/>
          <w:spacing w:val="-1"/>
        </w:rPr>
        <w:t xml:space="preserve"> </w:t>
      </w:r>
      <w:r w:rsidR="00BD4409" w:rsidRPr="00E168A1">
        <w:rPr>
          <w:rFonts w:ascii="Times New Roman" w:hAnsi="Times New Roman"/>
          <w:spacing w:val="-1"/>
        </w:rPr>
        <w:t>source</w:t>
      </w:r>
      <w:r w:rsidR="00900061" w:rsidRPr="00E168A1">
        <w:rPr>
          <w:rFonts w:ascii="Times New Roman" w:hAnsi="Times New Roman"/>
          <w:spacing w:val="-1"/>
        </w:rPr>
        <w:t xml:space="preserve"> </w:t>
      </w:r>
      <w:r w:rsidR="00BD4409" w:rsidRPr="00E168A1">
        <w:rPr>
          <w:rFonts w:ascii="Times New Roman" w:hAnsi="Times New Roman"/>
          <w:spacing w:val="-1"/>
        </w:rPr>
        <w:t>code</w:t>
      </w:r>
      <w:r w:rsidR="00900061" w:rsidRPr="00E168A1">
        <w:rPr>
          <w:rFonts w:ascii="Times New Roman" w:hAnsi="Times New Roman"/>
          <w:spacing w:val="-1"/>
        </w:rPr>
        <w:t xml:space="preserve"> </w:t>
      </w:r>
      <w:r w:rsidR="00BD4409" w:rsidRPr="00E168A1">
        <w:rPr>
          <w:rFonts w:ascii="Times New Roman" w:hAnsi="Times New Roman"/>
          <w:spacing w:val="-1"/>
        </w:rPr>
        <w:t>in</w:t>
      </w:r>
      <w:r w:rsidR="00900061" w:rsidRPr="00E168A1">
        <w:rPr>
          <w:rFonts w:ascii="Times New Roman" w:hAnsi="Times New Roman"/>
          <w:spacing w:val="-1"/>
        </w:rPr>
        <w:t xml:space="preserve"> </w:t>
      </w:r>
      <w:r w:rsidR="00BD4409" w:rsidRPr="00E168A1">
        <w:rPr>
          <w:rFonts w:ascii="Times New Roman" w:hAnsi="Times New Roman"/>
          <w:spacing w:val="-1"/>
        </w:rPr>
        <w:t>l</w:t>
      </w:r>
      <w:r w:rsidR="00840E44" w:rsidRPr="00E168A1">
        <w:rPr>
          <w:rFonts w:ascii="Times New Roman" w:hAnsi="Times New Roman"/>
          <w:spacing w:val="-1"/>
        </w:rPr>
        <w:t>i</w:t>
      </w:r>
      <w:r w:rsidR="00BD4409" w:rsidRPr="00E168A1">
        <w:rPr>
          <w:rFonts w:ascii="Times New Roman" w:hAnsi="Times New Roman"/>
          <w:spacing w:val="-1"/>
        </w:rPr>
        <w:t>ne</w:t>
      </w:r>
      <w:r w:rsidR="00900061" w:rsidRPr="00E168A1">
        <w:rPr>
          <w:rFonts w:ascii="Times New Roman" w:hAnsi="Times New Roman"/>
          <w:spacing w:val="-1"/>
        </w:rPr>
        <w:t xml:space="preserve"> </w:t>
      </w:r>
      <w:r w:rsidR="00BD4409" w:rsidRPr="00E168A1">
        <w:rPr>
          <w:rFonts w:ascii="Times New Roman" w:hAnsi="Times New Roman"/>
          <w:spacing w:val="-1"/>
        </w:rPr>
        <w:t>with</w:t>
      </w:r>
      <w:r w:rsidR="00900061" w:rsidRPr="00E168A1">
        <w:rPr>
          <w:rFonts w:ascii="Times New Roman" w:hAnsi="Times New Roman"/>
          <w:spacing w:val="-1"/>
        </w:rPr>
        <w:t xml:space="preserve"> </w:t>
      </w:r>
      <w:r w:rsidR="006A4619" w:rsidRPr="00E168A1">
        <w:rPr>
          <w:rFonts w:ascii="Times New Roman" w:hAnsi="Times New Roman"/>
          <w:spacing w:val="-1"/>
        </w:rPr>
        <w:t xml:space="preserve">the </w:t>
      </w:r>
      <w:r w:rsidR="00411474" w:rsidRPr="00E168A1">
        <w:rPr>
          <w:rFonts w:ascii="Times New Roman" w:hAnsi="Times New Roman"/>
          <w:spacing w:val="-1"/>
        </w:rPr>
        <w:t>C</w:t>
      </w:r>
      <w:r w:rsidR="00BD4409" w:rsidRPr="00E168A1">
        <w:rPr>
          <w:rFonts w:ascii="Times New Roman" w:hAnsi="Times New Roman"/>
          <w:spacing w:val="-1"/>
        </w:rPr>
        <w:t>opyright</w:t>
      </w:r>
      <w:r w:rsidR="00900061" w:rsidRPr="00E168A1">
        <w:rPr>
          <w:rFonts w:ascii="Times New Roman" w:hAnsi="Times New Roman"/>
          <w:spacing w:val="-1"/>
        </w:rPr>
        <w:t xml:space="preserve"> </w:t>
      </w:r>
      <w:r w:rsidR="00411474" w:rsidRPr="00E168A1">
        <w:rPr>
          <w:rFonts w:ascii="Times New Roman" w:hAnsi="Times New Roman"/>
          <w:spacing w:val="-1"/>
        </w:rPr>
        <w:t>L</w:t>
      </w:r>
      <w:r w:rsidR="00BD4409" w:rsidRPr="00E168A1">
        <w:rPr>
          <w:rFonts w:ascii="Times New Roman" w:hAnsi="Times New Roman"/>
          <w:spacing w:val="-1"/>
        </w:rPr>
        <w:t>aw.</w:t>
      </w:r>
      <w:r w:rsidR="00900061" w:rsidRPr="00E168A1">
        <w:rPr>
          <w:rFonts w:ascii="Times New Roman" w:hAnsi="Times New Roman"/>
          <w:spacing w:val="-1"/>
        </w:rPr>
        <w:t xml:space="preserve"> </w:t>
      </w:r>
      <w:r w:rsidR="00BD4409" w:rsidRPr="00E168A1">
        <w:rPr>
          <w:rFonts w:ascii="Times New Roman" w:hAnsi="Times New Roman"/>
          <w:spacing w:val="-1"/>
        </w:rPr>
        <w:t>The</w:t>
      </w:r>
      <w:r w:rsidR="00900061" w:rsidRPr="00E168A1">
        <w:rPr>
          <w:rFonts w:ascii="Times New Roman" w:hAnsi="Times New Roman"/>
          <w:spacing w:val="-1"/>
        </w:rPr>
        <w:t xml:space="preserve"> </w:t>
      </w:r>
      <w:r w:rsidR="00BD4409" w:rsidRPr="00E168A1">
        <w:rPr>
          <w:rFonts w:ascii="Times New Roman" w:hAnsi="Times New Roman"/>
          <w:spacing w:val="-1"/>
        </w:rPr>
        <w:t>approximate</w:t>
      </w:r>
      <w:r w:rsidR="00900061" w:rsidRPr="00E168A1">
        <w:rPr>
          <w:rFonts w:ascii="Times New Roman" w:hAnsi="Times New Roman"/>
          <w:spacing w:val="-1"/>
        </w:rPr>
        <w:t xml:space="preserve"> </w:t>
      </w:r>
      <w:r w:rsidR="00BD4409" w:rsidRPr="00E168A1">
        <w:rPr>
          <w:rFonts w:ascii="Times New Roman" w:hAnsi="Times New Roman"/>
          <w:spacing w:val="-1"/>
        </w:rPr>
        <w:t>value</w:t>
      </w:r>
      <w:r w:rsidR="00900061" w:rsidRPr="00E168A1">
        <w:rPr>
          <w:rFonts w:ascii="Times New Roman" w:hAnsi="Times New Roman"/>
          <w:spacing w:val="-1"/>
        </w:rPr>
        <w:t xml:space="preserve"> </w:t>
      </w:r>
      <w:r w:rsidR="00BD4409" w:rsidRPr="00E168A1">
        <w:rPr>
          <w:rFonts w:ascii="Times New Roman" w:hAnsi="Times New Roman"/>
          <w:spacing w:val="-1"/>
        </w:rPr>
        <w:t>of</w:t>
      </w:r>
      <w:r w:rsidR="00900061" w:rsidRPr="00E168A1">
        <w:rPr>
          <w:rFonts w:ascii="Times New Roman" w:hAnsi="Times New Roman"/>
          <w:spacing w:val="-1"/>
        </w:rPr>
        <w:t xml:space="preserve"> </w:t>
      </w:r>
      <w:r w:rsidR="00BD4409" w:rsidRPr="00E168A1">
        <w:rPr>
          <w:rFonts w:ascii="Times New Roman" w:hAnsi="Times New Roman"/>
          <w:spacing w:val="-1"/>
        </w:rPr>
        <w:t>this</w:t>
      </w:r>
      <w:r w:rsidR="00900061" w:rsidRPr="00E168A1">
        <w:rPr>
          <w:rFonts w:ascii="Times New Roman" w:hAnsi="Times New Roman"/>
          <w:spacing w:val="-1"/>
        </w:rPr>
        <w:t xml:space="preserve"> </w:t>
      </w:r>
      <w:r w:rsidR="00BD4409" w:rsidRPr="00E168A1">
        <w:rPr>
          <w:rFonts w:ascii="Times New Roman" w:hAnsi="Times New Roman"/>
          <w:spacing w:val="-1"/>
        </w:rPr>
        <w:t>procurement</w:t>
      </w:r>
      <w:r w:rsidR="00900061" w:rsidRPr="00E168A1">
        <w:rPr>
          <w:rFonts w:ascii="Times New Roman" w:hAnsi="Times New Roman"/>
          <w:spacing w:val="-1"/>
        </w:rPr>
        <w:t xml:space="preserve"> </w:t>
      </w:r>
      <w:r w:rsidR="00BD4409" w:rsidRPr="00E168A1">
        <w:rPr>
          <w:rFonts w:ascii="Times New Roman" w:hAnsi="Times New Roman"/>
          <w:spacing w:val="-1"/>
        </w:rPr>
        <w:t>is</w:t>
      </w:r>
      <w:r w:rsidR="00900061" w:rsidRPr="00E168A1">
        <w:rPr>
          <w:rFonts w:ascii="Times New Roman" w:hAnsi="Times New Roman"/>
          <w:spacing w:val="-1"/>
        </w:rPr>
        <w:t xml:space="preserve"> </w:t>
      </w:r>
      <w:r w:rsidR="00BD4409" w:rsidRPr="00E168A1">
        <w:rPr>
          <w:rFonts w:ascii="Times New Roman" w:hAnsi="Times New Roman"/>
          <w:spacing w:val="-1"/>
        </w:rPr>
        <w:t>RSD</w:t>
      </w:r>
      <w:r w:rsidR="00900061" w:rsidRPr="00E168A1">
        <w:rPr>
          <w:rFonts w:ascii="Times New Roman" w:hAnsi="Times New Roman"/>
          <w:spacing w:val="-1"/>
        </w:rPr>
        <w:t xml:space="preserve"> </w:t>
      </w:r>
      <w:r w:rsidR="00BD4409" w:rsidRPr="00E168A1">
        <w:rPr>
          <w:rFonts w:ascii="Times New Roman" w:hAnsi="Times New Roman"/>
          <w:spacing w:val="-1"/>
        </w:rPr>
        <w:t>2</w:t>
      </w:r>
      <w:r w:rsidR="003B3151">
        <w:rPr>
          <w:rFonts w:ascii="Times New Roman" w:hAnsi="Times New Roman"/>
          <w:spacing w:val="-1"/>
        </w:rPr>
        <w:t>,</w:t>
      </w:r>
      <w:r w:rsidR="00BD4409" w:rsidRPr="00E168A1">
        <w:rPr>
          <w:rFonts w:ascii="Times New Roman" w:hAnsi="Times New Roman"/>
          <w:spacing w:val="-1"/>
        </w:rPr>
        <w:t>000</w:t>
      </w:r>
      <w:r w:rsidR="003B3151">
        <w:rPr>
          <w:rFonts w:ascii="Times New Roman" w:hAnsi="Times New Roman"/>
          <w:spacing w:val="-1"/>
        </w:rPr>
        <w:t>,</w:t>
      </w:r>
      <w:r w:rsidR="00BD4409" w:rsidRPr="00E168A1">
        <w:rPr>
          <w:rFonts w:ascii="Times New Roman" w:hAnsi="Times New Roman"/>
          <w:spacing w:val="-1"/>
        </w:rPr>
        <w:t>000</w:t>
      </w:r>
      <w:r w:rsidR="00900061" w:rsidRPr="00E168A1">
        <w:rPr>
          <w:rFonts w:ascii="Times New Roman" w:hAnsi="Times New Roman"/>
          <w:spacing w:val="-1"/>
        </w:rPr>
        <w:t xml:space="preserve"> </w:t>
      </w:r>
      <w:r w:rsidR="00E97366" w:rsidRPr="00E168A1">
        <w:rPr>
          <w:rFonts w:ascii="Times New Roman" w:hAnsi="Times New Roman"/>
          <w:spacing w:val="-1"/>
        </w:rPr>
        <w:t>(</w:t>
      </w:r>
      <w:r w:rsidR="00BD4409" w:rsidRPr="00A90FD9">
        <w:rPr>
          <w:rFonts w:ascii="Times New Roman" w:hAnsi="Times New Roman"/>
          <w:spacing w:val="-1"/>
        </w:rPr>
        <w:t>approximately</w:t>
      </w:r>
      <w:r w:rsidR="00900061" w:rsidRPr="00A90FD9">
        <w:rPr>
          <w:rFonts w:ascii="Times New Roman" w:hAnsi="Times New Roman"/>
          <w:spacing w:val="-1"/>
        </w:rPr>
        <w:t xml:space="preserve"> </w:t>
      </w:r>
      <w:r w:rsidR="00BD4409" w:rsidRPr="00A90FD9">
        <w:rPr>
          <w:rFonts w:ascii="Times New Roman" w:hAnsi="Times New Roman"/>
          <w:spacing w:val="-1"/>
        </w:rPr>
        <w:t>US$1</w:t>
      </w:r>
      <w:r w:rsidR="003B3151">
        <w:rPr>
          <w:rFonts w:ascii="Times New Roman" w:hAnsi="Times New Roman"/>
          <w:spacing w:val="-1"/>
        </w:rPr>
        <w:t>8,</w:t>
      </w:r>
      <w:r w:rsidR="00BD4409" w:rsidRPr="00A90FD9">
        <w:rPr>
          <w:rFonts w:ascii="Times New Roman" w:hAnsi="Times New Roman"/>
          <w:spacing w:val="-1"/>
        </w:rPr>
        <w:t>000</w:t>
      </w:r>
      <w:r w:rsidR="00BD4409" w:rsidRPr="00E168A1">
        <w:rPr>
          <w:rFonts w:ascii="Times New Roman" w:hAnsi="Times New Roman"/>
          <w:spacing w:val="-1"/>
        </w:rPr>
        <w:t>).</w:t>
      </w:r>
      <w:r w:rsidR="00900061" w:rsidRPr="00A90FD9">
        <w:rPr>
          <w:rFonts w:ascii="Times New Roman" w:hAnsi="Times New Roman"/>
          <w:spacing w:val="-1"/>
        </w:rPr>
        <w:t xml:space="preserve"> </w:t>
      </w:r>
    </w:p>
    <w:p w14:paraId="2148260C" w14:textId="77777777" w:rsidR="000E798B" w:rsidRPr="000E798B" w:rsidRDefault="00BD4409" w:rsidP="000E798B">
      <w:pPr>
        <w:pStyle w:val="ListParagraph"/>
        <w:numPr>
          <w:ilvl w:val="0"/>
          <w:numId w:val="36"/>
        </w:numPr>
        <w:contextualSpacing w:val="0"/>
        <w:rPr>
          <w:rFonts w:ascii="Times New Roman" w:hAnsi="Times New Roman"/>
        </w:rPr>
      </w:pPr>
      <w:r w:rsidRPr="00A90FD9">
        <w:rPr>
          <w:rFonts w:ascii="Times New Roman" w:hAnsi="Times New Roman"/>
          <w:spacing w:val="-1"/>
        </w:rPr>
        <w:t>Within</w:t>
      </w:r>
      <w:r w:rsidR="00900061" w:rsidRPr="00A90FD9">
        <w:rPr>
          <w:rFonts w:ascii="Times New Roman" w:hAnsi="Times New Roman"/>
          <w:spacing w:val="-1"/>
        </w:rPr>
        <w:t xml:space="preserve"> </w:t>
      </w:r>
      <w:r w:rsidRPr="00A90FD9">
        <w:rPr>
          <w:rFonts w:ascii="Times New Roman" w:hAnsi="Times New Roman"/>
          <w:spacing w:val="-1"/>
        </w:rPr>
        <w:t>the</w:t>
      </w:r>
      <w:r w:rsidR="00900061" w:rsidRPr="00A90FD9">
        <w:rPr>
          <w:rFonts w:ascii="Times New Roman" w:hAnsi="Times New Roman"/>
          <w:spacing w:val="-1"/>
        </w:rPr>
        <w:t xml:space="preserve"> </w:t>
      </w:r>
      <w:r w:rsidRPr="00A90FD9">
        <w:rPr>
          <w:rFonts w:ascii="Times New Roman" w:hAnsi="Times New Roman"/>
          <w:spacing w:val="-1"/>
        </w:rPr>
        <w:t>Treasury,</w:t>
      </w:r>
      <w:r w:rsidR="00900061" w:rsidRPr="00A90FD9">
        <w:rPr>
          <w:rFonts w:ascii="Times New Roman" w:hAnsi="Times New Roman"/>
          <w:spacing w:val="-1"/>
        </w:rPr>
        <w:t xml:space="preserve"> </w:t>
      </w:r>
      <w:r w:rsidRPr="00A90FD9">
        <w:rPr>
          <w:rFonts w:ascii="Times New Roman" w:hAnsi="Times New Roman"/>
          <w:spacing w:val="-1"/>
        </w:rPr>
        <w:t>the</w:t>
      </w:r>
      <w:r w:rsidR="00900061" w:rsidRPr="00A90FD9">
        <w:rPr>
          <w:rFonts w:ascii="Times New Roman" w:hAnsi="Times New Roman"/>
          <w:spacing w:val="-1"/>
        </w:rPr>
        <w:t xml:space="preserve"> </w:t>
      </w:r>
      <w:r w:rsidRPr="00A90FD9">
        <w:rPr>
          <w:rFonts w:ascii="Times New Roman" w:hAnsi="Times New Roman"/>
          <w:spacing w:val="-1"/>
        </w:rPr>
        <w:t>Department</w:t>
      </w:r>
      <w:r w:rsidR="00900061" w:rsidRPr="00A90FD9">
        <w:rPr>
          <w:rFonts w:ascii="Times New Roman" w:hAnsi="Times New Roman"/>
          <w:spacing w:val="-1"/>
        </w:rPr>
        <w:t xml:space="preserve"> </w:t>
      </w:r>
      <w:r w:rsidRPr="00A90FD9">
        <w:rPr>
          <w:rFonts w:ascii="Times New Roman" w:hAnsi="Times New Roman"/>
          <w:spacing w:val="-1"/>
        </w:rPr>
        <w:t>for</w:t>
      </w:r>
      <w:r w:rsidR="00900061" w:rsidRPr="00A90FD9">
        <w:rPr>
          <w:rFonts w:ascii="Times New Roman" w:hAnsi="Times New Roman"/>
          <w:spacing w:val="-1"/>
        </w:rPr>
        <w:t xml:space="preserve"> </w:t>
      </w:r>
      <w:r w:rsidRPr="00A90FD9">
        <w:rPr>
          <w:rFonts w:ascii="Times New Roman" w:hAnsi="Times New Roman"/>
          <w:spacing w:val="-1"/>
        </w:rPr>
        <w:t>Legal</w:t>
      </w:r>
      <w:r w:rsidR="00900061" w:rsidRPr="00A90FD9">
        <w:rPr>
          <w:rFonts w:ascii="Times New Roman" w:hAnsi="Times New Roman"/>
          <w:spacing w:val="-1"/>
        </w:rPr>
        <w:t xml:space="preserve"> </w:t>
      </w:r>
      <w:r w:rsidRPr="005769EE">
        <w:rPr>
          <w:rFonts w:ascii="Times New Roman" w:hAnsi="Times New Roman"/>
          <w:spacing w:val="-1"/>
        </w:rPr>
        <w:t>and</w:t>
      </w:r>
      <w:r w:rsidR="00900061" w:rsidRPr="005769EE">
        <w:rPr>
          <w:rFonts w:ascii="Times New Roman" w:hAnsi="Times New Roman"/>
          <w:spacing w:val="-1"/>
        </w:rPr>
        <w:t xml:space="preserve"> </w:t>
      </w:r>
      <w:r w:rsidRPr="00E168A1">
        <w:rPr>
          <w:rFonts w:ascii="Times New Roman" w:hAnsi="Times New Roman"/>
          <w:spacing w:val="-1"/>
        </w:rPr>
        <w:t>Administrative</w:t>
      </w:r>
      <w:r w:rsidR="00900061" w:rsidRPr="00E168A1">
        <w:rPr>
          <w:rFonts w:ascii="Times New Roman" w:hAnsi="Times New Roman"/>
          <w:spacing w:val="-1"/>
        </w:rPr>
        <w:t xml:space="preserve"> </w:t>
      </w:r>
      <w:r w:rsidRPr="00E168A1">
        <w:rPr>
          <w:rFonts w:ascii="Times New Roman" w:hAnsi="Times New Roman"/>
          <w:spacing w:val="-1"/>
        </w:rPr>
        <w:t>Affairs</w:t>
      </w:r>
      <w:r w:rsidR="00900061" w:rsidRPr="00E168A1">
        <w:rPr>
          <w:rFonts w:ascii="Times New Roman" w:hAnsi="Times New Roman"/>
          <w:spacing w:val="-1"/>
        </w:rPr>
        <w:t xml:space="preserve"> </w:t>
      </w:r>
      <w:r w:rsidRPr="00E168A1">
        <w:rPr>
          <w:rFonts w:ascii="Times New Roman" w:hAnsi="Times New Roman"/>
          <w:spacing w:val="-1"/>
        </w:rPr>
        <w:t>is</w:t>
      </w:r>
      <w:r w:rsidR="00900061" w:rsidRPr="00E168A1">
        <w:rPr>
          <w:rFonts w:ascii="Times New Roman" w:hAnsi="Times New Roman"/>
          <w:spacing w:val="-1"/>
        </w:rPr>
        <w:t xml:space="preserve"> </w:t>
      </w:r>
      <w:r w:rsidRPr="00E168A1">
        <w:rPr>
          <w:rFonts w:ascii="Times New Roman" w:hAnsi="Times New Roman"/>
          <w:spacing w:val="-1"/>
        </w:rPr>
        <w:t>responsible</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There</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five</w:t>
      </w:r>
      <w:r w:rsidR="00900061" w:rsidRPr="00E168A1">
        <w:rPr>
          <w:rFonts w:ascii="Times New Roman" w:hAnsi="Times New Roman"/>
          <w:spacing w:val="-1"/>
        </w:rPr>
        <w:t xml:space="preserve"> </w:t>
      </w:r>
      <w:r w:rsidRPr="00E168A1">
        <w:rPr>
          <w:rFonts w:ascii="Times New Roman" w:hAnsi="Times New Roman"/>
          <w:spacing w:val="-1"/>
        </w:rPr>
        <w:t>permanent</w:t>
      </w:r>
      <w:r w:rsidR="00900061" w:rsidRPr="00E168A1">
        <w:rPr>
          <w:rFonts w:ascii="Times New Roman" w:hAnsi="Times New Roman"/>
          <w:spacing w:val="-1"/>
        </w:rPr>
        <w:t xml:space="preserve"> </w:t>
      </w:r>
      <w:r w:rsidRPr="00E168A1">
        <w:rPr>
          <w:rFonts w:ascii="Times New Roman" w:hAnsi="Times New Roman"/>
          <w:spacing w:val="-1"/>
        </w:rPr>
        <w:t>professionals</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additional</w:t>
      </w:r>
      <w:r w:rsidR="00900061" w:rsidRPr="00E168A1">
        <w:rPr>
          <w:rFonts w:ascii="Times New Roman" w:hAnsi="Times New Roman"/>
          <w:spacing w:val="-1"/>
        </w:rPr>
        <w:t xml:space="preserve"> </w:t>
      </w:r>
      <w:r w:rsidRPr="00E168A1">
        <w:rPr>
          <w:rFonts w:ascii="Times New Roman" w:hAnsi="Times New Roman"/>
          <w:spacing w:val="-1"/>
        </w:rPr>
        <w:t>staff</w:t>
      </w:r>
      <w:r w:rsidR="00900061" w:rsidRPr="00E168A1">
        <w:rPr>
          <w:rFonts w:ascii="Times New Roman" w:hAnsi="Times New Roman"/>
          <w:spacing w:val="-1"/>
        </w:rPr>
        <w:t xml:space="preserve"> </w:t>
      </w:r>
      <w:r w:rsidRPr="00E168A1">
        <w:rPr>
          <w:rFonts w:ascii="Times New Roman" w:hAnsi="Times New Roman"/>
          <w:spacing w:val="-1"/>
        </w:rPr>
        <w:t>to</w:t>
      </w:r>
      <w:r w:rsidR="00900061" w:rsidRPr="00E168A1">
        <w:rPr>
          <w:rFonts w:ascii="Times New Roman" w:hAnsi="Times New Roman"/>
          <w:spacing w:val="-1"/>
        </w:rPr>
        <w:t xml:space="preserve"> </w:t>
      </w:r>
      <w:r w:rsidRPr="00E168A1">
        <w:rPr>
          <w:rFonts w:ascii="Times New Roman" w:hAnsi="Times New Roman"/>
          <w:spacing w:val="-1"/>
        </w:rPr>
        <w:t>assist</w:t>
      </w:r>
      <w:r w:rsidR="00900061" w:rsidRPr="00E168A1">
        <w:rPr>
          <w:rFonts w:ascii="Times New Roman" w:hAnsi="Times New Roman"/>
          <w:spacing w:val="-1"/>
        </w:rPr>
        <w:t xml:space="preserve"> </w:t>
      </w:r>
      <w:r w:rsidRPr="00E168A1">
        <w:rPr>
          <w:rFonts w:ascii="Times New Roman" w:hAnsi="Times New Roman"/>
          <w:spacing w:val="-1"/>
        </w:rPr>
        <w:t>the</w:t>
      </w:r>
      <w:r w:rsidR="00900061" w:rsidRPr="00E168A1">
        <w:rPr>
          <w:rFonts w:ascii="Times New Roman" w:hAnsi="Times New Roman"/>
          <w:spacing w:val="-1"/>
        </w:rPr>
        <w:t xml:space="preserve"> </w:t>
      </w:r>
      <w:r w:rsidRPr="00E168A1">
        <w:rPr>
          <w:rFonts w:ascii="Times New Roman" w:hAnsi="Times New Roman"/>
          <w:spacing w:val="-1"/>
        </w:rPr>
        <w:t>Treasury</w:t>
      </w:r>
      <w:r w:rsidR="00900061" w:rsidRPr="00E168A1">
        <w:rPr>
          <w:rFonts w:ascii="Times New Roman" w:hAnsi="Times New Roman"/>
          <w:spacing w:val="-1"/>
        </w:rPr>
        <w:t xml:space="preserve"> </w:t>
      </w:r>
      <w:r w:rsidRPr="00E168A1">
        <w:rPr>
          <w:rFonts w:ascii="Times New Roman" w:hAnsi="Times New Roman"/>
          <w:spacing w:val="-1"/>
        </w:rPr>
        <w:t>on</w:t>
      </w:r>
      <w:r w:rsidR="00900061" w:rsidRPr="00E168A1">
        <w:rPr>
          <w:rFonts w:ascii="Times New Roman" w:hAnsi="Times New Roman"/>
          <w:spacing w:val="-1"/>
        </w:rPr>
        <w:t xml:space="preserve"> </w:t>
      </w:r>
      <w:r w:rsidRPr="00E168A1">
        <w:rPr>
          <w:rFonts w:ascii="Times New Roman" w:hAnsi="Times New Roman"/>
          <w:spacing w:val="-1"/>
        </w:rPr>
        <w:t>a</w:t>
      </w:r>
      <w:r w:rsidR="00900061" w:rsidRPr="00E168A1">
        <w:rPr>
          <w:rFonts w:ascii="Times New Roman" w:hAnsi="Times New Roman"/>
          <w:spacing w:val="-1"/>
        </w:rPr>
        <w:t xml:space="preserve"> </w:t>
      </w:r>
      <w:r w:rsidRPr="00E168A1">
        <w:rPr>
          <w:rFonts w:ascii="Times New Roman" w:hAnsi="Times New Roman"/>
          <w:spacing w:val="-1"/>
        </w:rPr>
        <w:t>temporary</w:t>
      </w:r>
      <w:r w:rsidR="00900061" w:rsidRPr="00E168A1">
        <w:rPr>
          <w:rFonts w:ascii="Times New Roman" w:hAnsi="Times New Roman"/>
          <w:spacing w:val="-1"/>
        </w:rPr>
        <w:t xml:space="preserve"> </w:t>
      </w:r>
      <w:r w:rsidRPr="00E168A1">
        <w:rPr>
          <w:rFonts w:ascii="Times New Roman" w:hAnsi="Times New Roman"/>
          <w:spacing w:val="-1"/>
        </w:rPr>
        <w:t>basis</w:t>
      </w:r>
      <w:r w:rsidR="00900061" w:rsidRPr="00E168A1">
        <w:rPr>
          <w:rFonts w:ascii="Times New Roman" w:hAnsi="Times New Roman"/>
          <w:spacing w:val="-1"/>
        </w:rPr>
        <w:t xml:space="preserve"> </w:t>
      </w:r>
      <w:r w:rsidRPr="00E168A1">
        <w:rPr>
          <w:rFonts w:ascii="Times New Roman" w:hAnsi="Times New Roman"/>
          <w:spacing w:val="-1"/>
        </w:rPr>
        <w:t>who</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responsible</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They</w:t>
      </w:r>
      <w:r w:rsidR="00900061" w:rsidRPr="00E168A1">
        <w:rPr>
          <w:rFonts w:ascii="Times New Roman" w:hAnsi="Times New Roman"/>
          <w:spacing w:val="-1"/>
        </w:rPr>
        <w:t xml:space="preserve"> </w:t>
      </w:r>
      <w:r w:rsidRPr="00E168A1">
        <w:rPr>
          <w:rFonts w:ascii="Times New Roman" w:hAnsi="Times New Roman"/>
          <w:spacing w:val="-1"/>
        </w:rPr>
        <w:t>have</w:t>
      </w:r>
      <w:r w:rsidR="00900061" w:rsidRPr="00E168A1">
        <w:rPr>
          <w:rFonts w:ascii="Times New Roman" w:hAnsi="Times New Roman"/>
          <w:spacing w:val="-1"/>
        </w:rPr>
        <w:t xml:space="preserve"> </w:t>
      </w:r>
      <w:r w:rsidRPr="00E168A1">
        <w:rPr>
          <w:rFonts w:ascii="Times New Roman" w:hAnsi="Times New Roman"/>
          <w:spacing w:val="-1"/>
        </w:rPr>
        <w:t>acceptable</w:t>
      </w:r>
      <w:r w:rsidR="00900061" w:rsidRPr="00E168A1">
        <w:rPr>
          <w:rFonts w:ascii="Times New Roman" w:hAnsi="Times New Roman"/>
          <w:spacing w:val="-1"/>
        </w:rPr>
        <w:t xml:space="preserve"> </w:t>
      </w:r>
      <w:r w:rsidRPr="00E168A1">
        <w:rPr>
          <w:rFonts w:ascii="Times New Roman" w:hAnsi="Times New Roman"/>
          <w:spacing w:val="-1"/>
        </w:rPr>
        <w:t>level</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experience</w:t>
      </w:r>
      <w:r w:rsidR="00900061" w:rsidRPr="00E168A1">
        <w:rPr>
          <w:rFonts w:ascii="Times New Roman" w:hAnsi="Times New Roman"/>
          <w:spacing w:val="-1"/>
        </w:rPr>
        <w:t xml:space="preserve"> </w:t>
      </w:r>
      <w:r w:rsidRPr="00E168A1">
        <w:rPr>
          <w:rFonts w:ascii="Times New Roman" w:hAnsi="Times New Roman"/>
          <w:spacing w:val="-1"/>
        </w:rPr>
        <w:t>in</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00E97366" w:rsidRPr="00E168A1">
        <w:rPr>
          <w:rFonts w:ascii="Times New Roman" w:hAnsi="Times New Roman"/>
          <w:spacing w:val="-1"/>
        </w:rPr>
        <w:t>P</w:t>
      </w:r>
      <w:r w:rsidRPr="00E168A1">
        <w:rPr>
          <w:rFonts w:ascii="Times New Roman" w:hAnsi="Times New Roman"/>
          <w:spacing w:val="-1"/>
        </w:rPr>
        <w:t>rocurement</w:t>
      </w:r>
      <w:r w:rsidR="00900061" w:rsidRPr="00E168A1">
        <w:rPr>
          <w:rFonts w:ascii="Times New Roman" w:hAnsi="Times New Roman"/>
          <w:spacing w:val="-1"/>
        </w:rPr>
        <w:t xml:space="preserve"> </w:t>
      </w:r>
      <w:r w:rsidRPr="00E168A1">
        <w:rPr>
          <w:rFonts w:ascii="Times New Roman" w:hAnsi="Times New Roman"/>
          <w:spacing w:val="-1"/>
        </w:rPr>
        <w:t>is</w:t>
      </w:r>
      <w:r w:rsidR="00900061" w:rsidRPr="00E168A1">
        <w:rPr>
          <w:rFonts w:ascii="Times New Roman" w:hAnsi="Times New Roman"/>
          <w:spacing w:val="-1"/>
        </w:rPr>
        <w:t xml:space="preserve"> </w:t>
      </w:r>
      <w:r w:rsidR="00E97366" w:rsidRPr="00E168A1">
        <w:rPr>
          <w:rFonts w:ascii="Times New Roman" w:hAnsi="Times New Roman"/>
          <w:spacing w:val="-1"/>
        </w:rPr>
        <w:t xml:space="preserve">mostly </w:t>
      </w:r>
      <w:r w:rsidRPr="00E168A1">
        <w:rPr>
          <w:rFonts w:ascii="Times New Roman" w:hAnsi="Times New Roman"/>
          <w:spacing w:val="-1"/>
        </w:rPr>
        <w:t>focused</w:t>
      </w:r>
      <w:r w:rsidR="00900061" w:rsidRPr="00E168A1">
        <w:rPr>
          <w:rFonts w:ascii="Times New Roman" w:hAnsi="Times New Roman"/>
          <w:spacing w:val="-1"/>
        </w:rPr>
        <w:t xml:space="preserve"> </w:t>
      </w:r>
      <w:r w:rsidRPr="00E168A1">
        <w:rPr>
          <w:rFonts w:ascii="Times New Roman" w:hAnsi="Times New Roman"/>
          <w:spacing w:val="-1"/>
        </w:rPr>
        <w:t>on</w:t>
      </w:r>
      <w:r w:rsidR="00900061" w:rsidRPr="00E168A1">
        <w:rPr>
          <w:rFonts w:ascii="Times New Roman" w:hAnsi="Times New Roman"/>
          <w:spacing w:val="-1"/>
        </w:rPr>
        <w:t xml:space="preserve"> </w:t>
      </w:r>
      <w:r w:rsidRPr="00E168A1">
        <w:rPr>
          <w:rFonts w:ascii="Times New Roman" w:hAnsi="Times New Roman"/>
          <w:spacing w:val="-1"/>
        </w:rPr>
        <w:t>IT</w:t>
      </w:r>
      <w:r w:rsidR="00900061" w:rsidRPr="00E168A1">
        <w:rPr>
          <w:rFonts w:ascii="Times New Roman" w:hAnsi="Times New Roman"/>
          <w:spacing w:val="-1"/>
        </w:rPr>
        <w:t xml:space="preserve"> </w:t>
      </w:r>
      <w:r w:rsidRPr="00E168A1">
        <w:rPr>
          <w:rFonts w:ascii="Times New Roman" w:hAnsi="Times New Roman"/>
          <w:spacing w:val="-1"/>
        </w:rPr>
        <w:t>services</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equipment,</w:t>
      </w:r>
      <w:r w:rsidR="00900061" w:rsidRPr="00E168A1">
        <w:rPr>
          <w:rFonts w:ascii="Times New Roman" w:hAnsi="Times New Roman"/>
          <w:spacing w:val="-1"/>
        </w:rPr>
        <w:t xml:space="preserve"> </w:t>
      </w:r>
      <w:r w:rsidRPr="00E168A1">
        <w:rPr>
          <w:rFonts w:ascii="Times New Roman" w:hAnsi="Times New Roman"/>
          <w:spacing w:val="-1"/>
        </w:rPr>
        <w:t>software</w:t>
      </w:r>
      <w:r w:rsidR="00900061" w:rsidRPr="00E168A1">
        <w:rPr>
          <w:rFonts w:ascii="Times New Roman" w:hAnsi="Times New Roman"/>
          <w:spacing w:val="-1"/>
        </w:rPr>
        <w:t xml:space="preserve"> </w:t>
      </w:r>
      <w:r w:rsidRPr="00E168A1">
        <w:rPr>
          <w:rFonts w:ascii="Times New Roman" w:hAnsi="Times New Roman"/>
          <w:spacing w:val="-1"/>
        </w:rPr>
        <w:t>maintanance,</w:t>
      </w:r>
      <w:r w:rsidR="00900061" w:rsidRPr="00E168A1">
        <w:rPr>
          <w:rFonts w:ascii="Times New Roman" w:hAnsi="Times New Roman"/>
          <w:spacing w:val="-1"/>
        </w:rPr>
        <w:t xml:space="preserve"> </w:t>
      </w:r>
      <w:r w:rsidRPr="00E168A1">
        <w:rPr>
          <w:rFonts w:ascii="Times New Roman" w:hAnsi="Times New Roman"/>
          <w:spacing w:val="-1"/>
        </w:rPr>
        <w:t>licensing</w:t>
      </w:r>
      <w:r w:rsidR="00073464" w:rsidRPr="00E168A1">
        <w:rPr>
          <w:rFonts w:ascii="Times New Roman" w:hAnsi="Times New Roman"/>
          <w:spacing w:val="-1"/>
        </w:rPr>
        <w:t>,</w:t>
      </w:r>
      <w:r w:rsidR="00900061" w:rsidRPr="00E168A1">
        <w:rPr>
          <w:rFonts w:ascii="Times New Roman" w:hAnsi="Times New Roman"/>
          <w:spacing w:val="-1"/>
        </w:rPr>
        <w:t xml:space="preserve"> </w:t>
      </w:r>
      <w:r w:rsidR="00073464" w:rsidRPr="00E168A1">
        <w:rPr>
          <w:rFonts w:ascii="Times New Roman" w:hAnsi="Times New Roman"/>
        </w:rPr>
        <w:t>and so on</w:t>
      </w:r>
      <w:r w:rsidRPr="00E168A1">
        <w:rPr>
          <w:rFonts w:ascii="Times New Roman" w:hAnsi="Times New Roman"/>
          <w:spacing w:val="-1"/>
        </w:rPr>
        <w:t>.</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includes</w:t>
      </w:r>
      <w:r w:rsidR="00900061" w:rsidRPr="00E168A1">
        <w:rPr>
          <w:rFonts w:ascii="Times New Roman" w:hAnsi="Times New Roman"/>
          <w:spacing w:val="-1"/>
        </w:rPr>
        <w:t xml:space="preserve"> </w:t>
      </w:r>
      <w:r w:rsidRPr="00E168A1">
        <w:rPr>
          <w:rFonts w:ascii="Times New Roman" w:hAnsi="Times New Roman"/>
          <w:spacing w:val="-1"/>
        </w:rPr>
        <w:t>some</w:t>
      </w:r>
      <w:r w:rsidR="00900061" w:rsidRPr="00E168A1">
        <w:rPr>
          <w:rFonts w:ascii="Times New Roman" w:hAnsi="Times New Roman"/>
          <w:spacing w:val="-1"/>
        </w:rPr>
        <w:t xml:space="preserve"> </w:t>
      </w:r>
      <w:r w:rsidRPr="00E168A1">
        <w:rPr>
          <w:rFonts w:ascii="Times New Roman" w:hAnsi="Times New Roman"/>
          <w:spacing w:val="-1"/>
        </w:rPr>
        <w:t>goods,</w:t>
      </w:r>
      <w:r w:rsidR="00900061" w:rsidRPr="00E168A1">
        <w:rPr>
          <w:rFonts w:ascii="Times New Roman" w:hAnsi="Times New Roman"/>
          <w:spacing w:val="-1"/>
        </w:rPr>
        <w:t xml:space="preserve"> </w:t>
      </w:r>
      <w:r w:rsidRPr="00E168A1">
        <w:rPr>
          <w:rFonts w:ascii="Times New Roman" w:hAnsi="Times New Roman"/>
          <w:spacing w:val="-1"/>
        </w:rPr>
        <w:t>minor</w:t>
      </w:r>
      <w:r w:rsidR="00900061" w:rsidRPr="00E168A1">
        <w:rPr>
          <w:rFonts w:ascii="Times New Roman" w:hAnsi="Times New Roman"/>
          <w:spacing w:val="-1"/>
        </w:rPr>
        <w:t xml:space="preserve"> </w:t>
      </w:r>
      <w:r w:rsidRPr="00E168A1">
        <w:rPr>
          <w:rFonts w:ascii="Times New Roman" w:hAnsi="Times New Roman"/>
          <w:spacing w:val="-1"/>
        </w:rPr>
        <w:t>works</w:t>
      </w:r>
      <w:r w:rsidR="00AE679D" w:rsidRPr="00E168A1">
        <w:rPr>
          <w:rFonts w:ascii="Times New Roman" w:hAnsi="Times New Roman"/>
          <w:spacing w:val="-1"/>
        </w:rPr>
        <w:t>,</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00E97366" w:rsidRPr="00E168A1">
        <w:rPr>
          <w:rFonts w:ascii="Times New Roman" w:hAnsi="Times New Roman"/>
          <w:spacing w:val="-1"/>
        </w:rPr>
        <w:t xml:space="preserve">a </w:t>
      </w:r>
      <w:r w:rsidRPr="00E168A1">
        <w:rPr>
          <w:rFonts w:ascii="Times New Roman" w:hAnsi="Times New Roman"/>
          <w:spacing w:val="-1"/>
        </w:rPr>
        <w:t>modest</w:t>
      </w:r>
      <w:r w:rsidR="00900061" w:rsidRPr="00E168A1">
        <w:rPr>
          <w:rFonts w:ascii="Times New Roman" w:hAnsi="Times New Roman"/>
          <w:spacing w:val="-1"/>
        </w:rPr>
        <w:t xml:space="preserve"> </w:t>
      </w:r>
      <w:r w:rsidRPr="00E168A1">
        <w:rPr>
          <w:rFonts w:ascii="Times New Roman" w:hAnsi="Times New Roman"/>
          <w:spacing w:val="-1"/>
        </w:rPr>
        <w:t>range</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services.</w:t>
      </w:r>
      <w:r w:rsidR="00900061" w:rsidRPr="00E168A1">
        <w:rPr>
          <w:rFonts w:ascii="Times New Roman" w:hAnsi="Times New Roman"/>
          <w:spacing w:val="-1"/>
        </w:rPr>
        <w:t xml:space="preserve"> </w:t>
      </w:r>
    </w:p>
    <w:p w14:paraId="566EF75F" w14:textId="77777777" w:rsidR="000E798B" w:rsidRPr="000E798B" w:rsidRDefault="00BD4409" w:rsidP="000E798B">
      <w:pPr>
        <w:pStyle w:val="ListParagraph"/>
        <w:numPr>
          <w:ilvl w:val="0"/>
          <w:numId w:val="36"/>
        </w:numPr>
        <w:contextualSpacing w:val="0"/>
        <w:rPr>
          <w:rFonts w:ascii="Times New Roman" w:hAnsi="Times New Roman"/>
        </w:rPr>
      </w:pPr>
      <w:r w:rsidRPr="00E168A1">
        <w:rPr>
          <w:rFonts w:ascii="Times New Roman" w:hAnsi="Times New Roman"/>
          <w:spacing w:val="-1"/>
        </w:rPr>
        <w:t>The</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Department</w:t>
      </w:r>
      <w:r w:rsidR="00900061" w:rsidRPr="00E168A1">
        <w:rPr>
          <w:rFonts w:ascii="Times New Roman" w:hAnsi="Times New Roman"/>
          <w:spacing w:val="-1"/>
        </w:rPr>
        <w:t xml:space="preserve"> </w:t>
      </w:r>
      <w:r w:rsidRPr="00E168A1">
        <w:rPr>
          <w:rFonts w:ascii="Times New Roman" w:hAnsi="Times New Roman"/>
          <w:spacing w:val="-1"/>
        </w:rPr>
        <w:t>within</w:t>
      </w:r>
      <w:r w:rsidR="00900061" w:rsidRPr="00E168A1">
        <w:rPr>
          <w:rFonts w:ascii="Times New Roman" w:hAnsi="Times New Roman"/>
          <w:spacing w:val="-1"/>
        </w:rPr>
        <w:t xml:space="preserve"> </w:t>
      </w:r>
      <w:r w:rsidRPr="00E168A1">
        <w:rPr>
          <w:rFonts w:ascii="Times New Roman" w:hAnsi="Times New Roman"/>
          <w:spacing w:val="-1"/>
        </w:rPr>
        <w:t>the</w:t>
      </w:r>
      <w:r w:rsidR="00900061" w:rsidRPr="00E168A1">
        <w:rPr>
          <w:rFonts w:ascii="Times New Roman" w:hAnsi="Times New Roman"/>
          <w:spacing w:val="-1"/>
        </w:rPr>
        <w:t xml:space="preserve"> </w:t>
      </w:r>
      <w:r w:rsidRPr="00E168A1">
        <w:rPr>
          <w:rFonts w:ascii="Times New Roman" w:hAnsi="Times New Roman"/>
          <w:spacing w:val="-1"/>
        </w:rPr>
        <w:t>NES</w:t>
      </w:r>
      <w:r w:rsidR="00900061" w:rsidRPr="00E168A1">
        <w:rPr>
          <w:rFonts w:ascii="Times New Roman" w:hAnsi="Times New Roman"/>
          <w:spacing w:val="-1"/>
        </w:rPr>
        <w:t xml:space="preserve"> </w:t>
      </w:r>
      <w:r w:rsidRPr="00E168A1">
        <w:rPr>
          <w:rFonts w:ascii="Times New Roman" w:hAnsi="Times New Roman"/>
          <w:spacing w:val="-1"/>
        </w:rPr>
        <w:t>has</w:t>
      </w:r>
      <w:r w:rsidR="00900061" w:rsidRPr="00E168A1">
        <w:rPr>
          <w:rFonts w:ascii="Times New Roman" w:hAnsi="Times New Roman"/>
          <w:spacing w:val="-1"/>
        </w:rPr>
        <w:t xml:space="preserve"> </w:t>
      </w:r>
      <w:r w:rsidRPr="00E168A1">
        <w:rPr>
          <w:rFonts w:ascii="Times New Roman" w:hAnsi="Times New Roman"/>
          <w:spacing w:val="-1"/>
        </w:rPr>
        <w:t>a</w:t>
      </w:r>
      <w:r w:rsidR="00900061" w:rsidRPr="00E168A1">
        <w:rPr>
          <w:rFonts w:ascii="Times New Roman" w:hAnsi="Times New Roman"/>
          <w:spacing w:val="-1"/>
        </w:rPr>
        <w:t xml:space="preserve"> </w:t>
      </w:r>
      <w:r w:rsidRPr="00E168A1">
        <w:rPr>
          <w:rFonts w:ascii="Times New Roman" w:hAnsi="Times New Roman"/>
          <w:spacing w:val="-1"/>
        </w:rPr>
        <w:t>total</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six</w:t>
      </w:r>
      <w:r w:rsidR="00900061" w:rsidRPr="00E168A1">
        <w:rPr>
          <w:rFonts w:ascii="Times New Roman" w:hAnsi="Times New Roman"/>
          <w:spacing w:val="-1"/>
        </w:rPr>
        <w:t xml:space="preserve"> </w:t>
      </w:r>
      <w:r w:rsidRPr="00E168A1">
        <w:rPr>
          <w:rFonts w:ascii="Times New Roman" w:hAnsi="Times New Roman"/>
          <w:spacing w:val="-1"/>
        </w:rPr>
        <w:t>staff</w:t>
      </w:r>
      <w:r w:rsidR="00900061" w:rsidRPr="00E168A1">
        <w:rPr>
          <w:rFonts w:ascii="Times New Roman" w:hAnsi="Times New Roman"/>
          <w:spacing w:val="-1"/>
        </w:rPr>
        <w:t xml:space="preserve"> </w:t>
      </w:r>
      <w:r w:rsidRPr="00E168A1">
        <w:rPr>
          <w:rFonts w:ascii="Times New Roman" w:hAnsi="Times New Roman"/>
          <w:spacing w:val="-1"/>
        </w:rPr>
        <w:t>sufficien</w:t>
      </w:r>
      <w:r w:rsidR="00E97366" w:rsidRPr="00E168A1">
        <w:rPr>
          <w:rFonts w:ascii="Times New Roman" w:hAnsi="Times New Roman"/>
          <w:spacing w:val="-1"/>
        </w:rPr>
        <w:t>t</w:t>
      </w:r>
      <w:r w:rsidRPr="00E168A1">
        <w:rPr>
          <w:rFonts w:ascii="Times New Roman" w:hAnsi="Times New Roman"/>
          <w:spacing w:val="-1"/>
        </w:rPr>
        <w:t>ly</w:t>
      </w:r>
      <w:r w:rsidR="00900061" w:rsidRPr="00E168A1">
        <w:rPr>
          <w:rFonts w:ascii="Times New Roman" w:hAnsi="Times New Roman"/>
          <w:spacing w:val="-1"/>
        </w:rPr>
        <w:t xml:space="preserve"> </w:t>
      </w:r>
      <w:r w:rsidRPr="00E168A1">
        <w:rPr>
          <w:rFonts w:ascii="Times New Roman" w:hAnsi="Times New Roman"/>
          <w:spacing w:val="-1"/>
        </w:rPr>
        <w:t>experienced</w:t>
      </w:r>
      <w:r w:rsidR="00900061" w:rsidRPr="00E168A1">
        <w:rPr>
          <w:rFonts w:ascii="Times New Roman" w:hAnsi="Times New Roman"/>
          <w:spacing w:val="-1"/>
        </w:rPr>
        <w:t xml:space="preserve"> </w:t>
      </w:r>
      <w:r w:rsidRPr="00E168A1">
        <w:rPr>
          <w:rFonts w:ascii="Times New Roman" w:hAnsi="Times New Roman"/>
          <w:spacing w:val="-1"/>
        </w:rPr>
        <w:t>in</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operations</w:t>
      </w:r>
      <w:r w:rsidR="00900061" w:rsidRPr="00E168A1">
        <w:rPr>
          <w:rFonts w:ascii="Times New Roman" w:hAnsi="Times New Roman"/>
          <w:spacing w:val="-1"/>
        </w:rPr>
        <w:t xml:space="preserve"> </w:t>
      </w:r>
      <w:r w:rsidRPr="00E168A1">
        <w:rPr>
          <w:rFonts w:ascii="Times New Roman" w:hAnsi="Times New Roman"/>
          <w:spacing w:val="-1"/>
        </w:rPr>
        <w:t>consist</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standard</w:t>
      </w:r>
      <w:r w:rsidR="00900061" w:rsidRPr="00E168A1">
        <w:rPr>
          <w:rFonts w:ascii="Times New Roman" w:hAnsi="Times New Roman"/>
          <w:spacing w:val="-1"/>
        </w:rPr>
        <w:t xml:space="preserve"> </w:t>
      </w:r>
      <w:r w:rsidRPr="00E168A1">
        <w:rPr>
          <w:rFonts w:ascii="Times New Roman" w:hAnsi="Times New Roman"/>
          <w:spacing w:val="-1"/>
        </w:rPr>
        <w:t>goods,</w:t>
      </w:r>
      <w:r w:rsidR="00900061" w:rsidRPr="00E168A1">
        <w:rPr>
          <w:rFonts w:ascii="Times New Roman" w:hAnsi="Times New Roman"/>
          <w:spacing w:val="-1"/>
        </w:rPr>
        <w:t xml:space="preserve"> </w:t>
      </w:r>
      <w:r w:rsidRPr="00E168A1">
        <w:rPr>
          <w:rFonts w:ascii="Times New Roman" w:hAnsi="Times New Roman"/>
          <w:spacing w:val="-1"/>
        </w:rPr>
        <w:t>minor</w:t>
      </w:r>
      <w:r w:rsidR="00900061" w:rsidRPr="00E168A1">
        <w:rPr>
          <w:rFonts w:ascii="Times New Roman" w:hAnsi="Times New Roman"/>
          <w:spacing w:val="-1"/>
        </w:rPr>
        <w:t xml:space="preserve"> </w:t>
      </w:r>
      <w:r w:rsidRPr="00E168A1">
        <w:rPr>
          <w:rFonts w:ascii="Times New Roman" w:hAnsi="Times New Roman"/>
          <w:spacing w:val="-1"/>
        </w:rPr>
        <w:t>works</w:t>
      </w:r>
      <w:r w:rsidR="003D0ADE" w:rsidRPr="00E168A1">
        <w:rPr>
          <w:rFonts w:ascii="Times New Roman" w:hAnsi="Times New Roman"/>
          <w:spacing w:val="-1"/>
        </w:rPr>
        <w:t>,</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consluting</w:t>
      </w:r>
      <w:r w:rsidR="00900061" w:rsidRPr="00E168A1">
        <w:rPr>
          <w:rFonts w:ascii="Times New Roman" w:hAnsi="Times New Roman"/>
          <w:spacing w:val="-1"/>
        </w:rPr>
        <w:t xml:space="preserve"> </w:t>
      </w:r>
      <w:r w:rsidRPr="00E168A1">
        <w:rPr>
          <w:rFonts w:ascii="Times New Roman" w:hAnsi="Times New Roman"/>
          <w:spacing w:val="-1"/>
        </w:rPr>
        <w:t>services.The</w:t>
      </w:r>
      <w:r w:rsidR="00900061" w:rsidRPr="00E168A1">
        <w:rPr>
          <w:rFonts w:ascii="Times New Roman" w:hAnsi="Times New Roman"/>
          <w:spacing w:val="-1"/>
        </w:rPr>
        <w:t xml:space="preserve"> </w:t>
      </w:r>
      <w:r w:rsidR="00D034B3" w:rsidRPr="00E168A1">
        <w:rPr>
          <w:rFonts w:ascii="Times New Roman" w:hAnsi="Times New Roman"/>
          <w:spacing w:val="-1"/>
        </w:rPr>
        <w:t>g</w:t>
      </w:r>
      <w:r w:rsidRPr="00E168A1">
        <w:rPr>
          <w:rFonts w:ascii="Times New Roman" w:hAnsi="Times New Roman"/>
          <w:spacing w:val="-1"/>
        </w:rPr>
        <w:t>overnment</w:t>
      </w:r>
      <w:r w:rsidR="00900061" w:rsidRPr="00E168A1">
        <w:rPr>
          <w:rFonts w:ascii="Times New Roman" w:hAnsi="Times New Roman"/>
          <w:spacing w:val="-1"/>
        </w:rPr>
        <w:t xml:space="preserve"> </w:t>
      </w:r>
      <w:r w:rsidRPr="00E168A1">
        <w:rPr>
          <w:rFonts w:ascii="Times New Roman" w:hAnsi="Times New Roman"/>
          <w:spacing w:val="-1"/>
        </w:rPr>
        <w:t>Human</w:t>
      </w:r>
      <w:r w:rsidR="00900061" w:rsidRPr="00E168A1">
        <w:rPr>
          <w:rFonts w:ascii="Times New Roman" w:hAnsi="Times New Roman"/>
          <w:spacing w:val="-1"/>
        </w:rPr>
        <w:t xml:space="preserve"> </w:t>
      </w:r>
      <w:r w:rsidRPr="00E168A1">
        <w:rPr>
          <w:rFonts w:ascii="Times New Roman" w:hAnsi="Times New Roman"/>
          <w:spacing w:val="-1"/>
        </w:rPr>
        <w:t>Resource</w:t>
      </w:r>
      <w:r w:rsidR="00900061" w:rsidRPr="00E168A1">
        <w:rPr>
          <w:rFonts w:ascii="Times New Roman" w:hAnsi="Times New Roman"/>
          <w:spacing w:val="-1"/>
        </w:rPr>
        <w:t xml:space="preserve"> </w:t>
      </w:r>
      <w:r w:rsidRPr="00E168A1">
        <w:rPr>
          <w:rFonts w:ascii="Times New Roman" w:hAnsi="Times New Roman"/>
          <w:spacing w:val="-1"/>
        </w:rPr>
        <w:t>Services</w:t>
      </w:r>
      <w:r w:rsidR="00900061" w:rsidRPr="00E168A1">
        <w:rPr>
          <w:rFonts w:ascii="Times New Roman" w:hAnsi="Times New Roman"/>
          <w:spacing w:val="-1"/>
        </w:rPr>
        <w:t xml:space="preserve"> </w:t>
      </w:r>
      <w:r w:rsidRPr="00E168A1">
        <w:rPr>
          <w:rFonts w:ascii="Times New Roman" w:hAnsi="Times New Roman"/>
          <w:spacing w:val="-1"/>
        </w:rPr>
        <w:t>has</w:t>
      </w:r>
      <w:r w:rsidR="00900061" w:rsidRPr="00E168A1">
        <w:rPr>
          <w:rFonts w:ascii="Times New Roman" w:hAnsi="Times New Roman"/>
          <w:spacing w:val="-1"/>
        </w:rPr>
        <w:t xml:space="preserve"> </w:t>
      </w:r>
      <w:r w:rsidRPr="00E168A1">
        <w:rPr>
          <w:rFonts w:ascii="Times New Roman" w:hAnsi="Times New Roman"/>
          <w:spacing w:val="-1"/>
        </w:rPr>
        <w:t>a</w:t>
      </w:r>
      <w:r w:rsidR="00900061" w:rsidRPr="00E168A1">
        <w:rPr>
          <w:rFonts w:ascii="Times New Roman" w:hAnsi="Times New Roman"/>
          <w:spacing w:val="-1"/>
        </w:rPr>
        <w:t xml:space="preserve"> </w:t>
      </w:r>
      <w:r w:rsidRPr="00E168A1">
        <w:rPr>
          <w:rFonts w:ascii="Times New Roman" w:hAnsi="Times New Roman"/>
          <w:spacing w:val="-1"/>
        </w:rPr>
        <w:t>Department</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Legal,</w:t>
      </w:r>
      <w:r w:rsidR="00900061" w:rsidRPr="00E168A1">
        <w:rPr>
          <w:rFonts w:ascii="Times New Roman" w:hAnsi="Times New Roman"/>
          <w:spacing w:val="-1"/>
        </w:rPr>
        <w:t xml:space="preserve"> </w:t>
      </w:r>
      <w:r w:rsidRPr="00E168A1">
        <w:rPr>
          <w:rFonts w:ascii="Times New Roman" w:hAnsi="Times New Roman"/>
          <w:spacing w:val="-1"/>
        </w:rPr>
        <w:t>Financial</w:t>
      </w:r>
      <w:r w:rsidR="005E7558" w:rsidRPr="00E168A1">
        <w:rPr>
          <w:rFonts w:ascii="Times New Roman" w:hAnsi="Times New Roman"/>
          <w:spacing w:val="-1"/>
        </w:rPr>
        <w:t>,</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Gen</w:t>
      </w:r>
      <w:r w:rsidR="005E7558" w:rsidRPr="00E168A1">
        <w:rPr>
          <w:rFonts w:ascii="Times New Roman" w:hAnsi="Times New Roman"/>
          <w:spacing w:val="-1"/>
        </w:rPr>
        <w:t>e</w:t>
      </w:r>
      <w:r w:rsidRPr="00E168A1">
        <w:rPr>
          <w:rFonts w:ascii="Times New Roman" w:hAnsi="Times New Roman"/>
          <w:spacing w:val="-1"/>
        </w:rPr>
        <w:t>ral</w:t>
      </w:r>
      <w:r w:rsidR="00900061" w:rsidRPr="00E168A1">
        <w:rPr>
          <w:rFonts w:ascii="Times New Roman" w:hAnsi="Times New Roman"/>
          <w:spacing w:val="-1"/>
        </w:rPr>
        <w:t xml:space="preserve"> </w:t>
      </w:r>
      <w:r w:rsidRPr="00E168A1">
        <w:rPr>
          <w:rFonts w:ascii="Times New Roman" w:hAnsi="Times New Roman"/>
          <w:spacing w:val="-1"/>
        </w:rPr>
        <w:t>Affairs</w:t>
      </w:r>
      <w:r w:rsidR="00E97366" w:rsidRPr="00E168A1">
        <w:rPr>
          <w:rFonts w:ascii="Times New Roman" w:hAnsi="Times New Roman"/>
          <w:spacing w:val="-1"/>
        </w:rPr>
        <w:t>, which is</w:t>
      </w:r>
      <w:r w:rsidR="00900061" w:rsidRPr="00E168A1">
        <w:rPr>
          <w:rFonts w:ascii="Times New Roman" w:hAnsi="Times New Roman"/>
          <w:spacing w:val="-1"/>
        </w:rPr>
        <w:t xml:space="preserve"> </w:t>
      </w:r>
      <w:r w:rsidRPr="00E168A1">
        <w:rPr>
          <w:rFonts w:ascii="Times New Roman" w:hAnsi="Times New Roman"/>
          <w:spacing w:val="-1"/>
        </w:rPr>
        <w:t>responsible</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operations</w:t>
      </w:r>
      <w:r w:rsidR="00900061" w:rsidRPr="00E168A1">
        <w:rPr>
          <w:rFonts w:ascii="Times New Roman" w:hAnsi="Times New Roman"/>
          <w:spacing w:val="-1"/>
        </w:rPr>
        <w:t xml:space="preserve"> </w:t>
      </w:r>
      <w:r w:rsidRPr="00E168A1">
        <w:rPr>
          <w:rFonts w:ascii="Times New Roman" w:hAnsi="Times New Roman"/>
          <w:spacing w:val="-1"/>
        </w:rPr>
        <w:t>mainly</w:t>
      </w:r>
      <w:r w:rsidR="00900061" w:rsidRPr="00E168A1">
        <w:rPr>
          <w:rFonts w:ascii="Times New Roman" w:hAnsi="Times New Roman"/>
          <w:spacing w:val="-1"/>
        </w:rPr>
        <w:t xml:space="preserve"> </w:t>
      </w:r>
      <w:r w:rsidRPr="00E168A1">
        <w:rPr>
          <w:rFonts w:ascii="Times New Roman" w:hAnsi="Times New Roman"/>
          <w:spacing w:val="-1"/>
        </w:rPr>
        <w:t>consist</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selection</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consulting</w:t>
      </w:r>
      <w:r w:rsidR="00900061" w:rsidRPr="00E168A1">
        <w:rPr>
          <w:rFonts w:ascii="Times New Roman" w:hAnsi="Times New Roman"/>
          <w:spacing w:val="-1"/>
        </w:rPr>
        <w:t xml:space="preserve"> </w:t>
      </w:r>
      <w:r w:rsidRPr="00E168A1">
        <w:rPr>
          <w:rFonts w:ascii="Times New Roman" w:hAnsi="Times New Roman"/>
          <w:spacing w:val="-1"/>
        </w:rPr>
        <w:t>services</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tra</w:t>
      </w:r>
      <w:r w:rsidR="00941E26" w:rsidRPr="00E168A1">
        <w:rPr>
          <w:rFonts w:ascii="Times New Roman" w:hAnsi="Times New Roman"/>
          <w:spacing w:val="-1"/>
        </w:rPr>
        <w:t>i</w:t>
      </w:r>
      <w:r w:rsidRPr="00E168A1">
        <w:rPr>
          <w:rFonts w:ascii="Times New Roman" w:hAnsi="Times New Roman"/>
          <w:spacing w:val="-1"/>
        </w:rPr>
        <w:t>ning.</w:t>
      </w:r>
      <w:r w:rsidR="00900061" w:rsidRPr="00E168A1">
        <w:rPr>
          <w:rFonts w:ascii="Times New Roman" w:hAnsi="Times New Roman"/>
          <w:spacing w:val="-1"/>
        </w:rPr>
        <w:t xml:space="preserve"> </w:t>
      </w:r>
    </w:p>
    <w:p w14:paraId="0A8828B1" w14:textId="77777777" w:rsidR="000E798B" w:rsidRPr="000E798B" w:rsidRDefault="00BD4409" w:rsidP="000E798B">
      <w:pPr>
        <w:pStyle w:val="ListParagraph"/>
        <w:numPr>
          <w:ilvl w:val="0"/>
          <w:numId w:val="36"/>
        </w:numPr>
        <w:contextualSpacing w:val="0"/>
        <w:rPr>
          <w:rFonts w:ascii="Times New Roman" w:hAnsi="Times New Roman"/>
        </w:rPr>
      </w:pPr>
      <w:r w:rsidRPr="00E168A1">
        <w:rPr>
          <w:rFonts w:ascii="Times New Roman" w:hAnsi="Times New Roman"/>
          <w:spacing w:val="-1"/>
        </w:rPr>
        <w:t>Within</w:t>
      </w:r>
      <w:r w:rsidR="00900061" w:rsidRPr="00E168A1">
        <w:rPr>
          <w:rFonts w:ascii="Times New Roman" w:hAnsi="Times New Roman"/>
          <w:spacing w:val="-1"/>
        </w:rPr>
        <w:t xml:space="preserve"> </w:t>
      </w:r>
      <w:r w:rsidR="006C0F62" w:rsidRPr="00E168A1">
        <w:rPr>
          <w:rFonts w:ascii="Times New Roman" w:hAnsi="Times New Roman"/>
          <w:spacing w:val="-1"/>
        </w:rPr>
        <w:t>t</w:t>
      </w:r>
      <w:r w:rsidRPr="00E168A1">
        <w:rPr>
          <w:rFonts w:ascii="Times New Roman" w:hAnsi="Times New Roman"/>
          <w:spacing w:val="-1"/>
        </w:rPr>
        <w:t>he</w:t>
      </w:r>
      <w:r w:rsidR="00900061" w:rsidRPr="00E168A1">
        <w:rPr>
          <w:rFonts w:ascii="Times New Roman" w:hAnsi="Times New Roman"/>
          <w:spacing w:val="-1"/>
        </w:rPr>
        <w:t xml:space="preserve"> </w:t>
      </w:r>
      <w:r w:rsidRPr="00E168A1">
        <w:rPr>
          <w:rFonts w:ascii="Times New Roman" w:hAnsi="Times New Roman"/>
          <w:spacing w:val="-1"/>
        </w:rPr>
        <w:t>SAI</w:t>
      </w:r>
      <w:r w:rsidR="00900061" w:rsidRPr="00E168A1">
        <w:rPr>
          <w:rFonts w:ascii="Times New Roman" w:hAnsi="Times New Roman"/>
          <w:spacing w:val="-1"/>
        </w:rPr>
        <w:t xml:space="preserve"> </w:t>
      </w:r>
      <w:r w:rsidRPr="00E168A1">
        <w:rPr>
          <w:rFonts w:ascii="Times New Roman" w:hAnsi="Times New Roman"/>
          <w:spacing w:val="-1"/>
        </w:rPr>
        <w:t>there</w:t>
      </w:r>
      <w:r w:rsidR="00900061" w:rsidRPr="00E168A1">
        <w:rPr>
          <w:rFonts w:ascii="Times New Roman" w:hAnsi="Times New Roman"/>
          <w:spacing w:val="-1"/>
        </w:rPr>
        <w:t xml:space="preserve"> </w:t>
      </w:r>
      <w:r w:rsidRPr="00E168A1">
        <w:rPr>
          <w:rFonts w:ascii="Times New Roman" w:hAnsi="Times New Roman"/>
          <w:spacing w:val="-1"/>
        </w:rPr>
        <w:t>is</w:t>
      </w:r>
      <w:r w:rsidR="00900061" w:rsidRPr="00E168A1">
        <w:rPr>
          <w:rFonts w:ascii="Times New Roman" w:hAnsi="Times New Roman"/>
          <w:spacing w:val="-1"/>
        </w:rPr>
        <w:t xml:space="preserve"> </w:t>
      </w:r>
      <w:r w:rsidRPr="00E168A1">
        <w:rPr>
          <w:rFonts w:ascii="Times New Roman" w:hAnsi="Times New Roman"/>
          <w:spacing w:val="-1"/>
        </w:rPr>
        <w:t>a</w:t>
      </w:r>
      <w:r w:rsidR="00900061" w:rsidRPr="00E168A1">
        <w:rPr>
          <w:rFonts w:ascii="Times New Roman" w:hAnsi="Times New Roman"/>
          <w:spacing w:val="-1"/>
        </w:rPr>
        <w:t xml:space="preserve"> </w:t>
      </w:r>
      <w:r w:rsidRPr="00E168A1">
        <w:rPr>
          <w:rFonts w:ascii="Times New Roman" w:hAnsi="Times New Roman"/>
          <w:spacing w:val="-1"/>
        </w:rPr>
        <w:t>Department</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Legal</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General</w:t>
      </w:r>
      <w:r w:rsidR="00900061" w:rsidRPr="00E168A1">
        <w:rPr>
          <w:rFonts w:ascii="Times New Roman" w:hAnsi="Times New Roman"/>
          <w:spacing w:val="-1"/>
        </w:rPr>
        <w:t xml:space="preserve"> </w:t>
      </w:r>
      <w:r w:rsidRPr="00E168A1">
        <w:rPr>
          <w:rFonts w:ascii="Times New Roman" w:hAnsi="Times New Roman"/>
          <w:spacing w:val="-1"/>
        </w:rPr>
        <w:t>Affairs</w:t>
      </w:r>
      <w:r w:rsidR="00900061" w:rsidRPr="00E168A1">
        <w:rPr>
          <w:rFonts w:ascii="Times New Roman" w:hAnsi="Times New Roman"/>
          <w:spacing w:val="-1"/>
        </w:rPr>
        <w:t xml:space="preserve"> </w:t>
      </w:r>
      <w:r w:rsidR="00E97366" w:rsidRPr="00E168A1">
        <w:rPr>
          <w:rFonts w:ascii="Times New Roman" w:hAnsi="Times New Roman"/>
          <w:spacing w:val="-1"/>
        </w:rPr>
        <w:t xml:space="preserve">that is </w:t>
      </w:r>
      <w:r w:rsidRPr="00E168A1">
        <w:rPr>
          <w:rFonts w:ascii="Times New Roman" w:hAnsi="Times New Roman"/>
          <w:spacing w:val="-1"/>
        </w:rPr>
        <w:t>responsible</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Two</w:t>
      </w:r>
      <w:r w:rsidR="00900061" w:rsidRPr="00E168A1">
        <w:rPr>
          <w:rFonts w:ascii="Times New Roman" w:hAnsi="Times New Roman"/>
          <w:spacing w:val="-1"/>
        </w:rPr>
        <w:t xml:space="preserve"> </w:t>
      </w:r>
      <w:r w:rsidRPr="00E168A1">
        <w:rPr>
          <w:rFonts w:ascii="Times New Roman" w:hAnsi="Times New Roman"/>
          <w:spacing w:val="-1"/>
        </w:rPr>
        <w:t>professionals</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certified</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officers</w:t>
      </w:r>
      <w:r w:rsidR="00900061" w:rsidRPr="00E168A1">
        <w:rPr>
          <w:rFonts w:ascii="Times New Roman" w:hAnsi="Times New Roman"/>
          <w:spacing w:val="-1"/>
        </w:rPr>
        <w:t xml:space="preserve"> </w:t>
      </w:r>
      <w:r w:rsidRPr="00E168A1">
        <w:rPr>
          <w:rFonts w:ascii="Times New Roman" w:hAnsi="Times New Roman"/>
          <w:spacing w:val="-1"/>
        </w:rPr>
        <w:t>with</w:t>
      </w:r>
      <w:r w:rsidR="00C95D38" w:rsidRPr="00E168A1">
        <w:rPr>
          <w:rFonts w:ascii="Times New Roman" w:hAnsi="Times New Roman"/>
          <w:spacing w:val="-1"/>
        </w:rPr>
        <w:t xml:space="preserve"> a</w:t>
      </w:r>
      <w:r w:rsidR="00900061" w:rsidRPr="00E168A1">
        <w:rPr>
          <w:rFonts w:ascii="Times New Roman" w:hAnsi="Times New Roman"/>
          <w:spacing w:val="-1"/>
        </w:rPr>
        <w:t xml:space="preserve"> </w:t>
      </w:r>
      <w:r w:rsidRPr="00E168A1">
        <w:rPr>
          <w:rFonts w:ascii="Times New Roman" w:hAnsi="Times New Roman"/>
          <w:spacing w:val="-1"/>
        </w:rPr>
        <w:t>sound</w:t>
      </w:r>
      <w:r w:rsidR="00900061" w:rsidRPr="00E168A1">
        <w:rPr>
          <w:rFonts w:ascii="Times New Roman" w:hAnsi="Times New Roman"/>
          <w:spacing w:val="-1"/>
        </w:rPr>
        <w:t xml:space="preserve"> </w:t>
      </w:r>
      <w:r w:rsidRPr="00E168A1">
        <w:rPr>
          <w:rFonts w:ascii="Times New Roman" w:hAnsi="Times New Roman"/>
          <w:spacing w:val="-1"/>
        </w:rPr>
        <w:t>level</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experience</w:t>
      </w:r>
      <w:r w:rsidR="00900061" w:rsidRPr="00E168A1">
        <w:rPr>
          <w:rFonts w:ascii="Times New Roman" w:hAnsi="Times New Roman"/>
          <w:spacing w:val="-1"/>
        </w:rPr>
        <w:t xml:space="preserve"> </w:t>
      </w:r>
      <w:r w:rsidRPr="00E168A1">
        <w:rPr>
          <w:rFonts w:ascii="Times New Roman" w:hAnsi="Times New Roman"/>
          <w:spacing w:val="-1"/>
        </w:rPr>
        <w:t>in</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The</w:t>
      </w:r>
      <w:r w:rsidR="00900061" w:rsidRPr="00E168A1">
        <w:rPr>
          <w:rFonts w:ascii="Times New Roman" w:hAnsi="Times New Roman"/>
          <w:spacing w:val="-1"/>
        </w:rPr>
        <w:t xml:space="preserve"> </w:t>
      </w:r>
      <w:r w:rsidRPr="00E168A1">
        <w:rPr>
          <w:rFonts w:ascii="Times New Roman" w:hAnsi="Times New Roman"/>
          <w:spacing w:val="-1"/>
        </w:rPr>
        <w:t>most</w:t>
      </w:r>
      <w:r w:rsidR="00900061" w:rsidRPr="00E168A1">
        <w:rPr>
          <w:rFonts w:ascii="Times New Roman" w:hAnsi="Times New Roman"/>
          <w:spacing w:val="-1"/>
        </w:rPr>
        <w:t xml:space="preserve"> </w:t>
      </w:r>
      <w:r w:rsidRPr="00E168A1">
        <w:rPr>
          <w:rFonts w:ascii="Times New Roman" w:hAnsi="Times New Roman"/>
          <w:spacing w:val="-1"/>
        </w:rPr>
        <w:t>used</w:t>
      </w:r>
      <w:r w:rsidR="00900061" w:rsidRPr="00E168A1">
        <w:rPr>
          <w:rFonts w:ascii="Times New Roman" w:hAnsi="Times New Roman"/>
          <w:spacing w:val="-1"/>
        </w:rPr>
        <w:t xml:space="preserve"> </w:t>
      </w:r>
      <w:r w:rsidRPr="00E168A1">
        <w:rPr>
          <w:rFonts w:ascii="Times New Roman" w:hAnsi="Times New Roman"/>
          <w:spacing w:val="-1"/>
        </w:rPr>
        <w:t>types</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procedures</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open</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low</w:t>
      </w:r>
      <w:r w:rsidR="00900061" w:rsidRPr="00E168A1">
        <w:rPr>
          <w:rFonts w:ascii="Times New Roman" w:hAnsi="Times New Roman"/>
          <w:spacing w:val="-1"/>
        </w:rPr>
        <w:t xml:space="preserve"> </w:t>
      </w:r>
      <w:r w:rsidRPr="00E168A1">
        <w:rPr>
          <w:rFonts w:ascii="Times New Roman" w:hAnsi="Times New Roman"/>
          <w:spacing w:val="-1"/>
        </w:rPr>
        <w:t>cost,</w:t>
      </w:r>
      <w:r w:rsidR="007B658C" w:rsidRPr="00E168A1">
        <w:rPr>
          <w:rFonts w:ascii="Times New Roman" w:hAnsi="Times New Roman"/>
          <w:spacing w:val="-1"/>
        </w:rPr>
        <w:t xml:space="preserve"> while</w:t>
      </w:r>
      <w:r w:rsidR="00900061" w:rsidRPr="00E168A1">
        <w:rPr>
          <w:rFonts w:ascii="Times New Roman" w:hAnsi="Times New Roman"/>
          <w:spacing w:val="-1"/>
        </w:rPr>
        <w:t xml:space="preserve"> </w:t>
      </w:r>
      <w:r w:rsidRPr="00E168A1">
        <w:rPr>
          <w:rFonts w:ascii="Times New Roman" w:hAnsi="Times New Roman"/>
          <w:spacing w:val="-1"/>
        </w:rPr>
        <w:t>negotiated</w:t>
      </w:r>
      <w:r w:rsidR="00900061" w:rsidRPr="00E168A1">
        <w:rPr>
          <w:rFonts w:ascii="Times New Roman" w:hAnsi="Times New Roman"/>
          <w:spacing w:val="-1"/>
        </w:rPr>
        <w:t xml:space="preserve"> </w:t>
      </w:r>
      <w:r w:rsidRPr="00E168A1">
        <w:rPr>
          <w:rFonts w:ascii="Times New Roman" w:hAnsi="Times New Roman"/>
          <w:spacing w:val="-1"/>
        </w:rPr>
        <w:t>procedures</w:t>
      </w:r>
      <w:r w:rsidR="00900061" w:rsidRPr="00E168A1">
        <w:rPr>
          <w:rFonts w:ascii="Times New Roman" w:hAnsi="Times New Roman"/>
          <w:spacing w:val="-1"/>
        </w:rPr>
        <w:t xml:space="preserve"> </w:t>
      </w:r>
      <w:r w:rsidRPr="00E168A1">
        <w:rPr>
          <w:rFonts w:ascii="Times New Roman" w:hAnsi="Times New Roman"/>
          <w:spacing w:val="-1"/>
        </w:rPr>
        <w:t>without</w:t>
      </w:r>
      <w:r w:rsidR="00900061" w:rsidRPr="00E168A1">
        <w:rPr>
          <w:rFonts w:ascii="Times New Roman" w:hAnsi="Times New Roman"/>
          <w:spacing w:val="-1"/>
        </w:rPr>
        <w:t xml:space="preserve"> </w:t>
      </w:r>
      <w:r w:rsidRPr="00E168A1">
        <w:rPr>
          <w:rFonts w:ascii="Times New Roman" w:hAnsi="Times New Roman"/>
          <w:spacing w:val="-1"/>
        </w:rPr>
        <w:t>invitation</w:t>
      </w:r>
      <w:r w:rsidR="00900061" w:rsidRPr="00E168A1">
        <w:rPr>
          <w:rFonts w:ascii="Times New Roman" w:hAnsi="Times New Roman"/>
          <w:spacing w:val="-1"/>
        </w:rPr>
        <w:t xml:space="preserve"> </w:t>
      </w:r>
      <w:r w:rsidRPr="00E168A1">
        <w:rPr>
          <w:rFonts w:ascii="Times New Roman" w:hAnsi="Times New Roman"/>
          <w:spacing w:val="-1"/>
        </w:rPr>
        <w:t>are</w:t>
      </w:r>
      <w:r w:rsidR="00900061" w:rsidRPr="00E168A1">
        <w:rPr>
          <w:rFonts w:ascii="Times New Roman" w:hAnsi="Times New Roman"/>
          <w:spacing w:val="-1"/>
        </w:rPr>
        <w:t xml:space="preserve"> </w:t>
      </w:r>
      <w:r w:rsidRPr="00E168A1">
        <w:rPr>
          <w:rFonts w:ascii="Times New Roman" w:hAnsi="Times New Roman"/>
          <w:spacing w:val="-1"/>
        </w:rPr>
        <w:t>rarely</w:t>
      </w:r>
      <w:r w:rsidR="00900061" w:rsidRPr="00E168A1">
        <w:rPr>
          <w:rFonts w:ascii="Times New Roman" w:hAnsi="Times New Roman"/>
          <w:spacing w:val="-1"/>
        </w:rPr>
        <w:t xml:space="preserve"> </w:t>
      </w:r>
      <w:r w:rsidRPr="00E168A1">
        <w:rPr>
          <w:rFonts w:ascii="Times New Roman" w:hAnsi="Times New Roman"/>
          <w:spacing w:val="-1"/>
        </w:rPr>
        <w:t>used.</w:t>
      </w:r>
      <w:r w:rsidR="00900061" w:rsidRPr="00E168A1">
        <w:rPr>
          <w:rFonts w:ascii="Times New Roman" w:hAnsi="Times New Roman"/>
          <w:spacing w:val="-1"/>
        </w:rPr>
        <w:t xml:space="preserve"> </w:t>
      </w:r>
      <w:r w:rsidR="00E97366" w:rsidRPr="00E168A1">
        <w:rPr>
          <w:rFonts w:ascii="Times New Roman" w:hAnsi="Times New Roman"/>
          <w:spacing w:val="-1"/>
        </w:rPr>
        <w:t>The t</w:t>
      </w:r>
      <w:r w:rsidRPr="00E168A1">
        <w:rPr>
          <w:rFonts w:ascii="Times New Roman" w:hAnsi="Times New Roman"/>
          <w:spacing w:val="-1"/>
        </w:rPr>
        <w:t>otal</w:t>
      </w:r>
      <w:r w:rsidR="00900061" w:rsidRPr="00E168A1">
        <w:rPr>
          <w:rFonts w:ascii="Times New Roman" w:hAnsi="Times New Roman"/>
          <w:spacing w:val="-1"/>
        </w:rPr>
        <w:t xml:space="preserve"> </w:t>
      </w:r>
      <w:r w:rsidRPr="00E168A1">
        <w:rPr>
          <w:rFonts w:ascii="Times New Roman" w:hAnsi="Times New Roman"/>
          <w:spacing w:val="-1"/>
        </w:rPr>
        <w:t>estimated</w:t>
      </w:r>
      <w:r w:rsidR="00900061" w:rsidRPr="00E168A1">
        <w:rPr>
          <w:rFonts w:ascii="Times New Roman" w:hAnsi="Times New Roman"/>
          <w:spacing w:val="-1"/>
        </w:rPr>
        <w:t xml:space="preserve"> </w:t>
      </w:r>
      <w:r w:rsidRPr="00E168A1">
        <w:rPr>
          <w:rFonts w:ascii="Times New Roman" w:hAnsi="Times New Roman"/>
          <w:spacing w:val="-1"/>
        </w:rPr>
        <w:t>value</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public</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for</w:t>
      </w:r>
      <w:r w:rsidR="00900061" w:rsidRPr="00E168A1">
        <w:rPr>
          <w:rFonts w:ascii="Times New Roman" w:hAnsi="Times New Roman"/>
          <w:spacing w:val="-1"/>
        </w:rPr>
        <w:t xml:space="preserve"> </w:t>
      </w:r>
      <w:r w:rsidRPr="00E168A1">
        <w:rPr>
          <w:rFonts w:ascii="Times New Roman" w:hAnsi="Times New Roman"/>
          <w:spacing w:val="-1"/>
        </w:rPr>
        <w:t>2015</w:t>
      </w:r>
      <w:r w:rsidR="00900061" w:rsidRPr="00E168A1">
        <w:rPr>
          <w:rFonts w:ascii="Times New Roman" w:hAnsi="Times New Roman"/>
          <w:spacing w:val="-1"/>
        </w:rPr>
        <w:t xml:space="preserve"> </w:t>
      </w:r>
      <w:r w:rsidRPr="00E168A1">
        <w:rPr>
          <w:rFonts w:ascii="Times New Roman" w:hAnsi="Times New Roman"/>
          <w:spacing w:val="-1"/>
        </w:rPr>
        <w:t>is</w:t>
      </w:r>
      <w:r w:rsidR="00900061" w:rsidRPr="00E168A1">
        <w:rPr>
          <w:rFonts w:ascii="Times New Roman" w:hAnsi="Times New Roman"/>
          <w:spacing w:val="-1"/>
        </w:rPr>
        <w:t xml:space="preserve"> </w:t>
      </w:r>
      <w:r w:rsidRPr="00E168A1">
        <w:rPr>
          <w:rFonts w:ascii="Times New Roman" w:hAnsi="Times New Roman"/>
          <w:spacing w:val="-1"/>
        </w:rPr>
        <w:t>approximately</w:t>
      </w:r>
      <w:r w:rsidR="00900061" w:rsidRPr="00E168A1">
        <w:rPr>
          <w:rFonts w:ascii="Times New Roman" w:hAnsi="Times New Roman"/>
          <w:spacing w:val="-1"/>
        </w:rPr>
        <w:t xml:space="preserve"> </w:t>
      </w:r>
      <w:r w:rsidR="00FF4790" w:rsidRPr="00E168A1">
        <w:rPr>
          <w:rFonts w:ascii="Times New Roman" w:hAnsi="Times New Roman"/>
          <w:spacing w:val="-1"/>
        </w:rPr>
        <w:t xml:space="preserve">RSD </w:t>
      </w:r>
      <w:r w:rsidRPr="00E168A1">
        <w:rPr>
          <w:rFonts w:ascii="Times New Roman" w:hAnsi="Times New Roman"/>
          <w:spacing w:val="-1"/>
        </w:rPr>
        <w:t>33,000,000</w:t>
      </w:r>
      <w:r w:rsidR="00900061" w:rsidRPr="00E168A1">
        <w:rPr>
          <w:rFonts w:ascii="Times New Roman" w:hAnsi="Times New Roman"/>
          <w:spacing w:val="-1"/>
        </w:rPr>
        <w:t xml:space="preserve"> </w:t>
      </w:r>
      <w:r w:rsidRPr="00E168A1">
        <w:rPr>
          <w:rFonts w:ascii="Times New Roman" w:hAnsi="Times New Roman"/>
          <w:spacing w:val="-1"/>
        </w:rPr>
        <w:t>(approximately</w:t>
      </w:r>
      <w:r w:rsidR="00900061" w:rsidRPr="00E168A1">
        <w:rPr>
          <w:rFonts w:ascii="Times New Roman" w:hAnsi="Times New Roman"/>
          <w:spacing w:val="-1"/>
        </w:rPr>
        <w:t xml:space="preserve"> </w:t>
      </w:r>
      <w:r w:rsidR="00FF4790" w:rsidRPr="00E168A1">
        <w:rPr>
          <w:rFonts w:ascii="Times New Roman" w:hAnsi="Times New Roman"/>
          <w:spacing w:val="-1"/>
        </w:rPr>
        <w:t>US$</w:t>
      </w:r>
      <w:r w:rsidRPr="00E168A1">
        <w:rPr>
          <w:rFonts w:ascii="Times New Roman" w:hAnsi="Times New Roman"/>
          <w:spacing w:val="-1"/>
        </w:rPr>
        <w:t>300,000).</w:t>
      </w:r>
      <w:r w:rsidR="00900061" w:rsidRPr="00E168A1">
        <w:rPr>
          <w:rFonts w:ascii="Times New Roman" w:hAnsi="Times New Roman"/>
          <w:spacing w:val="-1"/>
        </w:rPr>
        <w:t xml:space="preserve"> </w:t>
      </w:r>
      <w:r w:rsidRPr="00E168A1">
        <w:rPr>
          <w:rFonts w:ascii="Times New Roman" w:hAnsi="Times New Roman"/>
          <w:spacing w:val="-1"/>
        </w:rPr>
        <w:t>Procurement</w:t>
      </w:r>
      <w:r w:rsidR="00900061" w:rsidRPr="00E168A1">
        <w:rPr>
          <w:rFonts w:ascii="Times New Roman" w:hAnsi="Times New Roman"/>
          <w:spacing w:val="-1"/>
        </w:rPr>
        <w:t xml:space="preserve"> </w:t>
      </w:r>
      <w:r w:rsidRPr="00E168A1">
        <w:rPr>
          <w:rFonts w:ascii="Times New Roman" w:hAnsi="Times New Roman"/>
          <w:spacing w:val="-1"/>
        </w:rPr>
        <w:t>undertaken</w:t>
      </w:r>
      <w:r w:rsidR="00900061" w:rsidRPr="00E168A1">
        <w:rPr>
          <w:rFonts w:ascii="Times New Roman" w:hAnsi="Times New Roman"/>
          <w:spacing w:val="-1"/>
        </w:rPr>
        <w:t xml:space="preserve"> </w:t>
      </w:r>
      <w:r w:rsidRPr="00E168A1">
        <w:rPr>
          <w:rFonts w:ascii="Times New Roman" w:hAnsi="Times New Roman"/>
          <w:spacing w:val="-1"/>
        </w:rPr>
        <w:t>consists</w:t>
      </w:r>
      <w:r w:rsidR="00900061" w:rsidRPr="00E168A1">
        <w:rPr>
          <w:rFonts w:ascii="Times New Roman" w:hAnsi="Times New Roman"/>
          <w:spacing w:val="-1"/>
        </w:rPr>
        <w:t xml:space="preserve"> </w:t>
      </w:r>
      <w:r w:rsidRPr="00E168A1">
        <w:rPr>
          <w:rFonts w:ascii="Times New Roman" w:hAnsi="Times New Roman"/>
          <w:spacing w:val="-1"/>
        </w:rPr>
        <w:t>of</w:t>
      </w:r>
      <w:r w:rsidR="00900061" w:rsidRPr="00E168A1">
        <w:rPr>
          <w:rFonts w:ascii="Times New Roman" w:hAnsi="Times New Roman"/>
          <w:spacing w:val="-1"/>
        </w:rPr>
        <w:t xml:space="preserve"> </w:t>
      </w:r>
      <w:r w:rsidRPr="00E168A1">
        <w:rPr>
          <w:rFonts w:ascii="Times New Roman" w:hAnsi="Times New Roman"/>
          <w:spacing w:val="-1"/>
        </w:rPr>
        <w:t>standard</w:t>
      </w:r>
      <w:r w:rsidR="00900061" w:rsidRPr="00E168A1">
        <w:rPr>
          <w:rFonts w:ascii="Times New Roman" w:hAnsi="Times New Roman"/>
          <w:spacing w:val="-1"/>
        </w:rPr>
        <w:t xml:space="preserve"> </w:t>
      </w:r>
      <w:r w:rsidRPr="00E168A1">
        <w:rPr>
          <w:rFonts w:ascii="Times New Roman" w:hAnsi="Times New Roman"/>
          <w:spacing w:val="-1"/>
        </w:rPr>
        <w:t>goods,</w:t>
      </w:r>
      <w:r w:rsidR="00900061" w:rsidRPr="00E168A1">
        <w:rPr>
          <w:rFonts w:ascii="Times New Roman" w:hAnsi="Times New Roman"/>
          <w:spacing w:val="-1"/>
        </w:rPr>
        <w:t xml:space="preserve"> </w:t>
      </w:r>
      <w:r w:rsidRPr="00E168A1">
        <w:rPr>
          <w:rFonts w:ascii="Times New Roman" w:hAnsi="Times New Roman"/>
          <w:spacing w:val="-1"/>
        </w:rPr>
        <w:t>some</w:t>
      </w:r>
      <w:r w:rsidR="00900061" w:rsidRPr="00E168A1">
        <w:rPr>
          <w:rFonts w:ascii="Times New Roman" w:hAnsi="Times New Roman"/>
          <w:spacing w:val="-1"/>
        </w:rPr>
        <w:t xml:space="preserve"> </w:t>
      </w:r>
      <w:r w:rsidRPr="00E168A1">
        <w:rPr>
          <w:rFonts w:ascii="Times New Roman" w:hAnsi="Times New Roman"/>
          <w:spacing w:val="-1"/>
        </w:rPr>
        <w:t>IT</w:t>
      </w:r>
      <w:r w:rsidR="00900061" w:rsidRPr="00E168A1">
        <w:rPr>
          <w:rFonts w:ascii="Times New Roman" w:hAnsi="Times New Roman"/>
          <w:spacing w:val="-1"/>
        </w:rPr>
        <w:t xml:space="preserve"> </w:t>
      </w:r>
      <w:r w:rsidRPr="00E168A1">
        <w:rPr>
          <w:rFonts w:ascii="Times New Roman" w:hAnsi="Times New Roman"/>
          <w:spacing w:val="-1"/>
        </w:rPr>
        <w:t>equipment</w:t>
      </w:r>
      <w:r w:rsidR="00E97366" w:rsidRPr="00E168A1">
        <w:rPr>
          <w:rFonts w:ascii="Times New Roman" w:hAnsi="Times New Roman"/>
          <w:spacing w:val="-1"/>
        </w:rPr>
        <w:t>,</w:t>
      </w:r>
      <w:r w:rsidR="00900061" w:rsidRPr="00E168A1">
        <w:rPr>
          <w:rFonts w:ascii="Times New Roman" w:hAnsi="Times New Roman"/>
          <w:spacing w:val="-1"/>
        </w:rPr>
        <w:t xml:space="preserve"> </w:t>
      </w:r>
      <w:r w:rsidRPr="00E168A1">
        <w:rPr>
          <w:rFonts w:ascii="Times New Roman" w:hAnsi="Times New Roman"/>
          <w:spacing w:val="-1"/>
        </w:rPr>
        <w:t>and</w:t>
      </w:r>
      <w:r w:rsidR="00900061" w:rsidRPr="00E168A1">
        <w:rPr>
          <w:rFonts w:ascii="Times New Roman" w:hAnsi="Times New Roman"/>
          <w:spacing w:val="-1"/>
        </w:rPr>
        <w:t xml:space="preserve"> </w:t>
      </w:r>
      <w:r w:rsidRPr="00E168A1">
        <w:rPr>
          <w:rFonts w:ascii="Times New Roman" w:hAnsi="Times New Roman"/>
          <w:spacing w:val="-1"/>
        </w:rPr>
        <w:t>software.</w:t>
      </w:r>
      <w:r w:rsidR="00900061" w:rsidRPr="00E168A1">
        <w:rPr>
          <w:rFonts w:ascii="Times New Roman" w:hAnsi="Times New Roman"/>
          <w:spacing w:val="-1"/>
        </w:rPr>
        <w:t xml:space="preserve"> </w:t>
      </w:r>
    </w:p>
    <w:p w14:paraId="5FE7CF69" w14:textId="40B86CA9" w:rsidR="00AE54E5" w:rsidRPr="000E798B" w:rsidRDefault="000E798B" w:rsidP="007C68FC">
      <w:pPr>
        <w:pStyle w:val="ListParagraph"/>
        <w:numPr>
          <w:ilvl w:val="0"/>
          <w:numId w:val="9"/>
        </w:numPr>
        <w:ind w:left="0" w:firstLine="0"/>
        <w:contextualSpacing w:val="0"/>
        <w:rPr>
          <w:rFonts w:ascii="Times New Roman" w:hAnsi="Times New Roman"/>
        </w:rPr>
      </w:pPr>
      <w:r w:rsidRPr="000E798B">
        <w:rPr>
          <w:rFonts w:ascii="Times New Roman" w:hAnsi="Times New Roman"/>
          <w:b/>
        </w:rPr>
        <w:t>F</w:t>
      </w:r>
      <w:r w:rsidR="00BD4409" w:rsidRPr="000E798B">
        <w:rPr>
          <w:rFonts w:ascii="Times New Roman" w:hAnsi="Times New Roman"/>
          <w:b/>
          <w:spacing w:val="-1"/>
        </w:rPr>
        <w:t>ramework</w:t>
      </w:r>
      <w:r w:rsidR="00900061" w:rsidRPr="000E798B">
        <w:rPr>
          <w:rFonts w:ascii="Times New Roman" w:hAnsi="Times New Roman"/>
          <w:b/>
          <w:spacing w:val="-1"/>
        </w:rPr>
        <w:t xml:space="preserve"> </w:t>
      </w:r>
      <w:r w:rsidR="00A769A5" w:rsidRPr="000E798B">
        <w:rPr>
          <w:rFonts w:ascii="Times New Roman" w:hAnsi="Times New Roman"/>
          <w:b/>
          <w:spacing w:val="-1"/>
        </w:rPr>
        <w:t>a</w:t>
      </w:r>
      <w:r w:rsidR="00BD4409" w:rsidRPr="000E798B">
        <w:rPr>
          <w:rFonts w:ascii="Times New Roman" w:hAnsi="Times New Roman"/>
          <w:b/>
          <w:spacing w:val="-1"/>
        </w:rPr>
        <w:t>greements,</w:t>
      </w:r>
      <w:r w:rsidR="00900061" w:rsidRPr="000E798B">
        <w:rPr>
          <w:rFonts w:ascii="Times New Roman" w:hAnsi="Times New Roman"/>
          <w:b/>
          <w:spacing w:val="-1"/>
        </w:rPr>
        <w:t xml:space="preserve"> </w:t>
      </w:r>
      <w:r w:rsidR="00BD4409" w:rsidRPr="000E798B">
        <w:rPr>
          <w:rFonts w:ascii="Times New Roman" w:hAnsi="Times New Roman"/>
          <w:b/>
          <w:spacing w:val="-1"/>
        </w:rPr>
        <w:t>signed</w:t>
      </w:r>
      <w:r w:rsidR="00900061" w:rsidRPr="000E798B">
        <w:rPr>
          <w:rFonts w:ascii="Times New Roman" w:hAnsi="Times New Roman"/>
          <w:b/>
          <w:spacing w:val="-1"/>
        </w:rPr>
        <w:t xml:space="preserve"> </w:t>
      </w:r>
      <w:r w:rsidR="00BD4409" w:rsidRPr="000E798B">
        <w:rPr>
          <w:rFonts w:ascii="Times New Roman" w:hAnsi="Times New Roman"/>
          <w:b/>
          <w:spacing w:val="-1"/>
        </w:rPr>
        <w:t>by</w:t>
      </w:r>
      <w:r w:rsidR="00900061" w:rsidRPr="000E798B">
        <w:rPr>
          <w:rFonts w:ascii="Times New Roman" w:hAnsi="Times New Roman"/>
          <w:b/>
          <w:spacing w:val="-1"/>
        </w:rPr>
        <w:t xml:space="preserve"> </w:t>
      </w:r>
      <w:r w:rsidR="00BD4409" w:rsidRPr="000E798B">
        <w:rPr>
          <w:rFonts w:ascii="Times New Roman" w:hAnsi="Times New Roman"/>
          <w:b/>
          <w:spacing w:val="-1"/>
        </w:rPr>
        <w:t>the</w:t>
      </w:r>
      <w:r w:rsidR="00900061" w:rsidRPr="000E798B">
        <w:rPr>
          <w:rFonts w:ascii="Times New Roman" w:hAnsi="Times New Roman"/>
          <w:b/>
          <w:spacing w:val="-1"/>
        </w:rPr>
        <w:t xml:space="preserve"> </w:t>
      </w:r>
      <w:r w:rsidR="00BD4409" w:rsidRPr="000E798B">
        <w:rPr>
          <w:rFonts w:ascii="Times New Roman" w:hAnsi="Times New Roman"/>
          <w:b/>
          <w:spacing w:val="-1"/>
        </w:rPr>
        <w:t>Administration</w:t>
      </w:r>
      <w:r w:rsidR="00900061" w:rsidRPr="000E798B">
        <w:rPr>
          <w:rFonts w:ascii="Times New Roman" w:hAnsi="Times New Roman"/>
          <w:b/>
          <w:spacing w:val="-1"/>
        </w:rPr>
        <w:t xml:space="preserve"> </w:t>
      </w:r>
      <w:r w:rsidR="00BD4409" w:rsidRPr="000E798B">
        <w:rPr>
          <w:rFonts w:ascii="Times New Roman" w:hAnsi="Times New Roman"/>
          <w:b/>
          <w:spacing w:val="-1"/>
        </w:rPr>
        <w:t>for</w:t>
      </w:r>
      <w:r w:rsidR="00900061" w:rsidRPr="000E798B">
        <w:rPr>
          <w:rFonts w:ascii="Times New Roman" w:hAnsi="Times New Roman"/>
          <w:b/>
          <w:spacing w:val="-1"/>
        </w:rPr>
        <w:t xml:space="preserve"> </w:t>
      </w:r>
      <w:r w:rsidR="00BD4409" w:rsidRPr="000E798B">
        <w:rPr>
          <w:rFonts w:ascii="Times New Roman" w:hAnsi="Times New Roman"/>
          <w:b/>
          <w:spacing w:val="-1"/>
        </w:rPr>
        <w:t>Joint</w:t>
      </w:r>
      <w:r w:rsidR="00900061" w:rsidRPr="000E798B">
        <w:rPr>
          <w:rFonts w:ascii="Times New Roman" w:hAnsi="Times New Roman"/>
          <w:b/>
          <w:spacing w:val="-1"/>
        </w:rPr>
        <w:t xml:space="preserve"> </w:t>
      </w:r>
      <w:r w:rsidR="00BD4409" w:rsidRPr="000E798B">
        <w:rPr>
          <w:rFonts w:ascii="Times New Roman" w:hAnsi="Times New Roman"/>
          <w:b/>
          <w:spacing w:val="-1"/>
        </w:rPr>
        <w:t>Services</w:t>
      </w:r>
      <w:r w:rsidR="00900061" w:rsidRPr="000E798B">
        <w:rPr>
          <w:rFonts w:ascii="Times New Roman" w:hAnsi="Times New Roman"/>
          <w:b/>
          <w:spacing w:val="-1"/>
        </w:rPr>
        <w:t xml:space="preserve"> </w:t>
      </w:r>
      <w:r w:rsidR="00BD4409" w:rsidRPr="000E798B">
        <w:rPr>
          <w:rFonts w:ascii="Times New Roman" w:hAnsi="Times New Roman"/>
          <w:b/>
          <w:spacing w:val="-1"/>
        </w:rPr>
        <w:t>of</w:t>
      </w:r>
      <w:r w:rsidR="00900061" w:rsidRPr="000E798B">
        <w:rPr>
          <w:rFonts w:ascii="Times New Roman" w:hAnsi="Times New Roman"/>
          <w:b/>
          <w:spacing w:val="-1"/>
        </w:rPr>
        <w:t xml:space="preserve"> </w:t>
      </w:r>
      <w:r w:rsidR="00BD4409" w:rsidRPr="000E798B">
        <w:rPr>
          <w:rFonts w:ascii="Times New Roman" w:hAnsi="Times New Roman"/>
          <w:b/>
          <w:spacing w:val="-1"/>
        </w:rPr>
        <w:t>the</w:t>
      </w:r>
      <w:r w:rsidR="00900061" w:rsidRPr="000E798B">
        <w:rPr>
          <w:rFonts w:ascii="Times New Roman" w:hAnsi="Times New Roman"/>
          <w:b/>
          <w:spacing w:val="-1"/>
        </w:rPr>
        <w:t xml:space="preserve"> </w:t>
      </w:r>
      <w:r w:rsidR="00BD4409" w:rsidRPr="000E798B">
        <w:rPr>
          <w:rFonts w:ascii="Times New Roman" w:hAnsi="Times New Roman"/>
          <w:b/>
          <w:spacing w:val="-1"/>
        </w:rPr>
        <w:t>Republic</w:t>
      </w:r>
      <w:r w:rsidR="00900061" w:rsidRPr="000E798B">
        <w:rPr>
          <w:rFonts w:ascii="Times New Roman" w:hAnsi="Times New Roman"/>
          <w:b/>
          <w:spacing w:val="-1"/>
        </w:rPr>
        <w:t xml:space="preserve"> </w:t>
      </w:r>
      <w:r w:rsidR="00BD4409" w:rsidRPr="000E798B">
        <w:rPr>
          <w:rFonts w:ascii="Times New Roman" w:hAnsi="Times New Roman"/>
          <w:b/>
          <w:spacing w:val="-1"/>
        </w:rPr>
        <w:t>Bodies</w:t>
      </w:r>
      <w:r w:rsidR="00900061" w:rsidRPr="000E798B">
        <w:rPr>
          <w:rFonts w:ascii="Times New Roman" w:hAnsi="Times New Roman"/>
          <w:b/>
          <w:spacing w:val="-1"/>
        </w:rPr>
        <w:t xml:space="preserve"> </w:t>
      </w:r>
      <w:r w:rsidR="00BD4409" w:rsidRPr="000E798B">
        <w:rPr>
          <w:rFonts w:ascii="Times New Roman" w:hAnsi="Times New Roman"/>
          <w:b/>
          <w:spacing w:val="-1"/>
        </w:rPr>
        <w:t>are</w:t>
      </w:r>
      <w:r w:rsidR="00900061" w:rsidRPr="000E798B">
        <w:rPr>
          <w:rFonts w:ascii="Times New Roman" w:hAnsi="Times New Roman"/>
          <w:b/>
          <w:spacing w:val="-1"/>
        </w:rPr>
        <w:t xml:space="preserve"> </w:t>
      </w:r>
      <w:r w:rsidR="00BD4409" w:rsidRPr="000E798B">
        <w:rPr>
          <w:rFonts w:ascii="Times New Roman" w:hAnsi="Times New Roman"/>
          <w:b/>
          <w:spacing w:val="-1"/>
        </w:rPr>
        <w:t>also</w:t>
      </w:r>
      <w:r w:rsidR="00900061" w:rsidRPr="000E798B">
        <w:rPr>
          <w:rFonts w:ascii="Times New Roman" w:hAnsi="Times New Roman"/>
          <w:b/>
          <w:spacing w:val="-1"/>
        </w:rPr>
        <w:t xml:space="preserve"> </w:t>
      </w:r>
      <w:r w:rsidR="00BD4409" w:rsidRPr="000E798B">
        <w:rPr>
          <w:rFonts w:ascii="Times New Roman" w:hAnsi="Times New Roman"/>
          <w:b/>
          <w:spacing w:val="-1"/>
        </w:rPr>
        <w:t>used</w:t>
      </w:r>
      <w:r w:rsidR="00900061" w:rsidRPr="000E798B">
        <w:rPr>
          <w:rFonts w:ascii="Times New Roman" w:hAnsi="Times New Roman"/>
          <w:b/>
          <w:spacing w:val="-1"/>
        </w:rPr>
        <w:t xml:space="preserve"> </w:t>
      </w:r>
      <w:r w:rsidR="00BD4409" w:rsidRPr="000E798B">
        <w:rPr>
          <w:rFonts w:ascii="Times New Roman" w:hAnsi="Times New Roman"/>
          <w:b/>
          <w:spacing w:val="-1"/>
        </w:rPr>
        <w:t>for</w:t>
      </w:r>
      <w:r w:rsidR="00900061" w:rsidRPr="000E798B">
        <w:rPr>
          <w:rFonts w:ascii="Times New Roman" w:hAnsi="Times New Roman"/>
          <w:b/>
          <w:spacing w:val="-1"/>
        </w:rPr>
        <w:t xml:space="preserve"> </w:t>
      </w:r>
      <w:r w:rsidR="00BD4409" w:rsidRPr="000E798B">
        <w:rPr>
          <w:rFonts w:ascii="Times New Roman" w:hAnsi="Times New Roman"/>
          <w:b/>
          <w:spacing w:val="-1"/>
        </w:rPr>
        <w:t>procurement</w:t>
      </w:r>
      <w:r w:rsidR="00900061" w:rsidRPr="000E798B">
        <w:rPr>
          <w:rFonts w:ascii="Times New Roman" w:hAnsi="Times New Roman"/>
          <w:b/>
          <w:spacing w:val="-1"/>
        </w:rPr>
        <w:t xml:space="preserve"> </w:t>
      </w:r>
      <w:r w:rsidR="00BD4409" w:rsidRPr="000E798B">
        <w:rPr>
          <w:rFonts w:ascii="Times New Roman" w:hAnsi="Times New Roman"/>
          <w:b/>
          <w:spacing w:val="-1"/>
        </w:rPr>
        <w:t>of</w:t>
      </w:r>
      <w:r w:rsidR="00900061" w:rsidRPr="000E798B">
        <w:rPr>
          <w:rFonts w:ascii="Times New Roman" w:hAnsi="Times New Roman"/>
          <w:b/>
          <w:spacing w:val="-1"/>
        </w:rPr>
        <w:t xml:space="preserve"> </w:t>
      </w:r>
      <w:r w:rsidR="00BD4409" w:rsidRPr="000E798B">
        <w:rPr>
          <w:rFonts w:ascii="Times New Roman" w:hAnsi="Times New Roman"/>
          <w:b/>
          <w:spacing w:val="-1"/>
        </w:rPr>
        <w:t>common</w:t>
      </w:r>
      <w:r w:rsidR="00900061" w:rsidRPr="000E798B">
        <w:rPr>
          <w:rFonts w:ascii="Times New Roman" w:hAnsi="Times New Roman"/>
          <w:b/>
          <w:spacing w:val="-1"/>
        </w:rPr>
        <w:t xml:space="preserve"> </w:t>
      </w:r>
      <w:r w:rsidR="00BD4409" w:rsidRPr="000E798B">
        <w:rPr>
          <w:rFonts w:ascii="Times New Roman" w:hAnsi="Times New Roman"/>
          <w:b/>
          <w:spacing w:val="-1"/>
        </w:rPr>
        <w:t>goods</w:t>
      </w:r>
      <w:r w:rsidR="00BD4409" w:rsidRPr="000E798B">
        <w:rPr>
          <w:rFonts w:ascii="Times New Roman" w:hAnsi="Times New Roman"/>
          <w:spacing w:val="-1"/>
        </w:rPr>
        <w:t>.</w:t>
      </w:r>
      <w:r w:rsidR="00900061" w:rsidRPr="000E798B">
        <w:rPr>
          <w:rFonts w:ascii="Times New Roman" w:hAnsi="Times New Roman"/>
          <w:spacing w:val="-1"/>
        </w:rPr>
        <w:t xml:space="preserve"> </w:t>
      </w:r>
      <w:r w:rsidR="00BD4409" w:rsidRPr="000E798B">
        <w:rPr>
          <w:rFonts w:ascii="Times New Roman" w:hAnsi="Times New Roman"/>
          <w:spacing w:val="-1"/>
        </w:rPr>
        <w:t>The</w:t>
      </w:r>
      <w:r w:rsidR="00900061" w:rsidRPr="000E798B">
        <w:rPr>
          <w:rFonts w:ascii="Times New Roman" w:hAnsi="Times New Roman"/>
          <w:spacing w:val="-1"/>
        </w:rPr>
        <w:t xml:space="preserve"> </w:t>
      </w:r>
      <w:r w:rsidR="00BD4409" w:rsidRPr="000E798B">
        <w:rPr>
          <w:rFonts w:ascii="Times New Roman" w:hAnsi="Times New Roman"/>
          <w:spacing w:val="-1"/>
        </w:rPr>
        <w:t>Department</w:t>
      </w:r>
      <w:r w:rsidR="00900061" w:rsidRPr="000E798B">
        <w:rPr>
          <w:rFonts w:ascii="Times New Roman" w:hAnsi="Times New Roman"/>
          <w:spacing w:val="-1"/>
        </w:rPr>
        <w:t xml:space="preserve"> </w:t>
      </w:r>
      <w:r w:rsidR="00BD4409" w:rsidRPr="000E798B">
        <w:rPr>
          <w:rFonts w:ascii="Times New Roman" w:hAnsi="Times New Roman"/>
          <w:spacing w:val="-1"/>
        </w:rPr>
        <w:t>for</w:t>
      </w:r>
      <w:r w:rsidR="00900061" w:rsidRPr="000E798B">
        <w:rPr>
          <w:rFonts w:ascii="Times New Roman" w:hAnsi="Times New Roman"/>
          <w:spacing w:val="-1"/>
        </w:rPr>
        <w:t xml:space="preserve"> </w:t>
      </w:r>
      <w:r w:rsidR="00BD4409" w:rsidRPr="000E798B">
        <w:rPr>
          <w:rFonts w:ascii="Times New Roman" w:hAnsi="Times New Roman"/>
          <w:spacing w:val="-1"/>
        </w:rPr>
        <w:t>Legal</w:t>
      </w:r>
      <w:r w:rsidR="00900061" w:rsidRPr="000E798B">
        <w:rPr>
          <w:rFonts w:ascii="Times New Roman" w:hAnsi="Times New Roman"/>
          <w:spacing w:val="-1"/>
        </w:rPr>
        <w:t xml:space="preserve"> </w:t>
      </w:r>
      <w:r w:rsidR="00BD4409" w:rsidRPr="000E798B">
        <w:rPr>
          <w:rFonts w:ascii="Times New Roman" w:hAnsi="Times New Roman"/>
          <w:spacing w:val="-1"/>
        </w:rPr>
        <w:t>and</w:t>
      </w:r>
      <w:r w:rsidR="00900061" w:rsidRPr="000E798B">
        <w:rPr>
          <w:rFonts w:ascii="Times New Roman" w:hAnsi="Times New Roman"/>
          <w:spacing w:val="-1"/>
        </w:rPr>
        <w:t xml:space="preserve"> </w:t>
      </w:r>
      <w:r w:rsidR="00BD4409" w:rsidRPr="000E798B">
        <w:rPr>
          <w:rFonts w:ascii="Times New Roman" w:hAnsi="Times New Roman"/>
          <w:spacing w:val="-1"/>
        </w:rPr>
        <w:t>General</w:t>
      </w:r>
      <w:r w:rsidR="00900061" w:rsidRPr="000E798B">
        <w:rPr>
          <w:rFonts w:ascii="Times New Roman" w:hAnsi="Times New Roman"/>
          <w:spacing w:val="-1"/>
        </w:rPr>
        <w:t xml:space="preserve"> </w:t>
      </w:r>
      <w:r w:rsidR="00BD4409" w:rsidRPr="000E798B">
        <w:rPr>
          <w:rFonts w:ascii="Times New Roman" w:hAnsi="Times New Roman"/>
          <w:spacing w:val="-1"/>
        </w:rPr>
        <w:t>Affairs,</w:t>
      </w:r>
      <w:r w:rsidR="00900061" w:rsidRPr="000E798B">
        <w:rPr>
          <w:rFonts w:ascii="Times New Roman" w:hAnsi="Times New Roman"/>
          <w:spacing w:val="-1"/>
        </w:rPr>
        <w:t xml:space="preserve"> </w:t>
      </w:r>
      <w:r w:rsidR="00BD4409" w:rsidRPr="000E798B">
        <w:rPr>
          <w:rFonts w:ascii="Times New Roman" w:hAnsi="Times New Roman"/>
          <w:spacing w:val="-1"/>
        </w:rPr>
        <w:t>the</w:t>
      </w:r>
      <w:r w:rsidR="00900061" w:rsidRPr="000E798B">
        <w:rPr>
          <w:rFonts w:ascii="Times New Roman" w:hAnsi="Times New Roman"/>
          <w:spacing w:val="-1"/>
        </w:rPr>
        <w:t xml:space="preserve"> </w:t>
      </w:r>
      <w:r w:rsidR="00BD4409" w:rsidRPr="000E798B">
        <w:rPr>
          <w:rFonts w:ascii="Times New Roman" w:hAnsi="Times New Roman"/>
          <w:spacing w:val="-1"/>
        </w:rPr>
        <w:t>Department</w:t>
      </w:r>
      <w:r w:rsidR="00900061" w:rsidRPr="000E798B">
        <w:rPr>
          <w:rFonts w:ascii="Times New Roman" w:hAnsi="Times New Roman"/>
          <w:spacing w:val="-1"/>
        </w:rPr>
        <w:t xml:space="preserve"> </w:t>
      </w:r>
      <w:r w:rsidR="00BD4409" w:rsidRPr="000E798B">
        <w:rPr>
          <w:rFonts w:ascii="Times New Roman" w:hAnsi="Times New Roman"/>
          <w:spacing w:val="-1"/>
        </w:rPr>
        <w:t>for</w:t>
      </w:r>
      <w:r w:rsidR="00900061" w:rsidRPr="000E798B">
        <w:rPr>
          <w:rFonts w:ascii="Times New Roman" w:hAnsi="Times New Roman"/>
          <w:spacing w:val="-1"/>
        </w:rPr>
        <w:t xml:space="preserve"> </w:t>
      </w:r>
      <w:r w:rsidR="00BD4409" w:rsidRPr="000E798B">
        <w:rPr>
          <w:rFonts w:ascii="Times New Roman" w:hAnsi="Times New Roman"/>
          <w:spacing w:val="-1"/>
        </w:rPr>
        <w:t>Financial</w:t>
      </w:r>
      <w:r w:rsidR="00900061" w:rsidRPr="000E798B">
        <w:rPr>
          <w:rFonts w:ascii="Times New Roman" w:hAnsi="Times New Roman"/>
          <w:spacing w:val="-1"/>
        </w:rPr>
        <w:t xml:space="preserve"> </w:t>
      </w:r>
      <w:r w:rsidR="00BD4409" w:rsidRPr="000E798B">
        <w:rPr>
          <w:rFonts w:ascii="Times New Roman" w:hAnsi="Times New Roman"/>
          <w:spacing w:val="-1"/>
        </w:rPr>
        <w:t>Affairs</w:t>
      </w:r>
      <w:r w:rsidR="00900061" w:rsidRPr="000E798B">
        <w:rPr>
          <w:rFonts w:ascii="Times New Roman" w:hAnsi="Times New Roman"/>
          <w:spacing w:val="-1"/>
        </w:rPr>
        <w:t xml:space="preserve"> </w:t>
      </w:r>
      <w:r w:rsidR="00BD4409" w:rsidRPr="000E798B">
        <w:rPr>
          <w:rFonts w:ascii="Times New Roman" w:hAnsi="Times New Roman"/>
          <w:spacing w:val="-1"/>
        </w:rPr>
        <w:t>and</w:t>
      </w:r>
      <w:r w:rsidR="00900061" w:rsidRPr="000E798B">
        <w:rPr>
          <w:rFonts w:ascii="Times New Roman" w:hAnsi="Times New Roman"/>
          <w:spacing w:val="-1"/>
        </w:rPr>
        <w:t xml:space="preserve"> </w:t>
      </w:r>
      <w:r w:rsidR="00BD4409" w:rsidRPr="000E798B">
        <w:rPr>
          <w:rFonts w:ascii="Times New Roman" w:hAnsi="Times New Roman"/>
          <w:spacing w:val="-1"/>
        </w:rPr>
        <w:t>Accounting</w:t>
      </w:r>
      <w:r w:rsidR="005027B9" w:rsidRPr="000E798B">
        <w:rPr>
          <w:rFonts w:ascii="Times New Roman" w:hAnsi="Times New Roman"/>
          <w:spacing w:val="-1"/>
        </w:rPr>
        <w:t>,</w:t>
      </w:r>
      <w:r w:rsidR="00900061" w:rsidRPr="000E798B">
        <w:rPr>
          <w:rFonts w:ascii="Times New Roman" w:hAnsi="Times New Roman"/>
          <w:spacing w:val="-1"/>
        </w:rPr>
        <w:t xml:space="preserve"> </w:t>
      </w:r>
      <w:r w:rsidR="00BD4409" w:rsidRPr="000E798B">
        <w:rPr>
          <w:rFonts w:ascii="Times New Roman" w:hAnsi="Times New Roman"/>
          <w:spacing w:val="-1"/>
        </w:rPr>
        <w:t>and</w:t>
      </w:r>
      <w:r w:rsidR="00900061" w:rsidRPr="000E798B">
        <w:rPr>
          <w:rFonts w:ascii="Times New Roman" w:hAnsi="Times New Roman"/>
          <w:spacing w:val="-1"/>
        </w:rPr>
        <w:t xml:space="preserve"> </w:t>
      </w:r>
      <w:r w:rsidR="00BD4409" w:rsidRPr="000E798B">
        <w:rPr>
          <w:rFonts w:ascii="Times New Roman" w:hAnsi="Times New Roman"/>
          <w:spacing w:val="-1"/>
        </w:rPr>
        <w:t>the</w:t>
      </w:r>
      <w:r w:rsidR="00900061" w:rsidRPr="000E798B">
        <w:rPr>
          <w:rFonts w:ascii="Times New Roman" w:hAnsi="Times New Roman"/>
          <w:spacing w:val="-1"/>
        </w:rPr>
        <w:t xml:space="preserve"> </w:t>
      </w:r>
      <w:r w:rsidR="00BD4409" w:rsidRPr="000E798B">
        <w:rPr>
          <w:rFonts w:ascii="Times New Roman" w:hAnsi="Times New Roman"/>
          <w:spacing w:val="-1"/>
        </w:rPr>
        <w:t>IT</w:t>
      </w:r>
      <w:r w:rsidR="00900061" w:rsidRPr="000E798B">
        <w:rPr>
          <w:rFonts w:ascii="Times New Roman" w:hAnsi="Times New Roman"/>
          <w:spacing w:val="-1"/>
        </w:rPr>
        <w:t xml:space="preserve"> </w:t>
      </w:r>
      <w:r w:rsidR="00BD4409" w:rsidRPr="000E798B">
        <w:rPr>
          <w:rFonts w:ascii="Times New Roman" w:hAnsi="Times New Roman"/>
          <w:spacing w:val="-1"/>
        </w:rPr>
        <w:t>Department</w:t>
      </w:r>
      <w:r w:rsidR="00900061" w:rsidRPr="000E798B">
        <w:rPr>
          <w:rFonts w:ascii="Times New Roman" w:hAnsi="Times New Roman"/>
          <w:spacing w:val="-1"/>
        </w:rPr>
        <w:t xml:space="preserve"> </w:t>
      </w:r>
      <w:r w:rsidR="00BD4409" w:rsidRPr="000E798B">
        <w:rPr>
          <w:rFonts w:ascii="Times New Roman" w:hAnsi="Times New Roman"/>
          <w:spacing w:val="-1"/>
        </w:rPr>
        <w:t>are</w:t>
      </w:r>
      <w:r w:rsidR="00900061" w:rsidRPr="000E798B">
        <w:rPr>
          <w:rFonts w:ascii="Times New Roman" w:hAnsi="Times New Roman"/>
          <w:spacing w:val="-1"/>
        </w:rPr>
        <w:t xml:space="preserve"> </w:t>
      </w:r>
      <w:r w:rsidR="00BD4409" w:rsidRPr="000E798B">
        <w:rPr>
          <w:rFonts w:ascii="Times New Roman" w:hAnsi="Times New Roman"/>
          <w:spacing w:val="-1"/>
        </w:rPr>
        <w:t>responsible</w:t>
      </w:r>
      <w:r w:rsidR="00900061" w:rsidRPr="000E798B">
        <w:rPr>
          <w:rFonts w:ascii="Times New Roman" w:hAnsi="Times New Roman"/>
          <w:spacing w:val="-1"/>
        </w:rPr>
        <w:t xml:space="preserve"> </w:t>
      </w:r>
      <w:r w:rsidR="00BD4409" w:rsidRPr="000E798B">
        <w:rPr>
          <w:rFonts w:ascii="Times New Roman" w:hAnsi="Times New Roman"/>
          <w:spacing w:val="-1"/>
        </w:rPr>
        <w:t>for</w:t>
      </w:r>
      <w:r w:rsidR="00900061" w:rsidRPr="000E798B">
        <w:rPr>
          <w:rFonts w:ascii="Times New Roman" w:hAnsi="Times New Roman"/>
          <w:spacing w:val="-1"/>
        </w:rPr>
        <w:t xml:space="preserve"> </w:t>
      </w:r>
      <w:r w:rsidR="00BD4409" w:rsidRPr="000E798B">
        <w:rPr>
          <w:rFonts w:ascii="Times New Roman" w:hAnsi="Times New Roman"/>
          <w:spacing w:val="-1"/>
        </w:rPr>
        <w:t>contract</w:t>
      </w:r>
      <w:r w:rsidR="00900061" w:rsidRPr="000E798B">
        <w:rPr>
          <w:rFonts w:ascii="Times New Roman" w:hAnsi="Times New Roman"/>
          <w:spacing w:val="-1"/>
        </w:rPr>
        <w:t xml:space="preserve"> </w:t>
      </w:r>
      <w:r w:rsidR="00BD4409" w:rsidRPr="000E798B">
        <w:rPr>
          <w:rFonts w:ascii="Times New Roman" w:hAnsi="Times New Roman"/>
          <w:spacing w:val="-1"/>
        </w:rPr>
        <w:t>management.</w:t>
      </w:r>
      <w:r w:rsidR="00900061" w:rsidRPr="000E798B">
        <w:rPr>
          <w:rFonts w:ascii="Times New Roman" w:hAnsi="Times New Roman"/>
          <w:spacing w:val="-1"/>
        </w:rPr>
        <w:t xml:space="preserve"> </w:t>
      </w:r>
      <w:r w:rsidR="00BD4409" w:rsidRPr="000E798B">
        <w:rPr>
          <w:rFonts w:ascii="Times New Roman" w:hAnsi="Times New Roman"/>
          <w:spacing w:val="-1"/>
        </w:rPr>
        <w:t>Modification</w:t>
      </w:r>
      <w:r w:rsidR="00900061" w:rsidRPr="000E798B">
        <w:rPr>
          <w:rFonts w:ascii="Times New Roman" w:hAnsi="Times New Roman"/>
          <w:spacing w:val="-1"/>
        </w:rPr>
        <w:t xml:space="preserve"> </w:t>
      </w:r>
      <w:r w:rsidR="00BD4409" w:rsidRPr="000E798B">
        <w:rPr>
          <w:rFonts w:ascii="Times New Roman" w:hAnsi="Times New Roman"/>
          <w:spacing w:val="-1"/>
        </w:rPr>
        <w:t>of</w:t>
      </w:r>
      <w:r w:rsidR="00900061" w:rsidRPr="000E798B">
        <w:rPr>
          <w:rFonts w:ascii="Times New Roman" w:hAnsi="Times New Roman"/>
          <w:spacing w:val="-1"/>
        </w:rPr>
        <w:t xml:space="preserve"> </w:t>
      </w:r>
      <w:r w:rsidR="00BD4409" w:rsidRPr="000E798B">
        <w:rPr>
          <w:rFonts w:ascii="Times New Roman" w:hAnsi="Times New Roman"/>
          <w:spacing w:val="-1"/>
        </w:rPr>
        <w:t>contracts</w:t>
      </w:r>
      <w:r w:rsidR="00900061" w:rsidRPr="000E798B">
        <w:rPr>
          <w:rFonts w:ascii="Times New Roman" w:hAnsi="Times New Roman"/>
          <w:spacing w:val="-1"/>
        </w:rPr>
        <w:t xml:space="preserve"> </w:t>
      </w:r>
      <w:r w:rsidR="005027B9" w:rsidRPr="000E798B">
        <w:rPr>
          <w:rFonts w:ascii="Times New Roman" w:hAnsi="Times New Roman"/>
          <w:spacing w:val="-1"/>
        </w:rPr>
        <w:t xml:space="preserve">is </w:t>
      </w:r>
      <w:r w:rsidR="00BD4409" w:rsidRPr="000E798B">
        <w:rPr>
          <w:rFonts w:ascii="Times New Roman" w:hAnsi="Times New Roman"/>
          <w:spacing w:val="-1"/>
        </w:rPr>
        <w:t>not</w:t>
      </w:r>
      <w:r w:rsidR="00900061" w:rsidRPr="000E798B">
        <w:rPr>
          <w:rFonts w:ascii="Times New Roman" w:hAnsi="Times New Roman"/>
          <w:spacing w:val="-1"/>
        </w:rPr>
        <w:t xml:space="preserve"> </w:t>
      </w:r>
      <w:r w:rsidR="00BD4409" w:rsidRPr="000E798B">
        <w:rPr>
          <w:rFonts w:ascii="Times New Roman" w:hAnsi="Times New Roman"/>
          <w:spacing w:val="-1"/>
        </w:rPr>
        <w:t>common</w:t>
      </w:r>
      <w:r w:rsidR="00900061" w:rsidRPr="000E798B">
        <w:rPr>
          <w:rFonts w:ascii="Times New Roman" w:hAnsi="Times New Roman"/>
          <w:spacing w:val="-1"/>
        </w:rPr>
        <w:t xml:space="preserve"> </w:t>
      </w:r>
      <w:r w:rsidR="00BD4409" w:rsidRPr="000E798B">
        <w:rPr>
          <w:rFonts w:ascii="Times New Roman" w:hAnsi="Times New Roman"/>
          <w:spacing w:val="-1"/>
        </w:rPr>
        <w:t>and</w:t>
      </w:r>
      <w:r w:rsidR="00900061" w:rsidRPr="000E798B">
        <w:rPr>
          <w:rFonts w:ascii="Times New Roman" w:hAnsi="Times New Roman"/>
          <w:spacing w:val="-1"/>
        </w:rPr>
        <w:t xml:space="preserve"> </w:t>
      </w:r>
      <w:r w:rsidR="00BD4409" w:rsidRPr="000E798B">
        <w:rPr>
          <w:rFonts w:ascii="Times New Roman" w:hAnsi="Times New Roman"/>
          <w:spacing w:val="-1"/>
        </w:rPr>
        <w:t>termination</w:t>
      </w:r>
      <w:r w:rsidR="00900061" w:rsidRPr="000E798B">
        <w:rPr>
          <w:rFonts w:ascii="Times New Roman" w:hAnsi="Times New Roman"/>
          <w:spacing w:val="-1"/>
        </w:rPr>
        <w:t xml:space="preserve"> </w:t>
      </w:r>
      <w:r w:rsidR="00BD4409" w:rsidRPr="000E798B">
        <w:rPr>
          <w:rFonts w:ascii="Times New Roman" w:hAnsi="Times New Roman"/>
          <w:spacing w:val="-1"/>
        </w:rPr>
        <w:t>of</w:t>
      </w:r>
      <w:r w:rsidR="00900061" w:rsidRPr="000E798B">
        <w:rPr>
          <w:rFonts w:ascii="Times New Roman" w:hAnsi="Times New Roman"/>
          <w:spacing w:val="-1"/>
        </w:rPr>
        <w:t xml:space="preserve"> </w:t>
      </w:r>
      <w:r w:rsidR="00BD4409" w:rsidRPr="000E798B">
        <w:rPr>
          <w:rFonts w:ascii="Times New Roman" w:hAnsi="Times New Roman"/>
          <w:spacing w:val="-1"/>
        </w:rPr>
        <w:t>any</w:t>
      </w:r>
      <w:r w:rsidR="00900061" w:rsidRPr="000E798B">
        <w:rPr>
          <w:rFonts w:ascii="Times New Roman" w:hAnsi="Times New Roman"/>
          <w:spacing w:val="-1"/>
        </w:rPr>
        <w:t xml:space="preserve"> </w:t>
      </w:r>
      <w:r w:rsidR="00BD4409" w:rsidRPr="000E798B">
        <w:rPr>
          <w:rFonts w:ascii="Times New Roman" w:hAnsi="Times New Roman"/>
          <w:spacing w:val="-1"/>
        </w:rPr>
        <w:t>contract</w:t>
      </w:r>
      <w:r w:rsidR="00900061" w:rsidRPr="000E798B">
        <w:rPr>
          <w:rFonts w:ascii="Times New Roman" w:hAnsi="Times New Roman"/>
          <w:spacing w:val="-1"/>
        </w:rPr>
        <w:t xml:space="preserve"> </w:t>
      </w:r>
      <w:r w:rsidR="00BD4409" w:rsidRPr="000E798B">
        <w:rPr>
          <w:rFonts w:ascii="Times New Roman" w:hAnsi="Times New Roman"/>
          <w:spacing w:val="-1"/>
        </w:rPr>
        <w:t>has</w:t>
      </w:r>
      <w:r w:rsidR="00900061" w:rsidRPr="000E798B">
        <w:rPr>
          <w:rFonts w:ascii="Times New Roman" w:hAnsi="Times New Roman"/>
          <w:spacing w:val="-1"/>
        </w:rPr>
        <w:t xml:space="preserve"> </w:t>
      </w:r>
      <w:r w:rsidR="00BD4409" w:rsidRPr="000E798B">
        <w:rPr>
          <w:rFonts w:ascii="Times New Roman" w:hAnsi="Times New Roman"/>
          <w:spacing w:val="-1"/>
        </w:rPr>
        <w:t>not</w:t>
      </w:r>
      <w:r w:rsidR="00900061" w:rsidRPr="000E798B">
        <w:rPr>
          <w:rFonts w:ascii="Times New Roman" w:hAnsi="Times New Roman"/>
          <w:spacing w:val="-1"/>
        </w:rPr>
        <w:t xml:space="preserve"> </w:t>
      </w:r>
      <w:r w:rsidR="00BD4409" w:rsidRPr="000E798B">
        <w:rPr>
          <w:rFonts w:ascii="Times New Roman" w:hAnsi="Times New Roman"/>
          <w:spacing w:val="-1"/>
        </w:rPr>
        <w:t>occurred</w:t>
      </w:r>
      <w:r w:rsidR="00900061" w:rsidRPr="000E798B">
        <w:rPr>
          <w:rFonts w:ascii="Times New Roman" w:hAnsi="Times New Roman"/>
          <w:spacing w:val="-1"/>
        </w:rPr>
        <w:t xml:space="preserve"> </w:t>
      </w:r>
      <w:r w:rsidR="00BD4409" w:rsidRPr="000E798B">
        <w:rPr>
          <w:rFonts w:ascii="Times New Roman" w:hAnsi="Times New Roman"/>
          <w:spacing w:val="-1"/>
        </w:rPr>
        <w:t>so</w:t>
      </w:r>
      <w:r w:rsidR="00900061" w:rsidRPr="000E798B">
        <w:rPr>
          <w:rFonts w:ascii="Times New Roman" w:hAnsi="Times New Roman"/>
          <w:spacing w:val="-1"/>
        </w:rPr>
        <w:t xml:space="preserve"> </w:t>
      </w:r>
      <w:r w:rsidR="00BD4409" w:rsidRPr="000E798B">
        <w:rPr>
          <w:rFonts w:ascii="Times New Roman" w:hAnsi="Times New Roman"/>
          <w:spacing w:val="-1"/>
        </w:rPr>
        <w:t>far.</w:t>
      </w:r>
      <w:r w:rsidR="00900061" w:rsidRPr="000E798B">
        <w:rPr>
          <w:rFonts w:ascii="Times New Roman" w:hAnsi="Times New Roman"/>
          <w:spacing w:val="-1"/>
        </w:rPr>
        <w:t xml:space="preserve"> </w:t>
      </w:r>
      <w:r w:rsidR="00BD4409" w:rsidRPr="000E798B">
        <w:rPr>
          <w:rFonts w:ascii="Times New Roman" w:hAnsi="Times New Roman"/>
          <w:spacing w:val="-1"/>
        </w:rPr>
        <w:t>Advance</w:t>
      </w:r>
      <w:r w:rsidR="00900061" w:rsidRPr="000E798B">
        <w:rPr>
          <w:rFonts w:ascii="Times New Roman" w:hAnsi="Times New Roman"/>
          <w:spacing w:val="-1"/>
        </w:rPr>
        <w:t xml:space="preserve"> </w:t>
      </w:r>
      <w:r w:rsidR="00BD4409" w:rsidRPr="000E798B">
        <w:rPr>
          <w:rFonts w:ascii="Times New Roman" w:hAnsi="Times New Roman"/>
          <w:spacing w:val="-1"/>
        </w:rPr>
        <w:t>Payment</w:t>
      </w:r>
      <w:r w:rsidR="00900061" w:rsidRPr="000E798B">
        <w:rPr>
          <w:rFonts w:ascii="Times New Roman" w:hAnsi="Times New Roman"/>
          <w:spacing w:val="-1"/>
        </w:rPr>
        <w:t xml:space="preserve"> </w:t>
      </w:r>
      <w:r w:rsidR="00BD4409" w:rsidRPr="000E798B">
        <w:rPr>
          <w:rFonts w:ascii="Times New Roman" w:hAnsi="Times New Roman"/>
          <w:spacing w:val="-1"/>
        </w:rPr>
        <w:t>Guarantees</w:t>
      </w:r>
      <w:r w:rsidR="00900061" w:rsidRPr="000E798B">
        <w:rPr>
          <w:rFonts w:ascii="Times New Roman" w:hAnsi="Times New Roman"/>
          <w:spacing w:val="-1"/>
        </w:rPr>
        <w:t xml:space="preserve"> </w:t>
      </w:r>
      <w:r w:rsidR="00BD4409" w:rsidRPr="000E798B">
        <w:rPr>
          <w:rFonts w:ascii="Times New Roman" w:hAnsi="Times New Roman"/>
          <w:spacing w:val="-1"/>
        </w:rPr>
        <w:t>and</w:t>
      </w:r>
      <w:r w:rsidR="00900061" w:rsidRPr="000E798B">
        <w:rPr>
          <w:rFonts w:ascii="Times New Roman" w:hAnsi="Times New Roman"/>
          <w:spacing w:val="-1"/>
        </w:rPr>
        <w:t xml:space="preserve"> </w:t>
      </w:r>
      <w:r w:rsidR="00BD4409" w:rsidRPr="000E798B">
        <w:rPr>
          <w:rFonts w:ascii="Times New Roman" w:hAnsi="Times New Roman"/>
          <w:spacing w:val="-1"/>
        </w:rPr>
        <w:t>Performance</w:t>
      </w:r>
      <w:r w:rsidR="00900061" w:rsidRPr="000E798B">
        <w:rPr>
          <w:rFonts w:ascii="Times New Roman" w:hAnsi="Times New Roman"/>
          <w:spacing w:val="-1"/>
        </w:rPr>
        <w:t xml:space="preserve"> </w:t>
      </w:r>
      <w:r w:rsidR="00BD4409" w:rsidRPr="000E798B">
        <w:rPr>
          <w:rFonts w:ascii="Times New Roman" w:hAnsi="Times New Roman"/>
          <w:spacing w:val="-1"/>
        </w:rPr>
        <w:t>Guarantees</w:t>
      </w:r>
      <w:r w:rsidR="00900061" w:rsidRPr="000E798B">
        <w:rPr>
          <w:rFonts w:ascii="Times New Roman" w:hAnsi="Times New Roman"/>
          <w:spacing w:val="-1"/>
        </w:rPr>
        <w:t xml:space="preserve"> </w:t>
      </w:r>
      <w:r w:rsidR="00BD4409" w:rsidRPr="000E798B">
        <w:rPr>
          <w:rFonts w:ascii="Times New Roman" w:hAnsi="Times New Roman"/>
          <w:spacing w:val="-1"/>
        </w:rPr>
        <w:t>are</w:t>
      </w:r>
      <w:r w:rsidR="00900061" w:rsidRPr="000E798B">
        <w:rPr>
          <w:rFonts w:ascii="Times New Roman" w:hAnsi="Times New Roman"/>
          <w:spacing w:val="-1"/>
        </w:rPr>
        <w:t xml:space="preserve"> </w:t>
      </w:r>
      <w:r w:rsidR="00BD4409" w:rsidRPr="000E798B">
        <w:rPr>
          <w:rFonts w:ascii="Times New Roman" w:hAnsi="Times New Roman"/>
          <w:spacing w:val="-1"/>
        </w:rPr>
        <w:t>mandatory.</w:t>
      </w:r>
      <w:r w:rsidR="00900061" w:rsidRPr="000E798B">
        <w:rPr>
          <w:rFonts w:ascii="Times New Roman" w:hAnsi="Times New Roman"/>
          <w:spacing w:val="-1"/>
        </w:rPr>
        <w:t xml:space="preserve"> </w:t>
      </w:r>
    </w:p>
    <w:p w14:paraId="5B0CD4F9" w14:textId="7E2D7106" w:rsidR="00572AF8" w:rsidRPr="00A90FD9" w:rsidRDefault="00572AF8" w:rsidP="00645878">
      <w:pPr>
        <w:pStyle w:val="ListParagraph"/>
        <w:numPr>
          <w:ilvl w:val="0"/>
          <w:numId w:val="9"/>
        </w:numPr>
        <w:ind w:left="0" w:firstLine="0"/>
        <w:contextualSpacing w:val="0"/>
        <w:rPr>
          <w:rFonts w:ascii="Times New Roman" w:eastAsiaTheme="minorHAnsi" w:hAnsi="Times New Roman"/>
          <w:noProof w:val="0"/>
          <w:color w:val="000000"/>
        </w:rPr>
      </w:pPr>
      <w:r w:rsidRPr="000E798B">
        <w:rPr>
          <w:rFonts w:ascii="Times New Roman" w:hAnsi="Times New Roman"/>
          <w:b/>
          <w:color w:val="000000"/>
        </w:rPr>
        <w:t>Contracting</w:t>
      </w:r>
      <w:r w:rsidR="00900061" w:rsidRPr="000E798B">
        <w:rPr>
          <w:rFonts w:ascii="Times New Roman" w:hAnsi="Times New Roman"/>
          <w:b/>
          <w:color w:val="000000"/>
        </w:rPr>
        <w:t xml:space="preserve"> </w:t>
      </w:r>
      <w:r w:rsidRPr="000E798B">
        <w:rPr>
          <w:rFonts w:ascii="Times New Roman" w:hAnsi="Times New Roman"/>
          <w:b/>
          <w:color w:val="000000"/>
        </w:rPr>
        <w:t>authorities</w:t>
      </w:r>
      <w:r w:rsidR="00900061" w:rsidRPr="000E798B">
        <w:rPr>
          <w:rFonts w:ascii="Times New Roman" w:hAnsi="Times New Roman"/>
          <w:b/>
          <w:color w:val="000000"/>
        </w:rPr>
        <w:t xml:space="preserve"> </w:t>
      </w:r>
      <w:r w:rsidRPr="000E798B">
        <w:rPr>
          <w:rFonts w:ascii="Times New Roman" w:hAnsi="Times New Roman"/>
          <w:b/>
          <w:color w:val="000000"/>
        </w:rPr>
        <w:t>are</w:t>
      </w:r>
      <w:r w:rsidR="00900061" w:rsidRPr="000E798B">
        <w:rPr>
          <w:rFonts w:ascii="Times New Roman" w:hAnsi="Times New Roman"/>
          <w:b/>
          <w:color w:val="000000"/>
        </w:rPr>
        <w:t xml:space="preserve"> </w:t>
      </w:r>
      <w:r w:rsidRPr="000E798B">
        <w:rPr>
          <w:rFonts w:ascii="Times New Roman" w:hAnsi="Times New Roman"/>
          <w:b/>
          <w:color w:val="000000"/>
        </w:rPr>
        <w:t>responsible</w:t>
      </w:r>
      <w:r w:rsidR="00900061" w:rsidRPr="000E798B">
        <w:rPr>
          <w:rFonts w:ascii="Times New Roman" w:hAnsi="Times New Roman"/>
          <w:b/>
          <w:color w:val="000000"/>
        </w:rPr>
        <w:t xml:space="preserve"> </w:t>
      </w:r>
      <w:r w:rsidRPr="000E798B">
        <w:rPr>
          <w:rFonts w:ascii="Times New Roman" w:hAnsi="Times New Roman"/>
          <w:b/>
          <w:color w:val="000000"/>
        </w:rPr>
        <w:t>for</w:t>
      </w:r>
      <w:r w:rsidR="00900061" w:rsidRPr="000E798B">
        <w:rPr>
          <w:rFonts w:ascii="Times New Roman" w:hAnsi="Times New Roman"/>
          <w:b/>
          <w:color w:val="000000"/>
        </w:rPr>
        <w:t xml:space="preserve"> </w:t>
      </w:r>
      <w:r w:rsidRPr="000E798B">
        <w:rPr>
          <w:rFonts w:ascii="Times New Roman" w:hAnsi="Times New Roman"/>
          <w:b/>
          <w:color w:val="000000"/>
        </w:rPr>
        <w:t>contract</w:t>
      </w:r>
      <w:r w:rsidR="00900061" w:rsidRPr="000E798B">
        <w:rPr>
          <w:rFonts w:ascii="Times New Roman" w:hAnsi="Times New Roman"/>
          <w:b/>
          <w:color w:val="000000"/>
        </w:rPr>
        <w:t xml:space="preserve"> </w:t>
      </w:r>
      <w:r w:rsidRPr="000E798B">
        <w:rPr>
          <w:rFonts w:ascii="Times New Roman" w:hAnsi="Times New Roman"/>
          <w:b/>
          <w:color w:val="000000"/>
        </w:rPr>
        <w:t>management.</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accordance</w:t>
      </w:r>
      <w:r w:rsidR="00900061" w:rsidRPr="00E168A1">
        <w:rPr>
          <w:rFonts w:ascii="Times New Roman" w:hAnsi="Times New Roman"/>
          <w:color w:val="000000"/>
        </w:rPr>
        <w:t xml:space="preserve"> </w:t>
      </w:r>
      <w:r w:rsidRPr="00E168A1">
        <w:rPr>
          <w:rFonts w:ascii="Times New Roman" w:hAnsi="Times New Roman"/>
          <w:color w:val="000000"/>
        </w:rPr>
        <w:t>with</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PPL,</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shall</w:t>
      </w:r>
      <w:r w:rsidR="00900061" w:rsidRPr="00E168A1">
        <w:rPr>
          <w:rFonts w:ascii="Times New Roman" w:hAnsi="Times New Roman"/>
          <w:color w:val="000000"/>
        </w:rPr>
        <w:t xml:space="preserve"> </w:t>
      </w:r>
      <w:r w:rsidRPr="00E168A1">
        <w:rPr>
          <w:rFonts w:ascii="Times New Roman" w:hAnsi="Times New Roman"/>
          <w:color w:val="000000"/>
        </w:rPr>
        <w:t>post</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award</w:t>
      </w:r>
      <w:r w:rsidR="005027B9" w:rsidRPr="00E168A1">
        <w:rPr>
          <w:rFonts w:ascii="Times New Roman" w:hAnsi="Times New Roman"/>
          <w:color w:val="000000"/>
        </w:rPr>
        <w:t xml:space="preserve"> on the public procurement portal</w:t>
      </w:r>
      <w:r w:rsidR="00900061" w:rsidRPr="00E168A1">
        <w:rPr>
          <w:rFonts w:ascii="Times New Roman" w:hAnsi="Times New Roman"/>
          <w:color w:val="000000"/>
        </w:rPr>
        <w:t xml:space="preserve"> </w:t>
      </w:r>
      <w:r w:rsidRPr="00E168A1">
        <w:rPr>
          <w:rFonts w:ascii="Times New Roman" w:hAnsi="Times New Roman"/>
          <w:color w:val="000000"/>
        </w:rPr>
        <w:t>within</w:t>
      </w:r>
      <w:r w:rsidR="00900061" w:rsidRPr="00E168A1">
        <w:rPr>
          <w:rFonts w:ascii="Times New Roman" w:hAnsi="Times New Roman"/>
          <w:color w:val="000000"/>
        </w:rPr>
        <w:t xml:space="preserve"> </w:t>
      </w:r>
      <w:r w:rsidRPr="00E168A1">
        <w:rPr>
          <w:rFonts w:ascii="Times New Roman" w:hAnsi="Times New Roman"/>
          <w:color w:val="000000"/>
        </w:rPr>
        <w:t>three</w:t>
      </w:r>
      <w:r w:rsidR="00900061" w:rsidRPr="00E168A1">
        <w:rPr>
          <w:rFonts w:ascii="Times New Roman" w:hAnsi="Times New Roman"/>
          <w:color w:val="000000"/>
        </w:rPr>
        <w:t xml:space="preserve"> </w:t>
      </w:r>
      <w:r w:rsidRPr="00E168A1">
        <w:rPr>
          <w:rFonts w:ascii="Times New Roman" w:hAnsi="Times New Roman"/>
          <w:color w:val="000000"/>
        </w:rPr>
        <w:t>days</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making</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005027B9" w:rsidRPr="00E168A1">
        <w:rPr>
          <w:rFonts w:ascii="Times New Roman" w:hAnsi="Times New Roman"/>
          <w:color w:val="000000"/>
        </w:rPr>
        <w:t>The c</w:t>
      </w:r>
      <w:r w:rsidRPr="00E168A1">
        <w:rPr>
          <w:rFonts w:ascii="Times New Roman" w:hAnsi="Times New Roman"/>
          <w:color w:val="000000"/>
        </w:rPr>
        <w:t>ontracting</w:t>
      </w:r>
      <w:r w:rsidR="00900061" w:rsidRPr="00E168A1">
        <w:rPr>
          <w:rFonts w:ascii="Times New Roman" w:hAnsi="Times New Roman"/>
          <w:color w:val="000000"/>
        </w:rPr>
        <w:t xml:space="preserve"> </w:t>
      </w:r>
      <w:r w:rsidRPr="00E168A1">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shall</w:t>
      </w:r>
      <w:r w:rsidR="00900061" w:rsidRPr="00E168A1">
        <w:rPr>
          <w:rFonts w:ascii="Times New Roman" w:hAnsi="Times New Roman"/>
          <w:color w:val="000000"/>
        </w:rPr>
        <w:t xml:space="preserve"> </w:t>
      </w:r>
      <w:r w:rsidRPr="00E168A1">
        <w:rPr>
          <w:rFonts w:ascii="Times New Roman" w:hAnsi="Times New Roman"/>
          <w:color w:val="000000"/>
        </w:rPr>
        <w:lastRenderedPageBreak/>
        <w:t>send</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a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bidder</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whom</w:t>
      </w:r>
      <w:r w:rsidR="00900061" w:rsidRPr="00E168A1">
        <w:rPr>
          <w:rFonts w:ascii="Times New Roman" w:hAnsi="Times New Roman"/>
          <w:color w:val="000000"/>
        </w:rPr>
        <w:t xml:space="preserve"> </w:t>
      </w:r>
      <w:r w:rsidRPr="00E168A1">
        <w:rPr>
          <w:rFonts w:ascii="Times New Roman" w:hAnsi="Times New Roman"/>
          <w:color w:val="000000"/>
        </w:rPr>
        <w:t>it</w:t>
      </w:r>
      <w:r w:rsidR="00900061" w:rsidRPr="00E168A1">
        <w:rPr>
          <w:rFonts w:ascii="Times New Roman" w:hAnsi="Times New Roman"/>
          <w:color w:val="000000"/>
        </w:rPr>
        <w:t xml:space="preserve"> </w:t>
      </w:r>
      <w:r w:rsidRPr="00E168A1">
        <w:rPr>
          <w:rFonts w:ascii="Times New Roman" w:hAnsi="Times New Roman"/>
          <w:color w:val="000000"/>
        </w:rPr>
        <w:t>was</w:t>
      </w:r>
      <w:r w:rsidR="00900061" w:rsidRPr="00E168A1">
        <w:rPr>
          <w:rFonts w:ascii="Times New Roman" w:hAnsi="Times New Roman"/>
          <w:color w:val="000000"/>
        </w:rPr>
        <w:t xml:space="preserve"> </w:t>
      </w:r>
      <w:r w:rsidRPr="00E168A1">
        <w:rPr>
          <w:rFonts w:ascii="Times New Roman" w:hAnsi="Times New Roman"/>
          <w:color w:val="000000"/>
        </w:rPr>
        <w:t>awarded</w:t>
      </w:r>
      <w:r w:rsidR="00900061" w:rsidRPr="00E168A1">
        <w:rPr>
          <w:rFonts w:ascii="Times New Roman" w:hAnsi="Times New Roman"/>
          <w:color w:val="000000"/>
        </w:rPr>
        <w:t xml:space="preserve"> </w:t>
      </w:r>
      <w:r w:rsidRPr="00E168A1">
        <w:rPr>
          <w:rFonts w:ascii="Times New Roman" w:hAnsi="Times New Roman"/>
          <w:color w:val="000000"/>
        </w:rPr>
        <w:t>within</w:t>
      </w:r>
      <w:r w:rsidR="00900061" w:rsidRPr="00E168A1">
        <w:rPr>
          <w:rFonts w:ascii="Times New Roman" w:hAnsi="Times New Roman"/>
          <w:color w:val="000000"/>
        </w:rPr>
        <w:t xml:space="preserve"> </w:t>
      </w:r>
      <w:r w:rsidRPr="00E168A1">
        <w:rPr>
          <w:rFonts w:ascii="Times New Roman" w:hAnsi="Times New Roman"/>
          <w:color w:val="000000"/>
        </w:rPr>
        <w:t>eight</w:t>
      </w:r>
      <w:r w:rsidR="00900061" w:rsidRPr="00E168A1">
        <w:rPr>
          <w:rFonts w:ascii="Times New Roman" w:hAnsi="Times New Roman"/>
          <w:color w:val="000000"/>
        </w:rPr>
        <w:t xml:space="preserve"> </w:t>
      </w:r>
      <w:r w:rsidRPr="00E168A1">
        <w:rPr>
          <w:rFonts w:ascii="Times New Roman" w:hAnsi="Times New Roman"/>
          <w:color w:val="000000"/>
        </w:rPr>
        <w:t>days</w:t>
      </w:r>
      <w:r w:rsidR="00900061" w:rsidRPr="00E168A1">
        <w:rPr>
          <w:rFonts w:ascii="Times New Roman" w:hAnsi="Times New Roman"/>
          <w:color w:val="000000"/>
        </w:rPr>
        <w:t xml:space="preserve"> </w:t>
      </w:r>
      <w:r w:rsidRPr="00E168A1">
        <w:rPr>
          <w:rFonts w:ascii="Times New Roman" w:hAnsi="Times New Roman"/>
          <w:color w:val="000000"/>
        </w:rPr>
        <w:t>from</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day</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expiration</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deadline</w:t>
      </w:r>
      <w:r w:rsidR="00900061" w:rsidRPr="00E168A1">
        <w:rPr>
          <w:rFonts w:ascii="Times New Roman" w:hAnsi="Times New Roman"/>
          <w:color w:val="000000"/>
        </w:rPr>
        <w:t xml:space="preserve"> </w:t>
      </w:r>
      <w:r w:rsidRPr="00E168A1">
        <w:rPr>
          <w:rFonts w:ascii="Times New Roman" w:hAnsi="Times New Roman"/>
          <w:color w:val="000000"/>
        </w:rPr>
        <w:t>for</w:t>
      </w:r>
      <w:r w:rsidR="00900061" w:rsidRPr="00E168A1">
        <w:rPr>
          <w:rFonts w:ascii="Times New Roman" w:hAnsi="Times New Roman"/>
          <w:color w:val="000000"/>
        </w:rPr>
        <w:t xml:space="preserve"> </w:t>
      </w:r>
      <w:r w:rsidRPr="00E168A1">
        <w:rPr>
          <w:rFonts w:ascii="Times New Roman" w:hAnsi="Times New Roman"/>
          <w:color w:val="000000"/>
        </w:rPr>
        <w:t>filing</w:t>
      </w:r>
      <w:r w:rsidR="00900061" w:rsidRPr="00E168A1">
        <w:rPr>
          <w:rFonts w:ascii="Times New Roman" w:hAnsi="Times New Roman"/>
          <w:color w:val="000000"/>
        </w:rPr>
        <w:t xml:space="preserve"> </w:t>
      </w:r>
      <w:r w:rsidRPr="00E168A1">
        <w:rPr>
          <w:rFonts w:ascii="Times New Roman" w:hAnsi="Times New Roman"/>
          <w:color w:val="000000"/>
        </w:rPr>
        <w:t>requests</w:t>
      </w:r>
      <w:r w:rsidR="00900061" w:rsidRPr="00A90FD9">
        <w:rPr>
          <w:rFonts w:ascii="Times New Roman" w:hAnsi="Times New Roman"/>
          <w:color w:val="000000"/>
        </w:rPr>
        <w:t xml:space="preserve"> </w:t>
      </w:r>
      <w:r w:rsidRPr="00A90FD9">
        <w:rPr>
          <w:rFonts w:ascii="Times New Roman" w:hAnsi="Times New Roman"/>
          <w:color w:val="000000"/>
        </w:rPr>
        <w:t>for</w:t>
      </w:r>
      <w:r w:rsidR="00900061" w:rsidRPr="00A90FD9">
        <w:rPr>
          <w:rFonts w:ascii="Times New Roman" w:hAnsi="Times New Roman"/>
          <w:color w:val="000000"/>
        </w:rPr>
        <w:t xml:space="preserve"> </w:t>
      </w:r>
      <w:r w:rsidRPr="00A90FD9">
        <w:rPr>
          <w:rFonts w:ascii="Times New Roman" w:hAnsi="Times New Roman"/>
          <w:color w:val="000000"/>
        </w:rPr>
        <w:t>the</w:t>
      </w:r>
      <w:r w:rsidR="00900061" w:rsidRPr="00A90FD9">
        <w:rPr>
          <w:rFonts w:ascii="Times New Roman" w:hAnsi="Times New Roman"/>
          <w:color w:val="000000"/>
        </w:rPr>
        <w:t xml:space="preserve"> </w:t>
      </w:r>
      <w:r w:rsidRPr="00A90FD9">
        <w:rPr>
          <w:rFonts w:ascii="Times New Roman" w:hAnsi="Times New Roman"/>
          <w:color w:val="000000"/>
        </w:rPr>
        <w:t>protection</w:t>
      </w:r>
      <w:r w:rsidR="00900061" w:rsidRPr="00A90FD9">
        <w:rPr>
          <w:rFonts w:ascii="Times New Roman" w:hAnsi="Times New Roman"/>
          <w:color w:val="000000"/>
        </w:rPr>
        <w:t xml:space="preserve"> </w:t>
      </w:r>
      <w:r w:rsidRPr="00A90FD9">
        <w:rPr>
          <w:rFonts w:ascii="Times New Roman" w:hAnsi="Times New Roman"/>
          <w:color w:val="000000"/>
        </w:rPr>
        <w:t>of</w:t>
      </w:r>
      <w:r w:rsidR="00900061" w:rsidRPr="00A90FD9">
        <w:rPr>
          <w:rFonts w:ascii="Times New Roman" w:hAnsi="Times New Roman"/>
          <w:color w:val="000000"/>
        </w:rPr>
        <w:t xml:space="preserve"> </w:t>
      </w:r>
      <w:r w:rsidRPr="00A90FD9">
        <w:rPr>
          <w:rFonts w:ascii="Times New Roman" w:hAnsi="Times New Roman"/>
          <w:color w:val="000000"/>
        </w:rPr>
        <w:t>rights.</w:t>
      </w:r>
      <w:r w:rsidR="00900061" w:rsidRPr="00A90FD9">
        <w:rPr>
          <w:rFonts w:ascii="Times New Roman" w:hAnsi="Times New Roman"/>
          <w:color w:val="000000"/>
        </w:rPr>
        <w:t xml:space="preserve"> </w:t>
      </w:r>
      <w:r w:rsidRPr="00A90FD9">
        <w:rPr>
          <w:rFonts w:ascii="Times New Roman" w:hAnsi="Times New Roman"/>
          <w:color w:val="000000"/>
        </w:rPr>
        <w:t>If</w:t>
      </w:r>
      <w:r w:rsidR="00900061" w:rsidRPr="00A90FD9">
        <w:rPr>
          <w:rFonts w:ascii="Times New Roman" w:hAnsi="Times New Roman"/>
          <w:color w:val="000000"/>
        </w:rPr>
        <w:t xml:space="preserve"> </w:t>
      </w:r>
      <w:r w:rsidRPr="00A90FD9">
        <w:rPr>
          <w:rFonts w:ascii="Times New Roman" w:hAnsi="Times New Roman"/>
          <w:color w:val="000000"/>
        </w:rPr>
        <w:t>the</w:t>
      </w:r>
      <w:r w:rsidR="00900061" w:rsidRPr="00A90FD9">
        <w:rPr>
          <w:rFonts w:ascii="Times New Roman" w:hAnsi="Times New Roman"/>
          <w:color w:val="000000"/>
        </w:rPr>
        <w:t xml:space="preserve"> </w:t>
      </w:r>
      <w:r w:rsidRPr="005769EE">
        <w:rPr>
          <w:rFonts w:ascii="Times New Roman" w:hAnsi="Times New Roman"/>
          <w:color w:val="000000"/>
        </w:rPr>
        <w:t>awarded</w:t>
      </w:r>
      <w:r w:rsidR="00900061" w:rsidRPr="005769EE">
        <w:rPr>
          <w:rFonts w:ascii="Times New Roman" w:hAnsi="Times New Roman"/>
          <w:color w:val="000000"/>
        </w:rPr>
        <w:t xml:space="preserve"> </w:t>
      </w:r>
      <w:r w:rsidRPr="00E168A1">
        <w:rPr>
          <w:rFonts w:ascii="Times New Roman" w:hAnsi="Times New Roman"/>
          <w:color w:val="000000"/>
        </w:rPr>
        <w:t>bidder</w:t>
      </w:r>
      <w:r w:rsidR="00900061" w:rsidRPr="00E168A1">
        <w:rPr>
          <w:rFonts w:ascii="Times New Roman" w:hAnsi="Times New Roman"/>
          <w:color w:val="000000"/>
        </w:rPr>
        <w:t xml:space="preserve"> </w:t>
      </w:r>
      <w:r w:rsidRPr="00E168A1">
        <w:rPr>
          <w:rFonts w:ascii="Times New Roman" w:hAnsi="Times New Roman"/>
          <w:color w:val="000000"/>
        </w:rPr>
        <w:t>refuses</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sig</w:t>
      </w:r>
      <w:r w:rsidR="005027B9" w:rsidRPr="00E168A1">
        <w:rPr>
          <w:rFonts w:ascii="Times New Roman" w:hAnsi="Times New Roman"/>
          <w:color w:val="000000"/>
        </w:rPr>
        <w:t>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may</w:t>
      </w:r>
      <w:r w:rsidR="00900061" w:rsidRPr="00E168A1">
        <w:rPr>
          <w:rFonts w:ascii="Times New Roman" w:hAnsi="Times New Roman"/>
          <w:color w:val="000000"/>
        </w:rPr>
        <w:t xml:space="preserve"> </w:t>
      </w:r>
      <w:r w:rsidR="003B3151">
        <w:rPr>
          <w:rFonts w:ascii="Times New Roman" w:hAnsi="Times New Roman"/>
          <w:color w:val="000000"/>
        </w:rPr>
        <w:t>award</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A90FD9">
        <w:rPr>
          <w:rFonts w:ascii="Times New Roman" w:hAnsi="Times New Roman"/>
          <w:color w:val="000000"/>
        </w:rPr>
        <w:t xml:space="preserve"> </w:t>
      </w:r>
      <w:r w:rsidR="003B3151">
        <w:rPr>
          <w:rFonts w:ascii="Times New Roman" w:hAnsi="Times New Roman"/>
          <w:color w:val="000000"/>
        </w:rPr>
        <w:t>bid</w:t>
      </w:r>
      <w:r w:rsidR="00900061" w:rsidRPr="00A90FD9">
        <w:rPr>
          <w:rFonts w:ascii="Times New Roman" w:hAnsi="Times New Roman"/>
          <w:color w:val="000000"/>
        </w:rPr>
        <w:t xml:space="preserve"> </w:t>
      </w:r>
      <w:r w:rsidRPr="00A90FD9">
        <w:rPr>
          <w:rFonts w:ascii="Times New Roman" w:hAnsi="Times New Roman"/>
          <w:color w:val="000000"/>
        </w:rPr>
        <w:t>to</w:t>
      </w:r>
      <w:r w:rsidR="00900061" w:rsidRPr="00A90FD9">
        <w:rPr>
          <w:rFonts w:ascii="Times New Roman" w:hAnsi="Times New Roman"/>
          <w:color w:val="000000"/>
        </w:rPr>
        <w:t xml:space="preserve"> </w:t>
      </w:r>
      <w:r w:rsidRPr="00A90FD9">
        <w:rPr>
          <w:rFonts w:ascii="Times New Roman" w:hAnsi="Times New Roman"/>
          <w:color w:val="000000"/>
        </w:rPr>
        <w:t>the</w:t>
      </w:r>
      <w:r w:rsidR="00900061" w:rsidRPr="00A90FD9">
        <w:rPr>
          <w:rFonts w:ascii="Times New Roman" w:hAnsi="Times New Roman"/>
          <w:color w:val="000000"/>
        </w:rPr>
        <w:t xml:space="preserve"> </w:t>
      </w:r>
      <w:r w:rsidRPr="00A90FD9">
        <w:rPr>
          <w:rFonts w:ascii="Times New Roman" w:hAnsi="Times New Roman"/>
          <w:color w:val="000000"/>
        </w:rPr>
        <w:t>second</w:t>
      </w:r>
      <w:r w:rsidR="00900061" w:rsidRPr="00A90FD9">
        <w:rPr>
          <w:rFonts w:ascii="Times New Roman" w:hAnsi="Times New Roman"/>
          <w:color w:val="000000"/>
        </w:rPr>
        <w:t xml:space="preserve"> </w:t>
      </w:r>
      <w:r w:rsidRPr="00A90FD9">
        <w:rPr>
          <w:rFonts w:ascii="Times New Roman" w:hAnsi="Times New Roman"/>
          <w:color w:val="000000"/>
        </w:rPr>
        <w:t>most</w:t>
      </w:r>
      <w:r w:rsidR="00900061" w:rsidRPr="00A90FD9">
        <w:rPr>
          <w:rFonts w:ascii="Times New Roman" w:hAnsi="Times New Roman"/>
          <w:color w:val="000000"/>
        </w:rPr>
        <w:t xml:space="preserve"> </w:t>
      </w:r>
      <w:r w:rsidRPr="00A90FD9">
        <w:rPr>
          <w:rFonts w:ascii="Times New Roman" w:hAnsi="Times New Roman"/>
          <w:color w:val="000000"/>
        </w:rPr>
        <w:t>advantageous</w:t>
      </w:r>
      <w:r w:rsidR="00900061" w:rsidRPr="00A90FD9">
        <w:rPr>
          <w:rFonts w:ascii="Times New Roman" w:hAnsi="Times New Roman"/>
          <w:color w:val="000000"/>
        </w:rPr>
        <w:t xml:space="preserve"> </w:t>
      </w:r>
      <w:r w:rsidRPr="00A90FD9">
        <w:rPr>
          <w:rFonts w:ascii="Times New Roman" w:hAnsi="Times New Roman"/>
          <w:color w:val="000000"/>
        </w:rPr>
        <w:t>bidder.</w:t>
      </w:r>
      <w:r w:rsidR="00900061" w:rsidRPr="00A90FD9">
        <w:rPr>
          <w:rFonts w:ascii="Times New Roman" w:hAnsi="Times New Roman"/>
          <w:color w:val="000000"/>
        </w:rPr>
        <w:t xml:space="preserve"> </w:t>
      </w:r>
      <w:r w:rsidRPr="005769EE">
        <w:rPr>
          <w:rFonts w:ascii="Times New Roman" w:hAnsi="Times New Roman"/>
          <w:color w:val="000000"/>
        </w:rPr>
        <w:t>Withing</w:t>
      </w:r>
      <w:r w:rsidR="00900061" w:rsidRPr="005769EE">
        <w:rPr>
          <w:rFonts w:ascii="Times New Roman" w:hAnsi="Times New Roman"/>
          <w:color w:val="000000"/>
        </w:rPr>
        <w:t xml:space="preserve"> </w:t>
      </w:r>
      <w:r w:rsidRPr="00E168A1">
        <w:rPr>
          <w:rFonts w:ascii="Times New Roman" w:hAnsi="Times New Roman"/>
          <w:color w:val="000000"/>
        </w:rPr>
        <w:t>five</w:t>
      </w:r>
      <w:r w:rsidR="00900061" w:rsidRPr="00E168A1">
        <w:rPr>
          <w:rFonts w:ascii="Times New Roman" w:hAnsi="Times New Roman"/>
          <w:color w:val="000000"/>
        </w:rPr>
        <w:t xml:space="preserve"> </w:t>
      </w:r>
      <w:r w:rsidRPr="00E168A1">
        <w:rPr>
          <w:rFonts w:ascii="Times New Roman" w:hAnsi="Times New Roman"/>
          <w:color w:val="000000"/>
        </w:rPr>
        <w:t>days</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concluding</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shall</w:t>
      </w:r>
      <w:r w:rsidR="00900061" w:rsidRPr="00E168A1">
        <w:rPr>
          <w:rFonts w:ascii="Times New Roman" w:hAnsi="Times New Roman"/>
          <w:color w:val="000000"/>
        </w:rPr>
        <w:t xml:space="preserve"> </w:t>
      </w:r>
      <w:r w:rsidRPr="00E168A1">
        <w:rPr>
          <w:rFonts w:ascii="Times New Roman" w:hAnsi="Times New Roman"/>
          <w:color w:val="000000"/>
        </w:rPr>
        <w:t>publish</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notice</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concluded</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p>
    <w:p w14:paraId="16532888" w14:textId="0BB5E95D" w:rsidR="00572AF8" w:rsidRPr="00A90FD9" w:rsidRDefault="00572AF8" w:rsidP="00645878">
      <w:pPr>
        <w:pStyle w:val="ListParagraph"/>
        <w:numPr>
          <w:ilvl w:val="0"/>
          <w:numId w:val="9"/>
        </w:numPr>
        <w:ind w:left="0" w:firstLine="0"/>
        <w:contextualSpacing w:val="0"/>
        <w:rPr>
          <w:rFonts w:ascii="Times New Roman" w:hAnsi="Times New Roman"/>
          <w:color w:val="000000"/>
        </w:rPr>
      </w:pPr>
      <w:r w:rsidRPr="00E168A1">
        <w:rPr>
          <w:rFonts w:ascii="Times New Roman" w:hAnsi="Times New Roman"/>
          <w:color w:val="000000"/>
        </w:rPr>
        <w:t>After</w:t>
      </w:r>
      <w:r w:rsidR="00900061" w:rsidRPr="00A90FD9">
        <w:rPr>
          <w:rFonts w:ascii="Times New Roman" w:hAnsi="Times New Roman"/>
          <w:color w:val="000000"/>
        </w:rPr>
        <w:t xml:space="preserve"> </w:t>
      </w:r>
      <w:r w:rsidRPr="00A90FD9">
        <w:rPr>
          <w:rFonts w:ascii="Times New Roman" w:hAnsi="Times New Roman"/>
          <w:color w:val="000000"/>
        </w:rPr>
        <w:t>conclusion</w:t>
      </w:r>
      <w:r w:rsidR="00900061" w:rsidRPr="00A90FD9">
        <w:rPr>
          <w:rFonts w:ascii="Times New Roman" w:hAnsi="Times New Roman"/>
          <w:color w:val="000000"/>
        </w:rPr>
        <w:t xml:space="preserve"> </w:t>
      </w:r>
      <w:r w:rsidRPr="00A90FD9">
        <w:rPr>
          <w:rFonts w:ascii="Times New Roman" w:hAnsi="Times New Roman"/>
          <w:color w:val="000000"/>
        </w:rPr>
        <w:t>of</w:t>
      </w:r>
      <w:r w:rsidR="00900061" w:rsidRPr="00A90FD9">
        <w:rPr>
          <w:rFonts w:ascii="Times New Roman" w:hAnsi="Times New Roman"/>
          <w:color w:val="000000"/>
        </w:rPr>
        <w:t xml:space="preserve"> </w:t>
      </w:r>
      <w:r w:rsidRPr="00A90FD9">
        <w:rPr>
          <w:rFonts w:ascii="Times New Roman" w:hAnsi="Times New Roman"/>
          <w:color w:val="000000"/>
        </w:rPr>
        <w:t>a</w:t>
      </w:r>
      <w:r w:rsidR="00900061" w:rsidRPr="00A90FD9">
        <w:rPr>
          <w:rFonts w:ascii="Times New Roman" w:hAnsi="Times New Roman"/>
          <w:color w:val="000000"/>
        </w:rPr>
        <w:t xml:space="preserve"> </w:t>
      </w:r>
      <w:r w:rsidRPr="00A90FD9">
        <w:rPr>
          <w:rFonts w:ascii="Times New Roman" w:hAnsi="Times New Roman"/>
          <w:color w:val="000000"/>
        </w:rPr>
        <w:t>public</w:t>
      </w:r>
      <w:r w:rsidR="00900061" w:rsidRPr="00A90FD9">
        <w:rPr>
          <w:rFonts w:ascii="Times New Roman" w:hAnsi="Times New Roman"/>
          <w:color w:val="000000"/>
        </w:rPr>
        <w:t xml:space="preserve"> </w:t>
      </w:r>
      <w:r w:rsidRPr="00A90FD9">
        <w:rPr>
          <w:rFonts w:ascii="Times New Roman" w:hAnsi="Times New Roman"/>
          <w:color w:val="000000"/>
        </w:rPr>
        <w:t>procurement</w:t>
      </w:r>
      <w:r w:rsidR="00900061" w:rsidRPr="00A90FD9">
        <w:rPr>
          <w:rFonts w:ascii="Times New Roman" w:hAnsi="Times New Roman"/>
          <w:color w:val="000000"/>
        </w:rPr>
        <w:t xml:space="preserve"> </w:t>
      </w:r>
      <w:r w:rsidRPr="00A90FD9">
        <w:rPr>
          <w:rFonts w:ascii="Times New Roman" w:hAnsi="Times New Roman"/>
          <w:color w:val="000000"/>
        </w:rPr>
        <w:t>contract,</w:t>
      </w:r>
      <w:r w:rsidR="00900061" w:rsidRPr="00A90FD9">
        <w:rPr>
          <w:rFonts w:ascii="Times New Roman" w:hAnsi="Times New Roman"/>
          <w:color w:val="000000"/>
        </w:rPr>
        <w:t xml:space="preserve"> </w:t>
      </w:r>
      <w:r w:rsidR="005027B9" w:rsidRPr="00A90FD9">
        <w:rPr>
          <w:rFonts w:ascii="Times New Roman" w:hAnsi="Times New Roman"/>
          <w:color w:val="000000"/>
        </w:rPr>
        <w:t xml:space="preserve">the </w:t>
      </w:r>
      <w:r w:rsidRPr="00A90FD9">
        <w:rPr>
          <w:rFonts w:ascii="Times New Roman" w:hAnsi="Times New Roman"/>
          <w:color w:val="000000"/>
        </w:rPr>
        <w:t>contracting</w:t>
      </w:r>
      <w:r w:rsidR="00900061" w:rsidRPr="005769EE">
        <w:rPr>
          <w:rFonts w:ascii="Times New Roman" w:hAnsi="Times New Roman"/>
          <w:color w:val="000000"/>
        </w:rPr>
        <w:t xml:space="preserve"> </w:t>
      </w:r>
      <w:r w:rsidRPr="005769EE">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may</w:t>
      </w:r>
      <w:r w:rsidR="00900061" w:rsidRPr="00E168A1">
        <w:rPr>
          <w:rFonts w:ascii="Times New Roman" w:hAnsi="Times New Roman"/>
          <w:color w:val="000000"/>
        </w:rPr>
        <w:t xml:space="preserve"> </w:t>
      </w:r>
      <w:r w:rsidRPr="00E168A1">
        <w:rPr>
          <w:rFonts w:ascii="Times New Roman" w:hAnsi="Times New Roman"/>
          <w:color w:val="000000"/>
        </w:rPr>
        <w:t>allow</w:t>
      </w:r>
      <w:r w:rsidR="00900061" w:rsidRPr="00E168A1">
        <w:rPr>
          <w:rFonts w:ascii="Times New Roman" w:hAnsi="Times New Roman"/>
          <w:color w:val="000000"/>
        </w:rPr>
        <w:t xml:space="preserve"> </w:t>
      </w:r>
      <w:r w:rsidRPr="00E168A1">
        <w:rPr>
          <w:rFonts w:ascii="Times New Roman" w:hAnsi="Times New Roman"/>
          <w:color w:val="000000"/>
        </w:rPr>
        <w:t>changes</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price</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other</w:t>
      </w:r>
      <w:r w:rsidR="00900061" w:rsidRPr="00E168A1">
        <w:rPr>
          <w:rFonts w:ascii="Times New Roman" w:hAnsi="Times New Roman"/>
          <w:color w:val="000000"/>
        </w:rPr>
        <w:t xml:space="preserve"> </w:t>
      </w:r>
      <w:r w:rsidRPr="00E168A1">
        <w:rPr>
          <w:rFonts w:ascii="Times New Roman" w:hAnsi="Times New Roman"/>
          <w:color w:val="000000"/>
        </w:rPr>
        <w:t>essential</w:t>
      </w:r>
      <w:r w:rsidR="00900061" w:rsidRPr="00E168A1">
        <w:rPr>
          <w:rFonts w:ascii="Times New Roman" w:hAnsi="Times New Roman"/>
          <w:color w:val="000000"/>
        </w:rPr>
        <w:t xml:space="preserve"> </w:t>
      </w:r>
      <w:r w:rsidRPr="00E168A1">
        <w:rPr>
          <w:rFonts w:ascii="Times New Roman" w:hAnsi="Times New Roman"/>
          <w:color w:val="000000"/>
        </w:rPr>
        <w:t>contractual</w:t>
      </w:r>
      <w:r w:rsidR="00900061" w:rsidRPr="00E168A1">
        <w:rPr>
          <w:rFonts w:ascii="Times New Roman" w:hAnsi="Times New Roman"/>
          <w:color w:val="000000"/>
        </w:rPr>
        <w:t xml:space="preserve"> </w:t>
      </w:r>
      <w:r w:rsidRPr="00E168A1">
        <w:rPr>
          <w:rFonts w:ascii="Times New Roman" w:hAnsi="Times New Roman"/>
          <w:color w:val="000000"/>
        </w:rPr>
        <w:t>elements</w:t>
      </w:r>
      <w:r w:rsidR="00900061" w:rsidRPr="00E168A1">
        <w:rPr>
          <w:rFonts w:ascii="Times New Roman" w:hAnsi="Times New Roman"/>
          <w:color w:val="000000"/>
        </w:rPr>
        <w:t xml:space="preserve"> </w:t>
      </w:r>
      <w:r w:rsidRPr="00E168A1">
        <w:rPr>
          <w:rFonts w:ascii="Times New Roman" w:hAnsi="Times New Roman"/>
          <w:color w:val="000000"/>
        </w:rPr>
        <w:t>due</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objective</w:t>
      </w:r>
      <w:r w:rsidR="00900061" w:rsidRPr="00E168A1">
        <w:rPr>
          <w:rFonts w:ascii="Times New Roman" w:hAnsi="Times New Roman"/>
          <w:color w:val="000000"/>
        </w:rPr>
        <w:t xml:space="preserve"> </w:t>
      </w:r>
      <w:r w:rsidRPr="00E168A1">
        <w:rPr>
          <w:rFonts w:ascii="Times New Roman" w:hAnsi="Times New Roman"/>
          <w:color w:val="000000"/>
        </w:rPr>
        <w:t>reasons,</w:t>
      </w:r>
      <w:r w:rsidR="00900061" w:rsidRPr="00E168A1">
        <w:rPr>
          <w:rFonts w:ascii="Times New Roman" w:hAnsi="Times New Roman"/>
          <w:color w:val="000000"/>
        </w:rPr>
        <w:t xml:space="preserve"> </w:t>
      </w:r>
      <w:r w:rsidRPr="00E168A1">
        <w:rPr>
          <w:rFonts w:ascii="Times New Roman" w:hAnsi="Times New Roman"/>
          <w:color w:val="000000"/>
        </w:rPr>
        <w:t>which</w:t>
      </w:r>
      <w:r w:rsidR="00900061" w:rsidRPr="00E168A1">
        <w:rPr>
          <w:rFonts w:ascii="Times New Roman" w:hAnsi="Times New Roman"/>
          <w:color w:val="000000"/>
        </w:rPr>
        <w:t xml:space="preserve"> </w:t>
      </w:r>
      <w:r w:rsidRPr="00E168A1">
        <w:rPr>
          <w:rFonts w:ascii="Times New Roman" w:hAnsi="Times New Roman"/>
          <w:color w:val="000000"/>
        </w:rPr>
        <w:t>must</w:t>
      </w:r>
      <w:r w:rsidR="00900061" w:rsidRPr="00E168A1">
        <w:rPr>
          <w:rFonts w:ascii="Times New Roman" w:hAnsi="Times New Roman"/>
          <w:color w:val="000000"/>
        </w:rPr>
        <w:t xml:space="preserve"> </w:t>
      </w:r>
      <w:r w:rsidRPr="00E168A1">
        <w:rPr>
          <w:rFonts w:ascii="Times New Roman" w:hAnsi="Times New Roman"/>
          <w:color w:val="000000"/>
        </w:rPr>
        <w:t>be</w:t>
      </w:r>
      <w:r w:rsidR="00900061" w:rsidRPr="00E168A1">
        <w:rPr>
          <w:rFonts w:ascii="Times New Roman" w:hAnsi="Times New Roman"/>
          <w:color w:val="000000"/>
        </w:rPr>
        <w:t xml:space="preserve"> </w:t>
      </w:r>
      <w:r w:rsidRPr="00E168A1">
        <w:rPr>
          <w:rFonts w:ascii="Times New Roman" w:hAnsi="Times New Roman"/>
          <w:color w:val="000000"/>
        </w:rPr>
        <w:t>clearly</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precisely</w:t>
      </w:r>
      <w:r w:rsidR="00900061" w:rsidRPr="00E168A1">
        <w:rPr>
          <w:rFonts w:ascii="Times New Roman" w:hAnsi="Times New Roman"/>
          <w:color w:val="000000"/>
        </w:rPr>
        <w:t xml:space="preserve"> </w:t>
      </w:r>
      <w:r w:rsidRPr="00E168A1">
        <w:rPr>
          <w:rFonts w:ascii="Times New Roman" w:hAnsi="Times New Roman"/>
          <w:color w:val="000000"/>
        </w:rPr>
        <w:t>defined</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tender</w:t>
      </w:r>
      <w:r w:rsidR="00900061" w:rsidRPr="00E168A1">
        <w:rPr>
          <w:rFonts w:ascii="Times New Roman" w:hAnsi="Times New Roman"/>
          <w:color w:val="000000"/>
        </w:rPr>
        <w:t xml:space="preserve"> </w:t>
      </w:r>
      <w:r w:rsidRPr="00E168A1">
        <w:rPr>
          <w:rFonts w:ascii="Times New Roman" w:hAnsi="Times New Roman"/>
          <w:color w:val="000000"/>
        </w:rPr>
        <w:t>documents</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contracts</w:t>
      </w:r>
      <w:r w:rsidR="00900061" w:rsidRPr="00E168A1">
        <w:rPr>
          <w:rFonts w:ascii="Times New Roman" w:hAnsi="Times New Roman"/>
          <w:color w:val="000000"/>
        </w:rPr>
        <w:t xml:space="preserve"> </w:t>
      </w:r>
      <w:r w:rsidRPr="00E168A1">
        <w:rPr>
          <w:rFonts w:ascii="Times New Roman" w:hAnsi="Times New Roman"/>
          <w:color w:val="000000"/>
        </w:rPr>
        <w:t>or</w:t>
      </w:r>
      <w:r w:rsidR="00900061" w:rsidRPr="00E168A1">
        <w:rPr>
          <w:rFonts w:ascii="Times New Roman" w:hAnsi="Times New Roman"/>
          <w:color w:val="000000"/>
        </w:rPr>
        <w:t xml:space="preserve"> </w:t>
      </w:r>
      <w:r w:rsidRPr="00E168A1">
        <w:rPr>
          <w:rFonts w:ascii="Times New Roman" w:hAnsi="Times New Roman"/>
          <w:color w:val="000000"/>
        </w:rPr>
        <w:t>set</w:t>
      </w:r>
      <w:r w:rsidR="00900061" w:rsidRPr="00E168A1">
        <w:rPr>
          <w:rFonts w:ascii="Times New Roman" w:hAnsi="Times New Roman"/>
          <w:color w:val="000000"/>
        </w:rPr>
        <w:t xml:space="preserve"> </w:t>
      </w:r>
      <w:r w:rsidRPr="00E168A1">
        <w:rPr>
          <w:rFonts w:ascii="Times New Roman" w:hAnsi="Times New Roman"/>
          <w:color w:val="000000"/>
        </w:rPr>
        <w:t>forth</w:t>
      </w:r>
      <w:r w:rsidR="00900061" w:rsidRPr="00E168A1">
        <w:rPr>
          <w:rFonts w:ascii="Times New Roman" w:hAnsi="Times New Roman"/>
          <w:color w:val="000000"/>
        </w:rPr>
        <w:t xml:space="preserve"> </w:t>
      </w:r>
      <w:r w:rsidRPr="00E168A1">
        <w:rPr>
          <w:rFonts w:ascii="Times New Roman" w:hAnsi="Times New Roman"/>
          <w:color w:val="000000"/>
        </w:rPr>
        <w:t>by</w:t>
      </w:r>
      <w:r w:rsidR="00900061" w:rsidRPr="00E168A1">
        <w:rPr>
          <w:rFonts w:ascii="Times New Roman" w:hAnsi="Times New Roman"/>
          <w:color w:val="000000"/>
        </w:rPr>
        <w:t xml:space="preserve"> </w:t>
      </w:r>
      <w:r w:rsidRPr="00E168A1">
        <w:rPr>
          <w:rFonts w:ascii="Times New Roman" w:hAnsi="Times New Roman"/>
          <w:color w:val="000000"/>
        </w:rPr>
        <w:t>special</w:t>
      </w:r>
      <w:r w:rsidR="00900061" w:rsidRPr="00E168A1">
        <w:rPr>
          <w:rFonts w:ascii="Times New Roman" w:hAnsi="Times New Roman"/>
          <w:color w:val="000000"/>
        </w:rPr>
        <w:t xml:space="preserve"> </w:t>
      </w:r>
      <w:r w:rsidRPr="00E168A1">
        <w:rPr>
          <w:rFonts w:ascii="Times New Roman" w:hAnsi="Times New Roman"/>
          <w:color w:val="000000"/>
        </w:rPr>
        <w:t>regulations.</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case</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modification,</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authority</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make</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Pr="00E168A1">
        <w:rPr>
          <w:rFonts w:ascii="Times New Roman" w:hAnsi="Times New Roman"/>
          <w:color w:val="000000"/>
        </w:rPr>
        <w:t>modifying</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contain</w:t>
      </w:r>
      <w:r w:rsidR="00900061" w:rsidRPr="00E168A1">
        <w:rPr>
          <w:rFonts w:ascii="Times New Roman" w:hAnsi="Times New Roman"/>
          <w:color w:val="000000"/>
        </w:rPr>
        <w:t xml:space="preserve"> </w:t>
      </w:r>
      <w:r w:rsidRPr="00E168A1">
        <w:rPr>
          <w:rFonts w:ascii="Times New Roman" w:hAnsi="Times New Roman"/>
          <w:color w:val="000000"/>
        </w:rPr>
        <w:t>information</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initial</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value,</w:t>
      </w:r>
      <w:r w:rsidR="00900061" w:rsidRPr="00E168A1">
        <w:rPr>
          <w:rFonts w:ascii="Times New Roman" w:hAnsi="Times New Roman"/>
          <w:color w:val="000000"/>
        </w:rPr>
        <w:t xml:space="preserve"> </w:t>
      </w:r>
      <w:r w:rsidRPr="00E168A1">
        <w:rPr>
          <w:rFonts w:ascii="Times New Roman" w:hAnsi="Times New Roman"/>
          <w:color w:val="000000"/>
        </w:rPr>
        <w:t>modified</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value</w:t>
      </w:r>
      <w:r w:rsidR="00900061" w:rsidRPr="00E168A1">
        <w:rPr>
          <w:rFonts w:ascii="Times New Roman" w:hAnsi="Times New Roman"/>
          <w:color w:val="000000"/>
        </w:rPr>
        <w:t xml:space="preserve"> </w:t>
      </w:r>
      <w:r w:rsidR="005027B9" w:rsidRPr="00E168A1">
        <w:rPr>
          <w:rFonts w:ascii="Times New Roman" w:hAnsi="Times New Roman"/>
          <w:color w:val="000000"/>
        </w:rPr>
        <w:t>(</w:t>
      </w:r>
      <w:r w:rsidRPr="00E168A1">
        <w:rPr>
          <w:rFonts w:ascii="Times New Roman" w:hAnsi="Times New Roman"/>
          <w:color w:val="000000"/>
        </w:rPr>
        <w:t>if</w:t>
      </w:r>
      <w:r w:rsidR="00900061" w:rsidRPr="00E168A1">
        <w:rPr>
          <w:rFonts w:ascii="Times New Roman" w:hAnsi="Times New Roman"/>
          <w:color w:val="000000"/>
        </w:rPr>
        <w:t xml:space="preserve"> </w:t>
      </w:r>
      <w:r w:rsidRPr="00E168A1">
        <w:rPr>
          <w:rFonts w:ascii="Times New Roman" w:hAnsi="Times New Roman"/>
          <w:color w:val="000000"/>
        </w:rPr>
        <w:t>changed</w:t>
      </w:r>
      <w:r w:rsidR="005027B9" w:rsidRPr="00E168A1">
        <w:rPr>
          <w:rFonts w:ascii="Times New Roman" w:hAnsi="Times New Roman"/>
          <w:color w:val="000000"/>
        </w:rPr>
        <w:t>)</w:t>
      </w:r>
      <w:r w:rsidRPr="00E168A1">
        <w:rPr>
          <w:rFonts w:ascii="Times New Roman" w:hAnsi="Times New Roman"/>
          <w:color w:val="000000"/>
        </w:rPr>
        <w:t>,</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and </w:t>
      </w:r>
      <w:r w:rsidRPr="00E168A1">
        <w:rPr>
          <w:rFonts w:ascii="Times New Roman" w:hAnsi="Times New Roman"/>
          <w:color w:val="000000"/>
        </w:rPr>
        <w:t>objective</w:t>
      </w:r>
      <w:r w:rsidR="00900061" w:rsidRPr="00E168A1">
        <w:rPr>
          <w:rFonts w:ascii="Times New Roman" w:hAnsi="Times New Roman"/>
          <w:color w:val="000000"/>
        </w:rPr>
        <w:t xml:space="preserve"> </w:t>
      </w:r>
      <w:r w:rsidRPr="00E168A1">
        <w:rPr>
          <w:rFonts w:ascii="Times New Roman" w:hAnsi="Times New Roman"/>
          <w:color w:val="000000"/>
        </w:rPr>
        <w:t>reasons</w:t>
      </w:r>
      <w:r w:rsidR="00900061" w:rsidRPr="00E168A1">
        <w:rPr>
          <w:rFonts w:ascii="Times New Roman" w:hAnsi="Times New Roman"/>
          <w:color w:val="000000"/>
        </w:rPr>
        <w:t xml:space="preserve"> </w:t>
      </w:r>
      <w:r w:rsidRPr="00E168A1">
        <w:rPr>
          <w:rFonts w:ascii="Times New Roman" w:hAnsi="Times New Roman"/>
          <w:color w:val="000000"/>
        </w:rPr>
        <w:t>for</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modification,</w:t>
      </w:r>
      <w:r w:rsidR="00900061" w:rsidRPr="00E168A1">
        <w:rPr>
          <w:rFonts w:ascii="Times New Roman" w:hAnsi="Times New Roman"/>
          <w:color w:val="000000"/>
        </w:rPr>
        <w:t xml:space="preserve"> </w:t>
      </w:r>
      <w:r w:rsidRPr="00E168A1">
        <w:rPr>
          <w:rFonts w:ascii="Times New Roman" w:hAnsi="Times New Roman"/>
          <w:color w:val="000000"/>
        </w:rPr>
        <w:t>with</w:t>
      </w:r>
      <w:r w:rsidR="00900061" w:rsidRPr="00E168A1">
        <w:rPr>
          <w:rFonts w:ascii="Times New Roman" w:hAnsi="Times New Roman"/>
          <w:color w:val="000000"/>
        </w:rPr>
        <w:t xml:space="preserve"> </w:t>
      </w:r>
      <w:r w:rsidRPr="00E168A1">
        <w:rPr>
          <w:rFonts w:ascii="Times New Roman" w:hAnsi="Times New Roman"/>
          <w:color w:val="000000"/>
        </w:rPr>
        <w:t>an</w:t>
      </w:r>
      <w:r w:rsidR="00900061" w:rsidRPr="00E168A1">
        <w:rPr>
          <w:rFonts w:ascii="Times New Roman" w:hAnsi="Times New Roman"/>
          <w:color w:val="000000"/>
        </w:rPr>
        <w:t xml:space="preserve"> </w:t>
      </w:r>
      <w:r w:rsidRPr="00E168A1">
        <w:rPr>
          <w:rFonts w:ascii="Times New Roman" w:hAnsi="Times New Roman"/>
          <w:color w:val="000000"/>
        </w:rPr>
        <w:t>excerpt</w:t>
      </w:r>
      <w:r w:rsidR="00900061" w:rsidRPr="00E168A1">
        <w:rPr>
          <w:rFonts w:ascii="Times New Roman" w:hAnsi="Times New Roman"/>
          <w:color w:val="000000"/>
        </w:rPr>
        <w:t xml:space="preserve"> </w:t>
      </w:r>
      <w:r w:rsidRPr="00E168A1">
        <w:rPr>
          <w:rFonts w:ascii="Times New Roman" w:hAnsi="Times New Roman"/>
          <w:color w:val="000000"/>
        </w:rPr>
        <w:t>from</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the </w:t>
      </w:r>
      <w:r w:rsidRPr="00E168A1">
        <w:rPr>
          <w:rFonts w:ascii="Times New Roman" w:hAnsi="Times New Roman"/>
          <w:color w:val="000000"/>
        </w:rPr>
        <w:t>tender</w:t>
      </w:r>
      <w:r w:rsidR="00900061" w:rsidRPr="00E168A1">
        <w:rPr>
          <w:rFonts w:ascii="Times New Roman" w:hAnsi="Times New Roman"/>
          <w:color w:val="000000"/>
        </w:rPr>
        <w:t xml:space="preserve"> </w:t>
      </w:r>
      <w:r w:rsidRPr="00E168A1">
        <w:rPr>
          <w:rFonts w:ascii="Times New Roman" w:hAnsi="Times New Roman"/>
          <w:color w:val="000000"/>
        </w:rPr>
        <w:t>documentation</w:t>
      </w:r>
      <w:r w:rsidR="00900061" w:rsidRPr="00E168A1">
        <w:rPr>
          <w:rFonts w:ascii="Times New Roman" w:hAnsi="Times New Roman"/>
          <w:color w:val="000000"/>
        </w:rPr>
        <w:t xml:space="preserve"> </w:t>
      </w:r>
      <w:r w:rsidRPr="00E168A1">
        <w:rPr>
          <w:rFonts w:ascii="Times New Roman" w:hAnsi="Times New Roman"/>
          <w:color w:val="000000"/>
        </w:rPr>
        <w:t>or</w:t>
      </w:r>
      <w:r w:rsidR="00900061" w:rsidRPr="00E168A1">
        <w:rPr>
          <w:rFonts w:ascii="Times New Roman" w:hAnsi="Times New Roman"/>
          <w:color w:val="000000"/>
        </w:rPr>
        <w:t xml:space="preserve"> </w:t>
      </w:r>
      <w:r w:rsidRPr="00E168A1">
        <w:rPr>
          <w:rFonts w:ascii="Times New Roman" w:hAnsi="Times New Roman"/>
          <w:color w:val="000000"/>
        </w:rPr>
        <w:t>from</w:t>
      </w:r>
      <w:r w:rsidR="00900061" w:rsidRPr="00E168A1">
        <w:rPr>
          <w:rFonts w:ascii="Times New Roman" w:hAnsi="Times New Roman"/>
          <w:color w:val="000000"/>
        </w:rPr>
        <w:t xml:space="preserve"> </w:t>
      </w:r>
      <w:r w:rsidRPr="00E168A1">
        <w:rPr>
          <w:rFonts w:ascii="Times New Roman" w:hAnsi="Times New Roman"/>
          <w:color w:val="000000"/>
        </w:rPr>
        <w:t>relevant</w:t>
      </w:r>
      <w:r w:rsidR="00900061" w:rsidRPr="00E168A1">
        <w:rPr>
          <w:rFonts w:ascii="Times New Roman" w:hAnsi="Times New Roman"/>
          <w:color w:val="000000"/>
        </w:rPr>
        <w:t xml:space="preserve"> </w:t>
      </w:r>
      <w:r w:rsidRPr="00E168A1">
        <w:rPr>
          <w:rFonts w:ascii="Times New Roman" w:hAnsi="Times New Roman"/>
          <w:color w:val="000000"/>
        </w:rPr>
        <w:t>legislation</w:t>
      </w:r>
      <w:r w:rsidR="005027B9"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color w:val="000000"/>
        </w:rPr>
        <w:t>which</w:t>
      </w:r>
      <w:r w:rsidR="00900061" w:rsidRPr="00E168A1">
        <w:rPr>
          <w:rFonts w:ascii="Times New Roman" w:hAnsi="Times New Roman"/>
          <w:color w:val="000000"/>
        </w:rPr>
        <w:t xml:space="preserve"> </w:t>
      </w:r>
      <w:r w:rsidRPr="00E168A1">
        <w:rPr>
          <w:rFonts w:ascii="Times New Roman" w:hAnsi="Times New Roman"/>
          <w:color w:val="000000"/>
        </w:rPr>
        <w:t>contains</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grounds</w:t>
      </w:r>
      <w:r w:rsidR="00900061" w:rsidRPr="00E168A1">
        <w:rPr>
          <w:rFonts w:ascii="Times New Roman" w:hAnsi="Times New Roman"/>
          <w:color w:val="000000"/>
        </w:rPr>
        <w:t xml:space="preserve"> </w:t>
      </w:r>
      <w:r w:rsidRPr="00E168A1">
        <w:rPr>
          <w:rFonts w:ascii="Times New Roman" w:hAnsi="Times New Roman"/>
          <w:color w:val="000000"/>
        </w:rPr>
        <w:t>for</w:t>
      </w:r>
      <w:r w:rsidR="00900061" w:rsidRPr="00E168A1">
        <w:rPr>
          <w:rFonts w:ascii="Times New Roman" w:hAnsi="Times New Roman"/>
          <w:color w:val="000000"/>
        </w:rPr>
        <w:t xml:space="preserve"> </w:t>
      </w:r>
      <w:r w:rsidRPr="00E168A1">
        <w:rPr>
          <w:rFonts w:ascii="Times New Roman" w:hAnsi="Times New Roman"/>
          <w:color w:val="000000"/>
        </w:rPr>
        <w:t>modification.</w:t>
      </w:r>
      <w:r w:rsidR="00900061" w:rsidRPr="00E168A1">
        <w:rPr>
          <w:rFonts w:ascii="Times New Roman" w:hAnsi="Times New Roman"/>
          <w:color w:val="000000"/>
        </w:rPr>
        <w:t xml:space="preserve"> </w:t>
      </w:r>
      <w:r w:rsidRPr="00E168A1">
        <w:rPr>
          <w:rFonts w:ascii="Times New Roman" w:hAnsi="Times New Roman"/>
          <w:color w:val="000000"/>
        </w:rPr>
        <w:t>This</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be</w:t>
      </w:r>
      <w:r w:rsidR="00900061" w:rsidRPr="00E168A1">
        <w:rPr>
          <w:rFonts w:ascii="Times New Roman" w:hAnsi="Times New Roman"/>
          <w:color w:val="000000"/>
        </w:rPr>
        <w:t xml:space="preserve"> </w:t>
      </w:r>
      <w:r w:rsidRPr="00E168A1">
        <w:rPr>
          <w:rFonts w:ascii="Times New Roman" w:hAnsi="Times New Roman"/>
          <w:color w:val="000000"/>
        </w:rPr>
        <w:t>published</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5027B9" w:rsidRPr="00E168A1">
        <w:rPr>
          <w:rFonts w:ascii="Times New Roman" w:hAnsi="Times New Roman"/>
          <w:color w:val="000000"/>
        </w:rPr>
        <w:t>p</w:t>
      </w:r>
      <w:r w:rsidRPr="00E168A1">
        <w:rPr>
          <w:rFonts w:ascii="Times New Roman" w:hAnsi="Times New Roman"/>
          <w:color w:val="000000"/>
        </w:rPr>
        <w:t>ublic</w:t>
      </w:r>
      <w:r w:rsidR="00900061" w:rsidRPr="00E168A1">
        <w:rPr>
          <w:rFonts w:ascii="Times New Roman" w:hAnsi="Times New Roman"/>
          <w:color w:val="000000"/>
        </w:rPr>
        <w:t xml:space="preserve"> </w:t>
      </w:r>
      <w:r w:rsidR="005027B9" w:rsidRPr="00E168A1">
        <w:rPr>
          <w:rFonts w:ascii="Times New Roman" w:hAnsi="Times New Roman"/>
          <w:color w:val="000000"/>
        </w:rPr>
        <w:t>p</w:t>
      </w:r>
      <w:r w:rsidRPr="00E168A1">
        <w:rPr>
          <w:rFonts w:ascii="Times New Roman" w:hAnsi="Times New Roman"/>
          <w:color w:val="000000"/>
        </w:rPr>
        <w:t>rocurement</w:t>
      </w:r>
      <w:r w:rsidR="00900061" w:rsidRPr="00E168A1">
        <w:rPr>
          <w:rFonts w:ascii="Times New Roman" w:hAnsi="Times New Roman"/>
          <w:color w:val="000000"/>
        </w:rPr>
        <w:t xml:space="preserve"> </w:t>
      </w:r>
      <w:r w:rsidR="005027B9" w:rsidRPr="00E168A1">
        <w:rPr>
          <w:rFonts w:ascii="Times New Roman" w:hAnsi="Times New Roman"/>
          <w:color w:val="000000"/>
        </w:rPr>
        <w:t>p</w:t>
      </w:r>
      <w:r w:rsidRPr="00E168A1">
        <w:rPr>
          <w:rFonts w:ascii="Times New Roman" w:hAnsi="Times New Roman"/>
          <w:color w:val="000000"/>
        </w:rPr>
        <w:t>ortal</w:t>
      </w:r>
      <w:r w:rsidR="00900061" w:rsidRPr="00E168A1">
        <w:rPr>
          <w:rFonts w:ascii="Times New Roman" w:hAnsi="Times New Roman"/>
          <w:color w:val="000000"/>
        </w:rPr>
        <w:t xml:space="preserve"> </w:t>
      </w:r>
      <w:r w:rsidRPr="00E168A1">
        <w:rPr>
          <w:rFonts w:ascii="Times New Roman" w:hAnsi="Times New Roman"/>
          <w:color w:val="000000"/>
        </w:rPr>
        <w:t>within</w:t>
      </w:r>
      <w:r w:rsidR="00900061" w:rsidRPr="00E168A1">
        <w:rPr>
          <w:rFonts w:ascii="Times New Roman" w:hAnsi="Times New Roman"/>
          <w:color w:val="000000"/>
        </w:rPr>
        <w:t xml:space="preserve"> </w:t>
      </w:r>
      <w:r w:rsidRPr="00E168A1">
        <w:rPr>
          <w:rFonts w:ascii="Times New Roman" w:hAnsi="Times New Roman"/>
          <w:color w:val="000000"/>
        </w:rPr>
        <w:t>three</w:t>
      </w:r>
      <w:r w:rsidR="00900061" w:rsidRPr="00E168A1">
        <w:rPr>
          <w:rFonts w:ascii="Times New Roman" w:hAnsi="Times New Roman"/>
          <w:color w:val="000000"/>
        </w:rPr>
        <w:t xml:space="preserve"> </w:t>
      </w:r>
      <w:r w:rsidRPr="00E168A1">
        <w:rPr>
          <w:rFonts w:ascii="Times New Roman" w:hAnsi="Times New Roman"/>
          <w:color w:val="000000"/>
        </w:rPr>
        <w:t>days</w:t>
      </w:r>
      <w:r w:rsidR="00900061" w:rsidRPr="00E168A1">
        <w:rPr>
          <w:rFonts w:ascii="Times New Roman" w:hAnsi="Times New Roman"/>
          <w:color w:val="000000"/>
        </w:rPr>
        <w:t xml:space="preserve"> </w:t>
      </w:r>
      <w:r w:rsidRPr="00E168A1">
        <w:rPr>
          <w:rFonts w:ascii="Times New Roman" w:hAnsi="Times New Roman"/>
          <w:color w:val="000000"/>
        </w:rPr>
        <w:t>from</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day</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making</w:t>
      </w:r>
      <w:r w:rsidR="00900061" w:rsidRPr="00E168A1">
        <w:rPr>
          <w:rFonts w:ascii="Times New Roman" w:hAnsi="Times New Roman"/>
          <w:color w:val="000000"/>
        </w:rPr>
        <w:t xml:space="preserve"> </w:t>
      </w:r>
      <w:r w:rsidR="005027B9" w:rsidRPr="00E168A1">
        <w:rPr>
          <w:rFonts w:ascii="Times New Roman" w:hAnsi="Times New Roman"/>
          <w:color w:val="000000"/>
        </w:rPr>
        <w:t>the decision</w:t>
      </w:r>
      <w:r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color w:val="000000"/>
        </w:rPr>
        <w:t>Contracting</w:t>
      </w:r>
      <w:r w:rsidR="00900061" w:rsidRPr="00E168A1">
        <w:rPr>
          <w:rFonts w:ascii="Times New Roman" w:hAnsi="Times New Roman"/>
          <w:color w:val="000000"/>
        </w:rPr>
        <w:t xml:space="preserve"> </w:t>
      </w:r>
      <w:r w:rsidRPr="00E168A1">
        <w:rPr>
          <w:rFonts w:ascii="Times New Roman" w:hAnsi="Times New Roman"/>
          <w:color w:val="000000"/>
        </w:rPr>
        <w:t>authorities</w:t>
      </w:r>
      <w:r w:rsidR="00900061" w:rsidRPr="00E168A1">
        <w:rPr>
          <w:rFonts w:ascii="Times New Roman" w:hAnsi="Times New Roman"/>
          <w:color w:val="000000"/>
        </w:rPr>
        <w:t xml:space="preserve"> </w:t>
      </w:r>
      <w:r w:rsidRPr="00E168A1">
        <w:rPr>
          <w:rFonts w:ascii="Times New Roman" w:hAnsi="Times New Roman"/>
          <w:color w:val="000000"/>
        </w:rPr>
        <w:t>have</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submit</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report</w:t>
      </w:r>
      <w:r w:rsidR="00900061" w:rsidRPr="00E168A1">
        <w:rPr>
          <w:rFonts w:ascii="Times New Roman" w:hAnsi="Times New Roman"/>
          <w:color w:val="000000"/>
        </w:rPr>
        <w:t xml:space="preserve"> </w:t>
      </w:r>
      <w:r w:rsidR="005027B9" w:rsidRPr="00E168A1">
        <w:rPr>
          <w:rFonts w:ascii="Times New Roman" w:hAnsi="Times New Roman"/>
          <w:color w:val="000000"/>
        </w:rPr>
        <w:t xml:space="preserve">on contractual modifications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5F3BAA" w:rsidRPr="00E168A1">
        <w:rPr>
          <w:rFonts w:ascii="Times New Roman" w:hAnsi="Times New Roman"/>
          <w:color w:val="000000"/>
        </w:rPr>
        <w:t>PPO</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SAI.</w:t>
      </w:r>
      <w:r w:rsidR="00900061" w:rsidRPr="00E168A1">
        <w:rPr>
          <w:rFonts w:ascii="Times New Roman" w:hAnsi="Times New Roman"/>
          <w:color w:val="000000"/>
        </w:rPr>
        <w:t xml:space="preserve"> </w:t>
      </w:r>
      <w:r w:rsidRPr="00E168A1">
        <w:rPr>
          <w:rFonts w:ascii="Times New Roman" w:hAnsi="Times New Roman"/>
          <w:color w:val="000000"/>
        </w:rPr>
        <w:t>Mandatory</w:t>
      </w:r>
      <w:r w:rsidR="00900061" w:rsidRPr="00E168A1">
        <w:rPr>
          <w:rFonts w:ascii="Times New Roman" w:hAnsi="Times New Roman"/>
          <w:color w:val="000000"/>
        </w:rPr>
        <w:t xml:space="preserve"> </w:t>
      </w:r>
      <w:r w:rsidRPr="00E168A1">
        <w:rPr>
          <w:rFonts w:ascii="Times New Roman" w:hAnsi="Times New Roman"/>
          <w:color w:val="000000"/>
        </w:rPr>
        <w:t>quarterly</w:t>
      </w:r>
      <w:r w:rsidR="00900061" w:rsidRPr="00E168A1">
        <w:rPr>
          <w:rFonts w:ascii="Times New Roman" w:hAnsi="Times New Roman"/>
          <w:color w:val="000000"/>
        </w:rPr>
        <w:t xml:space="preserve"> </w:t>
      </w:r>
      <w:r w:rsidRPr="00E168A1">
        <w:rPr>
          <w:rFonts w:ascii="Times New Roman" w:hAnsi="Times New Roman"/>
          <w:color w:val="000000"/>
        </w:rPr>
        <w:t>reports</w:t>
      </w:r>
      <w:r w:rsidR="00900061" w:rsidRPr="00E168A1">
        <w:rPr>
          <w:rFonts w:ascii="Times New Roman" w:hAnsi="Times New Roman"/>
          <w:color w:val="000000"/>
        </w:rPr>
        <w:t xml:space="preserve"> </w:t>
      </w:r>
      <w:r w:rsidRPr="00E168A1">
        <w:rPr>
          <w:rFonts w:ascii="Times New Roman" w:hAnsi="Times New Roman"/>
          <w:color w:val="000000"/>
        </w:rPr>
        <w:t>prepared</w:t>
      </w:r>
      <w:r w:rsidR="00900061" w:rsidRPr="00E168A1">
        <w:rPr>
          <w:rFonts w:ascii="Times New Roman" w:hAnsi="Times New Roman"/>
          <w:color w:val="000000"/>
        </w:rPr>
        <w:t xml:space="preserve"> </w:t>
      </w:r>
      <w:r w:rsidRPr="00E168A1">
        <w:rPr>
          <w:rFonts w:ascii="Times New Roman" w:hAnsi="Times New Roman"/>
          <w:color w:val="000000"/>
        </w:rPr>
        <w:t>by</w:t>
      </w:r>
      <w:r w:rsidR="00900061" w:rsidRPr="00E168A1">
        <w:rPr>
          <w:rFonts w:ascii="Times New Roman" w:hAnsi="Times New Roman"/>
          <w:color w:val="000000"/>
        </w:rPr>
        <w:t xml:space="preserve"> </w:t>
      </w:r>
      <w:r w:rsidRPr="00E168A1">
        <w:rPr>
          <w:rFonts w:ascii="Times New Roman" w:hAnsi="Times New Roman"/>
          <w:color w:val="000000"/>
        </w:rPr>
        <w:t>contract</w:t>
      </w:r>
      <w:r w:rsidR="00900061" w:rsidRPr="00E168A1">
        <w:rPr>
          <w:rFonts w:ascii="Times New Roman" w:hAnsi="Times New Roman"/>
          <w:color w:val="000000"/>
        </w:rPr>
        <w:t xml:space="preserve"> </w:t>
      </w:r>
      <w:r w:rsidRPr="00E168A1">
        <w:rPr>
          <w:rFonts w:ascii="Times New Roman" w:hAnsi="Times New Roman"/>
          <w:color w:val="000000"/>
        </w:rPr>
        <w:t>authorities</w:t>
      </w:r>
      <w:r w:rsidR="00900061" w:rsidRPr="00E168A1">
        <w:rPr>
          <w:rFonts w:ascii="Times New Roman" w:hAnsi="Times New Roman"/>
          <w:color w:val="000000"/>
        </w:rPr>
        <w:t xml:space="preserve"> </w:t>
      </w:r>
      <w:r w:rsidRPr="00E168A1">
        <w:rPr>
          <w:rFonts w:ascii="Times New Roman" w:hAnsi="Times New Roman"/>
          <w:color w:val="000000"/>
        </w:rPr>
        <w:t>delivered</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5F3BAA" w:rsidRPr="00E168A1">
        <w:rPr>
          <w:rFonts w:ascii="Times New Roman" w:hAnsi="Times New Roman"/>
          <w:color w:val="000000"/>
        </w:rPr>
        <w:t>PPO</w:t>
      </w:r>
      <w:r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color w:val="000000"/>
        </w:rPr>
        <w:t>among</w:t>
      </w:r>
      <w:r w:rsidR="00900061" w:rsidRPr="00E168A1">
        <w:rPr>
          <w:rFonts w:ascii="Times New Roman" w:hAnsi="Times New Roman"/>
          <w:color w:val="000000"/>
        </w:rPr>
        <w:t xml:space="preserve"> </w:t>
      </w:r>
      <w:r w:rsidRPr="00E168A1">
        <w:rPr>
          <w:rFonts w:ascii="Times New Roman" w:hAnsi="Times New Roman"/>
          <w:color w:val="000000"/>
        </w:rPr>
        <w:t>others,</w:t>
      </w:r>
      <w:r w:rsidR="00900061" w:rsidRPr="00E168A1">
        <w:rPr>
          <w:rFonts w:ascii="Times New Roman" w:hAnsi="Times New Roman"/>
          <w:color w:val="000000"/>
        </w:rPr>
        <w:t xml:space="preserve"> </w:t>
      </w:r>
      <w:r w:rsidRPr="00E168A1">
        <w:rPr>
          <w:rFonts w:ascii="Times New Roman" w:hAnsi="Times New Roman"/>
          <w:color w:val="000000"/>
        </w:rPr>
        <w:t>have</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contain</w:t>
      </w:r>
      <w:r w:rsidR="00900061" w:rsidRPr="00E168A1">
        <w:rPr>
          <w:rFonts w:ascii="Times New Roman" w:hAnsi="Times New Roman"/>
          <w:color w:val="000000"/>
        </w:rPr>
        <w:t xml:space="preserve"> </w:t>
      </w:r>
      <w:r w:rsidRPr="00E168A1">
        <w:rPr>
          <w:rFonts w:ascii="Times New Roman" w:hAnsi="Times New Roman"/>
          <w:color w:val="000000"/>
        </w:rPr>
        <w:t>information</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Pr="00E168A1">
        <w:rPr>
          <w:rFonts w:ascii="Times New Roman" w:hAnsi="Times New Roman"/>
          <w:color w:val="000000"/>
        </w:rPr>
        <w:t>awarded</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contracts,</w:t>
      </w:r>
      <w:r w:rsidR="00900061" w:rsidRPr="00E168A1">
        <w:rPr>
          <w:rFonts w:ascii="Times New Roman" w:hAnsi="Times New Roman"/>
          <w:color w:val="000000"/>
        </w:rPr>
        <w:t xml:space="preserve"> </w:t>
      </w:r>
      <w:r w:rsidRPr="00E168A1">
        <w:rPr>
          <w:rFonts w:ascii="Times New Roman" w:hAnsi="Times New Roman"/>
          <w:color w:val="000000"/>
        </w:rPr>
        <w:t>amended</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contracts</w:t>
      </w:r>
      <w:r w:rsidR="005027B9"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execution</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public</w:t>
      </w:r>
      <w:r w:rsidR="00900061" w:rsidRPr="00E168A1">
        <w:rPr>
          <w:rFonts w:ascii="Times New Roman" w:hAnsi="Times New Roman"/>
          <w:color w:val="000000"/>
        </w:rPr>
        <w:t xml:space="preserve"> </w:t>
      </w:r>
      <w:r w:rsidRPr="00E168A1">
        <w:rPr>
          <w:rFonts w:ascii="Times New Roman" w:hAnsi="Times New Roman"/>
          <w:color w:val="000000"/>
        </w:rPr>
        <w:t>procurement</w:t>
      </w:r>
      <w:r w:rsidR="00900061" w:rsidRPr="00E168A1">
        <w:rPr>
          <w:rFonts w:ascii="Times New Roman" w:hAnsi="Times New Roman"/>
          <w:color w:val="000000"/>
        </w:rPr>
        <w:t xml:space="preserve"> </w:t>
      </w:r>
      <w:r w:rsidRPr="00E168A1">
        <w:rPr>
          <w:rFonts w:ascii="Times New Roman" w:hAnsi="Times New Roman"/>
          <w:color w:val="000000"/>
        </w:rPr>
        <w:t>contracts.</w:t>
      </w:r>
    </w:p>
    <w:p w14:paraId="0F46953E" w14:textId="77777777" w:rsidR="00572AF8" w:rsidRPr="00E168A1" w:rsidRDefault="00572AF8" w:rsidP="00645878">
      <w:pPr>
        <w:widowControl w:val="0"/>
        <w:rPr>
          <w:rFonts w:ascii="Times New Roman" w:hAnsi="Times New Roman"/>
        </w:rPr>
      </w:pPr>
    </w:p>
    <w:p w14:paraId="21D828F8" w14:textId="3E505E31" w:rsidR="00706095" w:rsidRPr="00A90FD9" w:rsidRDefault="006368F3" w:rsidP="000E798B">
      <w:pPr>
        <w:pStyle w:val="Heading1"/>
        <w:spacing w:before="120" w:after="120" w:line="240" w:lineRule="auto"/>
        <w:ind w:left="0" w:firstLine="0"/>
        <w:rPr>
          <w:b w:val="0"/>
        </w:rPr>
      </w:pPr>
      <w:bookmarkStart w:id="52" w:name="_Toc442428973"/>
      <w:bookmarkEnd w:id="33"/>
      <w:r w:rsidRPr="00A90FD9">
        <w:t>Governance</w:t>
      </w:r>
      <w:r w:rsidR="00900061" w:rsidRPr="00A90FD9">
        <w:t xml:space="preserve"> </w:t>
      </w:r>
      <w:r w:rsidRPr="00A90FD9">
        <w:t>and</w:t>
      </w:r>
      <w:r w:rsidR="00900061" w:rsidRPr="00E168A1">
        <w:t xml:space="preserve"> </w:t>
      </w:r>
      <w:r w:rsidRPr="00A90FD9">
        <w:t>A</w:t>
      </w:r>
      <w:r w:rsidR="00D54E2E" w:rsidRPr="00A90FD9">
        <w:t>nti</w:t>
      </w:r>
      <w:r w:rsidR="00F7330C" w:rsidRPr="00A90FD9">
        <w:t>c</w:t>
      </w:r>
      <w:r w:rsidR="00D54E2E" w:rsidRPr="00A90FD9">
        <w:t>orruption</w:t>
      </w:r>
      <w:r w:rsidR="00900061" w:rsidRPr="00A90FD9">
        <w:t xml:space="preserve"> </w:t>
      </w:r>
      <w:r w:rsidR="00D54E2E" w:rsidRPr="00A90FD9">
        <w:t>Arrangements</w:t>
      </w:r>
      <w:bookmarkEnd w:id="52"/>
    </w:p>
    <w:p w14:paraId="7CA86378" w14:textId="77777777" w:rsidR="005017E6" w:rsidRPr="00A90FD9" w:rsidRDefault="004A52AD" w:rsidP="000E798B">
      <w:pPr>
        <w:pStyle w:val="Heading2"/>
        <w:spacing w:before="120" w:after="120" w:line="240" w:lineRule="auto"/>
        <w:ind w:left="0" w:firstLine="0"/>
      </w:pPr>
      <w:bookmarkStart w:id="53" w:name="_Toc442428974"/>
      <w:r w:rsidRPr="00A90FD9">
        <w:t>Overview of the Fraud and Corruption Legal and Institutional Framework</w:t>
      </w:r>
      <w:bookmarkEnd w:id="53"/>
      <w:r w:rsidR="00900061" w:rsidRPr="00A90FD9">
        <w:t xml:space="preserve"> </w:t>
      </w:r>
    </w:p>
    <w:p w14:paraId="62FCE755" w14:textId="131A6F29" w:rsidR="00837F94" w:rsidRPr="00E168A1" w:rsidRDefault="00F7330C" w:rsidP="00645878">
      <w:pPr>
        <w:pStyle w:val="ListParagraph"/>
        <w:numPr>
          <w:ilvl w:val="0"/>
          <w:numId w:val="9"/>
        </w:numPr>
        <w:ind w:left="0" w:firstLine="0"/>
        <w:contextualSpacing w:val="0"/>
        <w:rPr>
          <w:rFonts w:ascii="Times New Roman" w:eastAsiaTheme="minorHAnsi" w:hAnsi="Times New Roman"/>
        </w:rPr>
      </w:pPr>
      <w:r w:rsidRPr="00A90FD9">
        <w:rPr>
          <w:rFonts w:ascii="Times New Roman" w:hAnsi="Times New Roman"/>
          <w:b/>
        </w:rPr>
        <w:t>A</w:t>
      </w:r>
      <w:r w:rsidR="00837F94" w:rsidRPr="00A90FD9">
        <w:rPr>
          <w:rFonts w:ascii="Times New Roman" w:hAnsi="Times New Roman"/>
          <w:b/>
        </w:rPr>
        <w:t>n</w:t>
      </w:r>
      <w:r w:rsidR="00900061" w:rsidRPr="00A90FD9">
        <w:rPr>
          <w:rFonts w:ascii="Times New Roman" w:hAnsi="Times New Roman"/>
          <w:b/>
        </w:rPr>
        <w:t xml:space="preserve"> </w:t>
      </w:r>
      <w:r w:rsidR="00837F94" w:rsidRPr="00A90FD9">
        <w:rPr>
          <w:rFonts w:ascii="Times New Roman" w:hAnsi="Times New Roman"/>
          <w:b/>
        </w:rPr>
        <w:t>overarching</w:t>
      </w:r>
      <w:r w:rsidR="00900061" w:rsidRPr="00A90FD9">
        <w:rPr>
          <w:rFonts w:ascii="Times New Roman" w:hAnsi="Times New Roman"/>
          <w:b/>
        </w:rPr>
        <w:t xml:space="preserve"> </w:t>
      </w:r>
      <w:r w:rsidR="00837F94" w:rsidRPr="00A90FD9">
        <w:rPr>
          <w:rFonts w:ascii="Times New Roman" w:hAnsi="Times New Roman"/>
          <w:b/>
        </w:rPr>
        <w:t>Anti</w:t>
      </w:r>
      <w:r w:rsidR="00193073" w:rsidRPr="00E168A1">
        <w:rPr>
          <w:rFonts w:ascii="Times New Roman" w:hAnsi="Times New Roman"/>
          <w:b/>
        </w:rPr>
        <w:t>c</w:t>
      </w:r>
      <w:r w:rsidR="00837F94" w:rsidRPr="00E168A1">
        <w:rPr>
          <w:rFonts w:ascii="Times New Roman" w:hAnsi="Times New Roman"/>
          <w:b/>
        </w:rPr>
        <w:t>orruption</w:t>
      </w:r>
      <w:r w:rsidR="00900061" w:rsidRPr="00E168A1">
        <w:rPr>
          <w:rFonts w:ascii="Times New Roman" w:hAnsi="Times New Roman"/>
          <w:b/>
        </w:rPr>
        <w:t xml:space="preserve"> </w:t>
      </w:r>
      <w:r w:rsidR="00837F94" w:rsidRPr="00E168A1">
        <w:rPr>
          <w:rFonts w:ascii="Times New Roman" w:hAnsi="Times New Roman"/>
          <w:b/>
        </w:rPr>
        <w:t>Strategy</w:t>
      </w:r>
      <w:r w:rsidR="00900061" w:rsidRPr="00E168A1">
        <w:rPr>
          <w:rFonts w:ascii="Times New Roman" w:hAnsi="Times New Roman"/>
          <w:b/>
        </w:rPr>
        <w:t xml:space="preserve"> </w:t>
      </w:r>
      <w:r w:rsidR="00837F94" w:rsidRPr="00E168A1">
        <w:rPr>
          <w:rFonts w:ascii="Times New Roman" w:hAnsi="Times New Roman"/>
          <w:b/>
        </w:rPr>
        <w:t>for</w:t>
      </w:r>
      <w:r w:rsidR="00900061" w:rsidRPr="00E168A1">
        <w:rPr>
          <w:rFonts w:ascii="Times New Roman" w:hAnsi="Times New Roman"/>
          <w:b/>
        </w:rPr>
        <w:t xml:space="preserve"> </w:t>
      </w:r>
      <w:r w:rsidR="00837F94" w:rsidRPr="00E168A1">
        <w:rPr>
          <w:rFonts w:ascii="Times New Roman" w:hAnsi="Times New Roman"/>
          <w:b/>
        </w:rPr>
        <w:t>the</w:t>
      </w:r>
      <w:r w:rsidR="00900061" w:rsidRPr="00E168A1">
        <w:rPr>
          <w:rFonts w:ascii="Times New Roman" w:hAnsi="Times New Roman"/>
          <w:b/>
        </w:rPr>
        <w:t xml:space="preserve"> </w:t>
      </w:r>
      <w:r w:rsidR="00837F94" w:rsidRPr="00E168A1">
        <w:rPr>
          <w:rFonts w:ascii="Times New Roman" w:hAnsi="Times New Roman"/>
          <w:b/>
        </w:rPr>
        <w:t>period</w:t>
      </w:r>
      <w:r w:rsidR="00900061" w:rsidRPr="00E168A1">
        <w:rPr>
          <w:rFonts w:ascii="Times New Roman" w:hAnsi="Times New Roman"/>
          <w:b/>
        </w:rPr>
        <w:t xml:space="preserve"> </w:t>
      </w:r>
      <w:r w:rsidR="00837F94" w:rsidRPr="00E168A1">
        <w:rPr>
          <w:rFonts w:ascii="Times New Roman" w:hAnsi="Times New Roman"/>
          <w:b/>
        </w:rPr>
        <w:t>2013–2018</w:t>
      </w:r>
      <w:r w:rsidRPr="00E168A1">
        <w:rPr>
          <w:rFonts w:ascii="Times New Roman" w:hAnsi="Times New Roman"/>
          <w:b/>
        </w:rPr>
        <w:t xml:space="preserve"> is</w:t>
      </w:r>
      <w:r w:rsidR="00900061" w:rsidRPr="00E168A1">
        <w:rPr>
          <w:rFonts w:ascii="Times New Roman" w:hAnsi="Times New Roman"/>
          <w:b/>
        </w:rPr>
        <w:t xml:space="preserve"> </w:t>
      </w:r>
      <w:r w:rsidR="00837F94" w:rsidRPr="00E168A1">
        <w:rPr>
          <w:rFonts w:ascii="Times New Roman" w:hAnsi="Times New Roman"/>
          <w:b/>
        </w:rPr>
        <w:t>in</w:t>
      </w:r>
      <w:r w:rsidR="00900061" w:rsidRPr="00E168A1">
        <w:rPr>
          <w:rFonts w:ascii="Times New Roman" w:hAnsi="Times New Roman"/>
          <w:b/>
        </w:rPr>
        <w:t xml:space="preserve"> </w:t>
      </w:r>
      <w:r w:rsidR="00837F94" w:rsidRPr="00E168A1">
        <w:rPr>
          <w:rFonts w:ascii="Times New Roman" w:hAnsi="Times New Roman"/>
          <w:b/>
        </w:rPr>
        <w:t>place</w:t>
      </w:r>
      <w:r w:rsidR="00900061" w:rsidRPr="00E168A1">
        <w:rPr>
          <w:rFonts w:ascii="Times New Roman" w:hAnsi="Times New Roman"/>
          <w:b/>
        </w:rPr>
        <w:t xml:space="preserve"> </w:t>
      </w:r>
      <w:r w:rsidR="00837F94" w:rsidRPr="00E168A1">
        <w:rPr>
          <w:rFonts w:ascii="Times New Roman" w:hAnsi="Times New Roman"/>
          <w:b/>
        </w:rPr>
        <w:t>and</w:t>
      </w:r>
      <w:r w:rsidR="00900061" w:rsidRPr="00E168A1">
        <w:rPr>
          <w:rFonts w:ascii="Times New Roman" w:hAnsi="Times New Roman"/>
          <w:b/>
        </w:rPr>
        <w:t xml:space="preserve"> </w:t>
      </w:r>
      <w:r w:rsidR="00837F94" w:rsidRPr="00E168A1">
        <w:rPr>
          <w:rFonts w:ascii="Times New Roman" w:hAnsi="Times New Roman"/>
          <w:b/>
        </w:rPr>
        <w:t>its</w:t>
      </w:r>
      <w:r w:rsidR="00900061" w:rsidRPr="00E168A1">
        <w:rPr>
          <w:rFonts w:ascii="Times New Roman" w:hAnsi="Times New Roman"/>
          <w:b/>
        </w:rPr>
        <w:t xml:space="preserve"> </w:t>
      </w:r>
      <w:r w:rsidR="00837F94" w:rsidRPr="00E168A1">
        <w:rPr>
          <w:rFonts w:ascii="Times New Roman" w:hAnsi="Times New Roman"/>
          <w:b/>
        </w:rPr>
        <w:t>implementation</w:t>
      </w:r>
      <w:r w:rsidR="00900061" w:rsidRPr="00E168A1">
        <w:rPr>
          <w:rFonts w:ascii="Times New Roman" w:hAnsi="Times New Roman"/>
          <w:b/>
        </w:rPr>
        <w:t xml:space="preserve"> </w:t>
      </w:r>
      <w:r w:rsidR="00837F94" w:rsidRPr="00E168A1">
        <w:rPr>
          <w:rFonts w:ascii="Times New Roman" w:hAnsi="Times New Roman"/>
          <w:b/>
        </w:rPr>
        <w:t>is</w:t>
      </w:r>
      <w:r w:rsidR="00900061" w:rsidRPr="00E168A1">
        <w:rPr>
          <w:rFonts w:ascii="Times New Roman" w:hAnsi="Times New Roman"/>
          <w:b/>
        </w:rPr>
        <w:t xml:space="preserve"> </w:t>
      </w:r>
      <w:r w:rsidR="00837F94" w:rsidRPr="00E168A1">
        <w:rPr>
          <w:rFonts w:ascii="Times New Roman" w:hAnsi="Times New Roman"/>
          <w:b/>
        </w:rPr>
        <w:t>under</w:t>
      </w:r>
      <w:r w:rsidRPr="00E168A1">
        <w:rPr>
          <w:rFonts w:ascii="Times New Roman" w:hAnsi="Times New Roman"/>
          <w:b/>
        </w:rPr>
        <w:t xml:space="preserve"> </w:t>
      </w:r>
      <w:r w:rsidR="00837F94" w:rsidRPr="00E168A1">
        <w:rPr>
          <w:rFonts w:ascii="Times New Roman" w:hAnsi="Times New Roman"/>
          <w:b/>
        </w:rPr>
        <w:t>way.</w:t>
      </w:r>
      <w:r w:rsidR="00900061" w:rsidRPr="00E168A1">
        <w:rPr>
          <w:rFonts w:ascii="Times New Roman" w:hAnsi="Times New Roman"/>
        </w:rPr>
        <w:t xml:space="preserve"> </w:t>
      </w:r>
      <w:r w:rsidR="00837F94" w:rsidRPr="00E168A1">
        <w:rPr>
          <w:rFonts w:ascii="Times New Roman" w:hAnsi="Times New Roman"/>
        </w:rPr>
        <w:t>Progress</w:t>
      </w:r>
      <w:r w:rsidR="00900061" w:rsidRPr="00E168A1">
        <w:rPr>
          <w:rFonts w:ascii="Times New Roman" w:hAnsi="Times New Roman"/>
        </w:rPr>
        <w:t xml:space="preserve"> </w:t>
      </w:r>
      <w:r w:rsidR="00837F94" w:rsidRPr="00E168A1">
        <w:rPr>
          <w:rFonts w:ascii="Times New Roman" w:hAnsi="Times New Roman"/>
        </w:rPr>
        <w:t>on</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implementation</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respective</w:t>
      </w:r>
      <w:r w:rsidR="00900061" w:rsidRPr="00E168A1">
        <w:rPr>
          <w:rFonts w:ascii="Times New Roman" w:hAnsi="Times New Roman"/>
        </w:rPr>
        <w:t xml:space="preserve"> </w:t>
      </w:r>
      <w:r w:rsidR="00837F94" w:rsidRPr="00E168A1">
        <w:rPr>
          <w:rFonts w:ascii="Times New Roman" w:hAnsi="Times New Roman"/>
        </w:rPr>
        <w:t>Action</w:t>
      </w:r>
      <w:r w:rsidR="00900061" w:rsidRPr="00E168A1">
        <w:rPr>
          <w:rFonts w:ascii="Times New Roman" w:hAnsi="Times New Roman"/>
        </w:rPr>
        <w:t xml:space="preserve"> </w:t>
      </w:r>
      <w:r w:rsidR="00837F94" w:rsidRPr="00E168A1">
        <w:rPr>
          <w:rFonts w:ascii="Times New Roman" w:hAnsi="Times New Roman"/>
        </w:rPr>
        <w:t>Plan</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E168A1">
        <w:rPr>
          <w:rFonts w:ascii="Times New Roman" w:hAnsi="Times New Roman"/>
        </w:rPr>
        <w:t>reported</w:t>
      </w:r>
      <w:r w:rsidR="00900061" w:rsidRPr="00E168A1">
        <w:rPr>
          <w:rFonts w:ascii="Times New Roman" w:hAnsi="Times New Roman"/>
        </w:rPr>
        <w:t xml:space="preserve"> </w:t>
      </w:r>
      <w:r w:rsidR="00837F94" w:rsidRPr="00E168A1">
        <w:rPr>
          <w:rFonts w:ascii="Times New Roman" w:hAnsi="Times New Roman"/>
        </w:rPr>
        <w:t>by</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entities</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holders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authorities</w:t>
      </w:r>
      <w:r w:rsidR="00900061" w:rsidRPr="00E168A1">
        <w:rPr>
          <w:rFonts w:ascii="Times New Roman" w:hAnsi="Times New Roman"/>
        </w:rPr>
        <w:t xml:space="preserve"> </w:t>
      </w:r>
      <w:r w:rsidR="00837F94" w:rsidRPr="00E168A1">
        <w:rPr>
          <w:rFonts w:ascii="Times New Roman" w:hAnsi="Times New Roman"/>
        </w:rPr>
        <w:t>charged</w:t>
      </w:r>
      <w:r w:rsidR="00900061" w:rsidRPr="00E168A1">
        <w:rPr>
          <w:rFonts w:ascii="Times New Roman" w:hAnsi="Times New Roman"/>
        </w:rPr>
        <w:t xml:space="preserve"> </w:t>
      </w:r>
      <w:r w:rsidR="00837F94" w:rsidRPr="00E168A1">
        <w:rPr>
          <w:rFonts w:ascii="Times New Roman" w:hAnsi="Times New Roman"/>
        </w:rPr>
        <w:t>with</w:t>
      </w:r>
      <w:r w:rsidR="00900061" w:rsidRPr="00E168A1">
        <w:rPr>
          <w:rFonts w:ascii="Times New Roman" w:hAnsi="Times New Roman"/>
        </w:rPr>
        <w:t xml:space="preserve"> </w:t>
      </w:r>
      <w:r w:rsidR="00837F94" w:rsidRPr="00E168A1">
        <w:rPr>
          <w:rFonts w:ascii="Times New Roman" w:hAnsi="Times New Roman"/>
        </w:rPr>
        <w:t>its</w:t>
      </w:r>
      <w:r w:rsidR="00900061" w:rsidRPr="00E168A1">
        <w:rPr>
          <w:rFonts w:ascii="Times New Roman" w:hAnsi="Times New Roman"/>
        </w:rPr>
        <w:t xml:space="preserve"> </w:t>
      </w:r>
      <w:r w:rsidR="00837F94" w:rsidRPr="00E168A1">
        <w:rPr>
          <w:rFonts w:ascii="Times New Roman" w:hAnsi="Times New Roman"/>
        </w:rPr>
        <w:t>implementation</w:t>
      </w:r>
      <w:r w:rsidR="00900061" w:rsidRPr="00E168A1">
        <w:rPr>
          <w:rFonts w:ascii="Times New Roman" w:hAnsi="Times New Roman"/>
        </w:rPr>
        <w:t xml:space="preserve"> </w:t>
      </w:r>
      <w:r w:rsidR="00837F94" w:rsidRPr="00E168A1">
        <w:rPr>
          <w:rFonts w:ascii="Times New Roman" w:hAnsi="Times New Roman"/>
        </w:rPr>
        <w:t>through</w:t>
      </w:r>
      <w:r w:rsidR="00900061" w:rsidRPr="00E168A1">
        <w:rPr>
          <w:rFonts w:ascii="Times New Roman" w:hAnsi="Times New Roman"/>
        </w:rPr>
        <w:t xml:space="preserve"> </w:t>
      </w:r>
      <w:r w:rsidR="00837F94" w:rsidRPr="00E168A1">
        <w:rPr>
          <w:rFonts w:ascii="Times New Roman" w:hAnsi="Times New Roman"/>
        </w:rPr>
        <w:t>six-month</w:t>
      </w:r>
      <w:r w:rsidR="001F500D" w:rsidRPr="00E168A1">
        <w:rPr>
          <w:rFonts w:ascii="Times New Roman" w:hAnsi="Times New Roman"/>
        </w:rPr>
        <w:t>ly</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annual</w:t>
      </w:r>
      <w:r w:rsidR="00900061" w:rsidRPr="00E168A1">
        <w:rPr>
          <w:rFonts w:ascii="Times New Roman" w:hAnsi="Times New Roman"/>
        </w:rPr>
        <w:t xml:space="preserve"> </w:t>
      </w:r>
      <w:r w:rsidR="00837F94" w:rsidRPr="00E168A1">
        <w:rPr>
          <w:rFonts w:ascii="Times New Roman" w:hAnsi="Times New Roman"/>
          <w:color w:val="000000"/>
        </w:rPr>
        <w:t>reports</w:t>
      </w:r>
      <w:r w:rsidR="00837F94"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Overall</w:t>
      </w:r>
      <w:r w:rsidR="00900061" w:rsidRPr="00E168A1">
        <w:rPr>
          <w:rFonts w:ascii="Times New Roman" w:hAnsi="Times New Roman"/>
        </w:rPr>
        <w:t xml:space="preserve"> </w:t>
      </w:r>
      <w:r w:rsidR="00837F94" w:rsidRPr="00E168A1">
        <w:rPr>
          <w:rFonts w:ascii="Times New Roman" w:hAnsi="Times New Roman"/>
        </w:rPr>
        <w:t>monitoring</w:t>
      </w:r>
      <w:r w:rsidR="00900061" w:rsidRPr="00E168A1">
        <w:rPr>
          <w:rFonts w:ascii="Times New Roman" w:hAnsi="Times New Roman"/>
        </w:rPr>
        <w:t xml:space="preserve"> </w:t>
      </w:r>
      <w:r w:rsidR="00D9468C" w:rsidRPr="00E168A1">
        <w:rPr>
          <w:rFonts w:ascii="Times New Roman" w:hAnsi="Times New Roman"/>
        </w:rPr>
        <w:t xml:space="preserve">of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implementation</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1F500D" w:rsidRPr="00E168A1">
        <w:rPr>
          <w:rFonts w:ascii="Times New Roman" w:hAnsi="Times New Roman"/>
        </w:rPr>
        <w:t>s</w:t>
      </w:r>
      <w:r w:rsidR="00837F94" w:rsidRPr="00E168A1">
        <w:rPr>
          <w:rFonts w:ascii="Times New Roman" w:hAnsi="Times New Roman"/>
        </w:rPr>
        <w:t>trategy</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E168A1">
        <w:rPr>
          <w:rFonts w:ascii="Times New Roman" w:hAnsi="Times New Roman"/>
        </w:rPr>
        <w:t>carried</w:t>
      </w:r>
      <w:r w:rsidR="00900061" w:rsidRPr="00E168A1">
        <w:rPr>
          <w:rFonts w:ascii="Times New Roman" w:hAnsi="Times New Roman"/>
        </w:rPr>
        <w:t xml:space="preserve"> </w:t>
      </w:r>
      <w:r w:rsidR="00837F94" w:rsidRPr="00E168A1">
        <w:rPr>
          <w:rFonts w:ascii="Times New Roman" w:hAnsi="Times New Roman"/>
        </w:rPr>
        <w:t>out</w:t>
      </w:r>
      <w:r w:rsidR="00900061" w:rsidRPr="00E168A1">
        <w:rPr>
          <w:rFonts w:ascii="Times New Roman" w:hAnsi="Times New Roman"/>
        </w:rPr>
        <w:t xml:space="preserve"> </w:t>
      </w:r>
      <w:r w:rsidR="00837F94" w:rsidRPr="00E168A1">
        <w:rPr>
          <w:rFonts w:ascii="Times New Roman" w:hAnsi="Times New Roman"/>
        </w:rPr>
        <w:t>by</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Anti</w:t>
      </w:r>
      <w:r w:rsidR="00995C53" w:rsidRPr="00E168A1">
        <w:rPr>
          <w:rFonts w:ascii="Times New Roman" w:hAnsi="Times New Roman"/>
        </w:rPr>
        <w:t>c</w:t>
      </w:r>
      <w:r w:rsidR="00837F94" w:rsidRPr="00E168A1">
        <w:rPr>
          <w:rFonts w:ascii="Times New Roman" w:hAnsi="Times New Roman"/>
        </w:rPr>
        <w:t>orruption</w:t>
      </w:r>
      <w:r w:rsidR="00900061" w:rsidRPr="00E168A1">
        <w:rPr>
          <w:rFonts w:ascii="Times New Roman" w:hAnsi="Times New Roman"/>
        </w:rPr>
        <w:t xml:space="preserve"> </w:t>
      </w:r>
      <w:r w:rsidR="00837F94" w:rsidRPr="00E168A1">
        <w:rPr>
          <w:rFonts w:ascii="Times New Roman" w:hAnsi="Times New Roman"/>
        </w:rPr>
        <w:t>Agency</w:t>
      </w:r>
      <w:r w:rsidR="00900061" w:rsidRPr="00E168A1">
        <w:rPr>
          <w:rFonts w:ascii="Times New Roman" w:hAnsi="Times New Roman"/>
        </w:rPr>
        <w:t xml:space="preserve"> </w:t>
      </w:r>
      <w:r w:rsidR="00995C53" w:rsidRPr="00E168A1">
        <w:rPr>
          <w:rFonts w:ascii="Times New Roman" w:hAnsi="Times New Roman"/>
        </w:rPr>
        <w:t xml:space="preserve">(ACA)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reported</w:t>
      </w:r>
      <w:r w:rsidR="00900061" w:rsidRPr="00E168A1">
        <w:rPr>
          <w:rFonts w:ascii="Times New Roman" w:hAnsi="Times New Roman"/>
        </w:rPr>
        <w:t xml:space="preserve"> </w:t>
      </w:r>
      <w:r w:rsidR="00837F94" w:rsidRPr="00E168A1">
        <w:rPr>
          <w:rFonts w:ascii="Times New Roman" w:hAnsi="Times New Roman"/>
        </w:rPr>
        <w:t>annually</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3C78A1" w:rsidRPr="00E168A1">
        <w:rPr>
          <w:rFonts w:ascii="Times New Roman" w:hAnsi="Times New Roman"/>
        </w:rPr>
        <w:t>NA</w:t>
      </w:r>
      <w:r w:rsidR="00837F94" w:rsidRPr="00E168A1">
        <w:rPr>
          <w:rFonts w:ascii="Times New Roman" w:hAnsi="Times New Roman"/>
        </w:rPr>
        <w:t>.</w:t>
      </w:r>
      <w:r w:rsidR="00900061" w:rsidRPr="00E168A1">
        <w:rPr>
          <w:rFonts w:ascii="Times New Roman" w:hAnsi="Times New Roman"/>
        </w:rPr>
        <w:t xml:space="preserve"> </w:t>
      </w:r>
      <w:r w:rsidR="000E4682" w:rsidRPr="00E168A1">
        <w:rPr>
          <w:rFonts w:ascii="Times New Roman" w:hAnsi="Times New Roman"/>
        </w:rPr>
        <w:t xml:space="preserve">The </w:t>
      </w:r>
      <w:r w:rsidR="00837F94" w:rsidRPr="00E168A1">
        <w:rPr>
          <w:rFonts w:ascii="Times New Roman" w:hAnsi="Times New Roman"/>
        </w:rPr>
        <w:t>EU</w:t>
      </w:r>
      <w:r w:rsidR="00900061" w:rsidRPr="00E168A1">
        <w:rPr>
          <w:rFonts w:ascii="Times New Roman" w:hAnsi="Times New Roman"/>
        </w:rPr>
        <w:t xml:space="preserve"> </w:t>
      </w:r>
      <w:r w:rsidR="00837F94" w:rsidRPr="00E168A1">
        <w:rPr>
          <w:rFonts w:ascii="Times New Roman" w:hAnsi="Times New Roman"/>
        </w:rPr>
        <w:t>Screening</w:t>
      </w:r>
      <w:r w:rsidR="00900061" w:rsidRPr="00E168A1">
        <w:rPr>
          <w:rFonts w:ascii="Times New Roman" w:hAnsi="Times New Roman"/>
        </w:rPr>
        <w:t xml:space="preserve"> </w:t>
      </w:r>
      <w:r w:rsidR="00837F94" w:rsidRPr="00E168A1">
        <w:rPr>
          <w:rFonts w:ascii="Times New Roman" w:hAnsi="Times New Roman"/>
        </w:rPr>
        <w:t>Report</w:t>
      </w:r>
      <w:r w:rsidR="00900061" w:rsidRPr="00E168A1">
        <w:rPr>
          <w:rFonts w:ascii="Times New Roman" w:hAnsi="Times New Roman"/>
        </w:rPr>
        <w:t xml:space="preserve"> </w:t>
      </w:r>
      <w:r w:rsidR="00837F94" w:rsidRPr="00E168A1">
        <w:rPr>
          <w:rFonts w:ascii="Times New Roman" w:hAnsi="Times New Roman"/>
        </w:rPr>
        <w:t>for</w:t>
      </w:r>
      <w:r w:rsidR="00900061" w:rsidRPr="00E168A1">
        <w:rPr>
          <w:rFonts w:ascii="Times New Roman" w:hAnsi="Times New Roman"/>
        </w:rPr>
        <w:t xml:space="preserve"> </w:t>
      </w:r>
      <w:r w:rsidR="00837F94" w:rsidRPr="00E168A1">
        <w:rPr>
          <w:rFonts w:ascii="Times New Roman" w:hAnsi="Times New Roman"/>
        </w:rPr>
        <w:t>Chapter</w:t>
      </w:r>
      <w:r w:rsidR="00900061" w:rsidRPr="00E168A1">
        <w:rPr>
          <w:rFonts w:ascii="Times New Roman" w:hAnsi="Times New Roman"/>
        </w:rPr>
        <w:t xml:space="preserve"> </w:t>
      </w:r>
      <w:r w:rsidR="00837F94" w:rsidRPr="00E168A1">
        <w:rPr>
          <w:rFonts w:ascii="Times New Roman" w:hAnsi="Times New Roman"/>
        </w:rPr>
        <w:t>23:</w:t>
      </w:r>
      <w:r w:rsidR="00900061" w:rsidRPr="00E168A1">
        <w:rPr>
          <w:rFonts w:ascii="Times New Roman" w:hAnsi="Times New Roman"/>
        </w:rPr>
        <w:t xml:space="preserve"> </w:t>
      </w:r>
      <w:r w:rsidR="00837F94" w:rsidRPr="00E168A1">
        <w:rPr>
          <w:rFonts w:ascii="Times New Roman" w:hAnsi="Times New Roman"/>
        </w:rPr>
        <w:t>Judiciary</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Fundamental</w:t>
      </w:r>
      <w:r w:rsidR="00900061" w:rsidRPr="00E168A1">
        <w:rPr>
          <w:rFonts w:ascii="Times New Roman" w:hAnsi="Times New Roman"/>
        </w:rPr>
        <w:t xml:space="preserve"> </w:t>
      </w:r>
      <w:r w:rsidR="00837F94" w:rsidRPr="00E168A1">
        <w:rPr>
          <w:rFonts w:ascii="Times New Roman" w:hAnsi="Times New Roman"/>
        </w:rPr>
        <w:t>Rights</w:t>
      </w:r>
      <w:r w:rsidR="00900061" w:rsidRPr="00E168A1">
        <w:rPr>
          <w:rFonts w:ascii="Times New Roman" w:hAnsi="Times New Roman"/>
        </w:rPr>
        <w:t xml:space="preserve"> </w:t>
      </w:r>
      <w:r w:rsidR="00837F94" w:rsidRPr="00E168A1">
        <w:rPr>
          <w:rFonts w:ascii="Times New Roman" w:hAnsi="Times New Roman"/>
        </w:rPr>
        <w:t>from</w:t>
      </w:r>
      <w:r w:rsidR="00900061" w:rsidRPr="00E168A1">
        <w:rPr>
          <w:rFonts w:ascii="Times New Roman" w:hAnsi="Times New Roman"/>
        </w:rPr>
        <w:t xml:space="preserve"> </w:t>
      </w:r>
      <w:r w:rsidR="00837F94" w:rsidRPr="00E168A1">
        <w:rPr>
          <w:rFonts w:ascii="Times New Roman" w:hAnsi="Times New Roman"/>
        </w:rPr>
        <w:t>2013</w:t>
      </w:r>
      <w:r w:rsidR="00900061" w:rsidRPr="00E168A1">
        <w:rPr>
          <w:rFonts w:ascii="Times New Roman" w:hAnsi="Times New Roman"/>
        </w:rPr>
        <w:t xml:space="preserve"> </w:t>
      </w:r>
      <w:r w:rsidR="00837F94" w:rsidRPr="00E168A1">
        <w:rPr>
          <w:rFonts w:ascii="Times New Roman" w:hAnsi="Times New Roman"/>
        </w:rPr>
        <w:t>states</w:t>
      </w:r>
      <w:r w:rsidR="00900061" w:rsidRPr="00E168A1">
        <w:rPr>
          <w:rFonts w:ascii="Times New Roman" w:hAnsi="Times New Roman"/>
        </w:rPr>
        <w:t xml:space="preserve"> </w:t>
      </w:r>
      <w:r w:rsidR="00837F94" w:rsidRPr="00E168A1">
        <w:rPr>
          <w:rFonts w:ascii="Times New Roman" w:hAnsi="Times New Roman"/>
        </w:rPr>
        <w:t>that</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w:t>
      </w:r>
      <w:r w:rsidR="00D71524" w:rsidRPr="00E168A1">
        <w:rPr>
          <w:rFonts w:ascii="Times New Roman" w:eastAsiaTheme="minorHAnsi" w:hAnsi="Times New Roman"/>
        </w:rPr>
        <w:t>A</w:t>
      </w:r>
      <w:r w:rsidR="00837F94" w:rsidRPr="00E168A1">
        <w:rPr>
          <w:rFonts w:ascii="Times New Roman" w:eastAsiaTheme="minorHAnsi" w:hAnsi="Times New Roman"/>
        </w:rPr>
        <w:t>nticorruption</w:t>
      </w:r>
      <w:r w:rsidR="00900061" w:rsidRPr="00E168A1">
        <w:rPr>
          <w:rFonts w:ascii="Times New Roman" w:eastAsiaTheme="minorHAnsi" w:hAnsi="Times New Roman"/>
        </w:rPr>
        <w:t xml:space="preserve"> </w:t>
      </w:r>
      <w:r w:rsidR="00D71524" w:rsidRPr="00E168A1">
        <w:rPr>
          <w:rFonts w:ascii="Times New Roman" w:eastAsiaTheme="minorHAnsi" w:hAnsi="Times New Roman"/>
        </w:rPr>
        <w:t>S</w:t>
      </w:r>
      <w:r w:rsidR="00837F94" w:rsidRPr="00E168A1">
        <w:rPr>
          <w:rFonts w:ascii="Times New Roman" w:eastAsiaTheme="minorHAnsi" w:hAnsi="Times New Roman"/>
        </w:rPr>
        <w:t>trategy</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D71524" w:rsidRPr="00E168A1">
        <w:rPr>
          <w:rFonts w:ascii="Times New Roman" w:eastAsiaTheme="minorHAnsi" w:hAnsi="Times New Roman"/>
        </w:rPr>
        <w:t>A</w:t>
      </w:r>
      <w:r w:rsidR="00837F94" w:rsidRPr="00E168A1">
        <w:rPr>
          <w:rFonts w:ascii="Times New Roman" w:eastAsiaTheme="minorHAnsi" w:hAnsi="Times New Roman"/>
        </w:rPr>
        <w:t>ction</w:t>
      </w:r>
      <w:r w:rsidR="00900061" w:rsidRPr="00E168A1">
        <w:rPr>
          <w:rFonts w:ascii="Times New Roman" w:eastAsiaTheme="minorHAnsi" w:hAnsi="Times New Roman"/>
        </w:rPr>
        <w:t xml:space="preserve"> </w:t>
      </w:r>
      <w:r w:rsidR="00D71524" w:rsidRPr="00E168A1">
        <w:rPr>
          <w:rFonts w:ascii="Times New Roman" w:eastAsiaTheme="minorHAnsi" w:hAnsi="Times New Roman"/>
        </w:rPr>
        <w:t>P</w:t>
      </w:r>
      <w:r w:rsidR="00837F94" w:rsidRPr="00E168A1">
        <w:rPr>
          <w:rFonts w:ascii="Times New Roman" w:eastAsiaTheme="minorHAnsi" w:hAnsi="Times New Roman"/>
        </w:rPr>
        <w:t>lan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provide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w:t>
      </w:r>
      <w:r w:rsidR="00900061" w:rsidRPr="00E168A1">
        <w:rPr>
          <w:rFonts w:ascii="Times New Roman" w:eastAsiaTheme="minorHAnsi" w:hAnsi="Times New Roman"/>
        </w:rPr>
        <w:t xml:space="preserve"> </w:t>
      </w:r>
      <w:r w:rsidR="00837F94" w:rsidRPr="00E168A1">
        <w:rPr>
          <w:rFonts w:ascii="Times New Roman" w:eastAsiaTheme="minorHAnsi" w:hAnsi="Times New Roman"/>
        </w:rPr>
        <w:t>adequate</w:t>
      </w:r>
      <w:r w:rsidR="00900061" w:rsidRPr="00E168A1">
        <w:rPr>
          <w:rFonts w:ascii="Times New Roman" w:eastAsiaTheme="minorHAnsi" w:hAnsi="Times New Roman"/>
        </w:rPr>
        <w:t xml:space="preserve"> </w:t>
      </w:r>
      <w:r w:rsidR="00837F94" w:rsidRPr="00E168A1">
        <w:rPr>
          <w:rFonts w:ascii="Times New Roman" w:eastAsiaTheme="minorHAnsi" w:hAnsi="Times New Roman"/>
        </w:rPr>
        <w:t>framework”</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addressing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impediments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better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transparency</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accountability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service.</w:t>
      </w:r>
      <w:r w:rsidR="00900061" w:rsidRPr="00E168A1">
        <w:rPr>
          <w:rFonts w:ascii="Times New Roman" w:eastAsiaTheme="minorHAnsi" w:hAnsi="Times New Roman"/>
        </w:rPr>
        <w:t xml:space="preserve"> </w:t>
      </w:r>
      <w:r w:rsidR="00837F94" w:rsidRPr="00E168A1">
        <w:rPr>
          <w:rFonts w:ascii="Times New Roman" w:hAnsi="Times New Roman"/>
        </w:rPr>
        <w:t>The</w:t>
      </w:r>
      <w:r w:rsidR="00900061" w:rsidRPr="00E168A1">
        <w:rPr>
          <w:rFonts w:ascii="Times New Roman" w:hAnsi="Times New Roman"/>
          <w:b/>
        </w:rPr>
        <w:t xml:space="preserve"> </w:t>
      </w:r>
      <w:r w:rsidR="001F500D" w:rsidRPr="00E168A1">
        <w:rPr>
          <w:rFonts w:ascii="Times New Roman" w:hAnsi="Times New Roman"/>
        </w:rPr>
        <w:t>s</w:t>
      </w:r>
      <w:r w:rsidR="00837F94" w:rsidRPr="00E168A1">
        <w:rPr>
          <w:rFonts w:ascii="Times New Roman" w:hAnsi="Times New Roman"/>
        </w:rPr>
        <w:t>trategy,</w:t>
      </w:r>
      <w:r w:rsidR="00900061" w:rsidRPr="00E168A1">
        <w:rPr>
          <w:rFonts w:ascii="Times New Roman" w:hAnsi="Times New Roman"/>
        </w:rPr>
        <w:t xml:space="preserve"> </w:t>
      </w:r>
      <w:r w:rsidR="00837F94" w:rsidRPr="00E168A1">
        <w:rPr>
          <w:rFonts w:ascii="Times New Roman" w:hAnsi="Times New Roman"/>
        </w:rPr>
        <w:t>dealing</w:t>
      </w:r>
      <w:r w:rsidR="00900061" w:rsidRPr="00E168A1">
        <w:rPr>
          <w:rFonts w:ascii="Times New Roman" w:hAnsi="Times New Roman"/>
        </w:rPr>
        <w:t xml:space="preserve"> </w:t>
      </w:r>
      <w:r w:rsidR="00837F94" w:rsidRPr="00E168A1">
        <w:rPr>
          <w:rFonts w:ascii="Times New Roman" w:hAnsi="Times New Roman"/>
        </w:rPr>
        <w:t>with</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issues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eastAsiaTheme="minorHAnsi" w:hAnsi="Times New Roman"/>
        </w:rPr>
        <w:t>prevention,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institution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building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training,</w:t>
      </w:r>
      <w:r w:rsidR="00900061" w:rsidRPr="00E168A1">
        <w:rPr>
          <w:rFonts w:ascii="Times New Roman" w:hAnsi="Times New Roman"/>
        </w:rPr>
        <w:t xml:space="preserve"> </w:t>
      </w:r>
      <w:r w:rsidR="00837F94" w:rsidRPr="00E168A1">
        <w:rPr>
          <w:rFonts w:ascii="Times New Roman" w:hAnsi="Times New Roman"/>
        </w:rPr>
        <w:t>contains</w:t>
      </w:r>
      <w:r w:rsidR="00900061" w:rsidRPr="00E168A1">
        <w:rPr>
          <w:rFonts w:ascii="Times New Roman" w:hAnsi="Times New Roman"/>
        </w:rPr>
        <w:t xml:space="preserve"> </w:t>
      </w:r>
      <w:r w:rsidR="00837F94" w:rsidRPr="00E168A1">
        <w:rPr>
          <w:rFonts w:ascii="Times New Roman" w:hAnsi="Times New Roman"/>
        </w:rPr>
        <w:t>a</w:t>
      </w:r>
      <w:r w:rsidR="00900061" w:rsidRPr="00E168A1">
        <w:rPr>
          <w:rFonts w:ascii="Times New Roman" w:hAnsi="Times New Roman"/>
        </w:rPr>
        <w:t xml:space="preserve"> </w:t>
      </w:r>
      <w:r w:rsidR="00837F94" w:rsidRPr="00E168A1">
        <w:rPr>
          <w:rFonts w:ascii="Times New Roman" w:hAnsi="Times New Roman"/>
        </w:rPr>
        <w:t>section</w:t>
      </w:r>
      <w:r w:rsidR="00900061" w:rsidRPr="00E168A1">
        <w:rPr>
          <w:rFonts w:ascii="Times New Roman" w:hAnsi="Times New Roman"/>
        </w:rPr>
        <w:t xml:space="preserve"> </w:t>
      </w:r>
      <w:r w:rsidR="00837F94" w:rsidRPr="00E168A1">
        <w:rPr>
          <w:rFonts w:ascii="Times New Roman" w:hAnsi="Times New Roman"/>
        </w:rPr>
        <w:t>dedicated</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finance.</w:t>
      </w:r>
      <w:r w:rsidR="00900061" w:rsidRPr="00E168A1">
        <w:rPr>
          <w:rFonts w:ascii="Times New Roman" w:hAnsi="Times New Roman"/>
        </w:rPr>
        <w:t xml:space="preserve"> </w:t>
      </w:r>
      <w:r w:rsidR="00837F94" w:rsidRPr="00E168A1">
        <w:rPr>
          <w:rFonts w:ascii="Times New Roman" w:hAnsi="Times New Roman"/>
        </w:rPr>
        <w:t>Specific</w:t>
      </w:r>
      <w:r w:rsidR="00900061" w:rsidRPr="00E168A1">
        <w:rPr>
          <w:rFonts w:ascii="Times New Roman" w:hAnsi="Times New Roman"/>
        </w:rPr>
        <w:t xml:space="preserve"> </w:t>
      </w:r>
      <w:r w:rsidR="00837F94" w:rsidRPr="00E168A1">
        <w:rPr>
          <w:rFonts w:ascii="Times New Roman" w:hAnsi="Times New Roman"/>
        </w:rPr>
        <w:t>fields</w:t>
      </w:r>
      <w:r w:rsidR="00900061" w:rsidRPr="00E168A1">
        <w:rPr>
          <w:rFonts w:ascii="Times New Roman" w:hAnsi="Times New Roman"/>
        </w:rPr>
        <w:t xml:space="preserve"> </w:t>
      </w:r>
      <w:r w:rsidR="00837F94" w:rsidRPr="00E168A1">
        <w:rPr>
          <w:rFonts w:ascii="Times New Roman" w:hAnsi="Times New Roman"/>
        </w:rPr>
        <w:t>covered</w:t>
      </w:r>
      <w:r w:rsidR="00900061" w:rsidRPr="00E168A1">
        <w:rPr>
          <w:rFonts w:ascii="Times New Roman" w:hAnsi="Times New Roman"/>
        </w:rPr>
        <w:t xml:space="preserve"> </w:t>
      </w:r>
      <w:r w:rsidR="00837F94" w:rsidRPr="00E168A1">
        <w:rPr>
          <w:rFonts w:ascii="Times New Roman" w:hAnsi="Times New Roman"/>
        </w:rPr>
        <w:t>in</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section</w:t>
      </w:r>
      <w:r w:rsidR="00900061" w:rsidRPr="00E168A1">
        <w:rPr>
          <w:rFonts w:ascii="Times New Roman" w:hAnsi="Times New Roman"/>
        </w:rPr>
        <w:t xml:space="preserve"> </w:t>
      </w:r>
      <w:r w:rsidR="00837F94" w:rsidRPr="00E168A1">
        <w:rPr>
          <w:rFonts w:ascii="Times New Roman" w:hAnsi="Times New Roman"/>
        </w:rPr>
        <w:t>on</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finance</w:t>
      </w:r>
      <w:r w:rsidR="00900061" w:rsidRPr="00E168A1">
        <w:rPr>
          <w:rFonts w:ascii="Times New Roman" w:hAnsi="Times New Roman"/>
        </w:rPr>
        <w:t xml:space="preserve"> </w:t>
      </w:r>
      <w:r w:rsidR="00837F94" w:rsidRPr="00E168A1">
        <w:rPr>
          <w:rFonts w:ascii="Times New Roman" w:hAnsi="Times New Roman"/>
        </w:rPr>
        <w:t>include</w:t>
      </w:r>
      <w:r w:rsidR="00900061" w:rsidRPr="00E168A1">
        <w:rPr>
          <w:rFonts w:ascii="Times New Roman" w:hAnsi="Times New Roman"/>
        </w:rPr>
        <w:t xml:space="preserve"> </w:t>
      </w:r>
      <w:r w:rsidR="00837F94" w:rsidRPr="00E168A1">
        <w:rPr>
          <w:rFonts w:ascii="Times New Roman" w:hAnsi="Times New Roman"/>
        </w:rPr>
        <w:t>(</w:t>
      </w:r>
      <w:r w:rsidR="00A34355" w:rsidRPr="00E168A1">
        <w:rPr>
          <w:rFonts w:ascii="Times New Roman" w:hAnsi="Times New Roman"/>
        </w:rPr>
        <w:t>a</w:t>
      </w:r>
      <w:r w:rsidR="00837F94"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revenues</w:t>
      </w:r>
      <w:r w:rsidR="001F500D"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w:t>
      </w:r>
      <w:r w:rsidR="00A34355" w:rsidRPr="00E168A1">
        <w:rPr>
          <w:rFonts w:ascii="Times New Roman" w:hAnsi="Times New Roman"/>
        </w:rPr>
        <w:t>b</w:t>
      </w:r>
      <w:r w:rsidR="00837F94"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public</w:t>
      </w:r>
      <w:r w:rsidR="00900061" w:rsidRPr="00E168A1">
        <w:rPr>
          <w:rFonts w:ascii="Times New Roman" w:hAnsi="Times New Roman"/>
        </w:rPr>
        <w:t xml:space="preserve"> </w:t>
      </w:r>
      <w:r w:rsidR="00837F94" w:rsidRPr="00E168A1">
        <w:rPr>
          <w:rFonts w:ascii="Times New Roman" w:hAnsi="Times New Roman"/>
        </w:rPr>
        <w:t>expenditure</w:t>
      </w:r>
      <w:r w:rsidR="001F500D"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w:t>
      </w:r>
      <w:r w:rsidR="00A34355" w:rsidRPr="00E168A1">
        <w:rPr>
          <w:rFonts w:ascii="Times New Roman" w:hAnsi="Times New Roman"/>
        </w:rPr>
        <w:t>c</w:t>
      </w:r>
      <w:r w:rsidR="00837F94" w:rsidRPr="00E168A1">
        <w:rPr>
          <w:rFonts w:ascii="Times New Roman" w:hAnsi="Times New Roman"/>
        </w:rPr>
        <w:t>)</w:t>
      </w:r>
      <w:r w:rsidR="00900061" w:rsidRPr="00E168A1">
        <w:rPr>
          <w:rFonts w:ascii="Times New Roman" w:hAnsi="Times New Roman"/>
        </w:rPr>
        <w:t xml:space="preserve"> </w:t>
      </w:r>
      <w:r w:rsidR="003C78A1" w:rsidRPr="00E168A1">
        <w:rPr>
          <w:rFonts w:ascii="Times New Roman" w:hAnsi="Times New Roman"/>
        </w:rPr>
        <w:t>PIFC</w:t>
      </w:r>
      <w:r w:rsidR="00837F94"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external</w:t>
      </w:r>
      <w:r w:rsidR="00900061" w:rsidRPr="00E168A1">
        <w:rPr>
          <w:rFonts w:ascii="Times New Roman" w:hAnsi="Times New Roman"/>
        </w:rPr>
        <w:t xml:space="preserve"> </w:t>
      </w:r>
      <w:r w:rsidR="00837F94" w:rsidRPr="00E168A1">
        <w:rPr>
          <w:rFonts w:ascii="Times New Roman" w:hAnsi="Times New Roman"/>
        </w:rPr>
        <w:t>audit</w:t>
      </w:r>
      <w:r w:rsidR="001F500D"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safeguarding</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C16A6" w:rsidRPr="00E168A1">
        <w:rPr>
          <w:rFonts w:ascii="Times New Roman" w:hAnsi="Times New Roman"/>
        </w:rPr>
        <w:t xml:space="preserve">the </w:t>
      </w:r>
      <w:r w:rsidR="00837F94" w:rsidRPr="00E168A1">
        <w:rPr>
          <w:rFonts w:ascii="Times New Roman" w:hAnsi="Times New Roman"/>
        </w:rPr>
        <w:t>EU</w:t>
      </w:r>
      <w:r w:rsidR="001F500D" w:rsidRPr="00E168A1">
        <w:rPr>
          <w:rFonts w:ascii="Times New Roman" w:hAnsi="Times New Roman"/>
        </w:rPr>
        <w:t>’s</w:t>
      </w:r>
      <w:r w:rsidR="00900061" w:rsidRPr="00E168A1">
        <w:rPr>
          <w:rFonts w:ascii="Times New Roman" w:hAnsi="Times New Roman"/>
        </w:rPr>
        <w:t xml:space="preserve"> </w:t>
      </w:r>
      <w:r w:rsidR="00837F94" w:rsidRPr="00E168A1">
        <w:rPr>
          <w:rFonts w:ascii="Times New Roman" w:hAnsi="Times New Roman"/>
        </w:rPr>
        <w:t>financial</w:t>
      </w:r>
      <w:r w:rsidR="00900061" w:rsidRPr="00E168A1">
        <w:rPr>
          <w:rFonts w:ascii="Times New Roman" w:hAnsi="Times New Roman"/>
        </w:rPr>
        <w:t xml:space="preserve"> </w:t>
      </w:r>
      <w:r w:rsidR="00837F94" w:rsidRPr="00E168A1">
        <w:rPr>
          <w:rFonts w:ascii="Times New Roman" w:hAnsi="Times New Roman"/>
        </w:rPr>
        <w:t>interests.</w:t>
      </w:r>
      <w:r w:rsidR="00900061" w:rsidRPr="00E168A1">
        <w:rPr>
          <w:rFonts w:ascii="Times New Roman" w:hAnsi="Times New Roman"/>
        </w:rPr>
        <w:t xml:space="preserve"> </w:t>
      </w:r>
      <w:r w:rsidR="00837F94" w:rsidRPr="00E168A1">
        <w:rPr>
          <w:rFonts w:ascii="Times New Roman" w:hAnsi="Times New Roman"/>
        </w:rPr>
        <w:t>All</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entities</w:t>
      </w:r>
      <w:r w:rsidR="00900061" w:rsidRPr="00E168A1">
        <w:rPr>
          <w:rFonts w:ascii="Times New Roman" w:hAnsi="Times New Roman"/>
        </w:rPr>
        <w:t xml:space="preserve"> </w:t>
      </w:r>
      <w:r w:rsidR="00837F94" w:rsidRPr="00E168A1">
        <w:rPr>
          <w:rFonts w:ascii="Times New Roman" w:hAnsi="Times New Roman"/>
        </w:rPr>
        <w:t>involved</w:t>
      </w:r>
      <w:r w:rsidR="00900061" w:rsidRPr="00E168A1">
        <w:rPr>
          <w:rFonts w:ascii="Times New Roman" w:hAnsi="Times New Roman"/>
        </w:rPr>
        <w:t xml:space="preserve"> </w:t>
      </w:r>
      <w:r w:rsidR="00837F94" w:rsidRPr="00E168A1">
        <w:rPr>
          <w:rFonts w:ascii="Times New Roman" w:hAnsi="Times New Roman"/>
        </w:rPr>
        <w:t>in</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9329A9" w:rsidRPr="00E168A1">
        <w:rPr>
          <w:rFonts w:ascii="Times New Roman" w:hAnsi="Times New Roman"/>
        </w:rPr>
        <w:t>P</w:t>
      </w:r>
      <w:r w:rsidR="00837F94" w:rsidRPr="00E168A1">
        <w:rPr>
          <w:rFonts w:ascii="Times New Roman" w:hAnsi="Times New Roman"/>
        </w:rPr>
        <w:t>rogram</w:t>
      </w:r>
      <w:r w:rsidR="00900061" w:rsidRPr="00E168A1">
        <w:rPr>
          <w:rFonts w:ascii="Times New Roman" w:hAnsi="Times New Roman"/>
        </w:rPr>
        <w:t xml:space="preserve"> </w:t>
      </w:r>
      <w:r w:rsidR="00837F94" w:rsidRPr="00E168A1">
        <w:rPr>
          <w:rFonts w:ascii="Times New Roman" w:hAnsi="Times New Roman"/>
        </w:rPr>
        <w:t>have</w:t>
      </w:r>
      <w:r w:rsidR="00900061" w:rsidRPr="00E168A1">
        <w:rPr>
          <w:rFonts w:ascii="Times New Roman" w:hAnsi="Times New Roman"/>
        </w:rPr>
        <w:t xml:space="preserve"> </w:t>
      </w:r>
      <w:r w:rsidR="00837F94" w:rsidRPr="00E168A1">
        <w:rPr>
          <w:rFonts w:ascii="Times New Roman" w:hAnsi="Times New Roman"/>
        </w:rPr>
        <w:t>adopted</w:t>
      </w:r>
      <w:r w:rsidR="00900061" w:rsidRPr="00E168A1">
        <w:rPr>
          <w:rFonts w:ascii="Times New Roman" w:hAnsi="Times New Roman"/>
        </w:rPr>
        <w:t xml:space="preserve"> </w:t>
      </w:r>
      <w:r w:rsidR="00837F94" w:rsidRPr="00E168A1">
        <w:rPr>
          <w:rFonts w:ascii="Times New Roman" w:hAnsi="Times New Roman"/>
        </w:rPr>
        <w:t>Integrity</w:t>
      </w:r>
      <w:r w:rsidR="00900061" w:rsidRPr="00E168A1">
        <w:rPr>
          <w:rFonts w:ascii="Times New Roman" w:hAnsi="Times New Roman"/>
        </w:rPr>
        <w:t xml:space="preserve"> </w:t>
      </w:r>
      <w:r w:rsidR="00837F94" w:rsidRPr="00E168A1">
        <w:rPr>
          <w:rFonts w:ascii="Times New Roman" w:hAnsi="Times New Roman"/>
        </w:rPr>
        <w:t>Plans.</w:t>
      </w:r>
    </w:p>
    <w:p w14:paraId="1B4381B8" w14:textId="613D0ABB" w:rsidR="00837F94" w:rsidRPr="00E168A1" w:rsidRDefault="001F500D" w:rsidP="00645878">
      <w:pPr>
        <w:pStyle w:val="ListParagraph"/>
        <w:numPr>
          <w:ilvl w:val="0"/>
          <w:numId w:val="9"/>
        </w:numPr>
        <w:ind w:left="0" w:firstLine="0"/>
        <w:contextualSpacing w:val="0"/>
        <w:rPr>
          <w:rFonts w:ascii="Times New Roman" w:eastAsiaTheme="minorHAnsi" w:hAnsi="Times New Roman"/>
        </w:rPr>
      </w:pPr>
      <w:r w:rsidRPr="00E168A1">
        <w:rPr>
          <w:rFonts w:ascii="Times New Roman" w:eastAsiaTheme="minorHAnsi" w:hAnsi="Times New Roman"/>
          <w:b/>
        </w:rPr>
        <w:t>A</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Legal</w:t>
      </w:r>
      <w:r w:rsidR="00900061" w:rsidRPr="00E168A1">
        <w:rPr>
          <w:rFonts w:ascii="Times New Roman" w:eastAsiaTheme="minorHAnsi" w:hAnsi="Times New Roman"/>
          <w:b/>
        </w:rPr>
        <w:t xml:space="preserve"> </w:t>
      </w:r>
      <w:r w:rsidR="007A17BB" w:rsidRPr="00E168A1">
        <w:rPr>
          <w:rFonts w:ascii="Times New Roman" w:eastAsiaTheme="minorHAnsi" w:hAnsi="Times New Roman"/>
          <w:b/>
        </w:rPr>
        <w:t>F</w:t>
      </w:r>
      <w:r w:rsidR="00837F94" w:rsidRPr="00E168A1">
        <w:rPr>
          <w:rFonts w:ascii="Times New Roman" w:eastAsiaTheme="minorHAnsi" w:hAnsi="Times New Roman"/>
          <w:b/>
        </w:rPr>
        <w:t>ramework</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for</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anticorruption</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activities</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is</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largely</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in</w:t>
      </w:r>
      <w:r w:rsidR="00900061" w:rsidRPr="00E168A1">
        <w:rPr>
          <w:rFonts w:ascii="Times New Roman" w:eastAsiaTheme="minorHAnsi" w:hAnsi="Times New Roman"/>
          <w:b/>
        </w:rPr>
        <w:t xml:space="preserve"> </w:t>
      </w:r>
      <w:r w:rsidR="00837F94" w:rsidRPr="00E168A1">
        <w:rPr>
          <w:rFonts w:ascii="Times New Roman" w:eastAsiaTheme="minorHAnsi" w:hAnsi="Times New Roman"/>
          <w:b/>
        </w:rPr>
        <w:t>place.</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Serbia</w:t>
      </w:r>
      <w:r w:rsidR="00900061" w:rsidRPr="00E168A1">
        <w:rPr>
          <w:rFonts w:ascii="Times New Roman" w:eastAsiaTheme="minorHAnsi" w:hAnsi="Times New Roman"/>
        </w:rPr>
        <w:t xml:space="preserve"> </w:t>
      </w:r>
      <w:r w:rsidR="00837F94" w:rsidRPr="00E168A1">
        <w:rPr>
          <w:rFonts w:ascii="Times New Roman" w:eastAsiaTheme="minorHAnsi" w:hAnsi="Times New Roman"/>
        </w:rPr>
        <w:t>has</w:t>
      </w:r>
      <w:r w:rsidR="00900061" w:rsidRPr="00E168A1">
        <w:rPr>
          <w:rFonts w:ascii="Times New Roman" w:eastAsiaTheme="minorHAnsi" w:hAnsi="Times New Roman"/>
        </w:rPr>
        <w:t xml:space="preserve"> </w:t>
      </w:r>
      <w:r w:rsidR="00837F94" w:rsidRPr="00E168A1">
        <w:rPr>
          <w:rFonts w:ascii="Times New Roman" w:eastAsiaTheme="minorHAnsi" w:hAnsi="Times New Roman"/>
        </w:rPr>
        <w:t>signed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ratified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all</w:t>
      </w:r>
      <w:r w:rsidR="00900061" w:rsidRPr="00E168A1">
        <w:rPr>
          <w:rFonts w:ascii="Times New Roman" w:eastAsiaTheme="minorHAnsi" w:hAnsi="Times New Roman"/>
        </w:rPr>
        <w:t xml:space="preserve"> </w:t>
      </w:r>
      <w:r w:rsidR="00837F94" w:rsidRPr="00E168A1">
        <w:rPr>
          <w:rFonts w:ascii="Times New Roman" w:eastAsiaTheme="minorHAnsi" w:hAnsi="Times New Roman"/>
        </w:rPr>
        <w:t>major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international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instruments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against</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but</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recent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assessments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indicate</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that</w:t>
      </w:r>
      <w:r w:rsidR="00900061" w:rsidRPr="00E168A1">
        <w:rPr>
          <w:rFonts w:ascii="Times New Roman" w:eastAsiaTheme="minorHAnsi" w:hAnsi="Times New Roman"/>
        </w:rPr>
        <w:t xml:space="preserve"> </w:t>
      </w:r>
      <w:r w:rsidR="00837F94" w:rsidRPr="00E168A1">
        <w:rPr>
          <w:rFonts w:ascii="Times New Roman" w:eastAsiaTheme="minorHAnsi" w:hAnsi="Times New Roman"/>
        </w:rPr>
        <w:t>more</w:t>
      </w:r>
      <w:r w:rsidR="00900061" w:rsidRPr="00E168A1">
        <w:rPr>
          <w:rFonts w:ascii="Times New Roman" w:eastAsiaTheme="minorHAnsi" w:hAnsi="Times New Roman"/>
        </w:rPr>
        <w:t xml:space="preserve"> </w:t>
      </w:r>
      <w:r w:rsidR="00837F94" w:rsidRPr="00E168A1">
        <w:rPr>
          <w:rFonts w:ascii="Times New Roman" w:eastAsiaTheme="minorHAnsi" w:hAnsi="Times New Roman"/>
        </w:rPr>
        <w:t>needs</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be</w:t>
      </w:r>
      <w:r w:rsidR="00900061" w:rsidRPr="00E168A1">
        <w:rPr>
          <w:rFonts w:ascii="Times New Roman" w:eastAsiaTheme="minorHAnsi" w:hAnsi="Times New Roman"/>
        </w:rPr>
        <w:t xml:space="preserve"> </w:t>
      </w:r>
      <w:r w:rsidR="00837F94" w:rsidRPr="00E168A1">
        <w:rPr>
          <w:rFonts w:ascii="Times New Roman" w:eastAsiaTheme="minorHAnsi" w:hAnsi="Times New Roman"/>
        </w:rPr>
        <w:t>done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aligning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national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legislation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consistently</w:t>
      </w:r>
      <w:r w:rsidR="00900061" w:rsidRPr="00E168A1">
        <w:rPr>
          <w:rFonts w:ascii="Times New Roman" w:eastAsiaTheme="minorHAnsi" w:hAnsi="Times New Roman"/>
        </w:rPr>
        <w:t xml:space="preserve"> </w:t>
      </w:r>
      <w:r w:rsidR="00837F94" w:rsidRPr="00E168A1">
        <w:rPr>
          <w:rFonts w:ascii="Times New Roman" w:eastAsiaTheme="minorHAnsi" w:hAnsi="Times New Roman"/>
        </w:rPr>
        <w:t>apply</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them.</w:t>
      </w:r>
      <w:r w:rsidR="00900061" w:rsidRPr="00E168A1">
        <w:rPr>
          <w:rFonts w:ascii="Times New Roman" w:eastAsiaTheme="minorHAnsi" w:hAnsi="Times New Roman"/>
        </w:rPr>
        <w:t xml:space="preserve"> </w:t>
      </w:r>
      <w:r w:rsidR="00837F94" w:rsidRPr="00E168A1">
        <w:rPr>
          <w:rFonts w:ascii="Times New Roman" w:eastAsiaTheme="minorHAnsi" w:hAnsi="Times New Roman"/>
        </w:rPr>
        <w:t>Fraud-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corruption-related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offences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are</w:t>
      </w:r>
      <w:r w:rsidR="00900061" w:rsidRPr="00E168A1">
        <w:rPr>
          <w:rFonts w:ascii="Times New Roman" w:eastAsiaTheme="minorHAnsi" w:hAnsi="Times New Roman"/>
        </w:rPr>
        <w:t xml:space="preserve"> </w:t>
      </w:r>
      <w:r w:rsidR="00837F94" w:rsidRPr="00E168A1">
        <w:rPr>
          <w:rFonts w:ascii="Times New Roman" w:eastAsiaTheme="minorHAnsi" w:hAnsi="Times New Roman"/>
        </w:rPr>
        <w:t>sanctionable</w:t>
      </w:r>
      <w:r w:rsidR="00900061" w:rsidRPr="00E168A1">
        <w:rPr>
          <w:rFonts w:ascii="Times New Roman" w:eastAsiaTheme="minorHAnsi" w:hAnsi="Times New Roman"/>
        </w:rPr>
        <w:t xml:space="preserve"> </w:t>
      </w:r>
      <w:r w:rsidR="00837F94" w:rsidRPr="00E168A1">
        <w:rPr>
          <w:rFonts w:ascii="Times New Roman" w:eastAsiaTheme="minorHAnsi" w:hAnsi="Times New Roman"/>
        </w:rPr>
        <w:t>under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Criminal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Code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include,</w:t>
      </w:r>
      <w:r w:rsidR="00900061" w:rsidRPr="00E168A1">
        <w:rPr>
          <w:rFonts w:ascii="Times New Roman" w:eastAsiaTheme="minorHAnsi" w:hAnsi="Times New Roman"/>
        </w:rPr>
        <w:t xml:space="preserve"> </w:t>
      </w:r>
      <w:r w:rsidR="00D171F6" w:rsidRPr="00E168A1">
        <w:rPr>
          <w:rFonts w:ascii="Times New Roman" w:eastAsiaTheme="minorHAnsi" w:hAnsi="Times New Roman"/>
        </w:rPr>
        <w:t>among other things</w:t>
      </w:r>
      <w:r w:rsidR="00837F94" w:rsidRPr="00E168A1">
        <w:rPr>
          <w:rFonts w:ascii="Times New Roman" w:eastAsiaTheme="minorHAnsi" w:hAnsi="Times New Roman"/>
        </w:rPr>
        <w:t>,</w:t>
      </w:r>
      <w:r w:rsidR="00900061" w:rsidRPr="00E168A1">
        <w:rPr>
          <w:rFonts w:ascii="Times New Roman" w:eastAsiaTheme="minorHAnsi" w:hAnsi="Times New Roman"/>
        </w:rPr>
        <w:t xml:space="preserve"> </w:t>
      </w:r>
      <w:r w:rsidR="00837F94" w:rsidRPr="00E168A1">
        <w:rPr>
          <w:rFonts w:ascii="Times New Roman" w:eastAsiaTheme="minorHAnsi" w:hAnsi="Times New Roman"/>
        </w:rPr>
        <w:t>passive</w:t>
      </w:r>
      <w:r w:rsidR="00900061" w:rsidRPr="00E168A1">
        <w:rPr>
          <w:rFonts w:ascii="Times New Roman" w:eastAsiaTheme="minorHAnsi" w:hAnsi="Times New Roman"/>
        </w:rPr>
        <w:t xml:space="preserve"> </w:t>
      </w:r>
      <w:r w:rsidR="00837F94" w:rsidRPr="00E168A1">
        <w:rPr>
          <w:rFonts w:ascii="Times New Roman" w:eastAsiaTheme="minorHAnsi" w:hAnsi="Times New Roman"/>
        </w:rPr>
        <w:t>bribery</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active</w:t>
      </w:r>
      <w:r w:rsidR="00900061" w:rsidRPr="00E168A1">
        <w:rPr>
          <w:rFonts w:ascii="Times New Roman" w:eastAsiaTheme="minorHAnsi" w:hAnsi="Times New Roman"/>
        </w:rPr>
        <w:t xml:space="preserve"> </w:t>
      </w:r>
      <w:r w:rsidR="00837F94" w:rsidRPr="00E168A1">
        <w:rPr>
          <w:rFonts w:ascii="Times New Roman" w:eastAsiaTheme="minorHAnsi" w:hAnsi="Times New Roman"/>
        </w:rPr>
        <w:t>bribery,</w:t>
      </w:r>
      <w:r w:rsidR="00900061" w:rsidRPr="00E168A1">
        <w:rPr>
          <w:rFonts w:ascii="Times New Roman" w:eastAsiaTheme="minorHAnsi" w:hAnsi="Times New Roman"/>
        </w:rPr>
        <w:t xml:space="preserve"> </w:t>
      </w:r>
      <w:r w:rsidR="00837F94" w:rsidRPr="00E168A1">
        <w:rPr>
          <w:rFonts w:ascii="Times New Roman" w:eastAsiaTheme="minorHAnsi" w:hAnsi="Times New Roman"/>
        </w:rPr>
        <w:t>embezzlement,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fraud,</w:t>
      </w:r>
      <w:r w:rsidR="00900061" w:rsidRPr="00E168A1">
        <w:rPr>
          <w:rFonts w:ascii="Times New Roman" w:eastAsiaTheme="minorHAnsi" w:hAnsi="Times New Roman"/>
        </w:rPr>
        <w:t xml:space="preserve"> </w:t>
      </w:r>
      <w:r w:rsidR="00837F94" w:rsidRPr="00E168A1">
        <w:rPr>
          <w:rFonts w:ascii="Times New Roman" w:eastAsiaTheme="minorHAnsi" w:hAnsi="Times New Roman"/>
        </w:rPr>
        <w:t>obtaining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using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credit</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other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benefits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under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false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pretenses,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abuse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trust,</w:t>
      </w:r>
      <w:r w:rsidR="00900061" w:rsidRPr="00E168A1">
        <w:rPr>
          <w:rFonts w:ascii="Times New Roman" w:eastAsiaTheme="minorHAnsi" w:hAnsi="Times New Roman"/>
        </w:rPr>
        <w:t xml:space="preserve"> </w:t>
      </w:r>
      <w:r w:rsidR="00837F94" w:rsidRPr="00E168A1">
        <w:rPr>
          <w:rFonts w:ascii="Times New Roman" w:eastAsiaTheme="minorHAnsi" w:hAnsi="Times New Roman"/>
        </w:rPr>
        <w:t>money</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laundering,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abuse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position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by</w:t>
      </w:r>
      <w:r w:rsidR="00900061" w:rsidRPr="00E168A1">
        <w:rPr>
          <w:rFonts w:ascii="Times New Roman" w:eastAsiaTheme="minorHAnsi" w:hAnsi="Times New Roman"/>
        </w:rPr>
        <w:t xml:space="preserve"> </w:t>
      </w:r>
      <w:r w:rsidR="00837F94" w:rsidRPr="00E168A1">
        <w:rPr>
          <w:rFonts w:ascii="Times New Roman" w:eastAsiaTheme="minorHAnsi" w:hAnsi="Times New Roman"/>
        </w:rPr>
        <w:t>a</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responsible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person,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malfeasance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abuse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authority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economy,</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forging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documents,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forging</w:t>
      </w:r>
      <w:r w:rsidR="00900061" w:rsidRPr="00E168A1">
        <w:rPr>
          <w:rFonts w:ascii="Times New Roman" w:eastAsiaTheme="minorHAnsi" w:hAnsi="Times New Roman"/>
        </w:rPr>
        <w:t xml:space="preserve"> </w:t>
      </w:r>
      <w:r w:rsidRPr="00E168A1">
        <w:rPr>
          <w:rFonts w:ascii="Times New Roman" w:eastAsiaTheme="minorHAnsi" w:hAnsi="Times New Roman"/>
        </w:rPr>
        <w:t xml:space="preserve">of </w:t>
      </w:r>
      <w:r w:rsidR="00837F94" w:rsidRPr="00E168A1">
        <w:rPr>
          <w:rFonts w:ascii="Times New Roman" w:eastAsiaTheme="minorHAnsi" w:hAnsi="Times New Roman"/>
        </w:rPr>
        <w:t>an</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official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document,</w:t>
      </w:r>
      <w:r w:rsidR="00900061" w:rsidRPr="00A90FD9">
        <w:rPr>
          <w:rFonts w:ascii="Times New Roman" w:eastAsiaTheme="minorHAnsi" w:hAnsi="Times New Roman"/>
        </w:rPr>
        <w:t xml:space="preserve"> </w:t>
      </w:r>
      <w:r w:rsidR="00213ED3" w:rsidRPr="00A90FD9">
        <w:rPr>
          <w:rFonts w:ascii="Times New Roman" w:eastAsiaTheme="minorHAnsi" w:hAnsi="Times New Roman"/>
        </w:rPr>
        <w:t xml:space="preserve">and </w:t>
      </w:r>
      <w:r w:rsidR="00837F94" w:rsidRPr="00A90FD9">
        <w:rPr>
          <w:rFonts w:ascii="Times New Roman" w:eastAsiaTheme="minorHAnsi" w:hAnsi="Times New Roman"/>
        </w:rPr>
        <w:t>abuse</w:t>
      </w:r>
      <w:r w:rsidR="00900061" w:rsidRPr="00A90FD9">
        <w:rPr>
          <w:rFonts w:ascii="Times New Roman" w:eastAsiaTheme="minorHAnsi" w:hAnsi="Times New Roman"/>
        </w:rPr>
        <w:t xml:space="preserve"> </w:t>
      </w:r>
      <w:r w:rsidR="00837F94" w:rsidRPr="00A90FD9">
        <w:rPr>
          <w:rFonts w:ascii="Times New Roman" w:eastAsiaTheme="minorHAnsi" w:hAnsi="Times New Roman"/>
        </w:rPr>
        <w:t>of</w:t>
      </w:r>
      <w:r w:rsidR="00900061" w:rsidRPr="00A90FD9">
        <w:rPr>
          <w:rFonts w:ascii="Times New Roman" w:eastAsiaTheme="minorHAnsi" w:hAnsi="Times New Roman"/>
        </w:rPr>
        <w:t xml:space="preserve"> </w:t>
      </w:r>
      <w:r w:rsidR="00837F94" w:rsidRPr="00A90FD9">
        <w:rPr>
          <w:rFonts w:ascii="Times New Roman" w:eastAsiaTheme="minorHAnsi" w:hAnsi="Times New Roman"/>
        </w:rPr>
        <w:t>office</w:t>
      </w:r>
      <w:r w:rsidR="00900061" w:rsidRPr="00A90FD9">
        <w:rPr>
          <w:rFonts w:ascii="Times New Roman" w:eastAsiaTheme="minorHAnsi" w:hAnsi="Times New Roman"/>
        </w:rPr>
        <w:t xml:space="preserve"> </w:t>
      </w:r>
      <w:r w:rsidR="00837F94" w:rsidRPr="00A90FD9">
        <w:rPr>
          <w:rFonts w:ascii="Times New Roman" w:eastAsiaTheme="minorHAnsi" w:hAnsi="Times New Roman"/>
        </w:rPr>
        <w:t>and</w:t>
      </w:r>
      <w:r w:rsidR="00900061" w:rsidRPr="00A90FD9">
        <w:rPr>
          <w:rFonts w:ascii="Times New Roman" w:eastAsiaTheme="minorHAnsi" w:hAnsi="Times New Roman"/>
        </w:rPr>
        <w:t xml:space="preserve"> </w:t>
      </w:r>
      <w:r w:rsidR="00837F94" w:rsidRPr="00A90FD9">
        <w:rPr>
          <w:rFonts w:ascii="Times New Roman" w:eastAsiaTheme="minorHAnsi" w:hAnsi="Times New Roman"/>
        </w:rPr>
        <w:t>trading</w:t>
      </w:r>
      <w:r w:rsidR="00900061" w:rsidRPr="005769EE">
        <w:rPr>
          <w:rFonts w:ascii="Times New Roman" w:eastAsiaTheme="minorHAnsi" w:hAnsi="Times New Roman"/>
        </w:rPr>
        <w:t xml:space="preserve"> </w:t>
      </w:r>
      <w:r w:rsidR="00837F94" w:rsidRPr="00E168A1">
        <w:rPr>
          <w:rFonts w:ascii="Times New Roman" w:eastAsiaTheme="minorHAnsi" w:hAnsi="Times New Roman"/>
        </w:rPr>
        <w:lastRenderedPageBreak/>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influence.</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Protection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Whistle-Blowers</w:t>
      </w:r>
      <w:r w:rsidR="00900061" w:rsidRPr="00E168A1">
        <w:rPr>
          <w:rFonts w:ascii="Times New Roman" w:eastAsiaTheme="minorHAnsi" w:hAnsi="Times New Roman"/>
        </w:rPr>
        <w:t xml:space="preserve"> </w:t>
      </w:r>
      <w:r w:rsidR="00837F94" w:rsidRPr="00E168A1">
        <w:rPr>
          <w:rFonts w:ascii="Times New Roman" w:eastAsiaTheme="minorHAnsi" w:hAnsi="Times New Roman"/>
        </w:rPr>
        <w:t>has</w:t>
      </w:r>
      <w:r w:rsidR="00900061" w:rsidRPr="00E168A1">
        <w:rPr>
          <w:rFonts w:ascii="Times New Roman" w:eastAsiaTheme="minorHAnsi" w:hAnsi="Times New Roman"/>
        </w:rPr>
        <w:t xml:space="preserve"> </w:t>
      </w:r>
      <w:r w:rsidR="00837F94" w:rsidRPr="00E168A1">
        <w:rPr>
          <w:rFonts w:ascii="Times New Roman" w:eastAsiaTheme="minorHAnsi" w:hAnsi="Times New Roman"/>
        </w:rPr>
        <w:t>entered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force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June</w:t>
      </w:r>
      <w:r w:rsidR="00900061" w:rsidRPr="00E168A1">
        <w:rPr>
          <w:rFonts w:ascii="Times New Roman" w:eastAsiaTheme="minorHAnsi" w:hAnsi="Times New Roman"/>
        </w:rPr>
        <w:t xml:space="preserve"> </w:t>
      </w:r>
      <w:r w:rsidR="00837F94" w:rsidRPr="00E168A1">
        <w:rPr>
          <w:rFonts w:ascii="Times New Roman" w:eastAsiaTheme="minorHAnsi" w:hAnsi="Times New Roman"/>
        </w:rPr>
        <w:t>2015</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some</w:t>
      </w:r>
      <w:r w:rsidR="00900061" w:rsidRPr="00E168A1">
        <w:rPr>
          <w:rFonts w:ascii="Times New Roman" w:eastAsiaTheme="minorHAnsi" w:hAnsi="Times New Roman"/>
        </w:rPr>
        <w:t xml:space="preserve"> </w:t>
      </w:r>
      <w:r w:rsidR="00837F94" w:rsidRPr="00E168A1">
        <w:rPr>
          <w:rFonts w:ascii="Times New Roman" w:eastAsiaTheme="minorHAnsi" w:hAnsi="Times New Roman"/>
        </w:rPr>
        <w:t>rules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whistle-blowers</w:t>
      </w:r>
      <w:r w:rsidRPr="00E168A1">
        <w:rPr>
          <w:rFonts w:ascii="Times New Roman" w:eastAsiaTheme="minorHAnsi" w:hAnsi="Times New Roman"/>
        </w:rPr>
        <w:t>’</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protection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are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included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Free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Access</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Information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Importance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Civil</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Servants</w:t>
      </w:r>
      <w:r w:rsidR="006E02BB" w:rsidRPr="00E168A1">
        <w:rPr>
          <w:rFonts w:ascii="Times New Roman" w:eastAsiaTheme="minorHAnsi" w:hAnsi="Times New Roman"/>
        </w:rPr>
        <w:t>.</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Civil</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Servants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Code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Conduct</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Civil</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Servants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also</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contain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measures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increase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integrity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sector.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Law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contains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w:t>
      </w:r>
      <w:r w:rsidR="00900061" w:rsidRPr="00E168A1">
        <w:rPr>
          <w:rFonts w:ascii="Times New Roman" w:eastAsiaTheme="minorHAnsi" w:hAnsi="Times New Roman"/>
        </w:rPr>
        <w:t xml:space="preserve"> </w:t>
      </w:r>
      <w:r w:rsidR="00837F94" w:rsidRPr="00E168A1">
        <w:rPr>
          <w:rFonts w:ascii="Times New Roman" w:eastAsiaTheme="minorHAnsi" w:hAnsi="Times New Roman"/>
        </w:rPr>
        <w:t>dedicated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chapter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prevention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requiring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purchasing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authority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take</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prevention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measures</w:t>
      </w:r>
      <w:r w:rsidR="00900061" w:rsidRPr="00E168A1">
        <w:rPr>
          <w:rFonts w:ascii="Times New Roman" w:eastAsiaTheme="minorHAnsi" w:hAnsi="Times New Roman"/>
        </w:rPr>
        <w:t xml:space="preserve"> </w:t>
      </w:r>
      <w:r w:rsidRPr="00E168A1">
        <w:rPr>
          <w:rFonts w:ascii="Times New Roman" w:eastAsiaTheme="minorHAnsi" w:hAnsi="Times New Roman"/>
        </w:rPr>
        <w:t xml:space="preserve">at </w:t>
      </w:r>
      <w:r w:rsidR="00837F94" w:rsidRPr="00E168A1">
        <w:rPr>
          <w:rFonts w:ascii="Times New Roman" w:eastAsiaTheme="minorHAnsi" w:hAnsi="Times New Roman"/>
        </w:rPr>
        <w:t>all</w:t>
      </w:r>
      <w:r w:rsidR="00900061" w:rsidRPr="00E168A1">
        <w:rPr>
          <w:rFonts w:ascii="Times New Roman" w:eastAsiaTheme="minorHAnsi" w:hAnsi="Times New Roman"/>
        </w:rPr>
        <w:t xml:space="preserve"> </w:t>
      </w:r>
      <w:r w:rsidR="00837F94" w:rsidRPr="00E168A1">
        <w:rPr>
          <w:rFonts w:ascii="Times New Roman" w:eastAsiaTheme="minorHAnsi" w:hAnsi="Times New Roman"/>
        </w:rPr>
        <w:t>stages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process</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duty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report</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Likewise,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l</w:t>
      </w:r>
      <w:r w:rsidR="00837F94" w:rsidRPr="00E168A1">
        <w:rPr>
          <w:rFonts w:ascii="Times New Roman" w:eastAsiaTheme="minorHAnsi" w:hAnsi="Times New Roman"/>
        </w:rPr>
        <w:t>aw</w:t>
      </w:r>
      <w:r w:rsidR="00900061" w:rsidRPr="00E168A1">
        <w:rPr>
          <w:rFonts w:ascii="Times New Roman" w:eastAsiaTheme="minorHAnsi" w:hAnsi="Times New Roman"/>
        </w:rPr>
        <w:t xml:space="preserve"> </w:t>
      </w:r>
      <w:r w:rsidR="00837F94" w:rsidRPr="00E168A1">
        <w:rPr>
          <w:rFonts w:ascii="Times New Roman" w:eastAsiaTheme="minorHAnsi" w:hAnsi="Times New Roman"/>
        </w:rPr>
        <w:t>addresses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potential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conflicts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interest</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procedure.</w:t>
      </w:r>
      <w:r w:rsidR="00900061" w:rsidRPr="00E168A1">
        <w:rPr>
          <w:rFonts w:ascii="Times New Roman" w:eastAsiaTheme="minorHAnsi" w:hAnsi="Times New Roman"/>
        </w:rPr>
        <w:t xml:space="preserve"> </w:t>
      </w:r>
    </w:p>
    <w:p w14:paraId="07D44185" w14:textId="7A7DF28E" w:rsidR="00837F94" w:rsidRPr="00E168A1" w:rsidRDefault="00837F94" w:rsidP="00645878">
      <w:pPr>
        <w:pStyle w:val="ListParagraph"/>
        <w:numPr>
          <w:ilvl w:val="0"/>
          <w:numId w:val="9"/>
        </w:numPr>
        <w:ind w:left="0" w:firstLine="0"/>
        <w:contextualSpacing w:val="0"/>
        <w:rPr>
          <w:rFonts w:ascii="Times New Roman" w:eastAsiaTheme="minorHAnsi" w:hAnsi="Times New Roman"/>
        </w:rPr>
      </w:pPr>
      <w:r w:rsidRPr="00E168A1">
        <w:rPr>
          <w:rFonts w:ascii="Times New Roman" w:hAnsi="Times New Roman"/>
          <w:b/>
        </w:rPr>
        <w:t>Specific</w:t>
      </w:r>
      <w:r w:rsidR="00900061" w:rsidRPr="00E168A1">
        <w:rPr>
          <w:rFonts w:ascii="Times New Roman" w:hAnsi="Times New Roman"/>
          <w:b/>
        </w:rPr>
        <w:t xml:space="preserve"> </w:t>
      </w:r>
      <w:r w:rsidRPr="00E168A1">
        <w:rPr>
          <w:rFonts w:ascii="Times New Roman" w:eastAsiaTheme="minorHAnsi" w:hAnsi="Times New Roman"/>
          <w:b/>
        </w:rPr>
        <w:t>institutions</w:t>
      </w:r>
      <w:r w:rsidR="00900061" w:rsidRPr="00E168A1">
        <w:rPr>
          <w:rFonts w:ascii="Times New Roman" w:eastAsiaTheme="minorHAnsi" w:hAnsi="Times New Roman"/>
          <w:b/>
        </w:rPr>
        <w:t xml:space="preserve"> </w:t>
      </w:r>
      <w:r w:rsidRPr="00E168A1">
        <w:rPr>
          <w:rFonts w:ascii="Times New Roman" w:eastAsiaTheme="minorHAnsi" w:hAnsi="Times New Roman"/>
          <w:b/>
        </w:rPr>
        <w:t>in</w:t>
      </w:r>
      <w:r w:rsidR="00900061" w:rsidRPr="00E168A1">
        <w:rPr>
          <w:rFonts w:ascii="Times New Roman" w:eastAsiaTheme="minorHAnsi" w:hAnsi="Times New Roman"/>
          <w:b/>
        </w:rPr>
        <w:t xml:space="preserve"> </w:t>
      </w:r>
      <w:r w:rsidRPr="00E168A1">
        <w:rPr>
          <w:rFonts w:ascii="Times New Roman" w:eastAsiaTheme="minorHAnsi" w:hAnsi="Times New Roman"/>
          <w:b/>
        </w:rPr>
        <w:t>the</w:t>
      </w:r>
      <w:r w:rsidR="00900061" w:rsidRPr="00E168A1">
        <w:rPr>
          <w:rFonts w:ascii="Times New Roman" w:eastAsiaTheme="minorHAnsi" w:hAnsi="Times New Roman"/>
          <w:b/>
        </w:rPr>
        <w:t xml:space="preserve"> </w:t>
      </w:r>
      <w:r w:rsidR="00A4421D" w:rsidRPr="00E168A1">
        <w:rPr>
          <w:rFonts w:ascii="Times New Roman" w:eastAsiaTheme="minorHAnsi" w:hAnsi="Times New Roman"/>
          <w:b/>
        </w:rPr>
        <w:t>A</w:t>
      </w:r>
      <w:r w:rsidRPr="00E168A1">
        <w:rPr>
          <w:rFonts w:ascii="Times New Roman" w:eastAsiaTheme="minorHAnsi" w:hAnsi="Times New Roman"/>
          <w:b/>
        </w:rPr>
        <w:t>nticorruption</w:t>
      </w:r>
      <w:r w:rsidR="00900061" w:rsidRPr="00E168A1">
        <w:rPr>
          <w:rFonts w:ascii="Times New Roman" w:eastAsiaTheme="minorHAnsi" w:hAnsi="Times New Roman"/>
          <w:b/>
        </w:rPr>
        <w:t xml:space="preserve"> </w:t>
      </w:r>
      <w:r w:rsidR="00A4421D" w:rsidRPr="00E168A1">
        <w:rPr>
          <w:rFonts w:ascii="Times New Roman" w:eastAsiaTheme="minorHAnsi" w:hAnsi="Times New Roman"/>
          <w:b/>
        </w:rPr>
        <w:t>F</w:t>
      </w:r>
      <w:r w:rsidRPr="00E168A1">
        <w:rPr>
          <w:rFonts w:ascii="Times New Roman" w:eastAsiaTheme="minorHAnsi" w:hAnsi="Times New Roman"/>
          <w:b/>
        </w:rPr>
        <w:t>ramework</w:t>
      </w:r>
      <w:r w:rsidR="00900061" w:rsidRPr="00E168A1">
        <w:rPr>
          <w:rFonts w:ascii="Times New Roman" w:eastAsiaTheme="minorHAnsi" w:hAnsi="Times New Roman"/>
          <w:b/>
        </w:rPr>
        <w:t xml:space="preserve"> </w:t>
      </w:r>
      <w:r w:rsidRPr="00E168A1">
        <w:rPr>
          <w:rFonts w:ascii="Times New Roman" w:eastAsiaTheme="minorHAnsi" w:hAnsi="Times New Roman"/>
          <w:b/>
        </w:rPr>
        <w:t>are</w:t>
      </w:r>
      <w:r w:rsidR="00900061" w:rsidRPr="00E168A1">
        <w:rPr>
          <w:rFonts w:ascii="Times New Roman" w:eastAsiaTheme="minorHAnsi" w:hAnsi="Times New Roman"/>
          <w:b/>
        </w:rPr>
        <w:t xml:space="preserve"> </w:t>
      </w:r>
      <w:r w:rsidRPr="00E168A1">
        <w:rPr>
          <w:rFonts w:ascii="Times New Roman" w:eastAsiaTheme="minorHAnsi" w:hAnsi="Times New Roman"/>
          <w:b/>
        </w:rPr>
        <w:t>established</w:t>
      </w:r>
      <w:r w:rsidR="00900061" w:rsidRPr="00E168A1">
        <w:rPr>
          <w:rFonts w:ascii="Times New Roman" w:eastAsiaTheme="minorHAnsi" w:hAnsi="Times New Roman"/>
          <w:b/>
        </w:rPr>
        <w:t xml:space="preserve"> </w:t>
      </w:r>
      <w:r w:rsidRPr="00E168A1">
        <w:rPr>
          <w:rFonts w:ascii="Times New Roman" w:eastAsiaTheme="minorHAnsi" w:hAnsi="Times New Roman"/>
          <w:b/>
        </w:rPr>
        <w:t>and</w:t>
      </w:r>
      <w:r w:rsidR="00900061" w:rsidRPr="00E168A1">
        <w:rPr>
          <w:rFonts w:ascii="Times New Roman" w:eastAsiaTheme="minorHAnsi" w:hAnsi="Times New Roman"/>
          <w:b/>
        </w:rPr>
        <w:t xml:space="preserve"> </w:t>
      </w:r>
      <w:r w:rsidRPr="00E168A1">
        <w:rPr>
          <w:rFonts w:ascii="Times New Roman" w:eastAsiaTheme="minorHAnsi" w:hAnsi="Times New Roman"/>
          <w:b/>
        </w:rPr>
        <w:t>functioning.</w:t>
      </w:r>
      <w:r w:rsidR="00900061" w:rsidRPr="00E168A1">
        <w:rPr>
          <w:rFonts w:ascii="Times New Roman" w:eastAsiaTheme="minorHAnsi" w:hAnsi="Times New Roman"/>
        </w:rPr>
        <w:t xml:space="preserve"> </w:t>
      </w:r>
      <w:r w:rsidR="001F500D" w:rsidRPr="00E168A1">
        <w:rPr>
          <w:rFonts w:ascii="Times New Roman" w:eastAsiaTheme="minorHAnsi" w:hAnsi="Times New Roman"/>
        </w:rPr>
        <w:t xml:space="preserve">The </w:t>
      </w:r>
      <w:r w:rsidRPr="00E168A1">
        <w:rPr>
          <w:rFonts w:ascii="Times New Roman" w:eastAsiaTheme="minorHAnsi" w:hAnsi="Times New Roman"/>
        </w:rPr>
        <w:t>Anticorruption</w:t>
      </w:r>
      <w:r w:rsidR="00900061" w:rsidRPr="00E168A1">
        <w:rPr>
          <w:rFonts w:ascii="Times New Roman" w:eastAsiaTheme="minorHAnsi" w:hAnsi="Times New Roman"/>
        </w:rPr>
        <w:t xml:space="preserve"> </w:t>
      </w:r>
      <w:r w:rsidR="001F4D49" w:rsidRPr="00E168A1">
        <w:rPr>
          <w:rFonts w:ascii="Times New Roman" w:eastAsiaTheme="minorHAnsi" w:hAnsi="Times New Roman"/>
        </w:rPr>
        <w:t>I</w:t>
      </w:r>
      <w:r w:rsidRPr="00E168A1">
        <w:rPr>
          <w:rFonts w:ascii="Times New Roman" w:eastAsiaTheme="minorHAnsi" w:hAnsi="Times New Roman"/>
        </w:rPr>
        <w:t>nstitutional</w:t>
      </w:r>
      <w:r w:rsidR="00900061" w:rsidRPr="00E168A1">
        <w:rPr>
          <w:rFonts w:ascii="Times New Roman" w:eastAsiaTheme="minorHAnsi" w:hAnsi="Times New Roman"/>
        </w:rPr>
        <w:t xml:space="preserve"> </w:t>
      </w:r>
      <w:r w:rsidR="001F4D49" w:rsidRPr="00E168A1">
        <w:rPr>
          <w:rFonts w:ascii="Times New Roman" w:eastAsiaTheme="minorHAnsi" w:hAnsi="Times New Roman"/>
        </w:rPr>
        <w:t>F</w:t>
      </w:r>
      <w:r w:rsidRPr="00E168A1">
        <w:rPr>
          <w:rFonts w:ascii="Times New Roman" w:eastAsiaTheme="minorHAnsi" w:hAnsi="Times New Roman"/>
        </w:rPr>
        <w:t>ramework</w:t>
      </w:r>
      <w:r w:rsidR="00900061" w:rsidRPr="00E168A1">
        <w:rPr>
          <w:rFonts w:ascii="Times New Roman" w:eastAsiaTheme="minorHAnsi" w:hAnsi="Times New Roman"/>
        </w:rPr>
        <w:t xml:space="preserve"> </w:t>
      </w:r>
      <w:r w:rsidRPr="00E168A1">
        <w:rPr>
          <w:rFonts w:ascii="Times New Roman" w:eastAsiaTheme="minorHAnsi" w:hAnsi="Times New Roman"/>
        </w:rPr>
        <w:t>includes</w:t>
      </w:r>
      <w:r w:rsidR="001F4D49" w:rsidRPr="00E168A1">
        <w:rPr>
          <w:rFonts w:ascii="Times New Roman" w:eastAsiaTheme="minorHAnsi" w:hAnsi="Times New Roman"/>
        </w:rPr>
        <w:t xml:space="preserve"> the following</w:t>
      </w:r>
      <w:r w:rsidRPr="00E168A1">
        <w:rPr>
          <w:rFonts w:ascii="Times New Roman" w:eastAsiaTheme="minorHAnsi" w:hAnsi="Times New Roman"/>
        </w:rPr>
        <w:t>:</w:t>
      </w:r>
    </w:p>
    <w:p w14:paraId="74E23E57" w14:textId="16D79D9B" w:rsidR="00837F94" w:rsidRPr="00E168A1" w:rsidRDefault="00837F94" w:rsidP="000E798B">
      <w:pPr>
        <w:pStyle w:val="NormalWeb"/>
        <w:numPr>
          <w:ilvl w:val="0"/>
          <w:numId w:val="10"/>
        </w:numPr>
        <w:shd w:val="clear" w:color="auto" w:fill="FFFFFF"/>
        <w:spacing w:before="120" w:beforeAutospacing="0" w:after="120" w:afterAutospacing="0"/>
        <w:ind w:left="720" w:hanging="360"/>
      </w:pPr>
      <w:r w:rsidRPr="00E168A1">
        <w:rPr>
          <w:i/>
        </w:rPr>
        <w:t>Anticorruption</w:t>
      </w:r>
      <w:r w:rsidR="00900061" w:rsidRPr="00E168A1">
        <w:rPr>
          <w:i/>
        </w:rPr>
        <w:t xml:space="preserve"> </w:t>
      </w:r>
      <w:r w:rsidRPr="00E168A1">
        <w:rPr>
          <w:i/>
        </w:rPr>
        <w:t>Agency</w:t>
      </w:r>
      <w:r w:rsidR="00073464" w:rsidRPr="00E168A1">
        <w:rPr>
          <w:i/>
        </w:rPr>
        <w:t>.</w:t>
      </w:r>
      <w:r w:rsidR="00900061" w:rsidRPr="00E168A1">
        <w:t xml:space="preserve"> </w:t>
      </w:r>
      <w:r w:rsidR="001F500D" w:rsidRPr="00E168A1">
        <w:t xml:space="preserve">This </w:t>
      </w:r>
      <w:r w:rsidRPr="00E168A1">
        <w:t>is</w:t>
      </w:r>
      <w:r w:rsidR="00900061" w:rsidRPr="00E168A1">
        <w:t xml:space="preserve"> </w:t>
      </w:r>
      <w:r w:rsidRPr="00E168A1">
        <w:t>an</w:t>
      </w:r>
      <w:r w:rsidR="00900061" w:rsidRPr="00E168A1">
        <w:t xml:space="preserve"> </w:t>
      </w:r>
      <w:r w:rsidRPr="00E168A1">
        <w:t>independent</w:t>
      </w:r>
      <w:r w:rsidR="00900061" w:rsidRPr="00E168A1">
        <w:t xml:space="preserve"> </w:t>
      </w:r>
      <w:r w:rsidRPr="00E168A1">
        <w:t>and</w:t>
      </w:r>
      <w:r w:rsidR="00900061" w:rsidRPr="00E168A1">
        <w:t xml:space="preserve"> </w:t>
      </w:r>
      <w:r w:rsidRPr="00E168A1">
        <w:t>autonomous</w:t>
      </w:r>
      <w:r w:rsidR="00900061" w:rsidRPr="00E168A1">
        <w:t xml:space="preserve"> </w:t>
      </w:r>
      <w:r w:rsidRPr="00E168A1">
        <w:t>state</w:t>
      </w:r>
      <w:r w:rsidR="00900061" w:rsidRPr="00E168A1">
        <w:t xml:space="preserve"> </w:t>
      </w:r>
      <w:r w:rsidRPr="00E168A1">
        <w:t>authority,</w:t>
      </w:r>
      <w:r w:rsidR="00900061" w:rsidRPr="00E168A1">
        <w:t xml:space="preserve"> </w:t>
      </w:r>
      <w:r w:rsidRPr="00E168A1">
        <w:t>founded</w:t>
      </w:r>
      <w:r w:rsidR="00900061" w:rsidRPr="00E168A1">
        <w:t xml:space="preserve"> </w:t>
      </w:r>
      <w:r w:rsidRPr="00E168A1">
        <w:t>by</w:t>
      </w:r>
      <w:r w:rsidR="00900061" w:rsidRPr="00E168A1">
        <w:t xml:space="preserve"> </w:t>
      </w:r>
      <w:r w:rsidRPr="00E168A1">
        <w:t>the</w:t>
      </w:r>
      <w:r w:rsidR="00900061" w:rsidRPr="00E168A1">
        <w:t xml:space="preserve"> </w:t>
      </w:r>
      <w:r w:rsidRPr="00E168A1">
        <w:t>virtue</w:t>
      </w:r>
      <w:r w:rsidR="00900061" w:rsidRPr="00E168A1">
        <w:t xml:space="preserve"> </w:t>
      </w:r>
      <w:r w:rsidRPr="00E168A1">
        <w:t>of</w:t>
      </w:r>
      <w:r w:rsidR="00900061" w:rsidRPr="00E168A1">
        <w:t xml:space="preserve"> </w:t>
      </w:r>
      <w:r w:rsidRPr="00E168A1">
        <w:t>the</w:t>
      </w:r>
      <w:r w:rsidR="00900061" w:rsidRPr="00E168A1">
        <w:t xml:space="preserve"> </w:t>
      </w:r>
      <w:r w:rsidRPr="00E168A1">
        <w:t>Law</w:t>
      </w:r>
      <w:r w:rsidR="00900061" w:rsidRPr="00E168A1">
        <w:t xml:space="preserve"> </w:t>
      </w:r>
      <w:r w:rsidRPr="00E168A1">
        <w:t>on</w:t>
      </w:r>
      <w:r w:rsidR="00900061" w:rsidRPr="00E168A1">
        <w:t xml:space="preserve"> </w:t>
      </w:r>
      <w:r w:rsidRPr="00E168A1">
        <w:t>the</w:t>
      </w:r>
      <w:r w:rsidR="00900061" w:rsidRPr="00E168A1">
        <w:t xml:space="preserve"> </w:t>
      </w:r>
      <w:r w:rsidR="00C60895" w:rsidRPr="00E168A1">
        <w:t>ACA</w:t>
      </w:r>
      <w:r w:rsidR="001F500D" w:rsidRPr="00E168A1">
        <w:t>,</w:t>
      </w:r>
      <w:r w:rsidR="00C9728A" w:rsidRPr="00A90FD9">
        <w:t xml:space="preserve"> for</w:t>
      </w:r>
      <w:r w:rsidR="00900061" w:rsidRPr="00A90FD9">
        <w:t xml:space="preserve"> </w:t>
      </w:r>
      <w:r w:rsidRPr="00A90FD9">
        <w:t>which</w:t>
      </w:r>
      <w:r w:rsidR="00900061" w:rsidRPr="00A90FD9">
        <w:t xml:space="preserve"> </w:t>
      </w:r>
      <w:r w:rsidRPr="00E168A1">
        <w:t>implementation</w:t>
      </w:r>
      <w:r w:rsidR="00900061" w:rsidRPr="00E168A1">
        <w:t xml:space="preserve"> </w:t>
      </w:r>
      <w:r w:rsidRPr="00E168A1">
        <w:t>started</w:t>
      </w:r>
      <w:r w:rsidR="00900061" w:rsidRPr="00E168A1">
        <w:t xml:space="preserve"> </w:t>
      </w:r>
      <w:r w:rsidRPr="00E168A1">
        <w:t>on</w:t>
      </w:r>
      <w:r w:rsidR="00900061" w:rsidRPr="00E168A1">
        <w:t xml:space="preserve"> </w:t>
      </w:r>
      <w:r w:rsidRPr="00E168A1">
        <w:t>January</w:t>
      </w:r>
      <w:r w:rsidR="00900061" w:rsidRPr="00E168A1">
        <w:t xml:space="preserve"> </w:t>
      </w:r>
      <w:r w:rsidRPr="00E168A1">
        <w:t>1,</w:t>
      </w:r>
      <w:r w:rsidR="00900061" w:rsidRPr="00E168A1">
        <w:t xml:space="preserve"> </w:t>
      </w:r>
      <w:r w:rsidRPr="00E168A1">
        <w:t>2010.</w:t>
      </w:r>
      <w:r w:rsidR="00900061" w:rsidRPr="00E168A1">
        <w:t xml:space="preserve"> </w:t>
      </w:r>
      <w:r w:rsidRPr="00E168A1">
        <w:t>The</w:t>
      </w:r>
      <w:r w:rsidR="00900061" w:rsidRPr="00E168A1">
        <w:t xml:space="preserve"> </w:t>
      </w:r>
      <w:r w:rsidRPr="00E168A1">
        <w:t>ACA</w:t>
      </w:r>
      <w:r w:rsidR="00900061" w:rsidRPr="00E168A1">
        <w:t xml:space="preserve"> </w:t>
      </w:r>
      <w:r w:rsidRPr="00E168A1">
        <w:t>is</w:t>
      </w:r>
      <w:r w:rsidR="00900061" w:rsidRPr="00E168A1">
        <w:t xml:space="preserve"> </w:t>
      </w:r>
      <w:r w:rsidRPr="00E168A1">
        <w:t>accountable</w:t>
      </w:r>
      <w:r w:rsidR="00900061" w:rsidRPr="00E168A1">
        <w:t xml:space="preserve"> </w:t>
      </w:r>
      <w:r w:rsidRPr="00E168A1">
        <w:t>for</w:t>
      </w:r>
      <w:r w:rsidR="00900061" w:rsidRPr="00E168A1">
        <w:t xml:space="preserve"> </w:t>
      </w:r>
      <w:r w:rsidRPr="00E168A1">
        <w:t>its</w:t>
      </w:r>
      <w:r w:rsidR="00900061" w:rsidRPr="00E168A1">
        <w:t xml:space="preserve"> </w:t>
      </w:r>
      <w:r w:rsidRPr="00E168A1">
        <w:t>work</w:t>
      </w:r>
      <w:r w:rsidR="00900061" w:rsidRPr="00E168A1">
        <w:t xml:space="preserve"> </w:t>
      </w:r>
      <w:r w:rsidRPr="00E168A1">
        <w:t>to</w:t>
      </w:r>
      <w:r w:rsidR="00900061" w:rsidRPr="00E168A1">
        <w:t xml:space="preserve"> </w:t>
      </w:r>
      <w:r w:rsidRPr="00E168A1">
        <w:t>the</w:t>
      </w:r>
      <w:r w:rsidR="00900061" w:rsidRPr="00E168A1">
        <w:t xml:space="preserve"> </w:t>
      </w:r>
      <w:r w:rsidRPr="00E168A1">
        <w:t>NA.</w:t>
      </w:r>
      <w:r w:rsidR="00900061" w:rsidRPr="00E168A1">
        <w:t xml:space="preserve"> </w:t>
      </w:r>
      <w:r w:rsidR="00C04E5D" w:rsidRPr="00E168A1">
        <w:t xml:space="preserve">The </w:t>
      </w:r>
      <w:r w:rsidRPr="00E168A1">
        <w:t>ACA</w:t>
      </w:r>
      <w:r w:rsidR="00900061" w:rsidRPr="00E168A1">
        <w:t xml:space="preserve"> </w:t>
      </w:r>
      <w:r w:rsidRPr="00E168A1">
        <w:t>has</w:t>
      </w:r>
      <w:r w:rsidR="00900061" w:rsidRPr="00E168A1">
        <w:t xml:space="preserve"> </w:t>
      </w:r>
      <w:r w:rsidRPr="00E168A1">
        <w:t>numerous</w:t>
      </w:r>
      <w:r w:rsidR="00900061" w:rsidRPr="00E168A1">
        <w:t xml:space="preserve"> </w:t>
      </w:r>
      <w:r w:rsidRPr="00E168A1">
        <w:t>preventive,</w:t>
      </w:r>
      <w:r w:rsidR="00900061" w:rsidRPr="00E168A1">
        <w:t xml:space="preserve"> </w:t>
      </w:r>
      <w:r w:rsidRPr="00E168A1">
        <w:t>oversight</w:t>
      </w:r>
      <w:r w:rsidR="005B3392" w:rsidRPr="00E168A1">
        <w:t>,</w:t>
      </w:r>
      <w:r w:rsidR="00900061" w:rsidRPr="00E168A1">
        <w:t xml:space="preserve"> </w:t>
      </w:r>
      <w:r w:rsidRPr="00E168A1">
        <w:t>and</w:t>
      </w:r>
      <w:r w:rsidR="00900061" w:rsidRPr="00E168A1">
        <w:t xml:space="preserve"> </w:t>
      </w:r>
      <w:r w:rsidRPr="00E168A1">
        <w:t>supervisory</w:t>
      </w:r>
      <w:r w:rsidR="00900061" w:rsidRPr="00E168A1">
        <w:t xml:space="preserve"> </w:t>
      </w:r>
      <w:r w:rsidRPr="00E168A1">
        <w:t>authorities</w:t>
      </w:r>
      <w:r w:rsidR="00900061" w:rsidRPr="00E168A1">
        <w:t xml:space="preserve"> </w:t>
      </w:r>
      <w:r w:rsidRPr="00E168A1">
        <w:t>for</w:t>
      </w:r>
      <w:r w:rsidR="00900061" w:rsidRPr="00E168A1">
        <w:t xml:space="preserve"> </w:t>
      </w:r>
      <w:r w:rsidRPr="00E168A1">
        <w:t>prevention</w:t>
      </w:r>
      <w:r w:rsidR="00900061" w:rsidRPr="00E168A1">
        <w:t xml:space="preserve"> </w:t>
      </w:r>
      <w:r w:rsidRPr="00E168A1">
        <w:t>and</w:t>
      </w:r>
      <w:r w:rsidR="00900061" w:rsidRPr="00E168A1">
        <w:t xml:space="preserve"> </w:t>
      </w:r>
      <w:r w:rsidRPr="00E168A1">
        <w:t>suppression</w:t>
      </w:r>
      <w:r w:rsidR="00900061" w:rsidRPr="00E168A1">
        <w:t xml:space="preserve"> </w:t>
      </w:r>
      <w:r w:rsidRPr="00E168A1">
        <w:t>of</w:t>
      </w:r>
      <w:r w:rsidR="00900061" w:rsidRPr="00E168A1">
        <w:t xml:space="preserve"> </w:t>
      </w:r>
      <w:r w:rsidRPr="00E168A1">
        <w:t>corruption.</w:t>
      </w:r>
      <w:r w:rsidR="00900061" w:rsidRPr="00E168A1">
        <w:t xml:space="preserve"> </w:t>
      </w:r>
      <w:r w:rsidRPr="00E168A1">
        <w:t>Acting</w:t>
      </w:r>
      <w:r w:rsidR="00900061" w:rsidRPr="00E168A1">
        <w:t xml:space="preserve"> </w:t>
      </w:r>
      <w:r w:rsidRPr="00E168A1">
        <w:t>in</w:t>
      </w:r>
      <w:r w:rsidR="00900061" w:rsidRPr="00E168A1">
        <w:t xml:space="preserve"> </w:t>
      </w:r>
      <w:r w:rsidRPr="00E168A1">
        <w:t>accordance</w:t>
      </w:r>
      <w:r w:rsidR="00900061" w:rsidRPr="00E168A1">
        <w:t xml:space="preserve"> </w:t>
      </w:r>
      <w:r w:rsidRPr="00E168A1">
        <w:t>with</w:t>
      </w:r>
      <w:r w:rsidR="00900061" w:rsidRPr="00E168A1">
        <w:t xml:space="preserve"> </w:t>
      </w:r>
      <w:r w:rsidRPr="00E168A1">
        <w:t>its</w:t>
      </w:r>
      <w:r w:rsidR="00900061" w:rsidRPr="00E168A1">
        <w:t xml:space="preserve"> </w:t>
      </w:r>
      <w:r w:rsidRPr="00E168A1">
        <w:t>legal</w:t>
      </w:r>
      <w:r w:rsidR="00900061" w:rsidRPr="00E168A1">
        <w:t xml:space="preserve"> </w:t>
      </w:r>
      <w:r w:rsidRPr="00E168A1">
        <w:t>mandate,</w:t>
      </w:r>
      <w:r w:rsidR="00900061" w:rsidRPr="00E168A1">
        <w:t xml:space="preserve"> </w:t>
      </w:r>
      <w:r w:rsidRPr="00E168A1">
        <w:t>key</w:t>
      </w:r>
      <w:r w:rsidR="00900061" w:rsidRPr="00E168A1">
        <w:t xml:space="preserve"> </w:t>
      </w:r>
      <w:r w:rsidRPr="00E168A1">
        <w:t>responsbilities</w:t>
      </w:r>
      <w:r w:rsidR="00900061" w:rsidRPr="00E168A1">
        <w:t xml:space="preserve"> </w:t>
      </w:r>
      <w:r w:rsidRPr="00E168A1">
        <w:t>of</w:t>
      </w:r>
      <w:r w:rsidR="00900061" w:rsidRPr="00E168A1">
        <w:t xml:space="preserve"> </w:t>
      </w:r>
      <w:r w:rsidRPr="00E168A1">
        <w:t>the</w:t>
      </w:r>
      <w:r w:rsidR="00900061" w:rsidRPr="00E168A1">
        <w:t xml:space="preserve"> </w:t>
      </w:r>
      <w:r w:rsidRPr="00E168A1">
        <w:t>ACA</w:t>
      </w:r>
      <w:r w:rsidR="00900061" w:rsidRPr="00E168A1">
        <w:t xml:space="preserve"> </w:t>
      </w:r>
      <w:r w:rsidRPr="00E168A1">
        <w:t>are</w:t>
      </w:r>
      <w:r w:rsidR="00900061" w:rsidRPr="00E168A1">
        <w:t xml:space="preserve"> </w:t>
      </w:r>
      <w:r w:rsidRPr="00E168A1">
        <w:t>the</w:t>
      </w:r>
      <w:r w:rsidR="00900061" w:rsidRPr="00E168A1">
        <w:t xml:space="preserve"> </w:t>
      </w:r>
      <w:r w:rsidRPr="00E168A1">
        <w:t>following:</w:t>
      </w:r>
    </w:p>
    <w:p w14:paraId="267E8432" w14:textId="084E2437" w:rsidR="00837F94" w:rsidRPr="00E168A1" w:rsidRDefault="00837F94" w:rsidP="000E798B">
      <w:pPr>
        <w:pStyle w:val="ListParagraph"/>
        <w:numPr>
          <w:ilvl w:val="0"/>
          <w:numId w:val="23"/>
        </w:numPr>
        <w:shd w:val="clear" w:color="auto" w:fill="FFFFFF"/>
        <w:contextualSpacing w:val="0"/>
        <w:rPr>
          <w:rFonts w:ascii="Times New Roman" w:eastAsia="Times New Roman" w:hAnsi="Times New Roman"/>
        </w:rPr>
      </w:pPr>
      <w:r w:rsidRPr="00E168A1">
        <w:rPr>
          <w:rFonts w:ascii="Times New Roman" w:eastAsia="Times New Roman" w:hAnsi="Times New Roman"/>
        </w:rPr>
        <w:t>Oversees</w:t>
      </w:r>
      <w:r w:rsidR="00900061" w:rsidRPr="00E168A1">
        <w:rPr>
          <w:rFonts w:ascii="Times New Roman" w:eastAsia="Times New Roman" w:hAnsi="Times New Roman"/>
        </w:rPr>
        <w:t xml:space="preserve"> </w:t>
      </w:r>
      <w:r w:rsidRPr="00E168A1">
        <w:rPr>
          <w:rFonts w:ascii="Times New Roman" w:eastAsia="Times New Roman" w:hAnsi="Times New Roman"/>
        </w:rPr>
        <w:t>implementation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National</w:t>
      </w:r>
      <w:r w:rsidR="00900061" w:rsidRPr="00E168A1">
        <w:rPr>
          <w:rFonts w:ascii="Times New Roman" w:eastAsia="Times New Roman" w:hAnsi="Times New Roman"/>
        </w:rPr>
        <w:t xml:space="preserve"> </w:t>
      </w:r>
      <w:r w:rsidRPr="00E168A1">
        <w:rPr>
          <w:rFonts w:ascii="Times New Roman" w:eastAsia="Times New Roman" w:hAnsi="Times New Roman"/>
        </w:rPr>
        <w:t>Anticorruption</w:t>
      </w:r>
      <w:r w:rsidR="00900061" w:rsidRPr="00E168A1">
        <w:rPr>
          <w:rFonts w:ascii="Times New Roman" w:eastAsia="Times New Roman" w:hAnsi="Times New Roman"/>
        </w:rPr>
        <w:t xml:space="preserve"> </w:t>
      </w:r>
      <w:r w:rsidR="004D5523" w:rsidRPr="00E168A1">
        <w:rPr>
          <w:rFonts w:ascii="Times New Roman" w:eastAsia="Times New Roman" w:hAnsi="Times New Roman"/>
        </w:rPr>
        <w:t>S</w:t>
      </w:r>
      <w:r w:rsidRPr="00E168A1">
        <w:rPr>
          <w:rFonts w:ascii="Times New Roman" w:eastAsia="Times New Roman" w:hAnsi="Times New Roman"/>
        </w:rPr>
        <w:t>trategy</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associated</w:t>
      </w:r>
      <w:r w:rsidR="00900061" w:rsidRPr="00E168A1">
        <w:rPr>
          <w:rFonts w:ascii="Times New Roman" w:eastAsia="Times New Roman" w:hAnsi="Times New Roman"/>
        </w:rPr>
        <w:t xml:space="preserve"> </w:t>
      </w:r>
      <w:r w:rsidRPr="00E168A1">
        <w:rPr>
          <w:rFonts w:ascii="Times New Roman" w:eastAsia="Times New Roman" w:hAnsi="Times New Roman"/>
        </w:rPr>
        <w:t>action</w:t>
      </w:r>
      <w:r w:rsidR="00900061" w:rsidRPr="00E168A1">
        <w:rPr>
          <w:rFonts w:ascii="Times New Roman" w:eastAsia="Times New Roman" w:hAnsi="Times New Roman"/>
        </w:rPr>
        <w:t xml:space="preserve"> </w:t>
      </w:r>
      <w:r w:rsidRPr="00E168A1">
        <w:rPr>
          <w:rFonts w:ascii="Times New Roman" w:eastAsia="Times New Roman" w:hAnsi="Times New Roman"/>
        </w:rPr>
        <w:t>plans</w:t>
      </w:r>
    </w:p>
    <w:p w14:paraId="5EA23DEA" w14:textId="38CFFAD1" w:rsidR="00837F94" w:rsidRPr="00E168A1" w:rsidRDefault="00837F94" w:rsidP="000E798B">
      <w:pPr>
        <w:pStyle w:val="ListParagraph"/>
        <w:numPr>
          <w:ilvl w:val="0"/>
          <w:numId w:val="23"/>
        </w:numPr>
        <w:shd w:val="clear" w:color="auto" w:fill="FFFFFF"/>
        <w:contextualSpacing w:val="0"/>
        <w:rPr>
          <w:rFonts w:ascii="Times New Roman" w:eastAsia="Times New Roman" w:hAnsi="Times New Roman"/>
        </w:rPr>
      </w:pPr>
      <w:r w:rsidRPr="00E168A1">
        <w:rPr>
          <w:rFonts w:ascii="Times New Roman" w:eastAsia="Times New Roman" w:hAnsi="Times New Roman"/>
        </w:rPr>
        <w:t>Imposes</w:t>
      </w:r>
      <w:r w:rsidR="00900061" w:rsidRPr="00E168A1">
        <w:rPr>
          <w:rFonts w:ascii="Times New Roman" w:eastAsia="Times New Roman" w:hAnsi="Times New Roman"/>
        </w:rPr>
        <w:t xml:space="preserve"> </w:t>
      </w:r>
      <w:r w:rsidRPr="00E168A1">
        <w:rPr>
          <w:rFonts w:ascii="Times New Roman" w:eastAsia="Times New Roman" w:hAnsi="Times New Roman"/>
        </w:rPr>
        <w:t>measure</w:t>
      </w:r>
      <w:r w:rsidR="00900061" w:rsidRPr="00E168A1">
        <w:rPr>
          <w:rFonts w:ascii="Times New Roman" w:eastAsia="Times New Roman" w:hAnsi="Times New Roman"/>
        </w:rPr>
        <w:t xml:space="preserve"> </w:t>
      </w:r>
      <w:r w:rsidRPr="00E168A1">
        <w:rPr>
          <w:rFonts w:ascii="Times New Roman" w:eastAsia="Times New Roman" w:hAnsi="Times New Roman"/>
        </w:rPr>
        <w:t>due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violation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ACA</w:t>
      </w:r>
      <w:r w:rsidR="00900061" w:rsidRPr="00E168A1">
        <w:rPr>
          <w:rFonts w:ascii="Times New Roman" w:eastAsia="Times New Roman" w:hAnsi="Times New Roman"/>
        </w:rPr>
        <w:t xml:space="preserve"> </w:t>
      </w:r>
      <w:r w:rsidRPr="00E168A1">
        <w:rPr>
          <w:rFonts w:ascii="Times New Roman" w:eastAsia="Times New Roman" w:hAnsi="Times New Roman"/>
        </w:rPr>
        <w:t>Law</w:t>
      </w:r>
    </w:p>
    <w:p w14:paraId="112E2C5A" w14:textId="1D9B4218" w:rsidR="00837F94" w:rsidRPr="00E168A1" w:rsidRDefault="00837F94" w:rsidP="000E798B">
      <w:pPr>
        <w:pStyle w:val="ListParagraph"/>
        <w:numPr>
          <w:ilvl w:val="0"/>
          <w:numId w:val="23"/>
        </w:numPr>
        <w:shd w:val="clear" w:color="auto" w:fill="FFFFFF"/>
        <w:contextualSpacing w:val="0"/>
        <w:rPr>
          <w:rFonts w:ascii="Times New Roman" w:eastAsia="Times New Roman" w:hAnsi="Times New Roman"/>
        </w:rPr>
      </w:pPr>
      <w:r w:rsidRPr="00E168A1">
        <w:rPr>
          <w:rFonts w:ascii="Times New Roman" w:eastAsia="Times New Roman" w:hAnsi="Times New Roman"/>
        </w:rPr>
        <w:t>Resolves</w:t>
      </w:r>
      <w:r w:rsidR="00900061" w:rsidRPr="00E168A1">
        <w:rPr>
          <w:rFonts w:ascii="Times New Roman" w:eastAsia="Times New Roman" w:hAnsi="Times New Roman"/>
        </w:rPr>
        <w:t xml:space="preserve"> </w:t>
      </w:r>
      <w:r w:rsidRPr="00E168A1">
        <w:rPr>
          <w:rFonts w:ascii="Times New Roman" w:eastAsia="Times New Roman" w:hAnsi="Times New Roman"/>
        </w:rPr>
        <w:t>conflict</w:t>
      </w:r>
      <w:r w:rsidR="001F500D" w:rsidRPr="00E168A1">
        <w:rPr>
          <w:rFonts w:ascii="Times New Roman" w:eastAsia="Times New Roman" w:hAnsi="Times New Roman"/>
        </w:rPr>
        <w:t>-</w:t>
      </w:r>
      <w:r w:rsidRPr="00E168A1">
        <w:rPr>
          <w:rFonts w:ascii="Times New Roman" w:eastAsia="Times New Roman" w:hAnsi="Times New Roman"/>
        </w:rPr>
        <w:t>of</w:t>
      </w:r>
      <w:r w:rsidR="001F500D" w:rsidRPr="00E168A1">
        <w:rPr>
          <w:rFonts w:ascii="Times New Roman" w:eastAsia="Times New Roman" w:hAnsi="Times New Roman"/>
        </w:rPr>
        <w:t>-</w:t>
      </w:r>
      <w:r w:rsidRPr="00E168A1">
        <w:rPr>
          <w:rFonts w:ascii="Times New Roman" w:eastAsia="Times New Roman" w:hAnsi="Times New Roman"/>
        </w:rPr>
        <w:t>interest</w:t>
      </w:r>
      <w:r w:rsidR="00900061" w:rsidRPr="00E168A1">
        <w:rPr>
          <w:rFonts w:ascii="Times New Roman" w:eastAsia="Times New Roman" w:hAnsi="Times New Roman"/>
        </w:rPr>
        <w:t xml:space="preserve"> </w:t>
      </w:r>
      <w:r w:rsidRPr="00E168A1">
        <w:rPr>
          <w:rFonts w:ascii="Times New Roman" w:eastAsia="Times New Roman" w:hAnsi="Times New Roman"/>
        </w:rPr>
        <w:t>situations</w:t>
      </w:r>
    </w:p>
    <w:p w14:paraId="33683337" w14:textId="3AA15396" w:rsidR="00837F94" w:rsidRPr="00E168A1" w:rsidRDefault="00837F94" w:rsidP="000E798B">
      <w:pPr>
        <w:pStyle w:val="ListParagraph"/>
        <w:numPr>
          <w:ilvl w:val="0"/>
          <w:numId w:val="23"/>
        </w:numPr>
        <w:shd w:val="clear" w:color="auto" w:fill="FFFFFF"/>
        <w:contextualSpacing w:val="0"/>
        <w:rPr>
          <w:rFonts w:ascii="Times New Roman" w:eastAsia="Times New Roman" w:hAnsi="Times New Roman"/>
        </w:rPr>
      </w:pPr>
      <w:r w:rsidRPr="00E168A1">
        <w:rPr>
          <w:rFonts w:ascii="Times New Roman" w:eastAsia="Times New Roman" w:hAnsi="Times New Roman"/>
        </w:rPr>
        <w:t>Initiates</w:t>
      </w:r>
      <w:r w:rsidR="00900061" w:rsidRPr="00E168A1">
        <w:rPr>
          <w:rFonts w:ascii="Times New Roman" w:eastAsia="Times New Roman" w:hAnsi="Times New Roman"/>
        </w:rPr>
        <w:t xml:space="preserve"> </w:t>
      </w:r>
      <w:r w:rsidRPr="00E168A1">
        <w:rPr>
          <w:rFonts w:ascii="Times New Roman" w:eastAsia="Times New Roman" w:hAnsi="Times New Roman"/>
        </w:rPr>
        <w:t>changes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001F500D" w:rsidRPr="00E168A1">
        <w:rPr>
          <w:rFonts w:ascii="Times New Roman" w:eastAsia="Times New Roman" w:hAnsi="Times New Roman"/>
        </w:rPr>
        <w:t xml:space="preserve">the </w:t>
      </w:r>
      <w:r w:rsidR="00672E68" w:rsidRPr="00E168A1">
        <w:rPr>
          <w:rFonts w:ascii="Times New Roman" w:eastAsia="Times New Roman" w:hAnsi="Times New Roman"/>
        </w:rPr>
        <w:t>A</w:t>
      </w:r>
      <w:r w:rsidRPr="00E168A1">
        <w:rPr>
          <w:rFonts w:ascii="Times New Roman" w:eastAsia="Times New Roman" w:hAnsi="Times New Roman"/>
        </w:rPr>
        <w:t>nticorruption</w:t>
      </w:r>
      <w:r w:rsidR="00900061" w:rsidRPr="00E168A1">
        <w:rPr>
          <w:rFonts w:ascii="Times New Roman" w:eastAsia="Times New Roman" w:hAnsi="Times New Roman"/>
        </w:rPr>
        <w:t xml:space="preserve"> </w:t>
      </w:r>
      <w:r w:rsidR="00672E68" w:rsidRPr="00E168A1">
        <w:rPr>
          <w:rFonts w:ascii="Times New Roman" w:eastAsia="Times New Roman" w:hAnsi="Times New Roman"/>
        </w:rPr>
        <w:t>L</w:t>
      </w:r>
      <w:r w:rsidRPr="00E168A1">
        <w:rPr>
          <w:rFonts w:ascii="Times New Roman" w:eastAsia="Times New Roman" w:hAnsi="Times New Roman"/>
        </w:rPr>
        <w:t>egal</w:t>
      </w:r>
      <w:r w:rsidR="00900061" w:rsidRPr="00E168A1">
        <w:rPr>
          <w:rFonts w:ascii="Times New Roman" w:eastAsia="Times New Roman" w:hAnsi="Times New Roman"/>
        </w:rPr>
        <w:t xml:space="preserve"> </w:t>
      </w:r>
      <w:r w:rsidR="00672E68" w:rsidRPr="00E168A1">
        <w:rPr>
          <w:rFonts w:ascii="Times New Roman" w:eastAsia="Times New Roman" w:hAnsi="Times New Roman"/>
        </w:rPr>
        <w:t>F</w:t>
      </w:r>
      <w:r w:rsidRPr="00E168A1">
        <w:rPr>
          <w:rFonts w:ascii="Times New Roman" w:eastAsia="Times New Roman" w:hAnsi="Times New Roman"/>
        </w:rPr>
        <w:t>ramework</w:t>
      </w:r>
    </w:p>
    <w:p w14:paraId="3F819980" w14:textId="12B03895" w:rsidR="00837F94" w:rsidRPr="00E168A1" w:rsidRDefault="00837F94" w:rsidP="000E798B">
      <w:pPr>
        <w:pStyle w:val="ListParagraph"/>
        <w:numPr>
          <w:ilvl w:val="0"/>
          <w:numId w:val="23"/>
        </w:numPr>
        <w:shd w:val="clear" w:color="auto" w:fill="FFFFFF"/>
        <w:contextualSpacing w:val="0"/>
        <w:rPr>
          <w:rFonts w:ascii="Times New Roman" w:eastAsia="Times New Roman" w:hAnsi="Times New Roman"/>
        </w:rPr>
      </w:pPr>
      <w:r w:rsidRPr="00E168A1">
        <w:rPr>
          <w:rFonts w:ascii="Times New Roman" w:eastAsia="Times New Roman" w:hAnsi="Times New Roman"/>
        </w:rPr>
        <w:t>Issue</w:t>
      </w:r>
      <w:r w:rsidR="00304E29" w:rsidRPr="00E168A1">
        <w:rPr>
          <w:rFonts w:ascii="Times New Roman" w:eastAsia="Times New Roman" w:hAnsi="Times New Roman"/>
        </w:rPr>
        <w:t>s</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opinion</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instructions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implementation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ACA</w:t>
      </w:r>
      <w:r w:rsidR="00900061" w:rsidRPr="00E168A1">
        <w:rPr>
          <w:rFonts w:ascii="Times New Roman" w:eastAsia="Times New Roman" w:hAnsi="Times New Roman"/>
        </w:rPr>
        <w:t xml:space="preserve"> </w:t>
      </w:r>
      <w:r w:rsidRPr="00E168A1">
        <w:rPr>
          <w:rFonts w:ascii="Times New Roman" w:eastAsia="Times New Roman" w:hAnsi="Times New Roman"/>
        </w:rPr>
        <w:t>Law</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National</w:t>
      </w:r>
      <w:r w:rsidR="00900061" w:rsidRPr="00E168A1">
        <w:rPr>
          <w:rFonts w:ascii="Times New Roman" w:eastAsia="Times New Roman" w:hAnsi="Times New Roman"/>
        </w:rPr>
        <w:t xml:space="preserve"> </w:t>
      </w:r>
      <w:r w:rsidRPr="00E168A1">
        <w:rPr>
          <w:rFonts w:ascii="Times New Roman" w:eastAsia="Times New Roman" w:hAnsi="Times New Roman"/>
        </w:rPr>
        <w:t>Anti</w:t>
      </w:r>
      <w:r w:rsidR="00E32AF5" w:rsidRPr="00E168A1">
        <w:rPr>
          <w:rFonts w:ascii="Times New Roman" w:eastAsia="Times New Roman" w:hAnsi="Times New Roman"/>
        </w:rPr>
        <w:t>c</w:t>
      </w:r>
      <w:r w:rsidRPr="00E168A1">
        <w:rPr>
          <w:rFonts w:ascii="Times New Roman" w:eastAsia="Times New Roman" w:hAnsi="Times New Roman"/>
        </w:rPr>
        <w:t>orruption</w:t>
      </w:r>
      <w:r w:rsidR="00900061" w:rsidRPr="00E168A1">
        <w:rPr>
          <w:rFonts w:ascii="Times New Roman" w:eastAsia="Times New Roman" w:hAnsi="Times New Roman"/>
        </w:rPr>
        <w:t xml:space="preserve"> </w:t>
      </w:r>
      <w:r w:rsidRPr="00E168A1">
        <w:rPr>
          <w:rFonts w:ascii="Times New Roman" w:eastAsia="Times New Roman" w:hAnsi="Times New Roman"/>
        </w:rPr>
        <w:t>Strategy</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associated</w:t>
      </w:r>
      <w:r w:rsidR="00900061" w:rsidRPr="00E168A1">
        <w:rPr>
          <w:rFonts w:ascii="Times New Roman" w:eastAsia="Times New Roman" w:hAnsi="Times New Roman"/>
        </w:rPr>
        <w:t xml:space="preserve"> </w:t>
      </w:r>
      <w:r w:rsidR="00371FF9" w:rsidRPr="00E168A1">
        <w:rPr>
          <w:rFonts w:ascii="Times New Roman" w:eastAsia="Times New Roman" w:hAnsi="Times New Roman"/>
        </w:rPr>
        <w:t>A</w:t>
      </w:r>
      <w:r w:rsidRPr="00E168A1">
        <w:rPr>
          <w:rFonts w:ascii="Times New Roman" w:eastAsia="Times New Roman" w:hAnsi="Times New Roman"/>
        </w:rPr>
        <w:t>ction</w:t>
      </w:r>
      <w:r w:rsidR="00900061" w:rsidRPr="00E168A1">
        <w:rPr>
          <w:rFonts w:ascii="Times New Roman" w:eastAsia="Times New Roman" w:hAnsi="Times New Roman"/>
        </w:rPr>
        <w:t xml:space="preserve"> </w:t>
      </w:r>
      <w:r w:rsidR="00371FF9" w:rsidRPr="00E168A1">
        <w:rPr>
          <w:rFonts w:ascii="Times New Roman" w:eastAsia="Times New Roman" w:hAnsi="Times New Roman"/>
        </w:rPr>
        <w:t>P</w:t>
      </w:r>
      <w:r w:rsidRPr="00E168A1">
        <w:rPr>
          <w:rFonts w:ascii="Times New Roman" w:eastAsia="Times New Roman" w:hAnsi="Times New Roman"/>
        </w:rPr>
        <w:t>lans</w:t>
      </w:r>
    </w:p>
    <w:p w14:paraId="69EA9924" w14:textId="5CA49DD5" w:rsidR="00837F94" w:rsidRPr="00E168A1" w:rsidRDefault="00837F94" w:rsidP="000E798B">
      <w:pPr>
        <w:pStyle w:val="ListParagraph"/>
        <w:numPr>
          <w:ilvl w:val="0"/>
          <w:numId w:val="10"/>
        </w:numPr>
        <w:ind w:left="720" w:hanging="360"/>
        <w:contextualSpacing w:val="0"/>
        <w:rPr>
          <w:rFonts w:ascii="Times New Roman" w:eastAsiaTheme="minorHAnsi" w:hAnsi="Times New Roman"/>
        </w:rPr>
      </w:pPr>
      <w:r w:rsidRPr="00E168A1">
        <w:rPr>
          <w:rFonts w:ascii="Times New Roman" w:eastAsiaTheme="minorHAnsi" w:hAnsi="Times New Roman"/>
          <w:i/>
        </w:rPr>
        <w:t>Anticorruption</w:t>
      </w:r>
      <w:r w:rsidR="00900061" w:rsidRPr="00E168A1">
        <w:rPr>
          <w:rFonts w:ascii="Times New Roman" w:eastAsiaTheme="minorHAnsi" w:hAnsi="Times New Roman"/>
          <w:i/>
        </w:rPr>
        <w:t xml:space="preserve"> </w:t>
      </w:r>
      <w:r w:rsidRPr="00E168A1">
        <w:rPr>
          <w:rFonts w:ascii="Times New Roman" w:eastAsiaTheme="minorHAnsi" w:hAnsi="Times New Roman"/>
          <w:i/>
        </w:rPr>
        <w:t>Council</w:t>
      </w:r>
      <w:r w:rsidR="00073464" w:rsidRPr="00E168A1">
        <w:rPr>
          <w:rFonts w:ascii="Times New Roman" w:eastAsiaTheme="minorHAnsi" w:hAnsi="Times New Roman"/>
          <w:i/>
        </w:rPr>
        <w:t>.</w:t>
      </w:r>
      <w:r w:rsidR="00900061" w:rsidRPr="00E168A1">
        <w:rPr>
          <w:rFonts w:ascii="Times New Roman" w:eastAsiaTheme="minorHAnsi" w:hAnsi="Times New Roman"/>
        </w:rPr>
        <w:t xml:space="preserve"> </w:t>
      </w:r>
      <w:r w:rsidR="004A06D4" w:rsidRPr="00E168A1">
        <w:rPr>
          <w:rFonts w:ascii="Times New Roman" w:eastAsiaTheme="minorHAnsi" w:hAnsi="Times New Roman"/>
        </w:rPr>
        <w:t>T</w:t>
      </w:r>
      <w:r w:rsidRPr="00E168A1">
        <w:rPr>
          <w:rFonts w:ascii="Times New Roman" w:eastAsiaTheme="minorHAnsi" w:hAnsi="Times New Roman"/>
        </w:rPr>
        <w:t>he</w:t>
      </w:r>
      <w:r w:rsidR="00900061" w:rsidRPr="00E168A1">
        <w:rPr>
          <w:rFonts w:ascii="Times New Roman" w:eastAsiaTheme="minorHAnsi" w:hAnsi="Times New Roman"/>
        </w:rPr>
        <w:t xml:space="preserve"> </w:t>
      </w:r>
      <w:r w:rsidR="001F500D" w:rsidRPr="00E168A1">
        <w:rPr>
          <w:rFonts w:ascii="Times New Roman" w:eastAsiaTheme="minorHAnsi" w:hAnsi="Times New Roman"/>
        </w:rPr>
        <w:t>c</w:t>
      </w:r>
      <w:r w:rsidRPr="00E168A1">
        <w:rPr>
          <w:rFonts w:ascii="Times New Roman" w:eastAsiaTheme="minorHAnsi" w:hAnsi="Times New Roman"/>
        </w:rPr>
        <w:t>ouncil</w:t>
      </w:r>
      <w:r w:rsidR="00900061" w:rsidRPr="00E168A1">
        <w:rPr>
          <w:rFonts w:ascii="Times New Roman" w:eastAsiaTheme="minorHAnsi" w:hAnsi="Times New Roman"/>
        </w:rPr>
        <w:t xml:space="preserve"> </w:t>
      </w:r>
      <w:r w:rsidRPr="00E168A1">
        <w:rPr>
          <w:rFonts w:ascii="Times New Roman" w:eastAsiaTheme="minorHAnsi" w:hAnsi="Times New Roman"/>
        </w:rPr>
        <w:t>is</w:t>
      </w:r>
      <w:r w:rsidR="00900061" w:rsidRPr="00E168A1">
        <w:rPr>
          <w:rFonts w:ascii="Times New Roman" w:eastAsiaTheme="minorHAnsi" w:hAnsi="Times New Roman"/>
        </w:rPr>
        <w:t xml:space="preserve"> </w:t>
      </w:r>
      <w:r w:rsidRPr="00E168A1">
        <w:rPr>
          <w:rFonts w:ascii="Times New Roman" w:eastAsiaTheme="minorHAnsi" w:hAnsi="Times New Roman"/>
        </w:rPr>
        <w:t>an</w:t>
      </w:r>
      <w:r w:rsidR="00900061" w:rsidRPr="00E168A1">
        <w:rPr>
          <w:rFonts w:ascii="Times New Roman" w:eastAsiaTheme="minorHAnsi" w:hAnsi="Times New Roman"/>
        </w:rPr>
        <w:t xml:space="preserve"> </w:t>
      </w:r>
      <w:r w:rsidRPr="00E168A1">
        <w:rPr>
          <w:rFonts w:ascii="Times New Roman" w:eastAsiaTheme="minorHAnsi" w:hAnsi="Times New Roman"/>
        </w:rPr>
        <w:t>expert</w:t>
      </w:r>
      <w:r w:rsidR="00900061" w:rsidRPr="00E168A1">
        <w:rPr>
          <w:rFonts w:ascii="Times New Roman" w:eastAsiaTheme="minorHAnsi" w:hAnsi="Times New Roman"/>
        </w:rPr>
        <w:t xml:space="preserve"> </w:t>
      </w:r>
      <w:r w:rsidRPr="00E168A1">
        <w:rPr>
          <w:rFonts w:ascii="Times New Roman" w:eastAsiaTheme="minorHAnsi" w:hAnsi="Times New Roman"/>
        </w:rPr>
        <w:t>advisory</w:t>
      </w:r>
      <w:r w:rsidR="00900061" w:rsidRPr="00E168A1">
        <w:rPr>
          <w:rFonts w:ascii="Times New Roman" w:eastAsiaTheme="minorHAnsi" w:hAnsi="Times New Roman"/>
        </w:rPr>
        <w:t xml:space="preserve"> </w:t>
      </w:r>
      <w:r w:rsidRPr="00E168A1">
        <w:rPr>
          <w:rFonts w:ascii="Times New Roman" w:eastAsiaTheme="minorHAnsi" w:hAnsi="Times New Roman"/>
        </w:rPr>
        <w:t>body</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00EB3365" w:rsidRPr="00E168A1">
        <w:rPr>
          <w:rFonts w:ascii="Times New Roman" w:hAnsi="Times New Roman"/>
        </w:rPr>
        <w:t>government</w:t>
      </w:r>
      <w:r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founded</w:t>
      </w:r>
      <w:r w:rsidR="00900061" w:rsidRPr="00E168A1">
        <w:rPr>
          <w:rFonts w:ascii="Times New Roman" w:eastAsiaTheme="minorHAnsi" w:hAnsi="Times New Roman"/>
        </w:rPr>
        <w:t xml:space="preserve"> </w:t>
      </w:r>
      <w:r w:rsidRPr="00E168A1">
        <w:rPr>
          <w:rFonts w:ascii="Times New Roman" w:eastAsiaTheme="minorHAnsi" w:hAnsi="Times New Roman"/>
        </w:rPr>
        <w:t>with</w:t>
      </w:r>
      <w:r w:rsidR="00900061" w:rsidRPr="00E168A1">
        <w:rPr>
          <w:rFonts w:ascii="Times New Roman" w:eastAsiaTheme="minorHAnsi" w:hAnsi="Times New Roman"/>
        </w:rPr>
        <w:t xml:space="preserve"> </w:t>
      </w:r>
      <w:r w:rsidRPr="00E168A1">
        <w:rPr>
          <w:rFonts w:ascii="Times New Roman" w:eastAsiaTheme="minorHAnsi" w:hAnsi="Times New Roman"/>
        </w:rPr>
        <w:t>a</w:t>
      </w:r>
      <w:r w:rsidR="00900061" w:rsidRPr="00E168A1">
        <w:rPr>
          <w:rFonts w:ascii="Times New Roman" w:eastAsiaTheme="minorHAnsi" w:hAnsi="Times New Roman"/>
        </w:rPr>
        <w:t xml:space="preserve"> </w:t>
      </w:r>
      <w:r w:rsidRPr="00E168A1">
        <w:rPr>
          <w:rFonts w:ascii="Times New Roman" w:eastAsiaTheme="minorHAnsi" w:hAnsi="Times New Roman"/>
        </w:rPr>
        <w:t>mission</w:t>
      </w:r>
      <w:r w:rsidR="00900061" w:rsidRPr="00E168A1">
        <w:rPr>
          <w:rFonts w:ascii="Times New Roman" w:eastAsiaTheme="minorHAnsi" w:hAnsi="Times New Roman"/>
        </w:rPr>
        <w:t xml:space="preserve"> </w:t>
      </w:r>
      <w:r w:rsidRPr="00E168A1">
        <w:rPr>
          <w:rFonts w:ascii="Times New Roman" w:eastAsiaTheme="minorHAnsi" w:hAnsi="Times New Roman"/>
        </w:rPr>
        <w:t>to</w:t>
      </w:r>
      <w:r w:rsidR="00900061" w:rsidRPr="00E168A1">
        <w:rPr>
          <w:rFonts w:ascii="Times New Roman" w:eastAsiaTheme="minorHAnsi" w:hAnsi="Times New Roman"/>
        </w:rPr>
        <w:t xml:space="preserve"> </w:t>
      </w:r>
      <w:r w:rsidRPr="00E168A1">
        <w:rPr>
          <w:rFonts w:ascii="Times New Roman" w:eastAsiaTheme="minorHAnsi" w:hAnsi="Times New Roman"/>
        </w:rPr>
        <w:t>oversee</w:t>
      </w:r>
      <w:r w:rsidR="00900061" w:rsidRPr="00E168A1">
        <w:rPr>
          <w:rFonts w:ascii="Times New Roman" w:eastAsiaTheme="minorHAnsi" w:hAnsi="Times New Roman"/>
        </w:rPr>
        <w:t xml:space="preserve"> </w:t>
      </w:r>
      <w:r w:rsidRPr="00E168A1">
        <w:rPr>
          <w:rFonts w:ascii="Times New Roman" w:eastAsiaTheme="minorHAnsi" w:hAnsi="Times New Roman"/>
        </w:rPr>
        <w:t>all</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aspects</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anticorruption</w:t>
      </w:r>
      <w:r w:rsidR="00900061" w:rsidRPr="00E168A1">
        <w:rPr>
          <w:rFonts w:ascii="Times New Roman" w:eastAsiaTheme="minorHAnsi" w:hAnsi="Times New Roman"/>
        </w:rPr>
        <w:t xml:space="preserve"> </w:t>
      </w:r>
      <w:r w:rsidRPr="00E168A1">
        <w:rPr>
          <w:rFonts w:ascii="Times New Roman" w:eastAsiaTheme="minorHAnsi" w:hAnsi="Times New Roman"/>
        </w:rPr>
        <w:t>activities</w:t>
      </w:r>
      <w:r w:rsidR="001F500D"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propose</w:t>
      </w:r>
      <w:r w:rsidR="00900061" w:rsidRPr="00E168A1">
        <w:rPr>
          <w:rFonts w:ascii="Times New Roman" w:eastAsiaTheme="minorHAnsi" w:hAnsi="Times New Roman"/>
        </w:rPr>
        <w:t xml:space="preserve"> </w:t>
      </w:r>
      <w:r w:rsidRPr="00E168A1">
        <w:rPr>
          <w:rFonts w:ascii="Times New Roman" w:eastAsiaTheme="minorHAnsi" w:hAnsi="Times New Roman"/>
        </w:rPr>
        <w:t>measures</w:t>
      </w:r>
      <w:r w:rsidR="00900061" w:rsidRPr="00E168A1">
        <w:rPr>
          <w:rFonts w:ascii="Times New Roman" w:eastAsiaTheme="minorHAnsi" w:hAnsi="Times New Roman"/>
        </w:rPr>
        <w:t xml:space="preserve"> </w:t>
      </w:r>
      <w:r w:rsidRPr="00E168A1">
        <w:rPr>
          <w:rFonts w:ascii="Times New Roman" w:eastAsiaTheme="minorHAnsi" w:hAnsi="Times New Roman"/>
        </w:rPr>
        <w:t>to</w:t>
      </w:r>
      <w:r w:rsidR="00900061" w:rsidRPr="00E168A1">
        <w:rPr>
          <w:rFonts w:ascii="Times New Roman" w:eastAsiaTheme="minorHAnsi" w:hAnsi="Times New Roman"/>
        </w:rPr>
        <w:t xml:space="preserve"> </w:t>
      </w:r>
      <w:r w:rsidRPr="00E168A1">
        <w:rPr>
          <w:rFonts w:ascii="Times New Roman" w:eastAsiaTheme="minorHAnsi" w:hAnsi="Times New Roman"/>
        </w:rPr>
        <w:t>be</w:t>
      </w:r>
      <w:r w:rsidR="00900061" w:rsidRPr="00E168A1">
        <w:rPr>
          <w:rFonts w:ascii="Times New Roman" w:eastAsiaTheme="minorHAnsi" w:hAnsi="Times New Roman"/>
        </w:rPr>
        <w:t xml:space="preserve"> </w:t>
      </w:r>
      <w:r w:rsidRPr="00E168A1">
        <w:rPr>
          <w:rFonts w:ascii="Times New Roman" w:eastAsiaTheme="minorHAnsi" w:hAnsi="Times New Roman"/>
        </w:rPr>
        <w:t>taken</w:t>
      </w:r>
      <w:r w:rsidR="00900061" w:rsidRPr="00E168A1">
        <w:rPr>
          <w:rFonts w:ascii="Times New Roman" w:eastAsiaTheme="minorHAnsi" w:hAnsi="Times New Roman"/>
        </w:rPr>
        <w:t xml:space="preserve"> </w:t>
      </w:r>
      <w:r w:rsidRPr="00E168A1">
        <w:rPr>
          <w:rFonts w:ascii="Times New Roman" w:eastAsiaTheme="minorHAnsi" w:hAnsi="Times New Roman"/>
        </w:rPr>
        <w:t>to</w:t>
      </w:r>
      <w:r w:rsidR="00900061" w:rsidRPr="00E168A1">
        <w:rPr>
          <w:rFonts w:ascii="Times New Roman" w:eastAsiaTheme="minorHAnsi" w:hAnsi="Times New Roman"/>
        </w:rPr>
        <w:t xml:space="preserve"> </w:t>
      </w:r>
      <w:r w:rsidRPr="00E168A1">
        <w:rPr>
          <w:rFonts w:ascii="Times New Roman" w:eastAsiaTheme="minorHAnsi" w:hAnsi="Times New Roman"/>
        </w:rPr>
        <w:t>fight</w:t>
      </w:r>
      <w:r w:rsidR="00900061" w:rsidRPr="00E168A1">
        <w:rPr>
          <w:rFonts w:ascii="Times New Roman" w:eastAsiaTheme="minorHAnsi" w:hAnsi="Times New Roman"/>
        </w:rPr>
        <w:t xml:space="preserve"> </w:t>
      </w:r>
      <w:r w:rsidRPr="00E168A1">
        <w:rPr>
          <w:rFonts w:ascii="Times New Roman" w:eastAsiaTheme="minorHAnsi" w:hAnsi="Times New Roman"/>
        </w:rPr>
        <w:t>corruption</w:t>
      </w:r>
      <w:r w:rsidR="00900061" w:rsidRPr="00E168A1">
        <w:rPr>
          <w:rFonts w:ascii="Times New Roman" w:eastAsiaTheme="minorHAnsi" w:hAnsi="Times New Roman"/>
        </w:rPr>
        <w:t xml:space="preserve"> </w:t>
      </w:r>
      <w:r w:rsidRPr="00E168A1">
        <w:rPr>
          <w:rFonts w:ascii="Times New Roman" w:eastAsiaTheme="minorHAnsi" w:hAnsi="Times New Roman"/>
        </w:rPr>
        <w:t>effectively</w:t>
      </w:r>
      <w:r w:rsidR="001F500D"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monitor</w:t>
      </w:r>
      <w:r w:rsidR="00900061" w:rsidRPr="00E168A1">
        <w:rPr>
          <w:rFonts w:ascii="Times New Roman" w:eastAsiaTheme="minorHAnsi" w:hAnsi="Times New Roman"/>
        </w:rPr>
        <w:t xml:space="preserve"> </w:t>
      </w:r>
      <w:r w:rsidRPr="00E168A1">
        <w:rPr>
          <w:rFonts w:ascii="Times New Roman" w:eastAsiaTheme="minorHAnsi" w:hAnsi="Times New Roman"/>
        </w:rPr>
        <w:t>their</w:t>
      </w:r>
      <w:r w:rsidR="00900061" w:rsidRPr="00E168A1">
        <w:rPr>
          <w:rFonts w:ascii="Times New Roman" w:eastAsiaTheme="minorHAnsi" w:hAnsi="Times New Roman"/>
        </w:rPr>
        <w:t xml:space="preserve"> </w:t>
      </w:r>
      <w:r w:rsidRPr="00E168A1">
        <w:rPr>
          <w:rFonts w:ascii="Times New Roman" w:eastAsiaTheme="minorHAnsi" w:hAnsi="Times New Roman"/>
        </w:rPr>
        <w:t>implementation</w:t>
      </w:r>
      <w:r w:rsidR="001F500D"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make</w:t>
      </w:r>
      <w:r w:rsidR="00900061" w:rsidRPr="00E168A1">
        <w:rPr>
          <w:rFonts w:ascii="Times New Roman" w:eastAsiaTheme="minorHAnsi" w:hAnsi="Times New Roman"/>
        </w:rPr>
        <w:t xml:space="preserve"> </w:t>
      </w:r>
      <w:r w:rsidRPr="00E168A1">
        <w:rPr>
          <w:rFonts w:ascii="Times New Roman" w:eastAsiaTheme="minorHAnsi" w:hAnsi="Times New Roman"/>
        </w:rPr>
        <w:t>proposals</w:t>
      </w:r>
      <w:r w:rsidR="00900061" w:rsidRPr="00E168A1">
        <w:rPr>
          <w:rFonts w:ascii="Times New Roman" w:eastAsiaTheme="minorHAnsi" w:hAnsi="Times New Roman"/>
        </w:rPr>
        <w:t xml:space="preserve"> </w:t>
      </w:r>
      <w:r w:rsidRPr="00E168A1">
        <w:rPr>
          <w:rFonts w:ascii="Times New Roman" w:eastAsiaTheme="minorHAnsi" w:hAnsi="Times New Roman"/>
        </w:rPr>
        <w:t>for</w:t>
      </w:r>
      <w:r w:rsidR="00900061" w:rsidRPr="00E168A1">
        <w:rPr>
          <w:rFonts w:ascii="Times New Roman" w:eastAsiaTheme="minorHAnsi" w:hAnsi="Times New Roman"/>
        </w:rPr>
        <w:t xml:space="preserve"> </w:t>
      </w:r>
      <w:r w:rsidR="001F500D" w:rsidRPr="00E168A1">
        <w:rPr>
          <w:rFonts w:ascii="Times New Roman" w:eastAsiaTheme="minorHAnsi" w:hAnsi="Times New Roman"/>
        </w:rPr>
        <w:t xml:space="preserve">the </w:t>
      </w:r>
      <w:r w:rsidRPr="00E168A1">
        <w:rPr>
          <w:rFonts w:ascii="Times New Roman" w:eastAsiaTheme="minorHAnsi" w:hAnsi="Times New Roman"/>
        </w:rPr>
        <w:t>adoption</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regulations,</w:t>
      </w:r>
      <w:r w:rsidR="00900061" w:rsidRPr="00E168A1">
        <w:rPr>
          <w:rFonts w:ascii="Times New Roman" w:eastAsiaTheme="minorHAnsi" w:hAnsi="Times New Roman"/>
        </w:rPr>
        <w:t xml:space="preserve"> </w:t>
      </w:r>
      <w:r w:rsidR="009329A9" w:rsidRPr="00E168A1">
        <w:rPr>
          <w:rFonts w:ascii="Times New Roman" w:eastAsiaTheme="minorHAnsi" w:hAnsi="Times New Roman"/>
        </w:rPr>
        <w:t>P</w:t>
      </w:r>
      <w:r w:rsidRPr="00E168A1">
        <w:rPr>
          <w:rFonts w:ascii="Times New Roman" w:eastAsiaTheme="minorHAnsi" w:hAnsi="Times New Roman"/>
        </w:rPr>
        <w:t>rograms</w:t>
      </w:r>
      <w:r w:rsidR="001F500D"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other</w:t>
      </w:r>
      <w:r w:rsidR="00900061" w:rsidRPr="00E168A1">
        <w:rPr>
          <w:rFonts w:ascii="Times New Roman" w:eastAsiaTheme="minorHAnsi" w:hAnsi="Times New Roman"/>
        </w:rPr>
        <w:t xml:space="preserve"> </w:t>
      </w:r>
      <w:r w:rsidRPr="00E168A1">
        <w:rPr>
          <w:rFonts w:ascii="Times New Roman" w:eastAsiaTheme="minorHAnsi" w:hAnsi="Times New Roman"/>
        </w:rPr>
        <w:t>acts</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measures</w:t>
      </w:r>
      <w:r w:rsidR="00900061" w:rsidRPr="00E168A1">
        <w:rPr>
          <w:rFonts w:ascii="Times New Roman" w:eastAsiaTheme="minorHAnsi" w:hAnsi="Times New Roman"/>
        </w:rPr>
        <w:t xml:space="preserve"> </w:t>
      </w:r>
      <w:r w:rsidRPr="00E168A1">
        <w:rPr>
          <w:rFonts w:ascii="Times New Roman" w:eastAsiaTheme="minorHAnsi" w:hAnsi="Times New Roman"/>
        </w:rPr>
        <w:t>in</w:t>
      </w:r>
      <w:r w:rsidR="00900061" w:rsidRPr="00E168A1">
        <w:rPr>
          <w:rFonts w:ascii="Times New Roman" w:eastAsiaTheme="minorHAnsi" w:hAnsi="Times New Roman"/>
        </w:rPr>
        <w:t xml:space="preserve"> </w:t>
      </w:r>
      <w:r w:rsidRPr="00E168A1">
        <w:rPr>
          <w:rFonts w:ascii="Times New Roman" w:eastAsiaTheme="minorHAnsi" w:hAnsi="Times New Roman"/>
        </w:rPr>
        <w:t>this</w:t>
      </w:r>
      <w:r w:rsidR="00900061" w:rsidRPr="00E168A1">
        <w:rPr>
          <w:rFonts w:ascii="Times New Roman" w:eastAsiaTheme="minorHAnsi" w:hAnsi="Times New Roman"/>
        </w:rPr>
        <w:t xml:space="preserve"> </w:t>
      </w:r>
      <w:r w:rsidRPr="00E168A1">
        <w:rPr>
          <w:rFonts w:ascii="Times New Roman" w:eastAsiaTheme="minorHAnsi" w:hAnsi="Times New Roman"/>
        </w:rPr>
        <w:t>area.</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001F500D" w:rsidRPr="00E168A1">
        <w:rPr>
          <w:rFonts w:ascii="Times New Roman" w:eastAsiaTheme="minorHAnsi" w:hAnsi="Times New Roman"/>
        </w:rPr>
        <w:t>c</w:t>
      </w:r>
      <w:r w:rsidRPr="00E168A1">
        <w:rPr>
          <w:rFonts w:ascii="Times New Roman" w:eastAsiaTheme="minorHAnsi" w:hAnsi="Times New Roman"/>
        </w:rPr>
        <w:t>ouncil</w:t>
      </w:r>
      <w:r w:rsidR="00900061" w:rsidRPr="00E168A1">
        <w:rPr>
          <w:rFonts w:ascii="Times New Roman" w:eastAsiaTheme="minorHAnsi" w:hAnsi="Times New Roman"/>
        </w:rPr>
        <w:t xml:space="preserve"> </w:t>
      </w:r>
      <w:r w:rsidRPr="00E168A1">
        <w:rPr>
          <w:rFonts w:ascii="Times New Roman" w:eastAsiaTheme="minorHAnsi" w:hAnsi="Times New Roman"/>
        </w:rPr>
        <w:t>was</w:t>
      </w:r>
      <w:r w:rsidR="00900061" w:rsidRPr="00E168A1">
        <w:rPr>
          <w:rFonts w:ascii="Times New Roman" w:eastAsiaTheme="minorHAnsi" w:hAnsi="Times New Roman"/>
        </w:rPr>
        <w:t xml:space="preserve"> </w:t>
      </w:r>
      <w:r w:rsidRPr="00E168A1">
        <w:rPr>
          <w:rFonts w:ascii="Times New Roman" w:eastAsiaTheme="minorHAnsi" w:hAnsi="Times New Roman"/>
        </w:rPr>
        <w:t>established</w:t>
      </w:r>
      <w:r w:rsidR="00900061" w:rsidRPr="00E168A1">
        <w:rPr>
          <w:rFonts w:ascii="Times New Roman" w:eastAsiaTheme="minorHAnsi" w:hAnsi="Times New Roman"/>
        </w:rPr>
        <w:t xml:space="preserve"> </w:t>
      </w:r>
      <w:r w:rsidRPr="00E168A1">
        <w:rPr>
          <w:rFonts w:ascii="Times New Roman" w:eastAsiaTheme="minorHAnsi" w:hAnsi="Times New Roman"/>
        </w:rPr>
        <w:t>under</w:t>
      </w:r>
      <w:r w:rsidR="00900061" w:rsidRPr="00E168A1">
        <w:rPr>
          <w:rFonts w:ascii="Times New Roman" w:eastAsiaTheme="minorHAnsi" w:hAnsi="Times New Roman"/>
        </w:rPr>
        <w:t xml:space="preserve"> </w:t>
      </w:r>
      <w:r w:rsidRPr="00E168A1">
        <w:rPr>
          <w:rFonts w:ascii="Times New Roman" w:eastAsiaTheme="minorHAnsi" w:hAnsi="Times New Roman"/>
        </w:rPr>
        <w:t>provisions</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Law</w:t>
      </w:r>
      <w:r w:rsidR="00900061" w:rsidRPr="00E168A1">
        <w:rPr>
          <w:rFonts w:ascii="Times New Roman" w:eastAsiaTheme="minorHAnsi" w:hAnsi="Times New Roman"/>
        </w:rPr>
        <w:t xml:space="preserve"> </w:t>
      </w:r>
      <w:r w:rsidRPr="00E168A1">
        <w:rPr>
          <w:rFonts w:ascii="Times New Roman" w:eastAsiaTheme="minorHAnsi" w:hAnsi="Times New Roman"/>
        </w:rPr>
        <w:t>on</w:t>
      </w:r>
      <w:r w:rsidR="00900061" w:rsidRPr="00E168A1">
        <w:rPr>
          <w:rFonts w:ascii="Times New Roman" w:eastAsiaTheme="minorHAnsi" w:hAnsi="Times New Roman"/>
        </w:rPr>
        <w:t xml:space="preserve"> </w:t>
      </w:r>
      <w:r w:rsidRPr="00E168A1">
        <w:rPr>
          <w:rFonts w:ascii="Times New Roman" w:eastAsiaTheme="minorHAnsi" w:hAnsi="Times New Roman"/>
        </w:rPr>
        <w:t>Government</w:t>
      </w:r>
      <w:r w:rsidR="00900061" w:rsidRPr="00E168A1">
        <w:rPr>
          <w:rFonts w:ascii="Times New Roman" w:eastAsiaTheme="minorHAnsi" w:hAnsi="Times New Roman"/>
        </w:rPr>
        <w:t xml:space="preserve"> </w:t>
      </w:r>
      <w:r w:rsidRPr="00E168A1">
        <w:rPr>
          <w:rFonts w:ascii="Times New Roman" w:eastAsiaTheme="minorHAnsi" w:hAnsi="Times New Roman"/>
        </w:rPr>
        <w:t>(</w:t>
      </w:r>
      <w:r w:rsidR="000F3915" w:rsidRPr="00E168A1">
        <w:rPr>
          <w:rFonts w:ascii="Times New Roman" w:eastAsiaTheme="minorHAnsi" w:hAnsi="Times New Roman"/>
        </w:rPr>
        <w:t>A</w:t>
      </w:r>
      <w:r w:rsidRPr="00E168A1">
        <w:rPr>
          <w:rFonts w:ascii="Times New Roman" w:eastAsiaTheme="minorHAnsi" w:hAnsi="Times New Roman"/>
        </w:rPr>
        <w:t>rticle</w:t>
      </w:r>
      <w:r w:rsidR="00900061" w:rsidRPr="00E168A1">
        <w:rPr>
          <w:rFonts w:ascii="Times New Roman" w:eastAsiaTheme="minorHAnsi" w:hAnsi="Times New Roman"/>
        </w:rPr>
        <w:t xml:space="preserve"> </w:t>
      </w:r>
      <w:r w:rsidRPr="00E168A1">
        <w:rPr>
          <w:rFonts w:ascii="Times New Roman" w:eastAsiaTheme="minorHAnsi" w:hAnsi="Times New Roman"/>
        </w:rPr>
        <w:t>26)</w:t>
      </w:r>
      <w:r w:rsidR="00900061" w:rsidRPr="00E168A1">
        <w:rPr>
          <w:rFonts w:ascii="Times New Roman" w:eastAsiaTheme="minorHAnsi" w:hAnsi="Times New Roman"/>
        </w:rPr>
        <w:t xml:space="preserve"> </w:t>
      </w:r>
      <w:r w:rsidRPr="00E168A1">
        <w:rPr>
          <w:rFonts w:ascii="Times New Roman" w:eastAsiaTheme="minorHAnsi" w:hAnsi="Times New Roman"/>
        </w:rPr>
        <w:t>in</w:t>
      </w:r>
      <w:r w:rsidR="00900061" w:rsidRPr="00E168A1">
        <w:rPr>
          <w:rFonts w:ascii="Times New Roman" w:eastAsiaTheme="minorHAnsi" w:hAnsi="Times New Roman"/>
        </w:rPr>
        <w:t xml:space="preserve"> </w:t>
      </w:r>
      <w:r w:rsidRPr="00E168A1">
        <w:rPr>
          <w:rFonts w:ascii="Times New Roman" w:eastAsiaTheme="minorHAnsi" w:hAnsi="Times New Roman"/>
        </w:rPr>
        <w:t>2001.</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001F500D" w:rsidRPr="00E168A1">
        <w:rPr>
          <w:rFonts w:ascii="Times New Roman" w:eastAsiaTheme="minorHAnsi" w:hAnsi="Times New Roman"/>
        </w:rPr>
        <w:t>c</w:t>
      </w:r>
      <w:r w:rsidRPr="00E168A1">
        <w:rPr>
          <w:rFonts w:ascii="Times New Roman" w:eastAsiaTheme="minorHAnsi" w:hAnsi="Times New Roman"/>
        </w:rPr>
        <w:t>ouncil</w:t>
      </w:r>
      <w:r w:rsidR="00900061" w:rsidRPr="00E168A1">
        <w:rPr>
          <w:rFonts w:ascii="Times New Roman" w:eastAsiaTheme="minorHAnsi" w:hAnsi="Times New Roman"/>
        </w:rPr>
        <w:t xml:space="preserve"> </w:t>
      </w:r>
      <w:r w:rsidRPr="00E168A1">
        <w:rPr>
          <w:rFonts w:ascii="Times New Roman" w:eastAsiaTheme="minorHAnsi" w:hAnsi="Times New Roman"/>
        </w:rPr>
        <w:t>consists</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president,</w:t>
      </w:r>
      <w:r w:rsidR="00900061" w:rsidRPr="00E168A1">
        <w:rPr>
          <w:rFonts w:ascii="Times New Roman" w:eastAsiaTheme="minorHAnsi" w:hAnsi="Times New Roman"/>
        </w:rPr>
        <w:t xml:space="preserve"> </w:t>
      </w:r>
      <w:r w:rsidRPr="00E168A1">
        <w:rPr>
          <w:rFonts w:ascii="Times New Roman" w:eastAsiaTheme="minorHAnsi" w:hAnsi="Times New Roman"/>
        </w:rPr>
        <w:t>vice</w:t>
      </w:r>
      <w:r w:rsidR="000F3915" w:rsidRPr="00E168A1">
        <w:rPr>
          <w:rFonts w:ascii="Times New Roman" w:eastAsiaTheme="minorHAnsi" w:hAnsi="Times New Roman"/>
        </w:rPr>
        <w:t xml:space="preserve"> </w:t>
      </w:r>
      <w:r w:rsidRPr="00E168A1">
        <w:rPr>
          <w:rFonts w:ascii="Times New Roman" w:eastAsiaTheme="minorHAnsi" w:hAnsi="Times New Roman"/>
        </w:rPr>
        <w:t>president</w:t>
      </w:r>
      <w:r w:rsidR="001F500D"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five</w:t>
      </w:r>
      <w:r w:rsidR="00900061" w:rsidRPr="00E168A1">
        <w:rPr>
          <w:rFonts w:ascii="Times New Roman" w:eastAsiaTheme="minorHAnsi" w:hAnsi="Times New Roman"/>
        </w:rPr>
        <w:t xml:space="preserve"> </w:t>
      </w:r>
      <w:r w:rsidRPr="00E168A1">
        <w:rPr>
          <w:rFonts w:ascii="Times New Roman" w:eastAsiaTheme="minorHAnsi" w:hAnsi="Times New Roman"/>
        </w:rPr>
        <w:t>members.</w:t>
      </w:r>
      <w:r w:rsidR="00900061" w:rsidRPr="00E168A1">
        <w:rPr>
          <w:rFonts w:ascii="Times New Roman" w:eastAsiaTheme="minorHAnsi" w:hAnsi="Times New Roman"/>
        </w:rPr>
        <w:t xml:space="preserve"> </w:t>
      </w:r>
    </w:p>
    <w:p w14:paraId="6801EB84" w14:textId="5EC86671" w:rsidR="00837F94" w:rsidRPr="00E168A1" w:rsidRDefault="00A81E1C" w:rsidP="000E798B">
      <w:pPr>
        <w:pStyle w:val="ListParagraph"/>
        <w:numPr>
          <w:ilvl w:val="0"/>
          <w:numId w:val="10"/>
        </w:numPr>
        <w:ind w:left="720" w:hanging="360"/>
        <w:contextualSpacing w:val="0"/>
        <w:rPr>
          <w:rFonts w:ascii="Times New Roman" w:eastAsiaTheme="minorHAnsi" w:hAnsi="Times New Roman"/>
        </w:rPr>
      </w:pPr>
      <w:r w:rsidRPr="00E168A1">
        <w:rPr>
          <w:rFonts w:ascii="Times New Roman" w:eastAsiaTheme="minorHAnsi" w:hAnsi="Times New Roman"/>
          <w:i/>
        </w:rPr>
        <w:t xml:space="preserve">The </w:t>
      </w:r>
      <w:r w:rsidR="005F3BAA" w:rsidRPr="00E168A1">
        <w:rPr>
          <w:rFonts w:ascii="Times New Roman" w:eastAsiaTheme="minorHAnsi" w:hAnsi="Times New Roman"/>
          <w:i/>
        </w:rPr>
        <w:t>PPO</w:t>
      </w:r>
      <w:r w:rsidR="00073464" w:rsidRPr="00E168A1">
        <w:rPr>
          <w:rFonts w:ascii="Times New Roman" w:eastAsiaTheme="minorHAnsi" w:hAnsi="Times New Roman"/>
          <w:i/>
        </w:rPr>
        <w:t>.</w:t>
      </w:r>
      <w:r w:rsidR="00900061" w:rsidRPr="00E168A1">
        <w:rPr>
          <w:rFonts w:ascii="Times New Roman" w:eastAsiaTheme="minorHAnsi" w:hAnsi="Times New Roman"/>
          <w:b/>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line</w:t>
      </w:r>
      <w:r w:rsidR="00900061" w:rsidRPr="00E168A1">
        <w:rPr>
          <w:rFonts w:ascii="Times New Roman" w:eastAsiaTheme="minorHAnsi" w:hAnsi="Times New Roman"/>
        </w:rPr>
        <w:t xml:space="preserve"> </w:t>
      </w:r>
      <w:r w:rsidR="00837F94" w:rsidRPr="00E168A1">
        <w:rPr>
          <w:rFonts w:ascii="Times New Roman" w:eastAsiaTheme="minorHAnsi" w:hAnsi="Times New Roman"/>
        </w:rPr>
        <w:t>with</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stated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anticorruption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aims,</w:t>
      </w:r>
      <w:r w:rsidR="00900061" w:rsidRPr="00E168A1">
        <w:rPr>
          <w:rFonts w:ascii="Times New Roman" w:eastAsiaTheme="minorHAnsi" w:hAnsi="Times New Roman"/>
        </w:rPr>
        <w:t xml:space="preserve"> </w:t>
      </w:r>
      <w:r w:rsidRPr="00E168A1">
        <w:rPr>
          <w:rFonts w:ascii="Times New Roman" w:eastAsiaTheme="minorHAnsi" w:hAnsi="Times New Roman"/>
        </w:rPr>
        <w:t xml:space="preserve">the </w:t>
      </w:r>
      <w:r w:rsidR="00837F94" w:rsidRPr="00E168A1">
        <w:rPr>
          <w:rFonts w:ascii="Times New Roman" w:eastAsiaTheme="minorHAnsi" w:hAnsi="Times New Roman"/>
        </w:rPr>
        <w:t>PPO</w:t>
      </w:r>
      <w:r w:rsidR="00900061" w:rsidRPr="00E168A1">
        <w:rPr>
          <w:rFonts w:ascii="Times New Roman" w:eastAsiaTheme="minorHAnsi" w:hAnsi="Times New Roman"/>
        </w:rPr>
        <w:t xml:space="preserve"> </w:t>
      </w:r>
      <w:r w:rsidR="00837F94" w:rsidRPr="00E168A1">
        <w:rPr>
          <w:rFonts w:ascii="Times New Roman" w:eastAsiaTheme="minorHAnsi" w:hAnsi="Times New Roman"/>
        </w:rPr>
        <w:t>is</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proactively</w:t>
      </w:r>
      <w:r w:rsidR="00900061" w:rsidRPr="00E168A1">
        <w:rPr>
          <w:rFonts w:ascii="Times New Roman" w:eastAsiaTheme="minorHAnsi" w:hAnsi="Times New Roman"/>
        </w:rPr>
        <w:t xml:space="preserve"> </w:t>
      </w:r>
      <w:r w:rsidR="00837F94" w:rsidRPr="00E168A1">
        <w:rPr>
          <w:rFonts w:ascii="Times New Roman" w:eastAsiaTheme="minorHAnsi" w:hAnsi="Times New Roman"/>
        </w:rPr>
        <w:t>discharging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its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obligations</w:t>
      </w:r>
      <w:r w:rsidR="00900061" w:rsidRPr="00E168A1">
        <w:rPr>
          <w:rFonts w:ascii="Times New Roman" w:eastAsiaTheme="minorHAnsi" w:hAnsi="Times New Roman"/>
        </w:rPr>
        <w:t xml:space="preserve"> </w:t>
      </w:r>
      <w:r w:rsidR="00837F94" w:rsidRPr="00E168A1">
        <w:rPr>
          <w:rFonts w:ascii="Times New Roman" w:eastAsiaTheme="minorHAnsi" w:hAnsi="Times New Roman"/>
        </w:rPr>
        <w:t>from</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w:t>
      </w:r>
      <w:r w:rsidR="00107AD2" w:rsidRPr="00E168A1">
        <w:rPr>
          <w:rFonts w:ascii="Times New Roman" w:eastAsiaTheme="minorHAnsi" w:hAnsi="Times New Roman"/>
        </w:rPr>
        <w:t>nticorruption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Strategy.</w:t>
      </w:r>
      <w:r w:rsidR="00900061" w:rsidRPr="00E168A1">
        <w:rPr>
          <w:rFonts w:ascii="Times New Roman" w:eastAsiaTheme="minorHAnsi" w:hAnsi="Times New Roman"/>
        </w:rPr>
        <w:t xml:space="preserve"> </w:t>
      </w:r>
      <w:r w:rsidR="001F500D" w:rsidRPr="00E168A1">
        <w:rPr>
          <w:rFonts w:ascii="Times New Roman" w:eastAsiaTheme="minorHAnsi" w:hAnsi="Times New Roman"/>
        </w:rPr>
        <w:t xml:space="preserve">The </w:t>
      </w:r>
      <w:r w:rsidR="00837F94" w:rsidRPr="00E168A1">
        <w:rPr>
          <w:rFonts w:ascii="Times New Roman" w:eastAsiaTheme="minorHAnsi" w:hAnsi="Times New Roman"/>
        </w:rPr>
        <w:t>PPO</w:t>
      </w:r>
      <w:r w:rsidR="00900061" w:rsidRPr="00E168A1">
        <w:rPr>
          <w:rFonts w:ascii="Times New Roman" w:eastAsiaTheme="minorHAnsi" w:hAnsi="Times New Roman"/>
        </w:rPr>
        <w:t xml:space="preserve"> </w:t>
      </w:r>
      <w:r w:rsidR="00837F94" w:rsidRPr="00E168A1">
        <w:rPr>
          <w:rFonts w:ascii="Times New Roman" w:eastAsiaTheme="minorHAnsi" w:hAnsi="Times New Roman"/>
        </w:rPr>
        <w:t>has</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prepared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w:t>
      </w:r>
      <w:r w:rsidR="00900061" w:rsidRPr="00E168A1">
        <w:rPr>
          <w:rFonts w:ascii="Times New Roman" w:eastAsiaTheme="minorHAnsi" w:hAnsi="Times New Roman"/>
        </w:rPr>
        <w:t xml:space="preserve"> </w:t>
      </w:r>
      <w:r w:rsidR="00837F94" w:rsidRPr="00E168A1">
        <w:rPr>
          <w:rFonts w:ascii="Times New Roman" w:eastAsiaTheme="minorHAnsi" w:hAnsi="Times New Roman"/>
        </w:rPr>
        <w:t>Model</w:t>
      </w:r>
      <w:r w:rsidR="00900061" w:rsidRPr="00E168A1">
        <w:rPr>
          <w:rFonts w:ascii="Times New Roman" w:eastAsiaTheme="minorHAnsi" w:hAnsi="Times New Roman"/>
        </w:rPr>
        <w:t xml:space="preserve"> </w:t>
      </w:r>
      <w:r w:rsidR="00837F94" w:rsidRPr="00E168A1">
        <w:rPr>
          <w:rFonts w:ascii="Times New Roman" w:eastAsiaTheme="minorHAnsi" w:hAnsi="Times New Roman"/>
        </w:rPr>
        <w:t>(template)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Internal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Plan</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Anti</w:t>
      </w:r>
      <w:r w:rsidR="008F5320" w:rsidRPr="00E168A1">
        <w:rPr>
          <w:rFonts w:ascii="Times New Roman" w:eastAsiaTheme="minorHAnsi" w:hAnsi="Times New Roman"/>
        </w:rPr>
        <w:t>c</w:t>
      </w:r>
      <w:r w:rsidR="00837F94" w:rsidRPr="00E168A1">
        <w:rPr>
          <w:rFonts w:ascii="Times New Roman" w:eastAsiaTheme="minorHAnsi" w:hAnsi="Times New Roman"/>
        </w:rPr>
        <w:t>orruption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purchasing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authorities</w:t>
      </w:r>
      <w:r w:rsidR="000B3BDA" w:rsidRPr="00E168A1">
        <w:rPr>
          <w:rFonts w:ascii="Times New Roman" w:eastAsiaTheme="minorHAnsi" w:hAnsi="Times New Roman"/>
        </w:rPr>
        <w:t>,</w:t>
      </w:r>
      <w:r w:rsidR="00900061" w:rsidRPr="00E168A1">
        <w:rPr>
          <w:rFonts w:ascii="Times New Roman" w:eastAsiaTheme="minorHAnsi" w:hAnsi="Times New Roman"/>
        </w:rPr>
        <w:t xml:space="preserve"> </w:t>
      </w:r>
      <w:r w:rsidR="00837F94" w:rsidRPr="00E168A1">
        <w:rPr>
          <w:rFonts w:ascii="Times New Roman" w:eastAsiaTheme="minorHAnsi" w:hAnsi="Times New Roman"/>
        </w:rPr>
        <w:t>whose</w:t>
      </w:r>
      <w:r w:rsidR="00900061" w:rsidRPr="00E168A1">
        <w:rPr>
          <w:rFonts w:ascii="Times New Roman" w:eastAsiaTheme="minorHAnsi" w:hAnsi="Times New Roman"/>
        </w:rPr>
        <w:t xml:space="preserve"> </w:t>
      </w:r>
      <w:r w:rsidR="00837F94" w:rsidRPr="00E168A1">
        <w:rPr>
          <w:rFonts w:ascii="Times New Roman" w:eastAsiaTheme="minorHAnsi" w:hAnsi="Times New Roman"/>
        </w:rPr>
        <w:t>total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annual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value</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is</w:t>
      </w:r>
      <w:r w:rsidR="00900061" w:rsidRPr="00E168A1">
        <w:rPr>
          <w:rFonts w:ascii="Times New Roman" w:eastAsiaTheme="minorHAnsi" w:hAnsi="Times New Roman"/>
        </w:rPr>
        <w:t xml:space="preserve"> </w:t>
      </w:r>
      <w:r w:rsidR="00837F94" w:rsidRPr="00E168A1">
        <w:rPr>
          <w:rFonts w:ascii="Times New Roman" w:eastAsiaTheme="minorHAnsi" w:hAnsi="Times New Roman"/>
        </w:rPr>
        <w:t>estimated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at</w:t>
      </w:r>
      <w:r w:rsidR="00900061" w:rsidRPr="00E168A1">
        <w:rPr>
          <w:rFonts w:ascii="Times New Roman" w:eastAsiaTheme="minorHAnsi" w:hAnsi="Times New Roman"/>
        </w:rPr>
        <w:t xml:space="preserve"> </w:t>
      </w:r>
      <w:r w:rsidR="00837F94" w:rsidRPr="00E168A1">
        <w:rPr>
          <w:rFonts w:ascii="Times New Roman" w:eastAsiaTheme="minorHAnsi" w:hAnsi="Times New Roman"/>
        </w:rPr>
        <w:t>over</w:t>
      </w:r>
      <w:r w:rsidR="00900061" w:rsidRPr="00E168A1">
        <w:rPr>
          <w:rFonts w:ascii="Times New Roman" w:eastAsiaTheme="minorHAnsi" w:hAnsi="Times New Roman"/>
        </w:rPr>
        <w:t xml:space="preserve"> </w:t>
      </w:r>
      <w:r w:rsidR="00EB5895" w:rsidRPr="00E168A1">
        <w:rPr>
          <w:rFonts w:ascii="Times New Roman" w:eastAsiaTheme="minorHAnsi" w:hAnsi="Times New Roman"/>
        </w:rPr>
        <w:t xml:space="preserve">RSD </w:t>
      </w:r>
      <w:r w:rsidR="00837F94" w:rsidRPr="00E168A1">
        <w:rPr>
          <w:rFonts w:ascii="Times New Roman" w:eastAsiaTheme="minorHAnsi" w:hAnsi="Times New Roman"/>
        </w:rPr>
        <w:t>1</w:t>
      </w:r>
      <w:r w:rsidR="00900061" w:rsidRPr="00E168A1">
        <w:rPr>
          <w:rFonts w:ascii="Times New Roman" w:eastAsiaTheme="minorHAnsi" w:hAnsi="Times New Roman"/>
        </w:rPr>
        <w:t xml:space="preserve"> </w:t>
      </w:r>
      <w:r w:rsidR="00837F94" w:rsidRPr="00E168A1">
        <w:rPr>
          <w:rFonts w:ascii="Times New Roman" w:eastAsiaTheme="minorHAnsi" w:hAnsi="Times New Roman"/>
        </w:rPr>
        <w:t>billion.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Similar</w:t>
      </w:r>
      <w:r w:rsidR="00900061" w:rsidRPr="00E168A1">
        <w:rPr>
          <w:rFonts w:ascii="Times New Roman" w:eastAsiaTheme="minorHAnsi" w:hAnsi="Times New Roman"/>
        </w:rPr>
        <w:t xml:space="preserve"> </w:t>
      </w:r>
      <w:r w:rsidR="00837F94" w:rsidRPr="00E168A1">
        <w:rPr>
          <w:rFonts w:ascii="Times New Roman" w:eastAsiaTheme="minorHAnsi" w:hAnsi="Times New Roman"/>
        </w:rPr>
        <w:t>model</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internal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enactment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that</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regulates</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more</w:t>
      </w:r>
      <w:r w:rsidR="00900061" w:rsidRPr="00E168A1">
        <w:rPr>
          <w:rFonts w:ascii="Times New Roman" w:eastAsiaTheme="minorHAnsi" w:hAnsi="Times New Roman"/>
        </w:rPr>
        <w:t xml:space="preserve"> </w:t>
      </w:r>
      <w:r w:rsidR="00837F94" w:rsidRPr="00E168A1">
        <w:rPr>
          <w:rFonts w:ascii="Times New Roman" w:eastAsiaTheme="minorHAnsi" w:hAnsi="Times New Roman"/>
        </w:rPr>
        <w:t>detail</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internal</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procedure</w:t>
      </w:r>
      <w:r w:rsidR="00900061" w:rsidRPr="00E168A1">
        <w:rPr>
          <w:rFonts w:ascii="Times New Roman" w:eastAsiaTheme="minorHAnsi" w:hAnsi="Times New Roman"/>
        </w:rPr>
        <w:t xml:space="preserve"> </w:t>
      </w:r>
      <w:r w:rsidR="00837F94" w:rsidRPr="00E168A1">
        <w:rPr>
          <w:rFonts w:ascii="Times New Roman" w:eastAsiaTheme="minorHAnsi" w:hAnsi="Times New Roman"/>
        </w:rPr>
        <w:t>within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purchasing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authority</w:t>
      </w:r>
      <w:r w:rsidR="00900061" w:rsidRPr="00E168A1">
        <w:rPr>
          <w:rFonts w:ascii="Times New Roman" w:eastAsiaTheme="minorHAnsi" w:hAnsi="Times New Roman"/>
        </w:rPr>
        <w:t xml:space="preserve"> </w:t>
      </w:r>
      <w:r w:rsidR="00837F94" w:rsidRPr="00E168A1">
        <w:rPr>
          <w:rFonts w:ascii="Times New Roman" w:eastAsiaTheme="minorHAnsi" w:hAnsi="Times New Roman"/>
        </w:rPr>
        <w:t>has</w:t>
      </w:r>
      <w:r w:rsidR="00900061" w:rsidRPr="00E168A1">
        <w:rPr>
          <w:rFonts w:ascii="Times New Roman" w:eastAsiaTheme="minorHAnsi" w:hAnsi="Times New Roman"/>
        </w:rPr>
        <w:t xml:space="preserve"> </w:t>
      </w:r>
      <w:r w:rsidR="00837F94" w:rsidRPr="00E168A1">
        <w:rPr>
          <w:rFonts w:ascii="Times New Roman" w:eastAsiaTheme="minorHAnsi" w:hAnsi="Times New Roman"/>
        </w:rPr>
        <w:t>been</w:t>
      </w:r>
      <w:r w:rsidR="00900061" w:rsidRPr="00E168A1">
        <w:rPr>
          <w:rFonts w:ascii="Times New Roman" w:eastAsiaTheme="minorHAnsi" w:hAnsi="Times New Roman"/>
        </w:rPr>
        <w:t xml:space="preserve"> </w:t>
      </w:r>
      <w:r w:rsidR="00837F94" w:rsidRPr="00E168A1">
        <w:rPr>
          <w:rFonts w:ascii="Times New Roman" w:eastAsiaTheme="minorHAnsi" w:hAnsi="Times New Roman"/>
        </w:rPr>
        <w:t>developed</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made</w:t>
      </w:r>
      <w:r w:rsidR="00900061" w:rsidRPr="00E168A1">
        <w:rPr>
          <w:rFonts w:ascii="Times New Roman" w:eastAsiaTheme="minorHAnsi" w:hAnsi="Times New Roman"/>
        </w:rPr>
        <w:t xml:space="preserve"> </w:t>
      </w:r>
      <w:r w:rsidR="00837F94" w:rsidRPr="00E168A1">
        <w:rPr>
          <w:rFonts w:ascii="Times New Roman" w:eastAsiaTheme="minorHAnsi" w:hAnsi="Times New Roman"/>
        </w:rPr>
        <w:t>available.</w:t>
      </w:r>
      <w:r w:rsidR="00900061" w:rsidRPr="00E168A1">
        <w:rPr>
          <w:rFonts w:ascii="Times New Roman" w:eastAsiaTheme="minorHAnsi" w:hAnsi="Times New Roman"/>
        </w:rPr>
        <w:t xml:space="preserve"> </w:t>
      </w:r>
      <w:r w:rsidR="004E3028" w:rsidRPr="00E168A1">
        <w:rPr>
          <w:rFonts w:ascii="Times New Roman" w:eastAsiaTheme="minorHAnsi" w:hAnsi="Times New Roman"/>
        </w:rPr>
        <w:t xml:space="preserve">The </w:t>
      </w:r>
      <w:r w:rsidR="00837F94" w:rsidRPr="00E168A1">
        <w:rPr>
          <w:rFonts w:ascii="Times New Roman" w:eastAsiaTheme="minorHAnsi" w:hAnsi="Times New Roman"/>
        </w:rPr>
        <w:t>PPO’s</w:t>
      </w:r>
      <w:r w:rsidR="00900061" w:rsidRPr="00E168A1">
        <w:rPr>
          <w:rFonts w:ascii="Times New Roman" w:eastAsiaTheme="minorHAnsi" w:hAnsi="Times New Roman"/>
        </w:rPr>
        <w:t xml:space="preserve"> </w:t>
      </w:r>
      <w:r w:rsidR="00837F94" w:rsidRPr="00E168A1">
        <w:rPr>
          <w:rFonts w:ascii="Times New Roman" w:eastAsiaTheme="minorHAnsi" w:hAnsi="Times New Roman"/>
        </w:rPr>
        <w:t>Rulebook</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Contents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Report</w:t>
      </w:r>
      <w:r w:rsidR="00900061" w:rsidRPr="00E168A1">
        <w:rPr>
          <w:rFonts w:ascii="Times New Roman" w:eastAsiaTheme="minorHAnsi" w:hAnsi="Times New Roman"/>
        </w:rPr>
        <w:t xml:space="preserve"> </w:t>
      </w:r>
      <w:r w:rsidR="00837F94" w:rsidRPr="00E168A1">
        <w:rPr>
          <w:rFonts w:ascii="Times New Roman" w:eastAsiaTheme="minorHAnsi" w:hAnsi="Times New Roman"/>
        </w:rPr>
        <w:t>and</w:t>
      </w:r>
      <w:r w:rsidR="00900061" w:rsidRPr="00E168A1">
        <w:rPr>
          <w:rFonts w:ascii="Times New Roman" w:eastAsiaTheme="minorHAnsi" w:hAnsi="Times New Roman"/>
        </w:rPr>
        <w:t xml:space="preserve"> </w:t>
      </w:r>
      <w:r w:rsidR="00837F94" w:rsidRPr="00E168A1">
        <w:rPr>
          <w:rFonts w:ascii="Times New Roman" w:eastAsiaTheme="minorHAnsi" w:hAnsi="Times New Roman"/>
        </w:rPr>
        <w:t>Manner</w:t>
      </w:r>
      <w:r w:rsidR="00900061" w:rsidRPr="00E168A1">
        <w:rPr>
          <w:rFonts w:ascii="Times New Roman" w:eastAsiaTheme="minorHAnsi" w:hAnsi="Times New Roman"/>
        </w:rPr>
        <w:t xml:space="preserve"> </w:t>
      </w:r>
      <w:r w:rsidR="00837F94" w:rsidRPr="00E168A1">
        <w:rPr>
          <w:rFonts w:ascii="Times New Roman" w:eastAsiaTheme="minorHAnsi" w:hAnsi="Times New Roman"/>
        </w:rPr>
        <w:t>of</w:t>
      </w:r>
      <w:r w:rsidR="00900061" w:rsidRPr="00E168A1">
        <w:rPr>
          <w:rFonts w:ascii="Times New Roman" w:eastAsiaTheme="minorHAnsi" w:hAnsi="Times New Roman"/>
        </w:rPr>
        <w:t xml:space="preserve"> </w:t>
      </w:r>
      <w:r w:rsidR="00837F94" w:rsidRPr="00E168A1">
        <w:rPr>
          <w:rFonts w:ascii="Times New Roman" w:eastAsiaTheme="minorHAnsi" w:hAnsi="Times New Roman"/>
        </w:rPr>
        <w:t>Maintaining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Records</w:t>
      </w:r>
      <w:r w:rsidR="00900061" w:rsidRPr="00E168A1">
        <w:rPr>
          <w:rFonts w:ascii="Times New Roman" w:eastAsiaTheme="minorHAnsi" w:hAnsi="Times New Roman"/>
        </w:rPr>
        <w:t xml:space="preserve"> </w:t>
      </w:r>
      <w:r w:rsidR="00837F94" w:rsidRPr="00E168A1">
        <w:rPr>
          <w:rFonts w:ascii="Times New Roman" w:eastAsiaTheme="minorHAnsi" w:hAnsi="Times New Roman"/>
        </w:rPr>
        <w:t>on</w:t>
      </w:r>
      <w:r w:rsidR="00900061" w:rsidRPr="00E168A1">
        <w:rPr>
          <w:rFonts w:ascii="Times New Roman" w:eastAsiaTheme="minorHAnsi" w:hAnsi="Times New Roman"/>
        </w:rPr>
        <w:t xml:space="preserve"> </w:t>
      </w:r>
      <w:r w:rsidR="00837F94" w:rsidRPr="00E168A1">
        <w:rPr>
          <w:rFonts w:ascii="Times New Roman" w:eastAsiaTheme="minorHAnsi" w:hAnsi="Times New Roman"/>
        </w:rPr>
        <w:t>Public</w:t>
      </w:r>
      <w:r w:rsidR="00900061" w:rsidRPr="00E168A1">
        <w:rPr>
          <w:rFonts w:ascii="Times New Roman" w:eastAsiaTheme="minorHAnsi" w:hAnsi="Times New Roman"/>
        </w:rPr>
        <w:t xml:space="preserve"> </w:t>
      </w:r>
      <w:r w:rsidR="00837F94" w:rsidRPr="00E168A1">
        <w:rPr>
          <w:rFonts w:ascii="Times New Roman" w:eastAsiaTheme="minorHAnsi" w:hAnsi="Times New Roman"/>
        </w:rPr>
        <w:t>Procurement</w:t>
      </w:r>
      <w:r w:rsidR="00900061" w:rsidRPr="00E168A1">
        <w:rPr>
          <w:rFonts w:ascii="Times New Roman" w:eastAsiaTheme="minorHAnsi" w:hAnsi="Times New Roman"/>
        </w:rPr>
        <w:t xml:space="preserve"> </w:t>
      </w:r>
      <w:r w:rsidR="00837F94" w:rsidRPr="00E168A1">
        <w:rPr>
          <w:rFonts w:ascii="Times New Roman" w:eastAsiaTheme="minorHAnsi" w:hAnsi="Times New Roman"/>
        </w:rPr>
        <w:t>is</w:t>
      </w:r>
      <w:r w:rsidR="00900061" w:rsidRPr="00E168A1">
        <w:rPr>
          <w:rFonts w:ascii="Times New Roman" w:eastAsiaTheme="minorHAnsi" w:hAnsi="Times New Roman"/>
        </w:rPr>
        <w:t xml:space="preserve"> </w:t>
      </w:r>
      <w:r w:rsidR="00837F94" w:rsidRPr="00E168A1">
        <w:rPr>
          <w:rFonts w:ascii="Times New Roman" w:eastAsiaTheme="minorHAnsi" w:hAnsi="Times New Roman"/>
        </w:rPr>
        <w:t>in</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force.</w:t>
      </w:r>
    </w:p>
    <w:p w14:paraId="2CB5274F" w14:textId="011E10DC" w:rsidR="00837F94" w:rsidRPr="00E168A1" w:rsidRDefault="00A81E1C" w:rsidP="000E798B">
      <w:pPr>
        <w:pStyle w:val="ListParagraph"/>
        <w:numPr>
          <w:ilvl w:val="0"/>
          <w:numId w:val="10"/>
        </w:numPr>
        <w:ind w:left="720" w:hanging="360"/>
        <w:contextualSpacing w:val="0"/>
        <w:rPr>
          <w:rFonts w:ascii="Times New Roman" w:eastAsiaTheme="minorHAnsi" w:hAnsi="Times New Roman"/>
        </w:rPr>
      </w:pPr>
      <w:r w:rsidRPr="00E168A1">
        <w:rPr>
          <w:rFonts w:ascii="Times New Roman" w:hAnsi="Times New Roman"/>
          <w:i/>
        </w:rPr>
        <w:lastRenderedPageBreak/>
        <w:t xml:space="preserve">The </w:t>
      </w:r>
      <w:r w:rsidR="006C0F62" w:rsidRPr="00E168A1">
        <w:rPr>
          <w:rFonts w:ascii="Times New Roman" w:hAnsi="Times New Roman"/>
          <w:i/>
        </w:rPr>
        <w:t>SAI</w:t>
      </w:r>
      <w:r w:rsidR="00073464" w:rsidRPr="00E168A1">
        <w:rPr>
          <w:rFonts w:ascii="Times New Roman" w:hAnsi="Times New Roman"/>
          <w:i/>
        </w:rPr>
        <w:t>.</w:t>
      </w:r>
      <w:r w:rsidR="00900061" w:rsidRPr="00E168A1">
        <w:rPr>
          <w:rFonts w:ascii="Times New Roman" w:hAnsi="Times New Roman"/>
          <w:b/>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SAI</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E168A1">
        <w:rPr>
          <w:rFonts w:ascii="Times New Roman" w:hAnsi="Times New Roman"/>
        </w:rPr>
        <w:t>required</w:t>
      </w:r>
      <w:r w:rsidR="00900061" w:rsidRPr="00E168A1">
        <w:rPr>
          <w:rFonts w:ascii="Times New Roman" w:hAnsi="Times New Roman"/>
        </w:rPr>
        <w:t xml:space="preserve"> </w:t>
      </w:r>
      <w:r w:rsidR="00837F94" w:rsidRPr="00E168A1">
        <w:rPr>
          <w:rFonts w:ascii="Times New Roman" w:hAnsi="Times New Roman"/>
        </w:rPr>
        <w:t>by</w:t>
      </w:r>
      <w:r w:rsidR="00900061" w:rsidRPr="00E168A1">
        <w:rPr>
          <w:rFonts w:ascii="Times New Roman" w:hAnsi="Times New Roman"/>
        </w:rPr>
        <w:t xml:space="preserve"> </w:t>
      </w:r>
      <w:r w:rsidR="00C3306B" w:rsidRPr="00E168A1">
        <w:rPr>
          <w:rFonts w:ascii="Times New Roman" w:hAnsi="Times New Roman"/>
        </w:rPr>
        <w:t xml:space="preserve">the </w:t>
      </w:r>
      <w:r w:rsidR="000B3BDA" w:rsidRPr="00E168A1">
        <w:rPr>
          <w:rFonts w:ascii="Times New Roman" w:hAnsi="Times New Roman"/>
        </w:rPr>
        <w:t>l</w:t>
      </w:r>
      <w:r w:rsidR="00837F94" w:rsidRPr="00E168A1">
        <w:rPr>
          <w:rFonts w:ascii="Times New Roman" w:hAnsi="Times New Roman"/>
        </w:rPr>
        <w:t>aw</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submit</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competent</w:t>
      </w:r>
      <w:r w:rsidR="00900061" w:rsidRPr="00E168A1">
        <w:rPr>
          <w:rFonts w:ascii="Times New Roman" w:hAnsi="Times New Roman"/>
        </w:rPr>
        <w:t xml:space="preserve"> </w:t>
      </w:r>
      <w:r w:rsidR="00837F94" w:rsidRPr="00E168A1">
        <w:rPr>
          <w:rFonts w:ascii="Times New Roman" w:hAnsi="Times New Roman"/>
        </w:rPr>
        <w:t>authority,</w:t>
      </w:r>
      <w:r w:rsidR="00900061" w:rsidRPr="00E168A1">
        <w:rPr>
          <w:rFonts w:ascii="Times New Roman" w:hAnsi="Times New Roman"/>
        </w:rPr>
        <w:t xml:space="preserve"> </w:t>
      </w:r>
      <w:r w:rsidR="00837F94" w:rsidRPr="00E168A1">
        <w:rPr>
          <w:rFonts w:ascii="Times New Roman" w:hAnsi="Times New Roman"/>
        </w:rPr>
        <w:t>without</w:t>
      </w:r>
      <w:r w:rsidR="00900061" w:rsidRPr="00E168A1">
        <w:rPr>
          <w:rFonts w:ascii="Times New Roman" w:hAnsi="Times New Roman"/>
        </w:rPr>
        <w:t xml:space="preserve"> </w:t>
      </w:r>
      <w:r w:rsidR="00837F94" w:rsidRPr="00E168A1">
        <w:rPr>
          <w:rFonts w:ascii="Times New Roman" w:hAnsi="Times New Roman"/>
        </w:rPr>
        <w:t>delay,</w:t>
      </w:r>
      <w:r w:rsidR="00900061" w:rsidRPr="00E168A1">
        <w:rPr>
          <w:rFonts w:ascii="Times New Roman" w:hAnsi="Times New Roman"/>
        </w:rPr>
        <w:t xml:space="preserve"> </w:t>
      </w:r>
      <w:r w:rsidR="00837F94" w:rsidRPr="00E168A1">
        <w:rPr>
          <w:rFonts w:ascii="Times New Roman" w:hAnsi="Times New Roman"/>
        </w:rPr>
        <w:t>any</w:t>
      </w:r>
      <w:r w:rsidR="00900061" w:rsidRPr="00E168A1">
        <w:rPr>
          <w:rFonts w:ascii="Times New Roman" w:hAnsi="Times New Roman"/>
        </w:rPr>
        <w:t xml:space="preserve"> </w:t>
      </w:r>
      <w:r w:rsidR="00837F94" w:rsidRPr="00E168A1">
        <w:rPr>
          <w:rFonts w:ascii="Times New Roman" w:hAnsi="Times New Roman"/>
        </w:rPr>
        <w:t>evidence</w:t>
      </w:r>
      <w:r w:rsidR="00900061" w:rsidRPr="00E168A1">
        <w:rPr>
          <w:rFonts w:ascii="Times New Roman" w:hAnsi="Times New Roman"/>
        </w:rPr>
        <w:t xml:space="preserve"> </w:t>
      </w:r>
      <w:r w:rsidR="00837F94" w:rsidRPr="00E168A1">
        <w:rPr>
          <w:rFonts w:ascii="Times New Roman" w:hAnsi="Times New Roman"/>
        </w:rPr>
        <w:t>relating</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misdemeanors</w:t>
      </w:r>
      <w:r w:rsidR="00900061" w:rsidRPr="00E168A1">
        <w:rPr>
          <w:rFonts w:ascii="Times New Roman" w:hAnsi="Times New Roman"/>
        </w:rPr>
        <w:t xml:space="preserve"> </w:t>
      </w:r>
      <w:r w:rsidR="00837F94" w:rsidRPr="00E168A1">
        <w:rPr>
          <w:rFonts w:ascii="Times New Roman" w:hAnsi="Times New Roman"/>
        </w:rPr>
        <w:t>or</w:t>
      </w:r>
      <w:r w:rsidR="00900061" w:rsidRPr="00E168A1">
        <w:rPr>
          <w:rFonts w:ascii="Times New Roman" w:hAnsi="Times New Roman"/>
        </w:rPr>
        <w:t xml:space="preserve"> </w:t>
      </w:r>
      <w:r w:rsidR="00837F94" w:rsidRPr="00E168A1">
        <w:rPr>
          <w:rFonts w:ascii="Times New Roman" w:hAnsi="Times New Roman"/>
        </w:rPr>
        <w:t>criminal</w:t>
      </w:r>
      <w:r w:rsidR="00900061" w:rsidRPr="00E168A1">
        <w:rPr>
          <w:rFonts w:ascii="Times New Roman" w:hAnsi="Times New Roman"/>
        </w:rPr>
        <w:t xml:space="preserve"> </w:t>
      </w:r>
      <w:r w:rsidR="00837F94" w:rsidRPr="00E168A1">
        <w:rPr>
          <w:rFonts w:ascii="Times New Roman" w:hAnsi="Times New Roman"/>
        </w:rPr>
        <w:t>offences,</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that</w:t>
      </w:r>
      <w:r w:rsidR="00900061" w:rsidRPr="00E168A1">
        <w:rPr>
          <w:rFonts w:ascii="Times New Roman" w:hAnsi="Times New Roman"/>
        </w:rPr>
        <w:t xml:space="preserve"> </w:t>
      </w:r>
      <w:r w:rsidR="00837F94" w:rsidRPr="00E168A1">
        <w:rPr>
          <w:rFonts w:ascii="Times New Roman" w:hAnsi="Times New Roman"/>
        </w:rPr>
        <w:t>body</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E168A1">
        <w:rPr>
          <w:rFonts w:ascii="Times New Roman" w:hAnsi="Times New Roman"/>
        </w:rPr>
        <w:t>required</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837F94" w:rsidRPr="00E168A1">
        <w:rPr>
          <w:rFonts w:ascii="Times New Roman" w:hAnsi="Times New Roman"/>
        </w:rPr>
        <w:t>inform</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SAI</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its</w:t>
      </w:r>
      <w:r w:rsidR="00900061" w:rsidRPr="00E168A1">
        <w:rPr>
          <w:rFonts w:ascii="Times New Roman" w:hAnsi="Times New Roman"/>
        </w:rPr>
        <w:t xml:space="preserve"> </w:t>
      </w:r>
      <w:r w:rsidR="00837F94" w:rsidRPr="00E168A1">
        <w:rPr>
          <w:rFonts w:ascii="Times New Roman" w:hAnsi="Times New Roman"/>
        </w:rPr>
        <w:t>decision.</w:t>
      </w:r>
      <w:r w:rsidR="00900061" w:rsidRPr="00E168A1">
        <w:rPr>
          <w:rFonts w:ascii="Times New Roman" w:hAnsi="Times New Roman"/>
        </w:rPr>
        <w:t xml:space="preserve"> </w:t>
      </w:r>
      <w:r w:rsidR="00837F94" w:rsidRPr="00E168A1">
        <w:rPr>
          <w:rFonts w:ascii="Times New Roman" w:hAnsi="Times New Roman"/>
        </w:rPr>
        <w:t>It</w:t>
      </w:r>
      <w:r w:rsidR="00900061" w:rsidRPr="00E168A1">
        <w:rPr>
          <w:rFonts w:ascii="Times New Roman" w:hAnsi="Times New Roman"/>
        </w:rPr>
        <w:t xml:space="preserve"> </w:t>
      </w:r>
      <w:r w:rsidR="00837F94" w:rsidRPr="00E168A1">
        <w:rPr>
          <w:rFonts w:ascii="Times New Roman" w:hAnsi="Times New Roman"/>
        </w:rPr>
        <w:t>has</w:t>
      </w:r>
      <w:r w:rsidR="00900061" w:rsidRPr="00E168A1">
        <w:rPr>
          <w:rFonts w:ascii="Times New Roman" w:hAnsi="Times New Roman"/>
        </w:rPr>
        <w:t xml:space="preserve"> </w:t>
      </w:r>
      <w:r w:rsidR="00837F94" w:rsidRPr="00E168A1">
        <w:rPr>
          <w:rFonts w:ascii="Times New Roman" w:hAnsi="Times New Roman"/>
        </w:rPr>
        <w:t>been</w:t>
      </w:r>
      <w:r w:rsidR="00900061" w:rsidRPr="00E168A1">
        <w:rPr>
          <w:rFonts w:ascii="Times New Roman" w:hAnsi="Times New Roman"/>
        </w:rPr>
        <w:t xml:space="preserve"> </w:t>
      </w:r>
      <w:r w:rsidR="00837F94" w:rsidRPr="00E168A1">
        <w:rPr>
          <w:rFonts w:ascii="Times New Roman" w:hAnsi="Times New Roman"/>
        </w:rPr>
        <w:t>noted</w:t>
      </w:r>
      <w:r w:rsidR="00900061" w:rsidRPr="00E168A1">
        <w:rPr>
          <w:rFonts w:ascii="Times New Roman" w:hAnsi="Times New Roman"/>
        </w:rPr>
        <w:t xml:space="preserve"> </w:t>
      </w:r>
      <w:r w:rsidR="00837F94" w:rsidRPr="00E168A1">
        <w:rPr>
          <w:rFonts w:ascii="Times New Roman" w:hAnsi="Times New Roman"/>
        </w:rPr>
        <w:t>that</w:t>
      </w:r>
      <w:r w:rsidR="00900061" w:rsidRPr="00E168A1">
        <w:rPr>
          <w:rFonts w:ascii="Times New Roman" w:hAnsi="Times New Roman"/>
        </w:rPr>
        <w:t xml:space="preserve"> </w:t>
      </w:r>
      <w:r w:rsidR="00837F94" w:rsidRPr="00E168A1">
        <w:rPr>
          <w:rFonts w:ascii="Times New Roman" w:hAnsi="Times New Roman"/>
        </w:rPr>
        <w:t>this</w:t>
      </w:r>
      <w:r w:rsidR="00900061" w:rsidRPr="00E168A1">
        <w:rPr>
          <w:rFonts w:ascii="Times New Roman" w:hAnsi="Times New Roman"/>
        </w:rPr>
        <w:t xml:space="preserve"> </w:t>
      </w:r>
      <w:r w:rsidR="00837F94" w:rsidRPr="00E168A1">
        <w:rPr>
          <w:rFonts w:ascii="Times New Roman" w:hAnsi="Times New Roman"/>
        </w:rPr>
        <w:t>additional</w:t>
      </w:r>
      <w:r w:rsidR="00900061" w:rsidRPr="00E168A1">
        <w:rPr>
          <w:rFonts w:ascii="Times New Roman" w:hAnsi="Times New Roman"/>
        </w:rPr>
        <w:t xml:space="preserve"> </w:t>
      </w:r>
      <w:r w:rsidR="00837F94" w:rsidRPr="00E168A1">
        <w:rPr>
          <w:rFonts w:ascii="Times New Roman" w:hAnsi="Times New Roman"/>
        </w:rPr>
        <w:t>duty</w:t>
      </w:r>
      <w:r w:rsidR="00900061" w:rsidRPr="00E168A1">
        <w:rPr>
          <w:rFonts w:ascii="Times New Roman" w:hAnsi="Times New Roman"/>
        </w:rPr>
        <w:t xml:space="preserve"> </w:t>
      </w:r>
      <w:r w:rsidR="00837F94" w:rsidRPr="00E168A1">
        <w:rPr>
          <w:rFonts w:ascii="Times New Roman" w:hAnsi="Times New Roman"/>
        </w:rPr>
        <w:t>potentially</w:t>
      </w:r>
      <w:r w:rsidR="00900061" w:rsidRPr="00E168A1">
        <w:rPr>
          <w:rFonts w:ascii="Times New Roman" w:hAnsi="Times New Roman"/>
        </w:rPr>
        <w:t xml:space="preserve"> </w:t>
      </w:r>
      <w:r w:rsidR="00837F94" w:rsidRPr="00E168A1">
        <w:rPr>
          <w:rFonts w:ascii="Times New Roman" w:hAnsi="Times New Roman"/>
        </w:rPr>
        <w:t>takes</w:t>
      </w:r>
      <w:r w:rsidR="00900061" w:rsidRPr="00E168A1">
        <w:rPr>
          <w:rFonts w:ascii="Times New Roman" w:hAnsi="Times New Roman"/>
        </w:rPr>
        <w:t xml:space="preserve"> </w:t>
      </w:r>
      <w:r w:rsidR="00837F94" w:rsidRPr="00E168A1">
        <w:rPr>
          <w:rFonts w:ascii="Times New Roman" w:hAnsi="Times New Roman"/>
        </w:rPr>
        <w:t>away</w:t>
      </w:r>
      <w:r w:rsidR="00900061" w:rsidRPr="00E168A1">
        <w:rPr>
          <w:rFonts w:ascii="Times New Roman" w:hAnsi="Times New Roman"/>
        </w:rPr>
        <w:t xml:space="preserve"> </w:t>
      </w:r>
      <w:r w:rsidR="00837F94" w:rsidRPr="00E168A1">
        <w:rPr>
          <w:rFonts w:ascii="Times New Roman" w:hAnsi="Times New Roman"/>
        </w:rPr>
        <w:t>resources</w:t>
      </w:r>
      <w:r w:rsidR="00900061" w:rsidRPr="00E168A1">
        <w:rPr>
          <w:rFonts w:ascii="Times New Roman" w:hAnsi="Times New Roman"/>
        </w:rPr>
        <w:t xml:space="preserve"> </w:t>
      </w:r>
      <w:r w:rsidR="00837F94" w:rsidRPr="00E168A1">
        <w:rPr>
          <w:rFonts w:ascii="Times New Roman" w:hAnsi="Times New Roman"/>
        </w:rPr>
        <w:t>from</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audit</w:t>
      </w:r>
      <w:r w:rsidR="00900061" w:rsidRPr="00E168A1">
        <w:rPr>
          <w:rFonts w:ascii="Times New Roman" w:hAnsi="Times New Roman"/>
        </w:rPr>
        <w:t xml:space="preserve"> </w:t>
      </w:r>
      <w:r w:rsidR="00837F94" w:rsidRPr="00E168A1">
        <w:rPr>
          <w:rFonts w:ascii="Times New Roman" w:hAnsi="Times New Roman"/>
        </w:rPr>
        <w:t>work.</w:t>
      </w:r>
      <w:r w:rsidR="00900061" w:rsidRPr="00E168A1">
        <w:rPr>
          <w:rFonts w:ascii="Times New Roman" w:hAnsi="Times New Roman"/>
        </w:rPr>
        <w:t xml:space="preserve"> </w:t>
      </w:r>
      <w:r w:rsidR="00837F94" w:rsidRPr="00E168A1">
        <w:rPr>
          <w:rFonts w:ascii="Times New Roman" w:hAnsi="Times New Roman"/>
        </w:rPr>
        <w:t>From</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9329A9" w:rsidRPr="00E168A1">
        <w:rPr>
          <w:rFonts w:ascii="Times New Roman" w:hAnsi="Times New Roman"/>
        </w:rPr>
        <w:t>P</w:t>
      </w:r>
      <w:r w:rsidR="001B78A4" w:rsidRPr="00E168A1">
        <w:rPr>
          <w:rFonts w:ascii="Times New Roman" w:hAnsi="Times New Roman"/>
        </w:rPr>
        <w:t>rogram</w:t>
      </w:r>
      <w:r w:rsidR="00900061" w:rsidRPr="00E168A1">
        <w:rPr>
          <w:rFonts w:ascii="Times New Roman" w:hAnsi="Times New Roman"/>
        </w:rPr>
        <w:t xml:space="preserve"> </w:t>
      </w:r>
      <w:r w:rsidR="00837F94" w:rsidRPr="00E168A1">
        <w:rPr>
          <w:rFonts w:ascii="Times New Roman" w:hAnsi="Times New Roman"/>
        </w:rPr>
        <w:t>perspective,</w:t>
      </w:r>
      <w:r w:rsidR="00900061" w:rsidRPr="00E168A1">
        <w:rPr>
          <w:rFonts w:ascii="Times New Roman" w:hAnsi="Times New Roman"/>
        </w:rPr>
        <w:t xml:space="preserve"> </w:t>
      </w:r>
      <w:r w:rsidR="00837F94" w:rsidRPr="00E168A1">
        <w:rPr>
          <w:rFonts w:ascii="Times New Roman" w:hAnsi="Times New Roman"/>
        </w:rPr>
        <w:t>this</w:t>
      </w:r>
      <w:r w:rsidR="00900061" w:rsidRPr="00E168A1">
        <w:rPr>
          <w:rFonts w:ascii="Times New Roman" w:hAnsi="Times New Roman"/>
        </w:rPr>
        <w:t xml:space="preserve"> </w:t>
      </w:r>
      <w:r w:rsidR="00837F94" w:rsidRPr="00E168A1">
        <w:rPr>
          <w:rFonts w:ascii="Times New Roman" w:hAnsi="Times New Roman"/>
        </w:rPr>
        <w:t>segment</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SAI</w:t>
      </w:r>
      <w:r w:rsidR="00900061" w:rsidRPr="00E168A1">
        <w:rPr>
          <w:rFonts w:ascii="Times New Roman" w:hAnsi="Times New Roman"/>
        </w:rPr>
        <w:t xml:space="preserve"> </w:t>
      </w:r>
      <w:r w:rsidR="00837F94" w:rsidRPr="00E168A1">
        <w:rPr>
          <w:rFonts w:ascii="Times New Roman" w:hAnsi="Times New Roman"/>
        </w:rPr>
        <w:t>mandate</w:t>
      </w:r>
      <w:r w:rsidR="00900061" w:rsidRPr="00E168A1">
        <w:rPr>
          <w:rFonts w:ascii="Times New Roman" w:hAnsi="Times New Roman"/>
        </w:rPr>
        <w:t xml:space="preserve"> </w:t>
      </w:r>
      <w:r w:rsidR="00837F94" w:rsidRPr="00E168A1">
        <w:rPr>
          <w:rFonts w:ascii="Times New Roman" w:hAnsi="Times New Roman"/>
        </w:rPr>
        <w:t>could</w:t>
      </w:r>
      <w:r w:rsidR="00900061" w:rsidRPr="00E168A1">
        <w:rPr>
          <w:rFonts w:ascii="Times New Roman" w:hAnsi="Times New Roman"/>
        </w:rPr>
        <w:t xml:space="preserve"> </w:t>
      </w:r>
      <w:r w:rsidR="00837F94" w:rsidRPr="00E168A1">
        <w:rPr>
          <w:rFonts w:ascii="Times New Roman" w:hAnsi="Times New Roman"/>
        </w:rPr>
        <w:t>be</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critical</w:t>
      </w:r>
      <w:r w:rsidR="00900061" w:rsidRPr="00E168A1">
        <w:rPr>
          <w:rFonts w:ascii="Times New Roman" w:hAnsi="Times New Roman"/>
        </w:rPr>
        <w:t xml:space="preserve"> </w:t>
      </w:r>
      <w:r w:rsidR="00837F94" w:rsidRPr="00E168A1">
        <w:rPr>
          <w:rFonts w:ascii="Times New Roman" w:hAnsi="Times New Roman"/>
        </w:rPr>
        <w:t>resource</w:t>
      </w:r>
      <w:r w:rsidR="00900061" w:rsidRPr="00E168A1">
        <w:rPr>
          <w:rFonts w:ascii="Times New Roman" w:hAnsi="Times New Roman"/>
        </w:rPr>
        <w:t xml:space="preserve"> </w:t>
      </w:r>
      <w:r w:rsidR="00837F94" w:rsidRPr="00E168A1">
        <w:rPr>
          <w:rFonts w:ascii="Times New Roman" w:hAnsi="Times New Roman"/>
        </w:rPr>
        <w:t>in</w:t>
      </w:r>
      <w:r w:rsidR="00900061" w:rsidRPr="00E168A1">
        <w:rPr>
          <w:rFonts w:ascii="Times New Roman" w:hAnsi="Times New Roman"/>
        </w:rPr>
        <w:t xml:space="preserve"> </w:t>
      </w:r>
      <w:r w:rsidR="00837F94" w:rsidRPr="00E168A1">
        <w:rPr>
          <w:rFonts w:ascii="Times New Roman" w:hAnsi="Times New Roman"/>
        </w:rPr>
        <w:t>addressing</w:t>
      </w:r>
      <w:r w:rsidR="00900061" w:rsidRPr="00E168A1">
        <w:rPr>
          <w:rFonts w:ascii="Times New Roman" w:hAnsi="Times New Roman"/>
        </w:rPr>
        <w:t xml:space="preserve"> </w:t>
      </w:r>
      <w:r w:rsidR="00837F94" w:rsidRPr="00E168A1">
        <w:rPr>
          <w:rFonts w:ascii="Times New Roman" w:hAnsi="Times New Roman"/>
        </w:rPr>
        <w:t>possible</w:t>
      </w:r>
      <w:r w:rsidR="00900061" w:rsidRPr="00E168A1">
        <w:rPr>
          <w:rFonts w:ascii="Times New Roman" w:hAnsi="Times New Roman"/>
        </w:rPr>
        <w:t xml:space="preserve"> </w:t>
      </w:r>
      <w:r w:rsidR="00837F94" w:rsidRPr="00E168A1">
        <w:rPr>
          <w:rFonts w:ascii="Times New Roman" w:hAnsi="Times New Roman"/>
        </w:rPr>
        <w:t>instances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A34355" w:rsidRPr="00E168A1">
        <w:rPr>
          <w:rFonts w:ascii="Times New Roman" w:hAnsi="Times New Roman"/>
        </w:rPr>
        <w:t>F&amp;C</w:t>
      </w:r>
      <w:r w:rsidR="00900061" w:rsidRPr="00E168A1">
        <w:rPr>
          <w:rFonts w:ascii="Times New Roman" w:hAnsi="Times New Roman"/>
        </w:rPr>
        <w:t xml:space="preserve"> </w:t>
      </w:r>
      <w:r w:rsidR="00837F94" w:rsidRPr="00E168A1">
        <w:rPr>
          <w:rFonts w:ascii="Times New Roman" w:hAnsi="Times New Roman"/>
        </w:rPr>
        <w:t>involving</w:t>
      </w:r>
      <w:r w:rsidR="00900061" w:rsidRPr="00E168A1">
        <w:rPr>
          <w:rFonts w:ascii="Times New Roman" w:hAnsi="Times New Roman"/>
        </w:rPr>
        <w:t xml:space="preserve"> </w:t>
      </w:r>
      <w:r w:rsidR="009329A9" w:rsidRPr="00E168A1">
        <w:rPr>
          <w:rFonts w:ascii="Times New Roman" w:hAnsi="Times New Roman"/>
        </w:rPr>
        <w:t>P</w:t>
      </w:r>
      <w:r w:rsidR="00837F94" w:rsidRPr="00E168A1">
        <w:rPr>
          <w:rFonts w:ascii="Times New Roman" w:hAnsi="Times New Roman"/>
        </w:rPr>
        <w:t>rogram</w:t>
      </w:r>
      <w:r w:rsidR="00900061" w:rsidRPr="00E168A1">
        <w:rPr>
          <w:rFonts w:ascii="Times New Roman" w:hAnsi="Times New Roman"/>
        </w:rPr>
        <w:t xml:space="preserve"> </w:t>
      </w:r>
      <w:r w:rsidR="00837F94" w:rsidRPr="00E168A1">
        <w:rPr>
          <w:rFonts w:ascii="Times New Roman" w:hAnsi="Times New Roman"/>
        </w:rPr>
        <w:t>funding.</w:t>
      </w:r>
    </w:p>
    <w:p w14:paraId="3CB1BAF2" w14:textId="42EBC743" w:rsidR="00837F94" w:rsidRPr="00E168A1" w:rsidRDefault="000B3BDA" w:rsidP="000E798B">
      <w:pPr>
        <w:pStyle w:val="ListParagraph"/>
        <w:numPr>
          <w:ilvl w:val="0"/>
          <w:numId w:val="10"/>
        </w:numPr>
        <w:ind w:left="720" w:hanging="360"/>
        <w:contextualSpacing w:val="0"/>
        <w:rPr>
          <w:rFonts w:ascii="Times New Roman" w:eastAsiaTheme="minorHAnsi" w:hAnsi="Times New Roman"/>
        </w:rPr>
      </w:pPr>
      <w:r w:rsidRPr="00E168A1">
        <w:rPr>
          <w:rFonts w:ascii="Times New Roman" w:hAnsi="Times New Roman"/>
          <w:i/>
        </w:rPr>
        <w:t xml:space="preserve">Republic </w:t>
      </w:r>
      <w:r w:rsidR="00837F94" w:rsidRPr="00E168A1">
        <w:rPr>
          <w:rFonts w:ascii="Times New Roman" w:hAnsi="Times New Roman"/>
          <w:i/>
        </w:rPr>
        <w:t>Commission</w:t>
      </w:r>
      <w:r w:rsidR="00900061" w:rsidRPr="00E168A1">
        <w:rPr>
          <w:rFonts w:ascii="Times New Roman" w:hAnsi="Times New Roman"/>
          <w:i/>
        </w:rPr>
        <w:t xml:space="preserve"> </w:t>
      </w:r>
      <w:r w:rsidR="00837F94" w:rsidRPr="00E168A1">
        <w:rPr>
          <w:rFonts w:ascii="Times New Roman" w:hAnsi="Times New Roman"/>
          <w:i/>
        </w:rPr>
        <w:t>for</w:t>
      </w:r>
      <w:r w:rsidR="00900061" w:rsidRPr="00E168A1">
        <w:rPr>
          <w:rFonts w:ascii="Times New Roman" w:hAnsi="Times New Roman"/>
          <w:i/>
        </w:rPr>
        <w:t xml:space="preserve"> </w:t>
      </w:r>
      <w:r w:rsidR="00837F94" w:rsidRPr="00E168A1">
        <w:rPr>
          <w:rFonts w:ascii="Times New Roman" w:hAnsi="Times New Roman"/>
          <w:i/>
        </w:rPr>
        <w:t>Protection</w:t>
      </w:r>
      <w:r w:rsidR="00900061" w:rsidRPr="00E168A1">
        <w:rPr>
          <w:rFonts w:ascii="Times New Roman" w:hAnsi="Times New Roman"/>
          <w:i/>
        </w:rPr>
        <w:t xml:space="preserve"> </w:t>
      </w:r>
      <w:r w:rsidR="00837F94" w:rsidRPr="00E168A1">
        <w:rPr>
          <w:rFonts w:ascii="Times New Roman" w:hAnsi="Times New Roman"/>
          <w:i/>
        </w:rPr>
        <w:t>of</w:t>
      </w:r>
      <w:r w:rsidR="00900061" w:rsidRPr="00E168A1">
        <w:rPr>
          <w:rFonts w:ascii="Times New Roman" w:hAnsi="Times New Roman"/>
          <w:i/>
        </w:rPr>
        <w:t xml:space="preserve"> </w:t>
      </w:r>
      <w:r w:rsidR="00837F94" w:rsidRPr="00E168A1">
        <w:rPr>
          <w:rFonts w:ascii="Times New Roman" w:hAnsi="Times New Roman"/>
          <w:i/>
        </w:rPr>
        <w:t>Rights</w:t>
      </w:r>
      <w:r w:rsidR="00900061" w:rsidRPr="00E168A1">
        <w:rPr>
          <w:rFonts w:ascii="Times New Roman" w:hAnsi="Times New Roman"/>
          <w:i/>
        </w:rPr>
        <w:t xml:space="preserve"> </w:t>
      </w:r>
      <w:r w:rsidR="00837F94" w:rsidRPr="00E168A1">
        <w:rPr>
          <w:rFonts w:ascii="Times New Roman" w:hAnsi="Times New Roman"/>
          <w:i/>
        </w:rPr>
        <w:t>in</w:t>
      </w:r>
      <w:r w:rsidR="00900061" w:rsidRPr="00E168A1">
        <w:rPr>
          <w:rFonts w:ascii="Times New Roman" w:hAnsi="Times New Roman"/>
          <w:i/>
        </w:rPr>
        <w:t xml:space="preserve"> </w:t>
      </w:r>
      <w:r w:rsidR="00837F94" w:rsidRPr="00E168A1">
        <w:rPr>
          <w:rFonts w:ascii="Times New Roman" w:hAnsi="Times New Roman"/>
          <w:i/>
        </w:rPr>
        <w:t>Public</w:t>
      </w:r>
      <w:r w:rsidR="00900061" w:rsidRPr="00E168A1">
        <w:rPr>
          <w:rFonts w:ascii="Times New Roman" w:hAnsi="Times New Roman"/>
          <w:i/>
        </w:rPr>
        <w:t xml:space="preserve"> </w:t>
      </w:r>
      <w:r w:rsidR="00837F94" w:rsidRPr="00E168A1">
        <w:rPr>
          <w:rFonts w:ascii="Times New Roman" w:hAnsi="Times New Roman"/>
          <w:i/>
        </w:rPr>
        <w:t>Procurement</w:t>
      </w:r>
      <w:r w:rsidR="00900061" w:rsidRPr="00E168A1">
        <w:rPr>
          <w:rFonts w:ascii="Times New Roman" w:hAnsi="Times New Roman"/>
          <w:i/>
        </w:rPr>
        <w:t xml:space="preserve"> </w:t>
      </w:r>
      <w:r w:rsidR="00837F94" w:rsidRPr="00E168A1">
        <w:rPr>
          <w:rFonts w:ascii="Times New Roman" w:hAnsi="Times New Roman"/>
          <w:i/>
        </w:rPr>
        <w:t>Procedures</w:t>
      </w:r>
      <w:r w:rsidR="00073464" w:rsidRPr="00E168A1">
        <w:rPr>
          <w:rFonts w:ascii="Times New Roman" w:hAnsi="Times New Roman"/>
          <w:i/>
        </w:rPr>
        <w:t>.</w:t>
      </w:r>
      <w:r w:rsidR="00900061" w:rsidRPr="00E168A1">
        <w:rPr>
          <w:rFonts w:ascii="Times New Roman" w:eastAsiaTheme="minorHAnsi" w:hAnsi="Times New Roman"/>
        </w:rPr>
        <w:t xml:space="preserve"> </w:t>
      </w:r>
      <w:r w:rsidRPr="00E168A1">
        <w:rPr>
          <w:rFonts w:ascii="Times New Roman" w:eastAsiaTheme="minorHAnsi" w:hAnsi="Times New Roman"/>
        </w:rPr>
        <w:t>The RC</w:t>
      </w:r>
      <w:r w:rsidR="00900061" w:rsidRPr="00E168A1">
        <w:rPr>
          <w:rFonts w:ascii="Times New Roman" w:hAnsi="Times New Roman"/>
        </w:rPr>
        <w:t xml:space="preserve"> </w:t>
      </w:r>
      <w:r w:rsidR="00837F94" w:rsidRPr="00E168A1">
        <w:rPr>
          <w:rFonts w:ascii="Times New Roman" w:hAnsi="Times New Roman"/>
        </w:rPr>
        <w:t>has</w:t>
      </w:r>
      <w:r w:rsidR="00900061" w:rsidRPr="00E168A1">
        <w:rPr>
          <w:rFonts w:ascii="Times New Roman" w:hAnsi="Times New Roman"/>
        </w:rPr>
        <w:t xml:space="preserve"> </w:t>
      </w:r>
      <w:r w:rsidR="00874546" w:rsidRPr="00E168A1">
        <w:rPr>
          <w:rFonts w:ascii="Times New Roman" w:hAnsi="Times New Roman"/>
        </w:rPr>
        <w:t xml:space="preserve">the </w:t>
      </w:r>
      <w:r w:rsidR="00837F94" w:rsidRPr="00E168A1">
        <w:rPr>
          <w:rFonts w:ascii="Times New Roman" w:hAnsi="Times New Roman"/>
        </w:rPr>
        <w:t>status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legal</w:t>
      </w:r>
      <w:r w:rsidR="00900061" w:rsidRPr="00E168A1">
        <w:rPr>
          <w:rFonts w:ascii="Times New Roman" w:hAnsi="Times New Roman"/>
        </w:rPr>
        <w:t xml:space="preserve"> </w:t>
      </w:r>
      <w:r w:rsidR="00837F94" w:rsidRPr="00E168A1">
        <w:rPr>
          <w:rFonts w:ascii="Times New Roman" w:hAnsi="Times New Roman"/>
        </w:rPr>
        <w:t>entity</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E168A1">
        <w:rPr>
          <w:rFonts w:ascii="Times New Roman" w:hAnsi="Times New Roman"/>
        </w:rPr>
        <w:t>responsible</w:t>
      </w:r>
      <w:r w:rsidR="00900061" w:rsidRPr="00E168A1">
        <w:rPr>
          <w:rFonts w:ascii="Times New Roman" w:hAnsi="Times New Roman"/>
        </w:rPr>
        <w:t xml:space="preserve"> </w:t>
      </w:r>
      <w:r w:rsidR="00837F94" w:rsidRPr="00E168A1">
        <w:rPr>
          <w:rFonts w:ascii="Times New Roman" w:hAnsi="Times New Roman"/>
        </w:rPr>
        <w:t>to</w:t>
      </w:r>
      <w:r w:rsidR="00900061" w:rsidRPr="00E168A1">
        <w:rPr>
          <w:rFonts w:ascii="Times New Roman" w:hAnsi="Times New Roman"/>
        </w:rPr>
        <w:t xml:space="preserve"> </w:t>
      </w:r>
      <w:r w:rsidR="003C78A1" w:rsidRPr="00E168A1">
        <w:rPr>
          <w:rFonts w:ascii="Times New Roman" w:hAnsi="Times New Roman"/>
        </w:rPr>
        <w:t>the NA</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Serbia.</w:t>
      </w:r>
      <w:r w:rsidR="00900061" w:rsidRPr="00E168A1">
        <w:rPr>
          <w:rFonts w:ascii="Times New Roman" w:hAnsi="Times New Roman"/>
        </w:rPr>
        <w:t xml:space="preserve"> </w:t>
      </w:r>
      <w:r w:rsidR="003C78A1" w:rsidRPr="00E168A1">
        <w:rPr>
          <w:rFonts w:ascii="Times New Roman" w:hAnsi="Times New Roman"/>
        </w:rPr>
        <w:t>The NA</w:t>
      </w:r>
      <w:r w:rsidR="00900061" w:rsidRPr="00E168A1">
        <w:rPr>
          <w:rFonts w:ascii="Times New Roman" w:hAnsi="Times New Roman"/>
        </w:rPr>
        <w:t xml:space="preserve"> </w:t>
      </w:r>
      <w:r w:rsidR="00837F94" w:rsidRPr="00E168A1">
        <w:rPr>
          <w:rFonts w:ascii="Times New Roman" w:hAnsi="Times New Roman"/>
        </w:rPr>
        <w:t>elects</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relieves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duty</w:t>
      </w:r>
      <w:r w:rsidR="00900061" w:rsidRPr="00E168A1">
        <w:rPr>
          <w:rFonts w:ascii="Times New Roman" w:hAnsi="Times New Roman"/>
        </w:rPr>
        <w:t xml:space="preserve"> </w:t>
      </w:r>
      <w:r w:rsidRPr="00E168A1">
        <w:rPr>
          <w:rFonts w:ascii="Times New Roman" w:hAnsi="Times New Roman"/>
        </w:rPr>
        <w:t>the p</w:t>
      </w:r>
      <w:r w:rsidR="00837F94" w:rsidRPr="00E168A1">
        <w:rPr>
          <w:rFonts w:ascii="Times New Roman" w:hAnsi="Times New Roman"/>
        </w:rPr>
        <w:t>resident</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m</w:t>
      </w:r>
      <w:r w:rsidR="00837F94" w:rsidRPr="00E168A1">
        <w:rPr>
          <w:rFonts w:ascii="Times New Roman" w:hAnsi="Times New Roman"/>
        </w:rPr>
        <w:t>embers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E900A5" w:rsidRPr="00E168A1">
        <w:rPr>
          <w:rFonts w:ascii="Times New Roman" w:hAnsi="Times New Roman"/>
        </w:rPr>
        <w:t>RC</w:t>
      </w:r>
      <w:r w:rsidR="00837F94" w:rsidRPr="00E168A1">
        <w:rPr>
          <w:rFonts w:ascii="Times New Roman" w:hAnsi="Times New Roman"/>
        </w:rPr>
        <w:t>,</w:t>
      </w:r>
      <w:r w:rsidR="00900061" w:rsidRPr="00E168A1">
        <w:rPr>
          <w:rFonts w:ascii="Times New Roman" w:hAnsi="Times New Roman"/>
        </w:rPr>
        <w:t xml:space="preserve"> </w:t>
      </w:r>
      <w:r w:rsidR="00837F94"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 xml:space="preserve">the </w:t>
      </w:r>
      <w:r w:rsidR="00837F94" w:rsidRPr="00E168A1">
        <w:rPr>
          <w:rFonts w:ascii="Times New Roman" w:hAnsi="Times New Roman"/>
        </w:rPr>
        <w:t>proposal</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 xml:space="preserve">the </w:t>
      </w:r>
      <w:r w:rsidR="00837F94" w:rsidRPr="00E168A1">
        <w:rPr>
          <w:rFonts w:ascii="Times New Roman" w:hAnsi="Times New Roman"/>
        </w:rPr>
        <w:t>Committee</w:t>
      </w:r>
      <w:r w:rsidR="00900061" w:rsidRPr="00E168A1">
        <w:rPr>
          <w:rFonts w:ascii="Times New Roman" w:hAnsi="Times New Roman"/>
        </w:rPr>
        <w:t xml:space="preserve"> </w:t>
      </w:r>
      <w:r w:rsidR="00837F94" w:rsidRPr="00E168A1">
        <w:rPr>
          <w:rFonts w:ascii="Times New Roman" w:hAnsi="Times New Roman"/>
        </w:rPr>
        <w:t>for</w:t>
      </w:r>
      <w:r w:rsidR="00900061" w:rsidRPr="00E168A1">
        <w:rPr>
          <w:rFonts w:ascii="Times New Roman" w:hAnsi="Times New Roman"/>
        </w:rPr>
        <w:t xml:space="preserve"> </w:t>
      </w:r>
      <w:r w:rsidR="00837F94" w:rsidRPr="00E168A1">
        <w:rPr>
          <w:rFonts w:ascii="Times New Roman" w:hAnsi="Times New Roman"/>
        </w:rPr>
        <w:t>Finance</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3C78A1" w:rsidRPr="00E168A1">
        <w:rPr>
          <w:rFonts w:ascii="Times New Roman" w:hAnsi="Times New Roman"/>
        </w:rPr>
        <w:t>the NA</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837F94" w:rsidRPr="00E168A1">
        <w:rPr>
          <w:rFonts w:ascii="Times New Roman" w:hAnsi="Times New Roman"/>
        </w:rPr>
        <w:t>after</w:t>
      </w:r>
      <w:r w:rsidR="00900061" w:rsidRPr="00E168A1">
        <w:rPr>
          <w:rFonts w:ascii="Times New Roman" w:hAnsi="Times New Roman"/>
        </w:rPr>
        <w:t xml:space="preserve"> </w:t>
      </w:r>
      <w:r w:rsidRPr="00E168A1">
        <w:rPr>
          <w:rFonts w:ascii="Times New Roman" w:hAnsi="Times New Roman"/>
        </w:rPr>
        <w:t xml:space="preserve">the </w:t>
      </w:r>
      <w:r w:rsidR="00837F94" w:rsidRPr="00E168A1">
        <w:rPr>
          <w:rFonts w:ascii="Times New Roman" w:hAnsi="Times New Roman"/>
        </w:rPr>
        <w:t>open</w:t>
      </w:r>
      <w:r w:rsidR="00900061" w:rsidRPr="00E168A1">
        <w:rPr>
          <w:rFonts w:ascii="Times New Roman" w:hAnsi="Times New Roman"/>
        </w:rPr>
        <w:t xml:space="preserve"> </w:t>
      </w:r>
      <w:r w:rsidR="00837F94" w:rsidRPr="00E168A1">
        <w:rPr>
          <w:rFonts w:ascii="Times New Roman" w:hAnsi="Times New Roman"/>
        </w:rPr>
        <w:t>application</w:t>
      </w:r>
      <w:r w:rsidR="00900061" w:rsidRPr="00E168A1">
        <w:rPr>
          <w:rFonts w:ascii="Times New Roman" w:hAnsi="Times New Roman"/>
        </w:rPr>
        <w:t xml:space="preserve"> </w:t>
      </w:r>
      <w:r w:rsidR="00837F94" w:rsidRPr="00E168A1">
        <w:rPr>
          <w:rFonts w:ascii="Times New Roman" w:hAnsi="Times New Roman"/>
        </w:rPr>
        <w:t>procedure</w:t>
      </w:r>
      <w:r w:rsidR="00900061" w:rsidRPr="00E168A1">
        <w:rPr>
          <w:rFonts w:ascii="Times New Roman" w:hAnsi="Times New Roman"/>
        </w:rPr>
        <w:t xml:space="preserve"> </w:t>
      </w:r>
      <w:r w:rsidR="00837F94" w:rsidRPr="00E168A1">
        <w:rPr>
          <w:rFonts w:ascii="Times New Roman" w:hAnsi="Times New Roman"/>
        </w:rPr>
        <w:t>has</w:t>
      </w:r>
      <w:r w:rsidR="00900061" w:rsidRPr="00E168A1">
        <w:rPr>
          <w:rFonts w:ascii="Times New Roman" w:hAnsi="Times New Roman"/>
        </w:rPr>
        <w:t xml:space="preserve"> </w:t>
      </w:r>
      <w:r w:rsidR="00837F94" w:rsidRPr="00E168A1">
        <w:rPr>
          <w:rFonts w:ascii="Times New Roman" w:hAnsi="Times New Roman"/>
        </w:rPr>
        <w:t>been</w:t>
      </w:r>
      <w:r w:rsidR="00900061" w:rsidRPr="00E168A1">
        <w:rPr>
          <w:rFonts w:ascii="Times New Roman" w:hAnsi="Times New Roman"/>
        </w:rPr>
        <w:t xml:space="preserve"> </w:t>
      </w:r>
      <w:r w:rsidR="00837F94" w:rsidRPr="00E168A1">
        <w:rPr>
          <w:rFonts w:ascii="Times New Roman" w:hAnsi="Times New Roman"/>
        </w:rPr>
        <w:t>conducted.</w:t>
      </w:r>
      <w:r w:rsidR="00900061" w:rsidRPr="00E168A1">
        <w:rPr>
          <w:rFonts w:ascii="Times New Roman"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 xml:space="preserve">RC </w:t>
      </w:r>
      <w:r w:rsidR="00837F94" w:rsidRPr="00E168A1">
        <w:rPr>
          <w:rFonts w:ascii="Times New Roman" w:eastAsiaTheme="minorHAnsi" w:hAnsi="Times New Roman"/>
        </w:rPr>
        <w:t>has</w:t>
      </w:r>
      <w:r w:rsidR="00900061" w:rsidRPr="00E168A1">
        <w:rPr>
          <w:rFonts w:ascii="Times New Roman" w:eastAsiaTheme="minorHAnsi" w:hAnsi="Times New Roman"/>
        </w:rPr>
        <w:t xml:space="preserve"> </w:t>
      </w:r>
      <w:r w:rsidR="00837F94" w:rsidRPr="00E168A1">
        <w:rPr>
          <w:rFonts w:ascii="Times New Roman" w:eastAsiaTheme="minorHAnsi" w:hAnsi="Times New Roman"/>
        </w:rPr>
        <w:t>the</w:t>
      </w:r>
      <w:r w:rsidR="00900061" w:rsidRPr="00E168A1">
        <w:rPr>
          <w:rFonts w:ascii="Times New Roman" w:eastAsiaTheme="minorHAnsi" w:hAnsi="Times New Roman"/>
        </w:rPr>
        <w:t xml:space="preserve"> </w:t>
      </w:r>
      <w:r w:rsidR="00837F94" w:rsidRPr="00E168A1">
        <w:rPr>
          <w:rFonts w:ascii="Times New Roman" w:eastAsiaTheme="minorHAnsi" w:hAnsi="Times New Roman"/>
        </w:rPr>
        <w:t>following</w:t>
      </w:r>
      <w:r w:rsidR="00900061" w:rsidRPr="00E168A1">
        <w:rPr>
          <w:rFonts w:ascii="Times New Roman" w:eastAsiaTheme="minorHAnsi" w:hAnsi="Times New Roman"/>
        </w:rPr>
        <w:t xml:space="preserve"> </w:t>
      </w:r>
      <w:r w:rsidR="00837F94" w:rsidRPr="00E168A1">
        <w:rPr>
          <w:rFonts w:ascii="Times New Roman" w:eastAsiaTheme="minorHAnsi" w:hAnsi="Times New Roman"/>
        </w:rPr>
        <w:t>key</w:t>
      </w:r>
      <w:r w:rsidR="00900061" w:rsidRPr="00E168A1">
        <w:rPr>
          <w:rFonts w:ascii="Times New Roman" w:eastAsiaTheme="minorHAnsi" w:hAnsi="Times New Roman"/>
        </w:rPr>
        <w:t xml:space="preserve"> </w:t>
      </w:r>
      <w:r w:rsidR="00837F94" w:rsidRPr="00E168A1">
        <w:rPr>
          <w:rFonts w:ascii="Times New Roman" w:eastAsiaTheme="minorHAnsi" w:hAnsi="Times New Roman"/>
        </w:rPr>
        <w:t>competences:</w:t>
      </w:r>
    </w:p>
    <w:p w14:paraId="095DA711" w14:textId="7777777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Decides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request</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protection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rights</w:t>
      </w:r>
    </w:p>
    <w:p w14:paraId="68DEDFC9" w14:textId="7777777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Decides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appeal</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procuring</w:t>
      </w:r>
      <w:r w:rsidR="00900061" w:rsidRPr="00E168A1">
        <w:rPr>
          <w:rFonts w:ascii="Times New Roman" w:eastAsia="Times New Roman" w:hAnsi="Times New Roman"/>
        </w:rPr>
        <w:t xml:space="preserve"> </w:t>
      </w:r>
      <w:r w:rsidRPr="00E168A1">
        <w:rPr>
          <w:rFonts w:ascii="Times New Roman" w:eastAsia="Times New Roman" w:hAnsi="Times New Roman"/>
        </w:rPr>
        <w:t>entity's</w:t>
      </w:r>
      <w:r w:rsidR="00900061" w:rsidRPr="00E168A1">
        <w:rPr>
          <w:rFonts w:ascii="Times New Roman" w:eastAsia="Times New Roman" w:hAnsi="Times New Roman"/>
        </w:rPr>
        <w:t xml:space="preserve"> </w:t>
      </w:r>
      <w:r w:rsidRPr="00E168A1">
        <w:rPr>
          <w:rFonts w:ascii="Times New Roman" w:eastAsia="Times New Roman" w:hAnsi="Times New Roman"/>
        </w:rPr>
        <w:t>conclusion</w:t>
      </w:r>
    </w:p>
    <w:p w14:paraId="493C0D18" w14:textId="0A7869B2"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Decides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appeal</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conclusion</w:t>
      </w:r>
      <w:r w:rsidR="00900061" w:rsidRPr="00E168A1">
        <w:rPr>
          <w:rFonts w:ascii="Times New Roman" w:eastAsia="Times New Roman" w:hAnsi="Times New Roman"/>
        </w:rPr>
        <w:t xml:space="preserve"> </w:t>
      </w:r>
      <w:r w:rsidRPr="00E168A1">
        <w:rPr>
          <w:rFonts w:ascii="Times New Roman" w:eastAsia="Times New Roman" w:hAnsi="Times New Roman"/>
        </w:rPr>
        <w:t>made</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005F3BAA" w:rsidRPr="00E168A1">
        <w:rPr>
          <w:rFonts w:ascii="Times New Roman" w:eastAsia="Times New Roman" w:hAnsi="Times New Roman"/>
        </w:rPr>
        <w:t>the PPO</w:t>
      </w:r>
    </w:p>
    <w:p w14:paraId="1FCF1ADA" w14:textId="459E488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Imposes</w:t>
      </w:r>
      <w:r w:rsidR="00900061" w:rsidRPr="00E168A1">
        <w:rPr>
          <w:rFonts w:ascii="Times New Roman" w:eastAsia="Times New Roman" w:hAnsi="Times New Roman"/>
        </w:rPr>
        <w:t xml:space="preserve"> </w:t>
      </w:r>
      <w:r w:rsidRPr="00E168A1">
        <w:rPr>
          <w:rFonts w:ascii="Times New Roman" w:eastAsia="Times New Roman" w:hAnsi="Times New Roman"/>
        </w:rPr>
        <w:t>fines</w:t>
      </w:r>
      <w:r w:rsidR="00900061" w:rsidRPr="00E168A1">
        <w:rPr>
          <w:rFonts w:ascii="Times New Roman" w:eastAsia="Times New Roman" w:hAnsi="Times New Roman"/>
        </w:rPr>
        <w:t xml:space="preserve"> </w:t>
      </w:r>
      <w:r w:rsidR="000B3BDA" w:rsidRPr="00E168A1">
        <w:rPr>
          <w:rFonts w:ascii="Times New Roman" w:eastAsia="Times New Roman" w:hAnsi="Times New Roman"/>
        </w:rPr>
        <w:t xml:space="preserve">on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accountable</w:t>
      </w:r>
      <w:r w:rsidR="00900061" w:rsidRPr="00E168A1">
        <w:rPr>
          <w:rFonts w:ascii="Times New Roman" w:eastAsia="Times New Roman" w:hAnsi="Times New Roman"/>
        </w:rPr>
        <w:t xml:space="preserve"> </w:t>
      </w:r>
      <w:r w:rsidRPr="00E168A1">
        <w:rPr>
          <w:rFonts w:ascii="Times New Roman" w:eastAsia="Times New Roman" w:hAnsi="Times New Roman"/>
        </w:rPr>
        <w:t>persons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000B3BDA" w:rsidRPr="00E168A1">
        <w:rPr>
          <w:rFonts w:ascii="Times New Roman" w:eastAsia="Times New Roman" w:hAnsi="Times New Roman"/>
        </w:rPr>
        <w:t xml:space="preserve">the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proposes</w:t>
      </w:r>
      <w:r w:rsidR="00900061" w:rsidRPr="00E168A1">
        <w:rPr>
          <w:rFonts w:ascii="Times New Roman" w:eastAsia="Times New Roman" w:hAnsi="Times New Roman"/>
        </w:rPr>
        <w:t xml:space="preserve"> </w:t>
      </w:r>
      <w:r w:rsidRPr="00E168A1">
        <w:rPr>
          <w:rFonts w:ascii="Times New Roman" w:eastAsia="Times New Roman" w:hAnsi="Times New Roman"/>
        </w:rPr>
        <w:t>compulsory</w:t>
      </w:r>
      <w:r w:rsidR="00900061" w:rsidRPr="00E168A1">
        <w:rPr>
          <w:rFonts w:ascii="Times New Roman" w:eastAsia="Times New Roman" w:hAnsi="Times New Roman"/>
        </w:rPr>
        <w:t xml:space="preserve"> </w:t>
      </w:r>
      <w:r w:rsidRPr="00E168A1">
        <w:rPr>
          <w:rFonts w:ascii="Times New Roman" w:eastAsia="Times New Roman" w:hAnsi="Times New Roman"/>
        </w:rPr>
        <w:t>retirement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managers</w:t>
      </w:r>
      <w:r w:rsidR="00900061" w:rsidRPr="00E168A1">
        <w:rPr>
          <w:rFonts w:ascii="Times New Roman" w:eastAsia="Times New Roman" w:hAnsi="Times New Roman"/>
        </w:rPr>
        <w:t xml:space="preserve"> </w:t>
      </w:r>
      <w:r w:rsidRPr="00E168A1">
        <w:rPr>
          <w:rFonts w:ascii="Times New Roman" w:eastAsia="Times New Roman" w:hAnsi="Times New Roman"/>
        </w:rPr>
        <w:t>or</w:t>
      </w:r>
      <w:r w:rsidR="00900061" w:rsidRPr="00E168A1">
        <w:rPr>
          <w:rFonts w:ascii="Times New Roman" w:eastAsia="Times New Roman" w:hAnsi="Times New Roman"/>
        </w:rPr>
        <w:t xml:space="preserve"> </w:t>
      </w:r>
      <w:r w:rsidRPr="00E168A1">
        <w:rPr>
          <w:rFonts w:ascii="Times New Roman" w:eastAsia="Times New Roman" w:hAnsi="Times New Roman"/>
        </w:rPr>
        <w:t>accountable</w:t>
      </w:r>
      <w:r w:rsidR="00900061" w:rsidRPr="00E168A1">
        <w:rPr>
          <w:rFonts w:ascii="Times New Roman" w:eastAsia="Times New Roman" w:hAnsi="Times New Roman"/>
        </w:rPr>
        <w:t xml:space="preserve"> </w:t>
      </w:r>
      <w:r w:rsidRPr="00E168A1">
        <w:rPr>
          <w:rFonts w:ascii="Times New Roman" w:eastAsia="Times New Roman" w:hAnsi="Times New Roman"/>
        </w:rPr>
        <w:t>persons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000B3BDA" w:rsidRPr="00E168A1">
        <w:rPr>
          <w:rFonts w:ascii="Times New Roman" w:eastAsia="Times New Roman" w:hAnsi="Times New Roman"/>
        </w:rPr>
        <w:t xml:space="preserve">the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p>
    <w:p w14:paraId="6745DB75" w14:textId="197D141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Imposes</w:t>
      </w:r>
      <w:r w:rsidR="00900061" w:rsidRPr="00E168A1">
        <w:rPr>
          <w:rFonts w:ascii="Times New Roman" w:eastAsia="Times New Roman" w:hAnsi="Times New Roman"/>
        </w:rPr>
        <w:t xml:space="preserve"> </w:t>
      </w:r>
      <w:r w:rsidRPr="00E168A1">
        <w:rPr>
          <w:rFonts w:ascii="Times New Roman" w:eastAsia="Times New Roman" w:hAnsi="Times New Roman"/>
        </w:rPr>
        <w:t>fines</w:t>
      </w:r>
      <w:r w:rsidR="00900061" w:rsidRPr="00E168A1">
        <w:rPr>
          <w:rFonts w:ascii="Times New Roman" w:eastAsia="Times New Roman" w:hAnsi="Times New Roman"/>
        </w:rPr>
        <w:t xml:space="preserve"> </w:t>
      </w:r>
      <w:r w:rsidR="000B3BDA"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claimant</w:t>
      </w:r>
      <w:r w:rsidR="000B3BDA" w:rsidRPr="00E168A1">
        <w:rPr>
          <w:rFonts w:ascii="Times New Roman" w:eastAsia="Times New Roman" w:hAnsi="Times New Roman"/>
        </w:rPr>
        <w:t>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case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misuse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request</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protection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rights</w:t>
      </w:r>
    </w:p>
    <w:p w14:paraId="7E011588" w14:textId="7777777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Annuls</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contract</w:t>
      </w:r>
      <w:r w:rsidR="000B3BDA" w:rsidRPr="00E168A1">
        <w:rPr>
          <w:rFonts w:ascii="Times New Roman" w:eastAsia="Times New Roman" w:hAnsi="Times New Roman"/>
        </w:rPr>
        <w:t>s</w:t>
      </w:r>
    </w:p>
    <w:p w14:paraId="0AA3F02E" w14:textId="4F667D47" w:rsidR="00837F94" w:rsidRPr="00E168A1" w:rsidRDefault="00837F94" w:rsidP="00645878">
      <w:pPr>
        <w:numPr>
          <w:ilvl w:val="0"/>
          <w:numId w:val="4"/>
        </w:numPr>
        <w:shd w:val="clear" w:color="auto" w:fill="FFFFFF"/>
        <w:tabs>
          <w:tab w:val="clear" w:pos="720"/>
        </w:tabs>
        <w:ind w:left="1670" w:hanging="475"/>
        <w:rPr>
          <w:rFonts w:ascii="Times New Roman" w:eastAsia="Times New Roman" w:hAnsi="Times New Roman"/>
        </w:rPr>
      </w:pPr>
      <w:r w:rsidRPr="00E168A1">
        <w:rPr>
          <w:rFonts w:ascii="Times New Roman" w:eastAsia="Times New Roman" w:hAnsi="Times New Roman"/>
        </w:rPr>
        <w:t>Initiates</w:t>
      </w:r>
      <w:r w:rsidR="00900061" w:rsidRPr="00E168A1">
        <w:rPr>
          <w:rFonts w:ascii="Times New Roman" w:eastAsia="Times New Roman" w:hAnsi="Times New Roman"/>
        </w:rPr>
        <w:t xml:space="preserve"> </w:t>
      </w:r>
      <w:r w:rsidRPr="00E168A1">
        <w:rPr>
          <w:rFonts w:ascii="Times New Roman" w:eastAsia="Times New Roman" w:hAnsi="Times New Roman"/>
        </w:rPr>
        <w:t>minor</w:t>
      </w:r>
      <w:r w:rsidR="00900061" w:rsidRPr="00E168A1">
        <w:rPr>
          <w:rFonts w:ascii="Times New Roman" w:eastAsia="Times New Roman" w:hAnsi="Times New Roman"/>
        </w:rPr>
        <w:t xml:space="preserve"> </w:t>
      </w:r>
      <w:r w:rsidRPr="00E168A1">
        <w:rPr>
          <w:rFonts w:ascii="Times New Roman" w:eastAsia="Times New Roman" w:hAnsi="Times New Roman"/>
        </w:rPr>
        <w:t>offence</w:t>
      </w:r>
      <w:r w:rsidR="00900061" w:rsidRPr="00E168A1">
        <w:rPr>
          <w:rFonts w:ascii="Times New Roman" w:eastAsia="Times New Roman" w:hAnsi="Times New Roman"/>
        </w:rPr>
        <w:t xml:space="preserve"> </w:t>
      </w:r>
      <w:r w:rsidRPr="00E168A1">
        <w:rPr>
          <w:rFonts w:ascii="Times New Roman" w:eastAsia="Times New Roman" w:hAnsi="Times New Roman"/>
        </w:rPr>
        <w:t>proceedings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first</w:t>
      </w:r>
      <w:r w:rsidR="00900061" w:rsidRPr="00E168A1">
        <w:rPr>
          <w:rFonts w:ascii="Times New Roman" w:eastAsia="Times New Roman" w:hAnsi="Times New Roman"/>
        </w:rPr>
        <w:t xml:space="preserve"> </w:t>
      </w:r>
      <w:r w:rsidRPr="00E168A1">
        <w:rPr>
          <w:rFonts w:ascii="Times New Roman" w:eastAsia="Times New Roman" w:hAnsi="Times New Roman"/>
        </w:rPr>
        <w:t>instance</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offences</w:t>
      </w:r>
      <w:r w:rsidR="00900061" w:rsidRPr="00E168A1">
        <w:rPr>
          <w:rFonts w:ascii="Times New Roman" w:eastAsia="Times New Roman" w:hAnsi="Times New Roman"/>
        </w:rPr>
        <w:t xml:space="preserve"> </w:t>
      </w:r>
      <w:r w:rsidRPr="00E168A1">
        <w:rPr>
          <w:rFonts w:ascii="Times New Roman" w:eastAsia="Times New Roman" w:hAnsi="Times New Roman"/>
        </w:rPr>
        <w:t>prescribed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PPL</w:t>
      </w:r>
    </w:p>
    <w:p w14:paraId="4E41CC3B" w14:textId="3D428659" w:rsidR="00837F94" w:rsidRPr="00E168A1" w:rsidRDefault="00837F94" w:rsidP="000E798B">
      <w:pPr>
        <w:pStyle w:val="ListParagraph"/>
        <w:numPr>
          <w:ilvl w:val="0"/>
          <w:numId w:val="10"/>
        </w:numPr>
        <w:ind w:left="720" w:hanging="360"/>
        <w:contextualSpacing w:val="0"/>
        <w:rPr>
          <w:rFonts w:ascii="Times New Roman" w:hAnsi="Times New Roman"/>
        </w:rPr>
      </w:pPr>
      <w:r w:rsidRPr="00E168A1">
        <w:rPr>
          <w:rFonts w:ascii="Times New Roman" w:hAnsi="Times New Roman"/>
          <w:i/>
        </w:rPr>
        <w:t>Administration</w:t>
      </w:r>
      <w:r w:rsidR="00900061" w:rsidRPr="00E168A1">
        <w:rPr>
          <w:rFonts w:ascii="Times New Roman" w:hAnsi="Times New Roman"/>
          <w:i/>
        </w:rPr>
        <w:t xml:space="preserve"> </w:t>
      </w:r>
      <w:r w:rsidRPr="00E168A1">
        <w:rPr>
          <w:rFonts w:ascii="Times New Roman" w:hAnsi="Times New Roman"/>
          <w:i/>
        </w:rPr>
        <w:t>for</w:t>
      </w:r>
      <w:r w:rsidR="00900061" w:rsidRPr="00E168A1">
        <w:rPr>
          <w:rFonts w:ascii="Times New Roman" w:hAnsi="Times New Roman"/>
          <w:i/>
        </w:rPr>
        <w:t xml:space="preserve"> </w:t>
      </w:r>
      <w:r w:rsidRPr="00E168A1">
        <w:rPr>
          <w:rFonts w:ascii="Times New Roman" w:hAnsi="Times New Roman"/>
          <w:i/>
        </w:rPr>
        <w:t>the</w:t>
      </w:r>
      <w:r w:rsidR="00900061" w:rsidRPr="00E168A1">
        <w:rPr>
          <w:rFonts w:ascii="Times New Roman" w:hAnsi="Times New Roman"/>
          <w:i/>
        </w:rPr>
        <w:t xml:space="preserve"> </w:t>
      </w:r>
      <w:r w:rsidR="00D034B3" w:rsidRPr="00E168A1">
        <w:rPr>
          <w:rFonts w:ascii="Times New Roman" w:hAnsi="Times New Roman"/>
          <w:i/>
        </w:rPr>
        <w:t>P</w:t>
      </w:r>
      <w:r w:rsidRPr="00E168A1">
        <w:rPr>
          <w:rFonts w:ascii="Times New Roman" w:hAnsi="Times New Roman"/>
          <w:i/>
        </w:rPr>
        <w:t>revention</w:t>
      </w:r>
      <w:r w:rsidR="00900061" w:rsidRPr="00E168A1">
        <w:rPr>
          <w:rFonts w:ascii="Times New Roman" w:hAnsi="Times New Roman"/>
          <w:i/>
        </w:rPr>
        <w:t xml:space="preserve"> </w:t>
      </w:r>
      <w:r w:rsidRPr="00E168A1">
        <w:rPr>
          <w:rFonts w:ascii="Times New Roman" w:hAnsi="Times New Roman"/>
          <w:i/>
        </w:rPr>
        <w:t>of</w:t>
      </w:r>
      <w:r w:rsidR="00900061" w:rsidRPr="00E168A1">
        <w:rPr>
          <w:rFonts w:ascii="Times New Roman" w:hAnsi="Times New Roman"/>
          <w:i/>
        </w:rPr>
        <w:t xml:space="preserve"> </w:t>
      </w:r>
      <w:r w:rsidR="00D034B3" w:rsidRPr="00E168A1">
        <w:rPr>
          <w:rFonts w:ascii="Times New Roman" w:hAnsi="Times New Roman"/>
          <w:i/>
        </w:rPr>
        <w:t>M</w:t>
      </w:r>
      <w:r w:rsidRPr="00E168A1">
        <w:rPr>
          <w:rFonts w:ascii="Times New Roman" w:hAnsi="Times New Roman"/>
          <w:i/>
        </w:rPr>
        <w:t>oney</w:t>
      </w:r>
      <w:r w:rsidR="00900061" w:rsidRPr="00E168A1">
        <w:rPr>
          <w:rFonts w:ascii="Times New Roman" w:hAnsi="Times New Roman"/>
          <w:i/>
        </w:rPr>
        <w:t xml:space="preserve"> </w:t>
      </w:r>
      <w:r w:rsidR="00D034B3" w:rsidRPr="00E168A1">
        <w:rPr>
          <w:rFonts w:ascii="Times New Roman" w:hAnsi="Times New Roman"/>
          <w:i/>
        </w:rPr>
        <w:t>L</w:t>
      </w:r>
      <w:r w:rsidRPr="00E168A1">
        <w:rPr>
          <w:rFonts w:ascii="Times New Roman" w:hAnsi="Times New Roman"/>
          <w:i/>
        </w:rPr>
        <w:t>aundering</w:t>
      </w:r>
      <w:r w:rsidR="00900061" w:rsidRPr="00E168A1">
        <w:rPr>
          <w:rFonts w:ascii="Times New Roman" w:hAnsi="Times New Roman"/>
          <w:i/>
        </w:rPr>
        <w:t xml:space="preserve"> </w:t>
      </w:r>
      <w:r w:rsidRPr="00E168A1">
        <w:rPr>
          <w:rFonts w:ascii="Times New Roman" w:hAnsi="Times New Roman"/>
          <w:i/>
        </w:rPr>
        <w:t>(APML)</w:t>
      </w:r>
      <w:r w:rsidR="00073464" w:rsidRPr="00E168A1">
        <w:rPr>
          <w:rFonts w:ascii="Times New Roman" w:hAnsi="Times New Roman"/>
          <w:i/>
        </w:rPr>
        <w:t>.</w:t>
      </w:r>
      <w:r w:rsidR="00900061" w:rsidRPr="00A90FD9">
        <w:rPr>
          <w:rFonts w:ascii="Times New Roman" w:eastAsia="Times New Roman" w:hAnsi="Times New Roman"/>
          <w:color w:val="666666"/>
        </w:rPr>
        <w:t xml:space="preserve"> </w:t>
      </w:r>
      <w:r w:rsidRPr="00E168A1">
        <w:rPr>
          <w:rFonts w:ascii="Times New Roman" w:hAnsi="Times New Roman"/>
        </w:rPr>
        <w:t>The</w:t>
      </w:r>
      <w:r w:rsidR="00900061" w:rsidRPr="00E168A1">
        <w:rPr>
          <w:rFonts w:ascii="Times New Roman" w:hAnsi="Times New Roman"/>
        </w:rPr>
        <w:t xml:space="preserve"> </w:t>
      </w:r>
      <w:r w:rsidR="00D034B3" w:rsidRPr="00E168A1">
        <w:rPr>
          <w:rFonts w:ascii="Times New Roman" w:hAnsi="Times New Roman"/>
        </w:rPr>
        <w:t>APML</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financial-intelligence</w:t>
      </w:r>
      <w:r w:rsidR="00900061" w:rsidRPr="00E168A1">
        <w:rPr>
          <w:rFonts w:ascii="Times New Roman" w:hAnsi="Times New Roman"/>
        </w:rPr>
        <w:t xml:space="preserve"> </w:t>
      </w:r>
      <w:r w:rsidRPr="00E168A1">
        <w:rPr>
          <w:rFonts w:ascii="Times New Roman" w:hAnsi="Times New Roman"/>
        </w:rPr>
        <w:t>unit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A90FD9">
        <w:rPr>
          <w:rFonts w:ascii="Times New Roman" w:hAnsi="Times New Roman"/>
        </w:rPr>
        <w:t>the</w:t>
      </w:r>
      <w:r w:rsidR="00900061" w:rsidRPr="00A90FD9">
        <w:rPr>
          <w:rFonts w:ascii="Times New Roman" w:hAnsi="Times New Roman"/>
        </w:rPr>
        <w:t xml:space="preserve"> </w:t>
      </w:r>
      <w:r w:rsidRPr="00A90FD9">
        <w:rPr>
          <w:rFonts w:ascii="Times New Roman" w:hAnsi="Times New Roman"/>
        </w:rPr>
        <w:t>Republic</w:t>
      </w:r>
      <w:r w:rsidR="00900061" w:rsidRPr="00A90FD9">
        <w:rPr>
          <w:rFonts w:ascii="Times New Roman" w:hAnsi="Times New Roman"/>
        </w:rPr>
        <w:t xml:space="preserve"> </w:t>
      </w:r>
      <w:r w:rsidRPr="00A90FD9">
        <w:rPr>
          <w:rFonts w:ascii="Times New Roman" w:hAnsi="Times New Roman"/>
        </w:rPr>
        <w:t>of</w:t>
      </w:r>
      <w:r w:rsidR="00900061" w:rsidRPr="00A90FD9">
        <w:rPr>
          <w:rFonts w:ascii="Times New Roman" w:hAnsi="Times New Roman"/>
        </w:rPr>
        <w:t xml:space="preserve"> </w:t>
      </w:r>
      <w:r w:rsidRPr="00A90FD9">
        <w:rPr>
          <w:rFonts w:ascii="Times New Roman" w:hAnsi="Times New Roman"/>
        </w:rPr>
        <w:t>Serbia,</w:t>
      </w:r>
      <w:r w:rsidR="00900061" w:rsidRPr="005769EE">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central</w:t>
      </w:r>
      <w:r w:rsidR="00900061" w:rsidRPr="00E168A1">
        <w:rPr>
          <w:rFonts w:ascii="Times New Roman" w:hAnsi="Times New Roman"/>
        </w:rPr>
        <w:t xml:space="preserve"> </w:t>
      </w:r>
      <w:r w:rsidRPr="00E168A1">
        <w:rPr>
          <w:rFonts w:ascii="Times New Roman" w:hAnsi="Times New Roman"/>
        </w:rPr>
        <w:t>anti-money</w:t>
      </w:r>
      <w:r w:rsidR="00900061" w:rsidRPr="00E168A1">
        <w:rPr>
          <w:rFonts w:ascii="Times New Roman" w:hAnsi="Times New Roman"/>
        </w:rPr>
        <w:t xml:space="preserve"> </w:t>
      </w:r>
      <w:r w:rsidRPr="00E168A1">
        <w:rPr>
          <w:rFonts w:ascii="Times New Roman" w:hAnsi="Times New Roman"/>
        </w:rPr>
        <w:t>laundering</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counter-terrorist</w:t>
      </w:r>
      <w:r w:rsidR="00900061" w:rsidRPr="00E168A1">
        <w:rPr>
          <w:rFonts w:ascii="Times New Roman" w:hAnsi="Times New Roman"/>
        </w:rPr>
        <w:t xml:space="preserve"> </w:t>
      </w:r>
      <w:r w:rsidRPr="00E168A1">
        <w:rPr>
          <w:rFonts w:ascii="Times New Roman" w:hAnsi="Times New Roman"/>
        </w:rPr>
        <w:t>financing</w:t>
      </w:r>
      <w:r w:rsidR="00900061" w:rsidRPr="00E168A1">
        <w:rPr>
          <w:rFonts w:ascii="Times New Roman" w:hAnsi="Times New Roman"/>
        </w:rPr>
        <w:t xml:space="preserve"> </w:t>
      </w:r>
      <w:r w:rsidRPr="00E168A1">
        <w:rPr>
          <w:rFonts w:ascii="Times New Roman" w:hAnsi="Times New Roman"/>
        </w:rPr>
        <w:t>body</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system.</w:t>
      </w:r>
      <w:r w:rsidR="00900061" w:rsidRPr="00E168A1">
        <w:rPr>
          <w:rFonts w:ascii="Times New Roman" w:hAnsi="Times New Roman"/>
        </w:rPr>
        <w:t xml:space="preserve"> </w:t>
      </w:r>
      <w:r w:rsidR="00D034B3" w:rsidRPr="00E168A1">
        <w:rPr>
          <w:rFonts w:ascii="Times New Roman" w:hAnsi="Times New Roman"/>
        </w:rPr>
        <w:t xml:space="preserve">The </w:t>
      </w:r>
      <w:r w:rsidRPr="00E168A1">
        <w:rPr>
          <w:rFonts w:ascii="Times New Roman" w:hAnsi="Times New Roman"/>
        </w:rPr>
        <w:t>APML’s</w:t>
      </w:r>
      <w:r w:rsidR="00900061" w:rsidRPr="00E168A1">
        <w:rPr>
          <w:rFonts w:ascii="Times New Roman" w:hAnsi="Times New Roman"/>
        </w:rPr>
        <w:t xml:space="preserve"> </w:t>
      </w:r>
      <w:r w:rsidRPr="00E168A1">
        <w:rPr>
          <w:rFonts w:ascii="Times New Roman" w:hAnsi="Times New Roman"/>
        </w:rPr>
        <w:t>powers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responsibilities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provided</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Prevention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Money</w:t>
      </w:r>
      <w:r w:rsidR="00900061" w:rsidRPr="00E168A1">
        <w:rPr>
          <w:rFonts w:ascii="Times New Roman" w:hAnsi="Times New Roman"/>
        </w:rPr>
        <w:t xml:space="preserve"> </w:t>
      </w:r>
      <w:r w:rsidRPr="00E168A1">
        <w:rPr>
          <w:rFonts w:ascii="Times New Roman" w:hAnsi="Times New Roman"/>
        </w:rPr>
        <w:t>Laundering</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Terrorist</w:t>
      </w:r>
      <w:r w:rsidR="00900061" w:rsidRPr="00E168A1">
        <w:rPr>
          <w:rFonts w:ascii="Times New Roman" w:hAnsi="Times New Roman"/>
        </w:rPr>
        <w:t xml:space="preserve"> </w:t>
      </w:r>
      <w:r w:rsidRPr="00E168A1">
        <w:rPr>
          <w:rFonts w:ascii="Times New Roman" w:hAnsi="Times New Roman"/>
        </w:rPr>
        <w:t>Financing.</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obliged</w:t>
      </w:r>
      <w:r w:rsidR="00900061" w:rsidRPr="00E168A1">
        <w:rPr>
          <w:rFonts w:ascii="Times New Roman" w:hAnsi="Times New Roman"/>
        </w:rPr>
        <w:t xml:space="preserve"> </w:t>
      </w:r>
      <w:r w:rsidRPr="00E168A1">
        <w:rPr>
          <w:rFonts w:ascii="Times New Roman" w:hAnsi="Times New Roman"/>
        </w:rPr>
        <w:t>entities</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AML/CFT</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send</w:t>
      </w:r>
      <w:r w:rsidR="00900061" w:rsidRPr="00E168A1">
        <w:rPr>
          <w:rFonts w:ascii="Times New Roman" w:hAnsi="Times New Roman"/>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suspicious</w:t>
      </w:r>
      <w:r w:rsidR="00900061" w:rsidRPr="00E168A1">
        <w:rPr>
          <w:rFonts w:ascii="Times New Roman" w:hAnsi="Times New Roman"/>
        </w:rPr>
        <w:t xml:space="preserve"> </w:t>
      </w:r>
      <w:r w:rsidRPr="00E168A1">
        <w:rPr>
          <w:rFonts w:ascii="Times New Roman" w:hAnsi="Times New Roman"/>
        </w:rPr>
        <w:t>transactions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persons</w:t>
      </w:r>
      <w:r w:rsidR="000B3BDA" w:rsidRPr="00E168A1">
        <w:rPr>
          <w:rFonts w:ascii="Times New Roman" w:hAnsi="Times New Roman"/>
        </w:rPr>
        <w:t xml:space="preserve"> to the APML, which </w:t>
      </w:r>
      <w:r w:rsidRPr="00E168A1">
        <w:rPr>
          <w:rFonts w:ascii="Times New Roman" w:hAnsi="Times New Roman"/>
        </w:rPr>
        <w:t>then</w:t>
      </w:r>
      <w:r w:rsidR="00900061" w:rsidRPr="00E168A1">
        <w:rPr>
          <w:rFonts w:ascii="Times New Roman" w:hAnsi="Times New Roman"/>
        </w:rPr>
        <w:t xml:space="preserve"> </w:t>
      </w:r>
      <w:r w:rsidRPr="00E168A1">
        <w:rPr>
          <w:rFonts w:ascii="Times New Roman" w:hAnsi="Times New Roman"/>
        </w:rPr>
        <w:t>analy</w:t>
      </w:r>
      <w:r w:rsidR="00D034B3" w:rsidRPr="00E168A1">
        <w:rPr>
          <w:rFonts w:ascii="Times New Roman" w:hAnsi="Times New Roman"/>
        </w:rPr>
        <w:t>z</w:t>
      </w:r>
      <w:r w:rsidRPr="00E168A1">
        <w:rPr>
          <w:rFonts w:ascii="Times New Roman" w:hAnsi="Times New Roman"/>
        </w:rPr>
        <w:t>es</w:t>
      </w:r>
      <w:r w:rsidR="00900061" w:rsidRPr="00E168A1">
        <w:rPr>
          <w:rFonts w:ascii="Times New Roman" w:hAnsi="Times New Roman"/>
        </w:rPr>
        <w:t xml:space="preserve"> </w:t>
      </w:r>
      <w:r w:rsidRPr="00E168A1">
        <w:rPr>
          <w:rFonts w:ascii="Times New Roman" w:hAnsi="Times New Roman"/>
        </w:rPr>
        <w:t>these</w:t>
      </w:r>
      <w:r w:rsidR="00900061" w:rsidRPr="00E168A1">
        <w:rPr>
          <w:rFonts w:ascii="Times New Roman" w:hAnsi="Times New Roman"/>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collects</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additional</w:t>
      </w:r>
      <w:r w:rsidR="00900061" w:rsidRPr="00E168A1">
        <w:rPr>
          <w:rFonts w:ascii="Times New Roman" w:hAnsi="Times New Roman"/>
        </w:rPr>
        <w:t xml:space="preserve"> </w:t>
      </w:r>
      <w:r w:rsidRPr="00E168A1">
        <w:rPr>
          <w:rFonts w:ascii="Times New Roman" w:hAnsi="Times New Roman"/>
        </w:rPr>
        <w:t>data</w:t>
      </w:r>
      <w:r w:rsidR="00900061" w:rsidRPr="00E168A1">
        <w:rPr>
          <w:rFonts w:ascii="Times New Roman" w:hAnsi="Times New Roman"/>
        </w:rPr>
        <w:t xml:space="preserve"> </w:t>
      </w:r>
      <w:r w:rsidRPr="00E168A1">
        <w:rPr>
          <w:rFonts w:ascii="Times New Roman" w:hAnsi="Times New Roman"/>
        </w:rPr>
        <w:t>about</w:t>
      </w:r>
      <w:r w:rsidR="00900061" w:rsidRPr="00E168A1">
        <w:rPr>
          <w:rFonts w:ascii="Times New Roman" w:hAnsi="Times New Roman"/>
        </w:rPr>
        <w:t xml:space="preserve"> </w:t>
      </w:r>
      <w:r w:rsidRPr="00E168A1">
        <w:rPr>
          <w:rFonts w:ascii="Times New Roman" w:hAnsi="Times New Roman"/>
        </w:rPr>
        <w:t>them.</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APML</w:t>
      </w:r>
      <w:r w:rsidR="00900061" w:rsidRPr="00E168A1">
        <w:rPr>
          <w:rFonts w:ascii="Times New Roman" w:hAnsi="Times New Roman"/>
        </w:rPr>
        <w:t xml:space="preserve"> </w:t>
      </w:r>
      <w:r w:rsidRPr="00E168A1">
        <w:rPr>
          <w:rFonts w:ascii="Times New Roman" w:hAnsi="Times New Roman"/>
        </w:rPr>
        <w:t>can</w:t>
      </w:r>
      <w:r w:rsidR="00900061" w:rsidRPr="00E168A1">
        <w:rPr>
          <w:rFonts w:ascii="Times New Roman" w:hAnsi="Times New Roman"/>
        </w:rPr>
        <w:t xml:space="preserve"> </w:t>
      </w:r>
      <w:r w:rsidRPr="00E168A1">
        <w:rPr>
          <w:rFonts w:ascii="Times New Roman" w:hAnsi="Times New Roman"/>
        </w:rPr>
        <w:t>start</w:t>
      </w:r>
      <w:r w:rsidR="00900061" w:rsidRPr="00E168A1">
        <w:rPr>
          <w:rFonts w:ascii="Times New Roman" w:hAnsi="Times New Roman"/>
        </w:rPr>
        <w:t xml:space="preserve"> </w:t>
      </w:r>
      <w:r w:rsidRPr="00E168A1">
        <w:rPr>
          <w:rFonts w:ascii="Times New Roman" w:hAnsi="Times New Roman"/>
        </w:rPr>
        <w:t>collecting</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analyzing</w:t>
      </w:r>
      <w:r w:rsidR="00900061" w:rsidRPr="00E168A1">
        <w:rPr>
          <w:rFonts w:ascii="Times New Roman" w:hAnsi="Times New Roman"/>
        </w:rPr>
        <w:t xml:space="preserve"> </w:t>
      </w:r>
      <w:r w:rsidRPr="00E168A1">
        <w:rPr>
          <w:rFonts w:ascii="Times New Roman" w:hAnsi="Times New Roman"/>
        </w:rPr>
        <w:t>data</w:t>
      </w:r>
      <w:r w:rsidR="00900061" w:rsidRPr="00E168A1">
        <w:rPr>
          <w:rFonts w:ascii="Times New Roman" w:hAnsi="Times New Roman"/>
        </w:rPr>
        <w:t xml:space="preserve"> </w:t>
      </w:r>
      <w:r w:rsidRPr="00E168A1">
        <w:rPr>
          <w:rFonts w:ascii="Times New Roman" w:hAnsi="Times New Roman"/>
        </w:rPr>
        <w:t>upon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initiative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another</w:t>
      </w:r>
      <w:r w:rsidR="00900061" w:rsidRPr="00E168A1">
        <w:rPr>
          <w:rFonts w:ascii="Times New Roman" w:hAnsi="Times New Roman"/>
        </w:rPr>
        <w:t xml:space="preserve"> </w:t>
      </w:r>
      <w:r w:rsidRPr="00E168A1">
        <w:rPr>
          <w:rFonts w:ascii="Times New Roman" w:hAnsi="Times New Roman"/>
        </w:rPr>
        <w:t>state</w:t>
      </w:r>
      <w:r w:rsidR="00900061" w:rsidRPr="00E168A1">
        <w:rPr>
          <w:rFonts w:ascii="Times New Roman" w:hAnsi="Times New Roman"/>
        </w:rPr>
        <w:t xml:space="preserve"> </w:t>
      </w:r>
      <w:r w:rsidRPr="00E168A1">
        <w:rPr>
          <w:rFonts w:ascii="Times New Roman" w:hAnsi="Times New Roman"/>
        </w:rPr>
        <w:t>authority</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27BF1" w:rsidRPr="00E168A1">
        <w:rPr>
          <w:rFonts w:ascii="Times New Roman" w:hAnsi="Times New Roman"/>
        </w:rPr>
        <w:t>C</w:t>
      </w:r>
      <w:r w:rsidRPr="00E168A1">
        <w:rPr>
          <w:rFonts w:ascii="Times New Roman" w:hAnsi="Times New Roman"/>
        </w:rPr>
        <w:t>ourt,</w:t>
      </w:r>
      <w:r w:rsidR="00900061" w:rsidRPr="00E168A1">
        <w:rPr>
          <w:rFonts w:ascii="Times New Roman" w:hAnsi="Times New Roman"/>
        </w:rPr>
        <w:t xml:space="preserve"> </w:t>
      </w:r>
      <w:r w:rsidR="00327BF1" w:rsidRPr="00E168A1">
        <w:rPr>
          <w:rFonts w:ascii="Times New Roman" w:hAnsi="Times New Roman"/>
        </w:rPr>
        <w:t>P</w:t>
      </w:r>
      <w:r w:rsidRPr="00E168A1">
        <w:rPr>
          <w:rFonts w:ascii="Times New Roman" w:hAnsi="Times New Roman"/>
        </w:rPr>
        <w:t>rosecutors’</w:t>
      </w:r>
      <w:r w:rsidR="00900061" w:rsidRPr="00E168A1">
        <w:rPr>
          <w:rFonts w:ascii="Times New Roman" w:hAnsi="Times New Roman"/>
        </w:rPr>
        <w:t xml:space="preserve"> </w:t>
      </w:r>
      <w:r w:rsidR="00327BF1" w:rsidRPr="00E168A1">
        <w:rPr>
          <w:rFonts w:ascii="Times New Roman" w:hAnsi="Times New Roman"/>
        </w:rPr>
        <w:t>O</w:t>
      </w:r>
      <w:r w:rsidRPr="00E168A1">
        <w:rPr>
          <w:rFonts w:ascii="Times New Roman" w:hAnsi="Times New Roman"/>
        </w:rPr>
        <w:t>ffice,</w:t>
      </w:r>
      <w:r w:rsidR="00900061" w:rsidRPr="00E168A1">
        <w:rPr>
          <w:rFonts w:ascii="Times New Roman" w:hAnsi="Times New Roman"/>
        </w:rPr>
        <w:t xml:space="preserve"> </w:t>
      </w:r>
      <w:r w:rsidRPr="00E168A1">
        <w:rPr>
          <w:rFonts w:ascii="Times New Roman" w:hAnsi="Times New Roman"/>
        </w:rPr>
        <w:t>Security</w:t>
      </w:r>
      <w:r w:rsidR="00900061" w:rsidRPr="00E168A1">
        <w:rPr>
          <w:rFonts w:ascii="Times New Roman" w:hAnsi="Times New Roman"/>
        </w:rPr>
        <w:t xml:space="preserve"> </w:t>
      </w:r>
      <w:r w:rsidRPr="00E168A1">
        <w:rPr>
          <w:rFonts w:ascii="Times New Roman" w:hAnsi="Times New Roman"/>
        </w:rPr>
        <w:t>Information</w:t>
      </w:r>
      <w:r w:rsidR="00900061" w:rsidRPr="00E168A1">
        <w:rPr>
          <w:rFonts w:ascii="Times New Roman" w:hAnsi="Times New Roman"/>
        </w:rPr>
        <w:t xml:space="preserve"> </w:t>
      </w:r>
      <w:r w:rsidRPr="00E168A1">
        <w:rPr>
          <w:rFonts w:ascii="Times New Roman" w:hAnsi="Times New Roman"/>
        </w:rPr>
        <w:t>Agency,</w:t>
      </w:r>
      <w:r w:rsidR="00900061" w:rsidRPr="00E168A1">
        <w:rPr>
          <w:rFonts w:ascii="Times New Roman" w:hAnsi="Times New Roman"/>
        </w:rPr>
        <w:t xml:space="preserve"> </w:t>
      </w:r>
      <w:r w:rsidRPr="00E168A1">
        <w:rPr>
          <w:rFonts w:ascii="Times New Roman" w:hAnsi="Times New Roman"/>
        </w:rPr>
        <w:t>Privatization</w:t>
      </w:r>
      <w:r w:rsidR="00900061" w:rsidRPr="00E168A1">
        <w:rPr>
          <w:rFonts w:ascii="Times New Roman" w:hAnsi="Times New Roman"/>
        </w:rPr>
        <w:t xml:space="preserve"> </w:t>
      </w:r>
      <w:r w:rsidRPr="00E168A1">
        <w:rPr>
          <w:rFonts w:ascii="Times New Roman" w:hAnsi="Times New Roman"/>
        </w:rPr>
        <w:t>Agency,</w:t>
      </w:r>
      <w:r w:rsidR="00900061" w:rsidRPr="00E168A1">
        <w:rPr>
          <w:rFonts w:ascii="Times New Roman" w:hAnsi="Times New Roman"/>
        </w:rPr>
        <w:t xml:space="preserve"> </w:t>
      </w:r>
      <w:r w:rsidRPr="00E168A1">
        <w:rPr>
          <w:rFonts w:ascii="Times New Roman" w:hAnsi="Times New Roman"/>
        </w:rPr>
        <w:t>Securities</w:t>
      </w:r>
      <w:r w:rsidR="00900061" w:rsidRPr="00E168A1">
        <w:rPr>
          <w:rFonts w:ascii="Times New Roman" w:hAnsi="Times New Roman"/>
        </w:rPr>
        <w:t xml:space="preserve"> </w:t>
      </w:r>
      <w:r w:rsidRPr="00E168A1">
        <w:rPr>
          <w:rFonts w:ascii="Times New Roman" w:hAnsi="Times New Roman"/>
        </w:rPr>
        <w:t>Commission,</w:t>
      </w:r>
      <w:r w:rsidR="00900061" w:rsidRPr="00E168A1">
        <w:rPr>
          <w:rFonts w:ascii="Times New Roman" w:hAnsi="Times New Roman"/>
        </w:rPr>
        <w:t xml:space="preserve"> </w:t>
      </w:r>
      <w:r w:rsidRPr="00E168A1">
        <w:rPr>
          <w:rFonts w:ascii="Times New Roman" w:hAnsi="Times New Roman"/>
        </w:rPr>
        <w:t>police,</w:t>
      </w:r>
      <w:r w:rsidR="00900061" w:rsidRPr="00E168A1">
        <w:rPr>
          <w:rFonts w:ascii="Times New Roman" w:hAnsi="Times New Roman"/>
        </w:rPr>
        <w:t xml:space="preserve"> </w:t>
      </w:r>
      <w:r w:rsidR="00073464" w:rsidRPr="00E168A1">
        <w:rPr>
          <w:rFonts w:ascii="Times New Roman" w:hAnsi="Times New Roman"/>
        </w:rPr>
        <w:t>and so on</w:t>
      </w:r>
      <w:r w:rsidRPr="00E168A1">
        <w:rPr>
          <w:rFonts w:ascii="Times New Roman" w:hAnsi="Times New Roman"/>
        </w:rPr>
        <w:t>.</w:t>
      </w:r>
    </w:p>
    <w:p w14:paraId="66F080A8" w14:textId="3D838AC6" w:rsidR="00837F94" w:rsidRPr="00E168A1" w:rsidRDefault="00837F94" w:rsidP="00645878">
      <w:pPr>
        <w:pStyle w:val="ListParagraph"/>
        <w:numPr>
          <w:ilvl w:val="0"/>
          <w:numId w:val="9"/>
        </w:numPr>
        <w:ind w:left="0" w:firstLine="0"/>
        <w:contextualSpacing w:val="0"/>
        <w:rPr>
          <w:rFonts w:ascii="Times New Roman" w:eastAsiaTheme="minorHAnsi" w:hAnsi="Times New Roman"/>
        </w:rPr>
      </w:pPr>
      <w:r w:rsidRPr="00E168A1">
        <w:rPr>
          <w:rFonts w:ascii="Times New Roman" w:eastAsiaTheme="minorHAnsi" w:hAnsi="Times New Roman"/>
          <w:b/>
        </w:rPr>
        <w:t>In</w:t>
      </w:r>
      <w:r w:rsidR="00900061" w:rsidRPr="00E168A1">
        <w:rPr>
          <w:rFonts w:ascii="Times New Roman" w:eastAsiaTheme="minorHAnsi" w:hAnsi="Times New Roman"/>
          <w:b/>
        </w:rPr>
        <w:t xml:space="preserve"> </w:t>
      </w:r>
      <w:r w:rsidRPr="00E168A1">
        <w:rPr>
          <w:rFonts w:ascii="Times New Roman" w:eastAsiaTheme="minorHAnsi" w:hAnsi="Times New Roman"/>
          <w:b/>
        </w:rPr>
        <w:t>the</w:t>
      </w:r>
      <w:r w:rsidR="00900061" w:rsidRPr="00E168A1">
        <w:rPr>
          <w:rFonts w:ascii="Times New Roman" w:eastAsiaTheme="minorHAnsi" w:hAnsi="Times New Roman"/>
          <w:b/>
        </w:rPr>
        <w:t xml:space="preserve"> </w:t>
      </w:r>
      <w:r w:rsidRPr="00E168A1">
        <w:rPr>
          <w:rFonts w:ascii="Times New Roman" w:eastAsiaTheme="minorHAnsi" w:hAnsi="Times New Roman"/>
          <w:b/>
        </w:rPr>
        <w:t>context</w:t>
      </w:r>
      <w:r w:rsidR="00900061" w:rsidRPr="00E168A1">
        <w:rPr>
          <w:rFonts w:ascii="Times New Roman" w:eastAsiaTheme="minorHAnsi" w:hAnsi="Times New Roman"/>
          <w:b/>
        </w:rPr>
        <w:t xml:space="preserve"> </w:t>
      </w:r>
      <w:r w:rsidRPr="00E168A1">
        <w:rPr>
          <w:rFonts w:ascii="Times New Roman" w:eastAsiaTheme="minorHAnsi" w:hAnsi="Times New Roman"/>
          <w:b/>
        </w:rPr>
        <w:t>of</w:t>
      </w:r>
      <w:r w:rsidR="00900061" w:rsidRPr="00E168A1">
        <w:rPr>
          <w:rFonts w:ascii="Times New Roman" w:eastAsiaTheme="minorHAnsi" w:hAnsi="Times New Roman"/>
          <w:b/>
        </w:rPr>
        <w:t xml:space="preserve"> </w:t>
      </w:r>
      <w:r w:rsidRPr="00E168A1">
        <w:rPr>
          <w:rFonts w:ascii="Times New Roman" w:eastAsiaTheme="minorHAnsi" w:hAnsi="Times New Roman"/>
          <w:b/>
        </w:rPr>
        <w:t>EU</w:t>
      </w:r>
      <w:r w:rsidR="00900061" w:rsidRPr="00E168A1">
        <w:rPr>
          <w:rFonts w:ascii="Times New Roman" w:eastAsiaTheme="minorHAnsi" w:hAnsi="Times New Roman"/>
          <w:b/>
        </w:rPr>
        <w:t xml:space="preserve"> </w:t>
      </w:r>
      <w:r w:rsidRPr="00E168A1">
        <w:rPr>
          <w:rFonts w:ascii="Times New Roman" w:eastAsiaTheme="minorHAnsi" w:hAnsi="Times New Roman"/>
          <w:b/>
        </w:rPr>
        <w:t>integration,</w:t>
      </w:r>
      <w:r w:rsidR="00900061" w:rsidRPr="00E168A1">
        <w:rPr>
          <w:rFonts w:ascii="Times New Roman" w:eastAsiaTheme="minorHAnsi" w:hAnsi="Times New Roman"/>
          <w:b/>
        </w:rPr>
        <w:t xml:space="preserve"> </w:t>
      </w:r>
      <w:r w:rsidR="004E3222" w:rsidRPr="00E168A1">
        <w:rPr>
          <w:rFonts w:ascii="Times New Roman" w:eastAsiaTheme="minorHAnsi" w:hAnsi="Times New Roman"/>
          <w:b/>
        </w:rPr>
        <w:t xml:space="preserve">the </w:t>
      </w:r>
      <w:r w:rsidRPr="00E168A1">
        <w:rPr>
          <w:rFonts w:ascii="Times New Roman" w:eastAsiaTheme="minorHAnsi" w:hAnsi="Times New Roman"/>
          <w:b/>
        </w:rPr>
        <w:t>MoF</w:t>
      </w:r>
      <w:r w:rsidR="00900061" w:rsidRPr="00E168A1">
        <w:rPr>
          <w:rFonts w:ascii="Times New Roman" w:eastAsiaTheme="minorHAnsi" w:hAnsi="Times New Roman"/>
          <w:b/>
        </w:rPr>
        <w:t xml:space="preserve"> </w:t>
      </w:r>
      <w:r w:rsidRPr="00E168A1">
        <w:rPr>
          <w:rFonts w:ascii="Times New Roman" w:eastAsiaTheme="minorHAnsi" w:hAnsi="Times New Roman"/>
          <w:b/>
        </w:rPr>
        <w:t>has</w:t>
      </w:r>
      <w:r w:rsidR="00900061" w:rsidRPr="00E168A1">
        <w:rPr>
          <w:rFonts w:ascii="Times New Roman" w:eastAsiaTheme="minorHAnsi" w:hAnsi="Times New Roman"/>
          <w:b/>
        </w:rPr>
        <w:t xml:space="preserve"> </w:t>
      </w:r>
      <w:r w:rsidRPr="00E168A1">
        <w:rPr>
          <w:rFonts w:ascii="Times New Roman" w:eastAsiaTheme="minorHAnsi" w:hAnsi="Times New Roman"/>
          <w:b/>
        </w:rPr>
        <w:t>established</w:t>
      </w:r>
      <w:r w:rsidR="00900061" w:rsidRPr="00E168A1">
        <w:rPr>
          <w:rFonts w:ascii="Times New Roman" w:eastAsiaTheme="minorHAnsi" w:hAnsi="Times New Roman"/>
          <w:b/>
        </w:rPr>
        <w:t xml:space="preserve"> </w:t>
      </w:r>
      <w:r w:rsidRPr="00E168A1">
        <w:rPr>
          <w:rFonts w:ascii="Times New Roman" w:eastAsiaTheme="minorHAnsi" w:hAnsi="Times New Roman"/>
          <w:b/>
        </w:rPr>
        <w:t>an</w:t>
      </w:r>
      <w:r w:rsidR="00900061" w:rsidRPr="00E168A1">
        <w:rPr>
          <w:rFonts w:ascii="Times New Roman" w:eastAsiaTheme="minorHAnsi" w:hAnsi="Times New Roman"/>
          <w:b/>
        </w:rPr>
        <w:t xml:space="preserve"> </w:t>
      </w:r>
      <w:r w:rsidRPr="00E168A1">
        <w:rPr>
          <w:rFonts w:ascii="Times New Roman" w:eastAsiaTheme="minorHAnsi" w:hAnsi="Times New Roman"/>
          <w:b/>
        </w:rPr>
        <w:t>Anti-Fraud</w:t>
      </w:r>
      <w:r w:rsidR="00900061" w:rsidRPr="00E168A1">
        <w:rPr>
          <w:rFonts w:ascii="Times New Roman" w:eastAsiaTheme="minorHAnsi" w:hAnsi="Times New Roman"/>
          <w:b/>
        </w:rPr>
        <w:t xml:space="preserve"> </w:t>
      </w:r>
      <w:r w:rsidRPr="00E168A1">
        <w:rPr>
          <w:rFonts w:ascii="Times New Roman" w:eastAsiaTheme="minorHAnsi" w:hAnsi="Times New Roman"/>
          <w:b/>
        </w:rPr>
        <w:t>Coordination</w:t>
      </w:r>
      <w:r w:rsidR="00900061" w:rsidRPr="00E168A1">
        <w:rPr>
          <w:rFonts w:ascii="Times New Roman" w:eastAsiaTheme="minorHAnsi" w:hAnsi="Times New Roman"/>
          <w:b/>
        </w:rPr>
        <w:t xml:space="preserve"> </w:t>
      </w:r>
      <w:r w:rsidRPr="00E168A1">
        <w:rPr>
          <w:rFonts w:ascii="Times New Roman" w:eastAsiaTheme="minorHAnsi" w:hAnsi="Times New Roman"/>
          <w:b/>
        </w:rPr>
        <w:t>Service</w:t>
      </w:r>
      <w:r w:rsidR="00900061" w:rsidRPr="00E168A1">
        <w:rPr>
          <w:rFonts w:ascii="Times New Roman" w:eastAsiaTheme="minorHAnsi" w:hAnsi="Times New Roman"/>
          <w:b/>
        </w:rPr>
        <w:t xml:space="preserve"> </w:t>
      </w:r>
      <w:r w:rsidRPr="00E168A1">
        <w:rPr>
          <w:rFonts w:ascii="Times New Roman" w:eastAsiaTheme="minorHAnsi" w:hAnsi="Times New Roman"/>
          <w:b/>
        </w:rPr>
        <w:t>(AFCOS).</w:t>
      </w:r>
      <w:r w:rsidR="00900061" w:rsidRPr="00E168A1">
        <w:rPr>
          <w:rFonts w:ascii="Times New Roman" w:eastAsiaTheme="minorHAnsi" w:hAnsi="Times New Roman"/>
          <w:b/>
        </w:rPr>
        <w:t xml:space="preserve"> </w:t>
      </w:r>
      <w:r w:rsidRPr="00E168A1">
        <w:rPr>
          <w:rFonts w:ascii="Times New Roman" w:eastAsiaTheme="minorHAnsi" w:hAnsi="Times New Roman"/>
        </w:rPr>
        <w:t>This</w:t>
      </w:r>
      <w:r w:rsidR="00900061" w:rsidRPr="00E168A1">
        <w:rPr>
          <w:rFonts w:ascii="Times New Roman" w:eastAsiaTheme="minorHAnsi" w:hAnsi="Times New Roman"/>
        </w:rPr>
        <w:t xml:space="preserve"> </w:t>
      </w:r>
      <w:r w:rsidRPr="00E168A1">
        <w:rPr>
          <w:rFonts w:ascii="Times New Roman" w:eastAsiaTheme="minorHAnsi" w:hAnsi="Times New Roman"/>
        </w:rPr>
        <w:t>is</w:t>
      </w:r>
      <w:r w:rsidR="00900061" w:rsidRPr="00E168A1">
        <w:rPr>
          <w:rFonts w:ascii="Times New Roman" w:eastAsiaTheme="minorHAnsi" w:hAnsi="Times New Roman"/>
        </w:rPr>
        <w:t xml:space="preserve"> </w:t>
      </w:r>
      <w:r w:rsidRPr="00E168A1">
        <w:rPr>
          <w:rFonts w:ascii="Times New Roman" w:eastAsiaTheme="minorHAnsi" w:hAnsi="Times New Roman"/>
        </w:rPr>
        <w:t>an</w:t>
      </w:r>
      <w:r w:rsidR="00900061" w:rsidRPr="00E168A1">
        <w:rPr>
          <w:rFonts w:ascii="Times New Roman" w:eastAsiaTheme="minorHAnsi" w:hAnsi="Times New Roman"/>
        </w:rPr>
        <w:t xml:space="preserve"> </w:t>
      </w:r>
      <w:r w:rsidRPr="00E168A1">
        <w:rPr>
          <w:rFonts w:ascii="Times New Roman" w:eastAsiaTheme="minorHAnsi" w:hAnsi="Times New Roman"/>
        </w:rPr>
        <w:t>independent</w:t>
      </w:r>
      <w:r w:rsidR="00900061" w:rsidRPr="00E168A1">
        <w:rPr>
          <w:rFonts w:ascii="Times New Roman" w:eastAsiaTheme="minorHAnsi" w:hAnsi="Times New Roman"/>
        </w:rPr>
        <w:t xml:space="preserve"> </w:t>
      </w:r>
      <w:r w:rsidRPr="00E168A1">
        <w:rPr>
          <w:rFonts w:ascii="Times New Roman" w:eastAsiaTheme="minorHAnsi" w:hAnsi="Times New Roman"/>
        </w:rPr>
        <w:t>national</w:t>
      </w:r>
      <w:r w:rsidR="00900061" w:rsidRPr="00E168A1">
        <w:rPr>
          <w:rFonts w:ascii="Times New Roman" w:eastAsiaTheme="minorHAnsi" w:hAnsi="Times New Roman"/>
        </w:rPr>
        <w:t xml:space="preserve"> </w:t>
      </w:r>
      <w:r w:rsidRPr="00E168A1">
        <w:rPr>
          <w:rFonts w:ascii="Times New Roman" w:eastAsiaTheme="minorHAnsi" w:hAnsi="Times New Roman"/>
        </w:rPr>
        <w:t>authority</w:t>
      </w:r>
      <w:r w:rsidR="00900061" w:rsidRPr="00E168A1">
        <w:rPr>
          <w:rFonts w:ascii="Times New Roman" w:eastAsiaTheme="minorHAnsi" w:hAnsi="Times New Roman"/>
        </w:rPr>
        <w:t xml:space="preserve"> </w:t>
      </w:r>
      <w:r w:rsidRPr="00E168A1">
        <w:rPr>
          <w:rFonts w:ascii="Times New Roman" w:eastAsiaTheme="minorHAnsi" w:hAnsi="Times New Roman"/>
        </w:rPr>
        <w:t>responsible</w:t>
      </w:r>
      <w:r w:rsidR="00900061" w:rsidRPr="00E168A1">
        <w:rPr>
          <w:rFonts w:ascii="Times New Roman" w:eastAsiaTheme="minorHAnsi" w:hAnsi="Times New Roman"/>
        </w:rPr>
        <w:t xml:space="preserve"> </w:t>
      </w:r>
      <w:r w:rsidRPr="00E168A1">
        <w:rPr>
          <w:rFonts w:ascii="Times New Roman" w:eastAsiaTheme="minorHAnsi" w:hAnsi="Times New Roman"/>
        </w:rPr>
        <w:t>for</w:t>
      </w:r>
      <w:r w:rsidR="00900061" w:rsidRPr="00E168A1">
        <w:rPr>
          <w:rFonts w:ascii="Times New Roman" w:eastAsiaTheme="minorHAnsi" w:hAnsi="Times New Roman"/>
        </w:rPr>
        <w:t xml:space="preserve"> </w:t>
      </w:r>
      <w:r w:rsidRPr="00E168A1">
        <w:rPr>
          <w:rFonts w:ascii="Times New Roman" w:eastAsiaTheme="minorHAnsi" w:hAnsi="Times New Roman"/>
        </w:rPr>
        <w:t>protecting</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EU's</w:t>
      </w:r>
      <w:r w:rsidR="00900061" w:rsidRPr="00E168A1">
        <w:rPr>
          <w:rFonts w:ascii="Times New Roman" w:eastAsiaTheme="minorHAnsi" w:hAnsi="Times New Roman"/>
        </w:rPr>
        <w:t xml:space="preserve"> </w:t>
      </w:r>
      <w:r w:rsidRPr="00E168A1">
        <w:rPr>
          <w:rFonts w:ascii="Times New Roman" w:eastAsiaTheme="minorHAnsi" w:hAnsi="Times New Roman"/>
        </w:rPr>
        <w:t>financial</w:t>
      </w:r>
      <w:r w:rsidR="00900061" w:rsidRPr="00E168A1">
        <w:rPr>
          <w:rFonts w:ascii="Times New Roman" w:eastAsiaTheme="minorHAnsi" w:hAnsi="Times New Roman"/>
        </w:rPr>
        <w:t xml:space="preserve"> </w:t>
      </w:r>
      <w:r w:rsidRPr="00E168A1">
        <w:rPr>
          <w:rFonts w:ascii="Times New Roman" w:eastAsiaTheme="minorHAnsi" w:hAnsi="Times New Roman"/>
        </w:rPr>
        <w:t>interests</w:t>
      </w:r>
      <w:r w:rsidR="00900061" w:rsidRPr="00E168A1">
        <w:rPr>
          <w:rFonts w:ascii="Times New Roman" w:eastAsiaTheme="minorHAnsi" w:hAnsi="Times New Roman"/>
        </w:rPr>
        <w:t xml:space="preserve"> </w:t>
      </w:r>
      <w:r w:rsidRPr="00E168A1">
        <w:rPr>
          <w:rFonts w:ascii="Times New Roman" w:eastAsiaTheme="minorHAnsi" w:hAnsi="Times New Roman"/>
        </w:rPr>
        <w:t>from</w:t>
      </w:r>
      <w:r w:rsidR="00900061" w:rsidRPr="00E168A1">
        <w:rPr>
          <w:rFonts w:ascii="Times New Roman" w:eastAsiaTheme="minorHAnsi" w:hAnsi="Times New Roman"/>
        </w:rPr>
        <w:t xml:space="preserve"> </w:t>
      </w:r>
      <w:r w:rsidRPr="00E168A1">
        <w:rPr>
          <w:rFonts w:ascii="Times New Roman" w:eastAsiaTheme="minorHAnsi" w:hAnsi="Times New Roman"/>
        </w:rPr>
        <w:t>fraud.</w:t>
      </w:r>
      <w:r w:rsidR="00900061" w:rsidRPr="00E168A1">
        <w:rPr>
          <w:rFonts w:ascii="Times New Roman" w:eastAsiaTheme="minorHAnsi" w:hAnsi="Times New Roman"/>
        </w:rPr>
        <w:t xml:space="preserve"> </w:t>
      </w:r>
      <w:r w:rsidRPr="00E168A1">
        <w:rPr>
          <w:rFonts w:ascii="Times New Roman" w:eastAsiaTheme="minorHAnsi" w:hAnsi="Times New Roman"/>
        </w:rPr>
        <w:t>It</w:t>
      </w:r>
      <w:r w:rsidR="00900061" w:rsidRPr="00E168A1">
        <w:rPr>
          <w:rFonts w:ascii="Times New Roman" w:eastAsiaTheme="minorHAnsi" w:hAnsi="Times New Roman"/>
        </w:rPr>
        <w:t xml:space="preserve"> </w:t>
      </w:r>
      <w:r w:rsidRPr="00E168A1">
        <w:rPr>
          <w:rFonts w:ascii="Times New Roman" w:eastAsiaTheme="minorHAnsi" w:hAnsi="Times New Roman"/>
        </w:rPr>
        <w:t>coordinates</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sharing</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information</w:t>
      </w:r>
      <w:r w:rsidR="00900061" w:rsidRPr="00E168A1">
        <w:rPr>
          <w:rFonts w:ascii="Times New Roman" w:eastAsiaTheme="minorHAnsi" w:hAnsi="Times New Roman"/>
        </w:rPr>
        <w:t xml:space="preserve"> </w:t>
      </w:r>
      <w:r w:rsidRPr="00E168A1">
        <w:rPr>
          <w:rFonts w:ascii="Times New Roman" w:eastAsiaTheme="minorHAnsi" w:hAnsi="Times New Roman"/>
        </w:rPr>
        <w:t>between</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national</w:t>
      </w:r>
      <w:r w:rsidR="00900061" w:rsidRPr="00E168A1">
        <w:rPr>
          <w:rFonts w:ascii="Times New Roman" w:eastAsiaTheme="minorHAnsi" w:hAnsi="Times New Roman"/>
        </w:rPr>
        <w:t xml:space="preserve"> </w:t>
      </w:r>
      <w:r w:rsidRPr="00E168A1">
        <w:rPr>
          <w:rFonts w:ascii="Times New Roman" w:eastAsiaTheme="minorHAnsi" w:hAnsi="Times New Roman"/>
        </w:rPr>
        <w:t>fraud</w:t>
      </w:r>
      <w:r w:rsidR="001830DB" w:rsidRPr="00E168A1">
        <w:rPr>
          <w:rFonts w:ascii="Times New Roman" w:eastAsiaTheme="minorHAnsi" w:hAnsi="Times New Roman"/>
        </w:rPr>
        <w:t xml:space="preserve"> </w:t>
      </w:r>
      <w:r w:rsidRPr="00E168A1">
        <w:rPr>
          <w:rFonts w:ascii="Times New Roman" w:eastAsiaTheme="minorHAnsi" w:hAnsi="Times New Roman"/>
        </w:rPr>
        <w:t>prevention</w:t>
      </w:r>
      <w:r w:rsidR="00900061" w:rsidRPr="00E168A1">
        <w:rPr>
          <w:rFonts w:ascii="Times New Roman" w:eastAsiaTheme="minorHAnsi" w:hAnsi="Times New Roman"/>
        </w:rPr>
        <w:t xml:space="preserve"> </w:t>
      </w:r>
      <w:r w:rsidRPr="00E168A1">
        <w:rPr>
          <w:rFonts w:ascii="Times New Roman" w:eastAsiaTheme="minorHAnsi" w:hAnsi="Times New Roman"/>
        </w:rPr>
        <w:t>authorities</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00AC2C16" w:rsidRPr="00E168A1">
        <w:rPr>
          <w:rFonts w:ascii="Times New Roman" w:eastAsiaTheme="minorHAnsi" w:hAnsi="Times New Roman"/>
        </w:rPr>
        <w:t xml:space="preserve">the </w:t>
      </w:r>
      <w:r w:rsidRPr="00E168A1">
        <w:rPr>
          <w:rFonts w:ascii="Times New Roman" w:eastAsiaTheme="minorHAnsi" w:hAnsi="Times New Roman"/>
        </w:rPr>
        <w:t>European</w:t>
      </w:r>
      <w:r w:rsidR="00900061" w:rsidRPr="00E168A1">
        <w:rPr>
          <w:rFonts w:ascii="Times New Roman" w:eastAsiaTheme="minorHAnsi" w:hAnsi="Times New Roman"/>
        </w:rPr>
        <w:t xml:space="preserve"> </w:t>
      </w:r>
      <w:r w:rsidRPr="00E168A1">
        <w:rPr>
          <w:rFonts w:ascii="Times New Roman" w:eastAsiaTheme="minorHAnsi" w:hAnsi="Times New Roman"/>
        </w:rPr>
        <w:t>Commission</w:t>
      </w:r>
      <w:r w:rsidR="00900061" w:rsidRPr="00E168A1">
        <w:rPr>
          <w:rFonts w:ascii="Times New Roman" w:eastAsiaTheme="minorHAnsi" w:hAnsi="Times New Roman"/>
        </w:rPr>
        <w:t xml:space="preserve"> </w:t>
      </w:r>
      <w:r w:rsidRPr="00E168A1">
        <w:rPr>
          <w:rFonts w:ascii="Times New Roman" w:eastAsiaTheme="minorHAnsi" w:hAnsi="Times New Roman"/>
        </w:rPr>
        <w:t>Anti-Fraud</w:t>
      </w:r>
      <w:r w:rsidR="00900061" w:rsidRPr="00E168A1">
        <w:rPr>
          <w:rFonts w:ascii="Times New Roman" w:eastAsiaTheme="minorHAnsi" w:hAnsi="Times New Roman"/>
        </w:rPr>
        <w:t xml:space="preserve"> </w:t>
      </w:r>
      <w:r w:rsidRPr="00E168A1">
        <w:rPr>
          <w:rFonts w:ascii="Times New Roman" w:eastAsiaTheme="minorHAnsi" w:hAnsi="Times New Roman"/>
        </w:rPr>
        <w:t>Office.</w:t>
      </w:r>
      <w:r w:rsidR="00900061" w:rsidRPr="00E168A1">
        <w:rPr>
          <w:rFonts w:ascii="Times New Roman" w:eastAsiaTheme="minorHAnsi" w:hAnsi="Times New Roman"/>
        </w:rPr>
        <w:t xml:space="preserve"> </w:t>
      </w:r>
      <w:r w:rsidRPr="00E168A1">
        <w:rPr>
          <w:rFonts w:ascii="Times New Roman" w:eastAsiaTheme="minorHAnsi" w:hAnsi="Times New Roman"/>
        </w:rPr>
        <w:t>AFCOS</w:t>
      </w:r>
      <w:r w:rsidR="00900061" w:rsidRPr="00E168A1">
        <w:rPr>
          <w:rFonts w:ascii="Times New Roman" w:eastAsiaTheme="minorHAnsi" w:hAnsi="Times New Roman"/>
        </w:rPr>
        <w:t xml:space="preserve"> </w:t>
      </w:r>
      <w:r w:rsidRPr="00E168A1">
        <w:rPr>
          <w:rFonts w:ascii="Times New Roman" w:eastAsiaTheme="minorHAnsi" w:hAnsi="Times New Roman"/>
        </w:rPr>
        <w:t>is</w:t>
      </w:r>
      <w:r w:rsidR="00900061" w:rsidRPr="00E168A1">
        <w:rPr>
          <w:rFonts w:ascii="Times New Roman" w:eastAsiaTheme="minorHAnsi" w:hAnsi="Times New Roman"/>
        </w:rPr>
        <w:t xml:space="preserve"> </w:t>
      </w:r>
      <w:r w:rsidRPr="00E168A1">
        <w:rPr>
          <w:rFonts w:ascii="Times New Roman" w:eastAsiaTheme="minorHAnsi" w:hAnsi="Times New Roman"/>
        </w:rPr>
        <w:t>still</w:t>
      </w:r>
      <w:r w:rsidR="00900061" w:rsidRPr="00E168A1">
        <w:rPr>
          <w:rFonts w:ascii="Times New Roman" w:eastAsiaTheme="minorHAnsi" w:hAnsi="Times New Roman"/>
        </w:rPr>
        <w:t xml:space="preserve"> </w:t>
      </w:r>
      <w:r w:rsidRPr="00E168A1">
        <w:rPr>
          <w:rFonts w:ascii="Times New Roman" w:eastAsiaTheme="minorHAnsi" w:hAnsi="Times New Roman"/>
        </w:rPr>
        <w:t>not</w:t>
      </w:r>
      <w:r w:rsidR="00900061" w:rsidRPr="00E168A1">
        <w:rPr>
          <w:rFonts w:ascii="Times New Roman" w:eastAsiaTheme="minorHAnsi" w:hAnsi="Times New Roman"/>
        </w:rPr>
        <w:t xml:space="preserve"> </w:t>
      </w:r>
      <w:r w:rsidRPr="00E168A1">
        <w:rPr>
          <w:rFonts w:ascii="Times New Roman" w:eastAsiaTheme="minorHAnsi" w:hAnsi="Times New Roman"/>
        </w:rPr>
        <w:t>fully</w:t>
      </w:r>
      <w:r w:rsidR="00900061" w:rsidRPr="00E168A1">
        <w:rPr>
          <w:rFonts w:ascii="Times New Roman" w:eastAsiaTheme="minorHAnsi" w:hAnsi="Times New Roman"/>
        </w:rPr>
        <w:t xml:space="preserve"> </w:t>
      </w:r>
      <w:r w:rsidRPr="00E168A1">
        <w:rPr>
          <w:rFonts w:ascii="Times New Roman" w:eastAsiaTheme="minorHAnsi" w:hAnsi="Times New Roman"/>
        </w:rPr>
        <w:t>operational</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is</w:t>
      </w:r>
      <w:r w:rsidR="00900061" w:rsidRPr="00E168A1">
        <w:rPr>
          <w:rFonts w:ascii="Times New Roman" w:eastAsiaTheme="minorHAnsi" w:hAnsi="Times New Roman"/>
        </w:rPr>
        <w:t xml:space="preserve"> </w:t>
      </w:r>
      <w:r w:rsidRPr="00E168A1">
        <w:rPr>
          <w:rFonts w:ascii="Times New Roman" w:eastAsiaTheme="minorHAnsi" w:hAnsi="Times New Roman"/>
        </w:rPr>
        <w:t>missing</w:t>
      </w:r>
      <w:r w:rsidR="00900061" w:rsidRPr="00E168A1">
        <w:rPr>
          <w:rFonts w:ascii="Times New Roman" w:eastAsiaTheme="minorHAnsi" w:hAnsi="Times New Roman"/>
        </w:rPr>
        <w:t xml:space="preserve"> </w:t>
      </w:r>
      <w:r w:rsidRPr="00E168A1">
        <w:rPr>
          <w:rFonts w:ascii="Times New Roman" w:eastAsiaTheme="minorHAnsi" w:hAnsi="Times New Roman"/>
        </w:rPr>
        <w:t>a</w:t>
      </w:r>
      <w:r w:rsidR="00900061" w:rsidRPr="00E168A1">
        <w:rPr>
          <w:rFonts w:ascii="Times New Roman" w:eastAsiaTheme="minorHAnsi" w:hAnsi="Times New Roman"/>
        </w:rPr>
        <w:t xml:space="preserve"> </w:t>
      </w:r>
      <w:r w:rsidRPr="00E168A1">
        <w:rPr>
          <w:rFonts w:ascii="Times New Roman" w:eastAsiaTheme="minorHAnsi" w:hAnsi="Times New Roman"/>
        </w:rPr>
        <w:t>comprehensive</w:t>
      </w:r>
      <w:r w:rsidR="00900061" w:rsidRPr="00E168A1">
        <w:rPr>
          <w:rFonts w:ascii="Times New Roman" w:eastAsiaTheme="minorHAnsi" w:hAnsi="Times New Roman"/>
        </w:rPr>
        <w:t xml:space="preserve"> </w:t>
      </w:r>
      <w:r w:rsidRPr="00E168A1">
        <w:rPr>
          <w:rFonts w:ascii="Times New Roman" w:eastAsiaTheme="minorHAnsi" w:hAnsi="Times New Roman"/>
        </w:rPr>
        <w:t>legal</w:t>
      </w:r>
      <w:r w:rsidR="00900061" w:rsidRPr="00E168A1">
        <w:rPr>
          <w:rFonts w:ascii="Times New Roman" w:eastAsiaTheme="minorHAnsi" w:hAnsi="Times New Roman"/>
        </w:rPr>
        <w:t xml:space="preserve"> </w:t>
      </w:r>
      <w:r w:rsidRPr="00E168A1">
        <w:rPr>
          <w:rFonts w:ascii="Times New Roman" w:eastAsiaTheme="minorHAnsi" w:hAnsi="Times New Roman"/>
        </w:rPr>
        <w:t>basis</w:t>
      </w:r>
      <w:r w:rsidR="00900061" w:rsidRPr="00E168A1">
        <w:rPr>
          <w:rFonts w:ascii="Times New Roman" w:eastAsiaTheme="minorHAnsi" w:hAnsi="Times New Roman"/>
        </w:rPr>
        <w:t xml:space="preserve"> </w:t>
      </w:r>
      <w:r w:rsidRPr="00E168A1">
        <w:rPr>
          <w:rFonts w:ascii="Times New Roman" w:eastAsiaTheme="minorHAnsi" w:hAnsi="Times New Roman"/>
        </w:rPr>
        <w:t>to</w:t>
      </w:r>
      <w:r w:rsidR="00900061" w:rsidRPr="00E168A1">
        <w:rPr>
          <w:rFonts w:ascii="Times New Roman" w:eastAsiaTheme="minorHAnsi" w:hAnsi="Times New Roman"/>
        </w:rPr>
        <w:t xml:space="preserve"> </w:t>
      </w:r>
      <w:r w:rsidRPr="00E168A1">
        <w:rPr>
          <w:rFonts w:ascii="Times New Roman" w:eastAsiaTheme="minorHAnsi" w:hAnsi="Times New Roman"/>
        </w:rPr>
        <w:t>determine</w:t>
      </w:r>
      <w:r w:rsidR="00900061" w:rsidRPr="00E168A1">
        <w:rPr>
          <w:rFonts w:ascii="Times New Roman" w:eastAsiaTheme="minorHAnsi" w:hAnsi="Times New Roman"/>
        </w:rPr>
        <w:t xml:space="preserve"> </w:t>
      </w:r>
      <w:r w:rsidRPr="00E168A1">
        <w:rPr>
          <w:rFonts w:ascii="Times New Roman" w:eastAsiaTheme="minorHAnsi" w:hAnsi="Times New Roman"/>
        </w:rPr>
        <w:t>its</w:t>
      </w:r>
      <w:r w:rsidR="00900061" w:rsidRPr="00E168A1">
        <w:rPr>
          <w:rFonts w:ascii="Times New Roman" w:eastAsiaTheme="minorHAnsi" w:hAnsi="Times New Roman"/>
        </w:rPr>
        <w:t xml:space="preserve"> </w:t>
      </w:r>
      <w:r w:rsidRPr="00E168A1">
        <w:rPr>
          <w:rFonts w:ascii="Times New Roman" w:eastAsiaTheme="minorHAnsi" w:hAnsi="Times New Roman"/>
        </w:rPr>
        <w:t>duties,</w:t>
      </w:r>
      <w:r w:rsidR="00900061" w:rsidRPr="00E168A1">
        <w:rPr>
          <w:rFonts w:ascii="Times New Roman" w:eastAsiaTheme="minorHAnsi" w:hAnsi="Times New Roman"/>
        </w:rPr>
        <w:t xml:space="preserve"> </w:t>
      </w:r>
      <w:r w:rsidRPr="00E168A1">
        <w:rPr>
          <w:rFonts w:ascii="Times New Roman" w:eastAsiaTheme="minorHAnsi" w:hAnsi="Times New Roman"/>
        </w:rPr>
        <w:t>competences</w:t>
      </w:r>
      <w:r w:rsidR="007111F5" w:rsidRPr="00E168A1">
        <w:rPr>
          <w:rFonts w:ascii="Times New Roman" w:eastAsiaTheme="minorHAnsi" w:hAnsi="Times New Roman"/>
        </w:rPr>
        <w:t>,</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arrangements</w:t>
      </w:r>
      <w:r w:rsidR="00900061" w:rsidRPr="00E168A1">
        <w:rPr>
          <w:rFonts w:ascii="Times New Roman" w:eastAsiaTheme="minorHAnsi" w:hAnsi="Times New Roman"/>
        </w:rPr>
        <w:t xml:space="preserve"> </w:t>
      </w:r>
      <w:r w:rsidRPr="00E168A1">
        <w:rPr>
          <w:rFonts w:ascii="Times New Roman" w:eastAsiaTheme="minorHAnsi" w:hAnsi="Times New Roman"/>
        </w:rPr>
        <w:t>for</w:t>
      </w:r>
      <w:r w:rsidR="00900061" w:rsidRPr="00E168A1">
        <w:rPr>
          <w:rFonts w:ascii="Times New Roman" w:eastAsiaTheme="minorHAnsi" w:hAnsi="Times New Roman"/>
        </w:rPr>
        <w:t xml:space="preserve"> </w:t>
      </w:r>
      <w:r w:rsidRPr="00E168A1">
        <w:rPr>
          <w:rFonts w:ascii="Times New Roman" w:eastAsiaTheme="minorHAnsi" w:hAnsi="Times New Roman"/>
        </w:rPr>
        <w:t>cooperation</w:t>
      </w:r>
      <w:r w:rsidR="00900061" w:rsidRPr="00E168A1">
        <w:rPr>
          <w:rFonts w:ascii="Times New Roman" w:eastAsiaTheme="minorHAnsi" w:hAnsi="Times New Roman"/>
        </w:rPr>
        <w:t xml:space="preserve"> </w:t>
      </w:r>
      <w:r w:rsidRPr="00E168A1">
        <w:rPr>
          <w:rFonts w:ascii="Times New Roman" w:eastAsiaTheme="minorHAnsi" w:hAnsi="Times New Roman"/>
        </w:rPr>
        <w:t>with</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European</w:t>
      </w:r>
      <w:r w:rsidR="00900061" w:rsidRPr="00E168A1">
        <w:rPr>
          <w:rFonts w:ascii="Times New Roman" w:eastAsiaTheme="minorHAnsi" w:hAnsi="Times New Roman"/>
        </w:rPr>
        <w:t xml:space="preserve"> </w:t>
      </w:r>
      <w:r w:rsidRPr="00E168A1">
        <w:rPr>
          <w:rFonts w:ascii="Times New Roman" w:eastAsiaTheme="minorHAnsi" w:hAnsi="Times New Roman"/>
        </w:rPr>
        <w:lastRenderedPageBreak/>
        <w:t>Commission.</w:t>
      </w:r>
      <w:r w:rsidR="00900061" w:rsidRPr="00E168A1">
        <w:rPr>
          <w:rFonts w:ascii="Times New Roman" w:eastAsiaTheme="minorHAnsi" w:hAnsi="Times New Roman"/>
        </w:rPr>
        <w:t xml:space="preserve"> </w:t>
      </w:r>
      <w:r w:rsidR="000B3BDA" w:rsidRPr="00E168A1">
        <w:rPr>
          <w:rFonts w:ascii="Times New Roman" w:eastAsiaTheme="minorHAnsi" w:hAnsi="Times New Roman"/>
        </w:rPr>
        <w:t>A f</w:t>
      </w:r>
      <w:r w:rsidRPr="00E168A1">
        <w:rPr>
          <w:rFonts w:ascii="Times New Roman" w:eastAsiaTheme="minorHAnsi" w:hAnsi="Times New Roman"/>
        </w:rPr>
        <w:t>ull</w:t>
      </w:r>
      <w:r w:rsidR="00900061" w:rsidRPr="00E168A1">
        <w:rPr>
          <w:rFonts w:ascii="Times New Roman" w:eastAsiaTheme="minorHAnsi" w:hAnsi="Times New Roman"/>
        </w:rPr>
        <w:t xml:space="preserve"> </w:t>
      </w:r>
      <w:r w:rsidRPr="00E168A1">
        <w:rPr>
          <w:rFonts w:ascii="Times New Roman" w:eastAsiaTheme="minorHAnsi" w:hAnsi="Times New Roman"/>
        </w:rPr>
        <w:t>AFCOS</w:t>
      </w:r>
      <w:r w:rsidR="00900061" w:rsidRPr="00E168A1">
        <w:rPr>
          <w:rFonts w:ascii="Times New Roman" w:eastAsiaTheme="minorHAnsi" w:hAnsi="Times New Roman"/>
        </w:rPr>
        <w:t xml:space="preserve"> </w:t>
      </w:r>
      <w:r w:rsidRPr="00E168A1">
        <w:rPr>
          <w:rFonts w:ascii="Times New Roman" w:eastAsiaTheme="minorHAnsi" w:hAnsi="Times New Roman"/>
        </w:rPr>
        <w:t>network,</w:t>
      </w:r>
      <w:r w:rsidR="00900061" w:rsidRPr="00E168A1">
        <w:rPr>
          <w:rFonts w:ascii="Times New Roman" w:eastAsiaTheme="minorHAnsi" w:hAnsi="Times New Roman"/>
        </w:rPr>
        <w:t xml:space="preserve"> </w:t>
      </w:r>
      <w:r w:rsidRPr="00E168A1">
        <w:rPr>
          <w:rFonts w:ascii="Times New Roman" w:eastAsiaTheme="minorHAnsi" w:hAnsi="Times New Roman"/>
        </w:rPr>
        <w:t>including</w:t>
      </w:r>
      <w:r w:rsidR="00900061" w:rsidRPr="00E168A1">
        <w:rPr>
          <w:rFonts w:ascii="Times New Roman" w:eastAsiaTheme="minorHAnsi" w:hAnsi="Times New Roman"/>
        </w:rPr>
        <w:t xml:space="preserve"> </w:t>
      </w:r>
      <w:r w:rsidRPr="00E168A1">
        <w:rPr>
          <w:rFonts w:ascii="Times New Roman" w:eastAsiaTheme="minorHAnsi" w:hAnsi="Times New Roman"/>
        </w:rPr>
        <w:t>all</w:t>
      </w:r>
      <w:r w:rsidR="00900061" w:rsidRPr="00E168A1">
        <w:rPr>
          <w:rFonts w:ascii="Times New Roman" w:eastAsiaTheme="minorHAnsi" w:hAnsi="Times New Roman"/>
        </w:rPr>
        <w:t xml:space="preserve"> </w:t>
      </w:r>
      <w:r w:rsidRPr="00E168A1">
        <w:rPr>
          <w:rFonts w:ascii="Times New Roman" w:eastAsiaTheme="minorHAnsi" w:hAnsi="Times New Roman"/>
        </w:rPr>
        <w:t>other</w:t>
      </w:r>
      <w:r w:rsidR="00900061" w:rsidRPr="00E168A1">
        <w:rPr>
          <w:rFonts w:ascii="Times New Roman" w:eastAsiaTheme="minorHAnsi" w:hAnsi="Times New Roman"/>
        </w:rPr>
        <w:t xml:space="preserve"> </w:t>
      </w:r>
      <w:r w:rsidRPr="00E168A1">
        <w:rPr>
          <w:rFonts w:ascii="Times New Roman" w:eastAsiaTheme="minorHAnsi" w:hAnsi="Times New Roman"/>
        </w:rPr>
        <w:t>relevant</w:t>
      </w:r>
      <w:r w:rsidR="00900061" w:rsidRPr="00E168A1">
        <w:rPr>
          <w:rFonts w:ascii="Times New Roman" w:eastAsiaTheme="minorHAnsi" w:hAnsi="Times New Roman"/>
        </w:rPr>
        <w:t xml:space="preserve"> </w:t>
      </w:r>
      <w:r w:rsidRPr="00E168A1">
        <w:rPr>
          <w:rFonts w:ascii="Times New Roman" w:eastAsiaTheme="minorHAnsi" w:hAnsi="Times New Roman"/>
        </w:rPr>
        <w:t>national</w:t>
      </w:r>
      <w:r w:rsidR="00900061" w:rsidRPr="00E168A1">
        <w:rPr>
          <w:rFonts w:ascii="Times New Roman" w:eastAsiaTheme="minorHAnsi" w:hAnsi="Times New Roman"/>
        </w:rPr>
        <w:t xml:space="preserve"> </w:t>
      </w:r>
      <w:r w:rsidRPr="00E168A1">
        <w:rPr>
          <w:rFonts w:ascii="Times New Roman" w:eastAsiaTheme="minorHAnsi" w:hAnsi="Times New Roman"/>
        </w:rPr>
        <w:t>authorities</w:t>
      </w:r>
      <w:r w:rsidR="00900061" w:rsidRPr="00E168A1">
        <w:rPr>
          <w:rFonts w:ascii="Times New Roman" w:eastAsiaTheme="minorHAnsi" w:hAnsi="Times New Roman"/>
        </w:rPr>
        <w:t xml:space="preserve"> </w:t>
      </w:r>
      <w:r w:rsidRPr="00E168A1">
        <w:rPr>
          <w:rFonts w:ascii="Times New Roman" w:eastAsiaTheme="minorHAnsi" w:hAnsi="Times New Roman"/>
        </w:rPr>
        <w:t>in</w:t>
      </w:r>
      <w:r w:rsidR="00900061" w:rsidRPr="00E168A1">
        <w:rPr>
          <w:rFonts w:ascii="Times New Roman" w:eastAsiaTheme="minorHAnsi" w:hAnsi="Times New Roman"/>
        </w:rPr>
        <w:t xml:space="preserve"> </w:t>
      </w:r>
      <w:r w:rsidRPr="00E168A1">
        <w:rPr>
          <w:rFonts w:ascii="Times New Roman" w:eastAsiaTheme="minorHAnsi" w:hAnsi="Times New Roman"/>
        </w:rPr>
        <w:t>the</w:t>
      </w:r>
      <w:r w:rsidR="00900061" w:rsidRPr="00E168A1">
        <w:rPr>
          <w:rFonts w:ascii="Times New Roman" w:eastAsiaTheme="minorHAnsi" w:hAnsi="Times New Roman"/>
        </w:rPr>
        <w:t xml:space="preserve"> </w:t>
      </w:r>
      <w:r w:rsidRPr="00E168A1">
        <w:rPr>
          <w:rFonts w:ascii="Times New Roman" w:eastAsiaTheme="minorHAnsi" w:hAnsi="Times New Roman"/>
        </w:rPr>
        <w:t>area</w:t>
      </w:r>
      <w:r w:rsidR="00900061" w:rsidRPr="00E168A1">
        <w:rPr>
          <w:rFonts w:ascii="Times New Roman" w:eastAsiaTheme="minorHAnsi" w:hAnsi="Times New Roman"/>
        </w:rPr>
        <w:t xml:space="preserve"> </w:t>
      </w:r>
      <w:r w:rsidRPr="00E168A1">
        <w:rPr>
          <w:rFonts w:ascii="Times New Roman" w:eastAsiaTheme="minorHAnsi" w:hAnsi="Times New Roman"/>
        </w:rPr>
        <w:t>of</w:t>
      </w:r>
      <w:r w:rsidR="00900061" w:rsidRPr="00E168A1">
        <w:rPr>
          <w:rFonts w:ascii="Times New Roman" w:eastAsiaTheme="minorHAnsi" w:hAnsi="Times New Roman"/>
        </w:rPr>
        <w:t xml:space="preserve"> </w:t>
      </w:r>
      <w:r w:rsidRPr="00E168A1">
        <w:rPr>
          <w:rFonts w:ascii="Times New Roman" w:eastAsiaTheme="minorHAnsi" w:hAnsi="Times New Roman"/>
        </w:rPr>
        <w:t>prevention,</w:t>
      </w:r>
      <w:r w:rsidR="00900061" w:rsidRPr="00E168A1">
        <w:rPr>
          <w:rFonts w:ascii="Times New Roman" w:eastAsiaTheme="minorHAnsi" w:hAnsi="Times New Roman"/>
        </w:rPr>
        <w:t xml:space="preserve"> </w:t>
      </w:r>
      <w:r w:rsidRPr="00E168A1">
        <w:rPr>
          <w:rFonts w:ascii="Times New Roman" w:eastAsiaTheme="minorHAnsi" w:hAnsi="Times New Roman"/>
        </w:rPr>
        <w:t>detection,</w:t>
      </w:r>
      <w:r w:rsidR="00900061" w:rsidRPr="00E168A1">
        <w:rPr>
          <w:rFonts w:ascii="Times New Roman" w:eastAsiaTheme="minorHAnsi" w:hAnsi="Times New Roman"/>
        </w:rPr>
        <w:t xml:space="preserve"> </w:t>
      </w:r>
      <w:r w:rsidRPr="00E168A1">
        <w:rPr>
          <w:rFonts w:ascii="Times New Roman" w:eastAsiaTheme="minorHAnsi" w:hAnsi="Times New Roman"/>
        </w:rPr>
        <w:t>investigation</w:t>
      </w:r>
      <w:r w:rsidR="00900061" w:rsidRPr="00E168A1">
        <w:rPr>
          <w:rFonts w:ascii="Times New Roman" w:eastAsiaTheme="minorHAnsi" w:hAnsi="Times New Roman"/>
        </w:rPr>
        <w:t xml:space="preserve"> </w:t>
      </w:r>
      <w:r w:rsidRPr="00E168A1">
        <w:rPr>
          <w:rFonts w:ascii="Times New Roman" w:eastAsiaTheme="minorHAnsi" w:hAnsi="Times New Roman"/>
        </w:rPr>
        <w:t>and</w:t>
      </w:r>
      <w:r w:rsidR="00900061" w:rsidRPr="00E168A1">
        <w:rPr>
          <w:rFonts w:ascii="Times New Roman" w:eastAsiaTheme="minorHAnsi" w:hAnsi="Times New Roman"/>
        </w:rPr>
        <w:t xml:space="preserve"> </w:t>
      </w:r>
      <w:r w:rsidRPr="00E168A1">
        <w:rPr>
          <w:rFonts w:ascii="Times New Roman" w:eastAsiaTheme="minorHAnsi" w:hAnsi="Times New Roman"/>
        </w:rPr>
        <w:t>prosecution,</w:t>
      </w:r>
      <w:r w:rsidR="00900061" w:rsidRPr="00E168A1">
        <w:rPr>
          <w:rFonts w:ascii="Times New Roman" w:eastAsiaTheme="minorHAnsi" w:hAnsi="Times New Roman"/>
        </w:rPr>
        <w:t xml:space="preserve"> </w:t>
      </w:r>
      <w:r w:rsidRPr="00E168A1">
        <w:rPr>
          <w:rFonts w:ascii="Times New Roman" w:eastAsiaTheme="minorHAnsi" w:hAnsi="Times New Roman"/>
        </w:rPr>
        <w:t>is</w:t>
      </w:r>
      <w:r w:rsidR="00900061" w:rsidRPr="00E168A1">
        <w:rPr>
          <w:rFonts w:ascii="Times New Roman" w:eastAsiaTheme="minorHAnsi" w:hAnsi="Times New Roman"/>
        </w:rPr>
        <w:t xml:space="preserve"> </w:t>
      </w:r>
      <w:r w:rsidRPr="00E168A1">
        <w:rPr>
          <w:rFonts w:ascii="Times New Roman" w:eastAsiaTheme="minorHAnsi" w:hAnsi="Times New Roman"/>
        </w:rPr>
        <w:t>yet</w:t>
      </w:r>
      <w:r w:rsidR="00900061" w:rsidRPr="00E168A1">
        <w:rPr>
          <w:rFonts w:ascii="Times New Roman" w:eastAsiaTheme="minorHAnsi" w:hAnsi="Times New Roman"/>
        </w:rPr>
        <w:t xml:space="preserve"> </w:t>
      </w:r>
      <w:r w:rsidRPr="00E168A1">
        <w:rPr>
          <w:rFonts w:ascii="Times New Roman" w:eastAsiaTheme="minorHAnsi" w:hAnsi="Times New Roman"/>
        </w:rPr>
        <w:t>to</w:t>
      </w:r>
      <w:r w:rsidR="00900061" w:rsidRPr="00E168A1">
        <w:rPr>
          <w:rFonts w:ascii="Times New Roman" w:eastAsiaTheme="minorHAnsi" w:hAnsi="Times New Roman"/>
        </w:rPr>
        <w:t xml:space="preserve"> </w:t>
      </w:r>
      <w:r w:rsidRPr="00E168A1">
        <w:rPr>
          <w:rFonts w:ascii="Times New Roman" w:eastAsiaTheme="minorHAnsi" w:hAnsi="Times New Roman"/>
        </w:rPr>
        <w:t>be</w:t>
      </w:r>
      <w:r w:rsidR="00900061" w:rsidRPr="00E168A1">
        <w:rPr>
          <w:rFonts w:ascii="Times New Roman" w:eastAsiaTheme="minorHAnsi" w:hAnsi="Times New Roman"/>
        </w:rPr>
        <w:t xml:space="preserve"> </w:t>
      </w:r>
      <w:r w:rsidRPr="00E168A1">
        <w:rPr>
          <w:rFonts w:ascii="Times New Roman" w:eastAsiaTheme="minorHAnsi" w:hAnsi="Times New Roman"/>
        </w:rPr>
        <w:t>established.</w:t>
      </w:r>
    </w:p>
    <w:p w14:paraId="33848F7D" w14:textId="1DCC46AD" w:rsidR="00837F94" w:rsidRPr="00E168A1" w:rsidRDefault="00900061"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rPr>
        <w:t xml:space="preserve"> </w:t>
      </w:r>
      <w:r w:rsidR="00837F94" w:rsidRPr="00E168A1">
        <w:rPr>
          <w:rFonts w:ascii="Times New Roman" w:hAnsi="Times New Roman"/>
          <w:b/>
        </w:rPr>
        <w:t>Institutional</w:t>
      </w:r>
      <w:r w:rsidRPr="00E168A1">
        <w:rPr>
          <w:rFonts w:ascii="Times New Roman" w:hAnsi="Times New Roman"/>
          <w:b/>
        </w:rPr>
        <w:t xml:space="preserve"> </w:t>
      </w:r>
      <w:r w:rsidR="00837F94" w:rsidRPr="00E168A1">
        <w:rPr>
          <w:rFonts w:ascii="Times New Roman" w:hAnsi="Times New Roman"/>
          <w:b/>
        </w:rPr>
        <w:t>responsibilities</w:t>
      </w:r>
      <w:r w:rsidRPr="00E168A1">
        <w:rPr>
          <w:rFonts w:ascii="Times New Roman" w:hAnsi="Times New Roman"/>
          <w:b/>
        </w:rPr>
        <w:t xml:space="preserve"> </w:t>
      </w:r>
      <w:r w:rsidR="00837F94" w:rsidRPr="00E168A1">
        <w:rPr>
          <w:rFonts w:ascii="Times New Roman" w:hAnsi="Times New Roman"/>
          <w:b/>
        </w:rPr>
        <w:t>for</w:t>
      </w:r>
      <w:r w:rsidRPr="00E168A1">
        <w:rPr>
          <w:rFonts w:ascii="Times New Roman" w:hAnsi="Times New Roman"/>
          <w:b/>
        </w:rPr>
        <w:t xml:space="preserve"> </w:t>
      </w:r>
      <w:r w:rsidR="00837F94" w:rsidRPr="00E168A1">
        <w:rPr>
          <w:rFonts w:ascii="Times New Roman" w:hAnsi="Times New Roman"/>
          <w:b/>
        </w:rPr>
        <w:t>investigating</w:t>
      </w:r>
      <w:r w:rsidRPr="00E168A1">
        <w:rPr>
          <w:rFonts w:ascii="Times New Roman" w:hAnsi="Times New Roman"/>
          <w:b/>
        </w:rPr>
        <w:t xml:space="preserve"> </w:t>
      </w:r>
      <w:r w:rsidR="00837F94" w:rsidRPr="00E168A1">
        <w:rPr>
          <w:rFonts w:ascii="Times New Roman" w:hAnsi="Times New Roman"/>
          <w:b/>
        </w:rPr>
        <w:t>and</w:t>
      </w:r>
      <w:r w:rsidRPr="00E168A1">
        <w:rPr>
          <w:rFonts w:ascii="Times New Roman" w:hAnsi="Times New Roman"/>
          <w:b/>
        </w:rPr>
        <w:t xml:space="preserve"> </w:t>
      </w:r>
      <w:r w:rsidR="00837F94" w:rsidRPr="00E168A1">
        <w:rPr>
          <w:rFonts w:ascii="Times New Roman" w:hAnsi="Times New Roman"/>
          <w:b/>
        </w:rPr>
        <w:t>prosecuting</w:t>
      </w:r>
      <w:r w:rsidRPr="00E168A1">
        <w:rPr>
          <w:rFonts w:ascii="Times New Roman" w:hAnsi="Times New Roman"/>
          <w:b/>
        </w:rPr>
        <w:t xml:space="preserve"> </w:t>
      </w:r>
      <w:r w:rsidR="00837F94" w:rsidRPr="00E168A1">
        <w:rPr>
          <w:rFonts w:ascii="Times New Roman" w:hAnsi="Times New Roman"/>
          <w:b/>
        </w:rPr>
        <w:t>corruption</w:t>
      </w:r>
      <w:r w:rsidRPr="00E168A1">
        <w:rPr>
          <w:rFonts w:ascii="Times New Roman" w:hAnsi="Times New Roman"/>
          <w:b/>
        </w:rPr>
        <w:t xml:space="preserve"> </w:t>
      </w:r>
      <w:r w:rsidR="00837F94" w:rsidRPr="00E168A1">
        <w:rPr>
          <w:rFonts w:ascii="Times New Roman" w:hAnsi="Times New Roman"/>
          <w:b/>
        </w:rPr>
        <w:t>are</w:t>
      </w:r>
      <w:r w:rsidRPr="00E168A1">
        <w:rPr>
          <w:rFonts w:ascii="Times New Roman" w:hAnsi="Times New Roman"/>
          <w:b/>
        </w:rPr>
        <w:t xml:space="preserve"> </w:t>
      </w:r>
      <w:r w:rsidR="00837F94" w:rsidRPr="00E168A1">
        <w:rPr>
          <w:rFonts w:ascii="Times New Roman" w:hAnsi="Times New Roman"/>
          <w:b/>
        </w:rPr>
        <w:t>clear,</w:t>
      </w:r>
      <w:r w:rsidRPr="00E168A1">
        <w:rPr>
          <w:rFonts w:ascii="Times New Roman" w:hAnsi="Times New Roman"/>
          <w:b/>
        </w:rPr>
        <w:t xml:space="preserve"> </w:t>
      </w:r>
      <w:r w:rsidR="00837F94" w:rsidRPr="00E168A1">
        <w:rPr>
          <w:rFonts w:ascii="Times New Roman" w:hAnsi="Times New Roman"/>
          <w:b/>
        </w:rPr>
        <w:t>but</w:t>
      </w:r>
      <w:r w:rsidRPr="00E168A1">
        <w:rPr>
          <w:rFonts w:ascii="Times New Roman" w:hAnsi="Times New Roman"/>
          <w:b/>
        </w:rPr>
        <w:t xml:space="preserve"> </w:t>
      </w:r>
      <w:r w:rsidR="00837F94" w:rsidRPr="00E168A1">
        <w:rPr>
          <w:rFonts w:ascii="Times New Roman" w:hAnsi="Times New Roman"/>
          <w:b/>
        </w:rPr>
        <w:t>their</w:t>
      </w:r>
      <w:r w:rsidRPr="00E168A1">
        <w:rPr>
          <w:rFonts w:ascii="Times New Roman" w:hAnsi="Times New Roman"/>
          <w:b/>
        </w:rPr>
        <w:t xml:space="preserve"> </w:t>
      </w:r>
      <w:r w:rsidR="00837F94" w:rsidRPr="00E168A1">
        <w:rPr>
          <w:rFonts w:ascii="Times New Roman" w:hAnsi="Times New Roman"/>
          <w:b/>
        </w:rPr>
        <w:t>capacities</w:t>
      </w:r>
      <w:r w:rsidRPr="00E168A1">
        <w:rPr>
          <w:rFonts w:ascii="Times New Roman" w:hAnsi="Times New Roman"/>
          <w:b/>
        </w:rPr>
        <w:t xml:space="preserve"> </w:t>
      </w:r>
      <w:r w:rsidR="00837F94" w:rsidRPr="00E168A1">
        <w:rPr>
          <w:rFonts w:ascii="Times New Roman" w:hAnsi="Times New Roman"/>
          <w:b/>
        </w:rPr>
        <w:t>remain</w:t>
      </w:r>
      <w:r w:rsidRPr="00E168A1">
        <w:rPr>
          <w:rFonts w:ascii="Times New Roman" w:hAnsi="Times New Roman"/>
          <w:b/>
        </w:rPr>
        <w:t xml:space="preserve"> </w:t>
      </w:r>
      <w:r w:rsidR="00005D7A" w:rsidRPr="00E168A1">
        <w:rPr>
          <w:rFonts w:ascii="Times New Roman" w:hAnsi="Times New Roman"/>
          <w:b/>
        </w:rPr>
        <w:t>inadequate</w:t>
      </w:r>
      <w:r w:rsidR="00837F94" w:rsidRPr="00E168A1">
        <w:rPr>
          <w:rFonts w:ascii="Times New Roman" w:hAnsi="Times New Roman"/>
          <w:b/>
        </w:rPr>
        <w:t>.</w:t>
      </w:r>
      <w:r w:rsidRPr="00E168A1">
        <w:rPr>
          <w:rFonts w:ascii="Times New Roman" w:hAnsi="Times New Roman"/>
        </w:rPr>
        <w:t xml:space="preserve"> </w:t>
      </w:r>
      <w:r w:rsidR="00005D7A" w:rsidRPr="00E168A1">
        <w:rPr>
          <w:rFonts w:ascii="Times New Roman" w:hAnsi="Times New Roman"/>
        </w:rPr>
        <w:t>The s</w:t>
      </w:r>
      <w:r w:rsidR="00837F94" w:rsidRPr="00E168A1">
        <w:rPr>
          <w:rFonts w:ascii="Times New Roman" w:hAnsi="Times New Roman"/>
        </w:rPr>
        <w:t>pecialized</w:t>
      </w:r>
      <w:r w:rsidRPr="00E168A1">
        <w:rPr>
          <w:rFonts w:ascii="Times New Roman" w:hAnsi="Times New Roman"/>
        </w:rPr>
        <w:t xml:space="preserve"> </w:t>
      </w:r>
      <w:r w:rsidR="00837F94" w:rsidRPr="00E168A1">
        <w:rPr>
          <w:rFonts w:ascii="Times New Roman" w:hAnsi="Times New Roman"/>
        </w:rPr>
        <w:t>prosecution</w:t>
      </w:r>
      <w:r w:rsidRPr="00E168A1">
        <w:rPr>
          <w:rFonts w:ascii="Times New Roman" w:hAnsi="Times New Roman"/>
        </w:rPr>
        <w:t xml:space="preserve"> </w:t>
      </w:r>
      <w:r w:rsidR="00837F94" w:rsidRPr="00E168A1">
        <w:rPr>
          <w:rFonts w:ascii="Times New Roman" w:hAnsi="Times New Roman"/>
        </w:rPr>
        <w:t>office</w:t>
      </w:r>
      <w:r w:rsidRPr="00E168A1">
        <w:rPr>
          <w:rFonts w:ascii="Times New Roman" w:hAnsi="Times New Roman"/>
        </w:rPr>
        <w:t xml:space="preserve"> </w:t>
      </w:r>
      <w:r w:rsidR="00837F94" w:rsidRPr="00E168A1">
        <w:rPr>
          <w:rFonts w:ascii="Times New Roman" w:hAnsi="Times New Roman"/>
        </w:rPr>
        <w:t>for</w:t>
      </w:r>
      <w:r w:rsidRPr="00E168A1">
        <w:rPr>
          <w:rFonts w:ascii="Times New Roman" w:hAnsi="Times New Roman"/>
        </w:rPr>
        <w:t xml:space="preserve"> </w:t>
      </w:r>
      <w:r w:rsidR="00837F94" w:rsidRPr="00E168A1">
        <w:rPr>
          <w:rFonts w:ascii="Times New Roman" w:hAnsi="Times New Roman"/>
        </w:rPr>
        <w:t>organized</w:t>
      </w:r>
      <w:r w:rsidRPr="00E168A1">
        <w:rPr>
          <w:rFonts w:ascii="Times New Roman" w:hAnsi="Times New Roman"/>
        </w:rPr>
        <w:t xml:space="preserve"> </w:t>
      </w:r>
      <w:r w:rsidR="00837F94" w:rsidRPr="00E168A1">
        <w:rPr>
          <w:rFonts w:ascii="Times New Roman" w:hAnsi="Times New Roman"/>
        </w:rPr>
        <w:t>crimes</w:t>
      </w:r>
      <w:r w:rsidRPr="00E168A1">
        <w:rPr>
          <w:rFonts w:ascii="Times New Roman" w:hAnsi="Times New Roman"/>
        </w:rPr>
        <w:t xml:space="preserve"> </w:t>
      </w:r>
      <w:r w:rsidR="00837F94" w:rsidRPr="00E168A1">
        <w:rPr>
          <w:rFonts w:ascii="Times New Roman" w:hAnsi="Times New Roman"/>
        </w:rPr>
        <w:t>also</w:t>
      </w:r>
      <w:r w:rsidRPr="00E168A1">
        <w:rPr>
          <w:rFonts w:ascii="Times New Roman" w:hAnsi="Times New Roman"/>
        </w:rPr>
        <w:t xml:space="preserve"> </w:t>
      </w:r>
      <w:r w:rsidR="00837F94" w:rsidRPr="00E168A1">
        <w:rPr>
          <w:rFonts w:ascii="Times New Roman" w:hAnsi="Times New Roman"/>
        </w:rPr>
        <w:t>has</w:t>
      </w:r>
      <w:r w:rsidRPr="00E168A1">
        <w:rPr>
          <w:rFonts w:ascii="Times New Roman" w:hAnsi="Times New Roman"/>
        </w:rPr>
        <w:t xml:space="preserve"> </w:t>
      </w:r>
      <w:r w:rsidR="00837F94" w:rsidRPr="00E168A1">
        <w:rPr>
          <w:rFonts w:ascii="Times New Roman" w:hAnsi="Times New Roman"/>
        </w:rPr>
        <w:t>jurisdiction</w:t>
      </w:r>
      <w:r w:rsidRPr="00E168A1">
        <w:rPr>
          <w:rFonts w:ascii="Times New Roman" w:hAnsi="Times New Roman"/>
        </w:rPr>
        <w:t xml:space="preserve"> </w:t>
      </w:r>
      <w:r w:rsidR="00837F94" w:rsidRPr="00E168A1">
        <w:rPr>
          <w:rFonts w:ascii="Times New Roman" w:hAnsi="Times New Roman"/>
        </w:rPr>
        <w:t>over</w:t>
      </w:r>
      <w:r w:rsidRPr="00E168A1">
        <w:rPr>
          <w:rFonts w:ascii="Times New Roman" w:hAnsi="Times New Roman"/>
        </w:rPr>
        <w:t xml:space="preserve"> </w:t>
      </w:r>
      <w:r w:rsidR="00837F94" w:rsidRPr="00E168A1">
        <w:rPr>
          <w:rFonts w:ascii="Times New Roman" w:hAnsi="Times New Roman"/>
        </w:rPr>
        <w:t>high-level</w:t>
      </w:r>
      <w:r w:rsidRPr="00E168A1">
        <w:rPr>
          <w:rFonts w:ascii="Times New Roman" w:hAnsi="Times New Roman"/>
        </w:rPr>
        <w:t xml:space="preserve"> </w:t>
      </w:r>
      <w:r w:rsidR="00837F94" w:rsidRPr="00E168A1">
        <w:rPr>
          <w:rFonts w:ascii="Times New Roman" w:hAnsi="Times New Roman"/>
        </w:rPr>
        <w:t>corruption</w:t>
      </w:r>
      <w:r w:rsidRPr="00E168A1">
        <w:rPr>
          <w:rFonts w:ascii="Times New Roman" w:hAnsi="Times New Roman"/>
        </w:rPr>
        <w:t xml:space="preserve"> </w:t>
      </w:r>
      <w:r w:rsidR="00837F94" w:rsidRPr="00E168A1">
        <w:rPr>
          <w:rFonts w:ascii="Times New Roman" w:hAnsi="Times New Roman"/>
        </w:rPr>
        <w:t>cases.</w:t>
      </w:r>
      <w:r w:rsidRPr="00E168A1">
        <w:rPr>
          <w:rFonts w:ascii="Times New Roman" w:hAnsi="Times New Roman"/>
        </w:rPr>
        <w:t xml:space="preserve"> </w:t>
      </w:r>
      <w:r w:rsidR="00837F94" w:rsidRPr="00E168A1">
        <w:rPr>
          <w:rFonts w:ascii="Times New Roman" w:hAnsi="Times New Roman"/>
        </w:rPr>
        <w:t>Throughout</w:t>
      </w:r>
      <w:r w:rsidRPr="00E168A1">
        <w:rPr>
          <w:rFonts w:ascii="Times New Roman" w:hAnsi="Times New Roman"/>
        </w:rPr>
        <w:t xml:space="preserve"> </w:t>
      </w:r>
      <w:r w:rsidR="00837F94" w:rsidRPr="00E168A1">
        <w:rPr>
          <w:rFonts w:ascii="Times New Roman" w:hAnsi="Times New Roman"/>
        </w:rPr>
        <w:t>Serbia,</w:t>
      </w:r>
      <w:r w:rsidRPr="00E168A1">
        <w:rPr>
          <w:rFonts w:ascii="Times New Roman" w:hAnsi="Times New Roman"/>
        </w:rPr>
        <w:t xml:space="preserve"> </w:t>
      </w:r>
      <w:r w:rsidR="00837F94" w:rsidRPr="00E168A1">
        <w:rPr>
          <w:rFonts w:ascii="Times New Roman" w:hAnsi="Times New Roman"/>
        </w:rPr>
        <w:t>around</w:t>
      </w:r>
      <w:r w:rsidRPr="00E168A1">
        <w:rPr>
          <w:rFonts w:ascii="Times New Roman" w:hAnsi="Times New Roman"/>
        </w:rPr>
        <w:t xml:space="preserve"> </w:t>
      </w:r>
      <w:r w:rsidR="00837F94" w:rsidRPr="00E168A1">
        <w:rPr>
          <w:rFonts w:ascii="Times New Roman" w:hAnsi="Times New Roman"/>
        </w:rPr>
        <w:t>40</w:t>
      </w:r>
      <w:r w:rsidRPr="00E168A1">
        <w:rPr>
          <w:rFonts w:ascii="Times New Roman" w:hAnsi="Times New Roman"/>
        </w:rPr>
        <w:t xml:space="preserve"> </w:t>
      </w:r>
      <w:r w:rsidR="00837F94" w:rsidRPr="00E168A1">
        <w:rPr>
          <w:rFonts w:ascii="Times New Roman" w:hAnsi="Times New Roman"/>
        </w:rPr>
        <w:t>prosecutors</w:t>
      </w:r>
      <w:r w:rsidRPr="00E168A1">
        <w:rPr>
          <w:rFonts w:ascii="Times New Roman" w:hAnsi="Times New Roman"/>
        </w:rPr>
        <w:t xml:space="preserve"> </w:t>
      </w:r>
      <w:r w:rsidR="00837F94" w:rsidRPr="00E168A1">
        <w:rPr>
          <w:rFonts w:ascii="Times New Roman" w:hAnsi="Times New Roman"/>
        </w:rPr>
        <w:t>work</w:t>
      </w:r>
      <w:r w:rsidRPr="00E168A1">
        <w:rPr>
          <w:rFonts w:ascii="Times New Roman" w:hAnsi="Times New Roman"/>
        </w:rPr>
        <w:t xml:space="preserve"> </w:t>
      </w:r>
      <w:r w:rsidR="00837F94" w:rsidRPr="00E168A1">
        <w:rPr>
          <w:rFonts w:ascii="Times New Roman" w:hAnsi="Times New Roman"/>
        </w:rPr>
        <w:t>on</w:t>
      </w:r>
      <w:r w:rsidRPr="00E168A1">
        <w:rPr>
          <w:rFonts w:ascii="Times New Roman" w:hAnsi="Times New Roman"/>
        </w:rPr>
        <w:t xml:space="preserve"> </w:t>
      </w:r>
      <w:r w:rsidR="00837F94" w:rsidRPr="00E168A1">
        <w:rPr>
          <w:rFonts w:ascii="Times New Roman" w:hAnsi="Times New Roman"/>
        </w:rPr>
        <w:t>corruption</w:t>
      </w:r>
      <w:r w:rsidRPr="00E168A1">
        <w:rPr>
          <w:rFonts w:ascii="Times New Roman" w:hAnsi="Times New Roman"/>
        </w:rPr>
        <w:t xml:space="preserve"> </w:t>
      </w:r>
      <w:r w:rsidR="00837F94" w:rsidRPr="00E168A1">
        <w:rPr>
          <w:rFonts w:ascii="Times New Roman" w:hAnsi="Times New Roman"/>
        </w:rPr>
        <w:t>cases.</w:t>
      </w:r>
      <w:r w:rsidRPr="00E168A1">
        <w:rPr>
          <w:rFonts w:ascii="Times New Roman" w:hAnsi="Times New Roman"/>
        </w:rPr>
        <w:t xml:space="preserve"> </w:t>
      </w:r>
      <w:r w:rsidR="00837F94" w:rsidRPr="00E168A1">
        <w:rPr>
          <w:rFonts w:ascii="Times New Roman" w:eastAsiaTheme="minorHAnsi" w:hAnsi="Times New Roman"/>
        </w:rPr>
        <w:t>There</w:t>
      </w:r>
      <w:r w:rsidRPr="00E168A1">
        <w:rPr>
          <w:rFonts w:ascii="Times New Roman" w:eastAsiaTheme="minorHAnsi" w:hAnsi="Times New Roman"/>
        </w:rPr>
        <w:t xml:space="preserve"> </w:t>
      </w:r>
      <w:r w:rsidR="00837F94" w:rsidRPr="00E168A1">
        <w:rPr>
          <w:rFonts w:ascii="Times New Roman" w:eastAsiaTheme="minorHAnsi" w:hAnsi="Times New Roman"/>
        </w:rPr>
        <w:t>is</w:t>
      </w:r>
      <w:r w:rsidRPr="00E168A1">
        <w:rPr>
          <w:rFonts w:ascii="Times New Roman" w:eastAsiaTheme="minorHAnsi" w:hAnsi="Times New Roman"/>
        </w:rPr>
        <w:t xml:space="preserve"> </w:t>
      </w:r>
      <w:r w:rsidR="00837F94" w:rsidRPr="00E168A1">
        <w:rPr>
          <w:rFonts w:ascii="Times New Roman" w:eastAsiaTheme="minorHAnsi" w:hAnsi="Times New Roman"/>
        </w:rPr>
        <w:t>no</w:t>
      </w:r>
      <w:r w:rsidRPr="00E168A1">
        <w:rPr>
          <w:rFonts w:ascii="Times New Roman" w:eastAsiaTheme="minorHAnsi" w:hAnsi="Times New Roman"/>
        </w:rPr>
        <w:t xml:space="preserve"> </w:t>
      </w:r>
      <w:r w:rsidR="00837F94" w:rsidRPr="00E168A1">
        <w:rPr>
          <w:rFonts w:ascii="Times New Roman" w:eastAsiaTheme="minorHAnsi" w:hAnsi="Times New Roman"/>
        </w:rPr>
        <w:t>similar</w:t>
      </w:r>
      <w:r w:rsidRPr="00E168A1">
        <w:rPr>
          <w:rFonts w:ascii="Times New Roman" w:eastAsiaTheme="minorHAnsi" w:hAnsi="Times New Roman"/>
        </w:rPr>
        <w:t xml:space="preserve"> </w:t>
      </w:r>
      <w:r w:rsidR="00837F94" w:rsidRPr="00E168A1">
        <w:rPr>
          <w:rFonts w:ascii="Times New Roman" w:eastAsiaTheme="minorHAnsi" w:hAnsi="Times New Roman"/>
        </w:rPr>
        <w:t>degree</w:t>
      </w:r>
      <w:r w:rsidRPr="00E168A1">
        <w:rPr>
          <w:rFonts w:ascii="Times New Roman" w:eastAsiaTheme="minorHAnsi" w:hAnsi="Times New Roman"/>
        </w:rPr>
        <w:t xml:space="preserve"> </w:t>
      </w:r>
      <w:r w:rsidR="00837F94" w:rsidRPr="00E168A1">
        <w:rPr>
          <w:rFonts w:ascii="Times New Roman" w:eastAsiaTheme="minorHAnsi" w:hAnsi="Times New Roman"/>
        </w:rPr>
        <w:t>of</w:t>
      </w:r>
      <w:r w:rsidRPr="00E168A1">
        <w:rPr>
          <w:rFonts w:ascii="Times New Roman" w:eastAsiaTheme="minorHAnsi" w:hAnsi="Times New Roman"/>
        </w:rPr>
        <w:t xml:space="preserve"> </w:t>
      </w:r>
      <w:r w:rsidR="00837F94" w:rsidRPr="00E168A1">
        <w:rPr>
          <w:rFonts w:ascii="Times New Roman" w:eastAsiaTheme="minorHAnsi" w:hAnsi="Times New Roman"/>
        </w:rPr>
        <w:t>specialization</w:t>
      </w:r>
      <w:r w:rsidRPr="00E168A1">
        <w:rPr>
          <w:rFonts w:ascii="Times New Roman" w:eastAsiaTheme="minorHAnsi" w:hAnsi="Times New Roman"/>
        </w:rPr>
        <w:t xml:space="preserve"> </w:t>
      </w:r>
      <w:r w:rsidR="00837F94" w:rsidRPr="00E168A1">
        <w:rPr>
          <w:rFonts w:ascii="Times New Roman" w:eastAsiaTheme="minorHAnsi" w:hAnsi="Times New Roman"/>
        </w:rPr>
        <w:t>at</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level</w:t>
      </w:r>
      <w:r w:rsidRPr="00E168A1">
        <w:rPr>
          <w:rFonts w:ascii="Times New Roman" w:eastAsiaTheme="minorHAnsi" w:hAnsi="Times New Roman"/>
        </w:rPr>
        <w:t xml:space="preserve"> </w:t>
      </w:r>
      <w:r w:rsidR="00837F94" w:rsidRPr="00E168A1">
        <w:rPr>
          <w:rFonts w:ascii="Times New Roman" w:eastAsiaTheme="minorHAnsi" w:hAnsi="Times New Roman"/>
        </w:rPr>
        <w:t>of</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police</w:t>
      </w:r>
      <w:r w:rsidRPr="00E168A1">
        <w:rPr>
          <w:rFonts w:ascii="Times New Roman" w:eastAsiaTheme="minorHAnsi" w:hAnsi="Times New Roman"/>
        </w:rPr>
        <w:t xml:space="preserve"> </w:t>
      </w:r>
      <w:r w:rsidR="00837F94" w:rsidRPr="00E168A1">
        <w:rPr>
          <w:rFonts w:ascii="Times New Roman" w:eastAsiaTheme="minorHAnsi" w:hAnsi="Times New Roman"/>
        </w:rPr>
        <w:t>or</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courts</w:t>
      </w:r>
      <w:r w:rsidR="00837F94" w:rsidRPr="00E168A1">
        <w:rPr>
          <w:rFonts w:ascii="Times New Roman" w:hAnsi="Times New Roman"/>
        </w:rPr>
        <w:t>.</w:t>
      </w:r>
      <w:r w:rsidRPr="00E168A1">
        <w:rPr>
          <w:rFonts w:ascii="Times New Roman" w:hAnsi="Times New Roman"/>
        </w:rPr>
        <w:t xml:space="preserve"> </w:t>
      </w:r>
      <w:r w:rsidR="00837F94" w:rsidRPr="00E168A1">
        <w:rPr>
          <w:rFonts w:ascii="Times New Roman" w:hAnsi="Times New Roman"/>
        </w:rPr>
        <w:t>Inter-institutional</w:t>
      </w:r>
      <w:r w:rsidRPr="00E168A1">
        <w:rPr>
          <w:rFonts w:ascii="Times New Roman" w:hAnsi="Times New Roman"/>
        </w:rPr>
        <w:t xml:space="preserve"> </w:t>
      </w:r>
      <w:r w:rsidR="00837F94" w:rsidRPr="00E168A1">
        <w:rPr>
          <w:rFonts w:ascii="Times New Roman" w:hAnsi="Times New Roman"/>
        </w:rPr>
        <w:t>cooperation</w:t>
      </w:r>
      <w:r w:rsidRPr="00E168A1">
        <w:rPr>
          <w:rFonts w:ascii="Times New Roman" w:hAnsi="Times New Roman"/>
        </w:rPr>
        <w:t xml:space="preserve"> </w:t>
      </w:r>
      <w:r w:rsidR="00837F94" w:rsidRPr="00E168A1">
        <w:rPr>
          <w:rFonts w:ascii="Times New Roman" w:hAnsi="Times New Roman"/>
        </w:rPr>
        <w:t>is</w:t>
      </w:r>
      <w:r w:rsidRPr="00E168A1">
        <w:rPr>
          <w:rFonts w:ascii="Times New Roman" w:hAnsi="Times New Roman"/>
        </w:rPr>
        <w:t xml:space="preserve"> </w:t>
      </w:r>
      <w:r w:rsidR="00837F94" w:rsidRPr="00E168A1">
        <w:rPr>
          <w:rFonts w:ascii="Times New Roman" w:hAnsi="Times New Roman"/>
        </w:rPr>
        <w:t>formalized</w:t>
      </w:r>
      <w:r w:rsidRPr="00E168A1">
        <w:rPr>
          <w:rFonts w:ascii="Times New Roman" w:hAnsi="Times New Roman"/>
        </w:rPr>
        <w:t xml:space="preserve"> </w:t>
      </w:r>
      <w:r w:rsidR="00837F94" w:rsidRPr="00E168A1">
        <w:rPr>
          <w:rFonts w:ascii="Times New Roman" w:hAnsi="Times New Roman"/>
        </w:rPr>
        <w:t>in</w:t>
      </w:r>
      <w:r w:rsidRPr="00E168A1">
        <w:rPr>
          <w:rFonts w:ascii="Times New Roman" w:hAnsi="Times New Roman"/>
        </w:rPr>
        <w:t xml:space="preserve"> </w:t>
      </w:r>
      <w:r w:rsidR="00575B5E" w:rsidRPr="00E168A1">
        <w:rPr>
          <w:rFonts w:ascii="Times New Roman" w:hAnsi="Times New Roman"/>
        </w:rPr>
        <w:t xml:space="preserve">the </w:t>
      </w:r>
      <w:r w:rsidR="00837F94" w:rsidRPr="00E168A1">
        <w:rPr>
          <w:rFonts w:ascii="Times New Roman" w:hAnsi="Times New Roman"/>
        </w:rPr>
        <w:t>memoranda</w:t>
      </w:r>
      <w:r w:rsidRPr="00E168A1">
        <w:rPr>
          <w:rFonts w:ascii="Times New Roman" w:hAnsi="Times New Roman"/>
        </w:rPr>
        <w:t xml:space="preserve"> </w:t>
      </w:r>
      <w:r w:rsidR="00837F94" w:rsidRPr="00E168A1">
        <w:rPr>
          <w:rFonts w:ascii="Times New Roman" w:hAnsi="Times New Roman"/>
        </w:rPr>
        <w:t>on</w:t>
      </w:r>
      <w:r w:rsidRPr="00E168A1">
        <w:rPr>
          <w:rFonts w:ascii="Times New Roman" w:hAnsi="Times New Roman"/>
        </w:rPr>
        <w:t xml:space="preserve"> </w:t>
      </w:r>
      <w:r w:rsidR="00837F94" w:rsidRPr="00E168A1">
        <w:rPr>
          <w:rFonts w:ascii="Times New Roman" w:hAnsi="Times New Roman"/>
        </w:rPr>
        <w:t>cooperation</w:t>
      </w:r>
      <w:r w:rsidRPr="00E168A1">
        <w:rPr>
          <w:rFonts w:ascii="Times New Roman" w:hAnsi="Times New Roman"/>
        </w:rPr>
        <w:t xml:space="preserve"> </w:t>
      </w:r>
      <w:r w:rsidR="00837F94" w:rsidRPr="00E168A1">
        <w:rPr>
          <w:rFonts w:ascii="Times New Roman" w:hAnsi="Times New Roman"/>
        </w:rPr>
        <w:t>between</w:t>
      </w:r>
      <w:r w:rsidRPr="00E168A1">
        <w:rPr>
          <w:rFonts w:ascii="Times New Roman" w:hAnsi="Times New Roman"/>
        </w:rPr>
        <w:t xml:space="preserve"> </w:t>
      </w:r>
      <w:r w:rsidR="00837F94" w:rsidRPr="00E168A1">
        <w:rPr>
          <w:rFonts w:ascii="Times New Roman" w:hAnsi="Times New Roman"/>
        </w:rPr>
        <w:t>the</w:t>
      </w:r>
      <w:r w:rsidRPr="00E168A1">
        <w:rPr>
          <w:rFonts w:ascii="Times New Roman" w:hAnsi="Times New Roman"/>
        </w:rPr>
        <w:t xml:space="preserve"> </w:t>
      </w:r>
      <w:r w:rsidR="00837F94" w:rsidRPr="00E168A1">
        <w:rPr>
          <w:rFonts w:ascii="Times New Roman" w:hAnsi="Times New Roman"/>
        </w:rPr>
        <w:t>competent</w:t>
      </w:r>
      <w:r w:rsidRPr="00E168A1">
        <w:rPr>
          <w:rFonts w:ascii="Times New Roman" w:hAnsi="Times New Roman"/>
        </w:rPr>
        <w:t xml:space="preserve"> </w:t>
      </w:r>
      <w:r w:rsidR="00837F94" w:rsidRPr="00E168A1">
        <w:rPr>
          <w:rFonts w:ascii="Times New Roman" w:hAnsi="Times New Roman"/>
        </w:rPr>
        <w:t>institutions.</w:t>
      </w:r>
      <w:r w:rsidRPr="00E168A1">
        <w:rPr>
          <w:rFonts w:ascii="Times New Roman" w:hAnsi="Times New Roman"/>
        </w:rPr>
        <w:t xml:space="preserve"> </w:t>
      </w:r>
      <w:r w:rsidR="00837F94" w:rsidRPr="00E168A1">
        <w:rPr>
          <w:rFonts w:ascii="Times New Roman" w:hAnsi="Times New Roman"/>
        </w:rPr>
        <w:t>In</w:t>
      </w:r>
      <w:r w:rsidRPr="00E168A1">
        <w:rPr>
          <w:rFonts w:ascii="Times New Roman" w:hAnsi="Times New Roman"/>
        </w:rPr>
        <w:t xml:space="preserve"> </w:t>
      </w:r>
      <w:r w:rsidR="00837F94" w:rsidRPr="00E168A1">
        <w:rPr>
          <w:rFonts w:ascii="Times New Roman" w:hAnsi="Times New Roman"/>
        </w:rPr>
        <w:t>March</w:t>
      </w:r>
      <w:r w:rsidRPr="00E168A1">
        <w:rPr>
          <w:rFonts w:ascii="Times New Roman" w:hAnsi="Times New Roman"/>
        </w:rPr>
        <w:t xml:space="preserve"> </w:t>
      </w:r>
      <w:r w:rsidR="00837F94" w:rsidRPr="00E168A1">
        <w:rPr>
          <w:rFonts w:ascii="Times New Roman" w:hAnsi="Times New Roman"/>
        </w:rPr>
        <w:t>2014,</w:t>
      </w:r>
      <w:r w:rsidRPr="00E168A1">
        <w:rPr>
          <w:rFonts w:ascii="Times New Roman" w:hAnsi="Times New Roman"/>
        </w:rPr>
        <w:t xml:space="preserve"> </w:t>
      </w:r>
      <w:r w:rsidR="00005D7A" w:rsidRPr="00E168A1">
        <w:rPr>
          <w:rFonts w:ascii="Times New Roman" w:hAnsi="Times New Roman"/>
        </w:rPr>
        <w:t>a m</w:t>
      </w:r>
      <w:r w:rsidR="00837F94" w:rsidRPr="00E168A1">
        <w:rPr>
          <w:rFonts w:ascii="Times New Roman" w:hAnsi="Times New Roman"/>
        </w:rPr>
        <w:t>emorandum</w:t>
      </w:r>
      <w:r w:rsidRPr="00E168A1">
        <w:rPr>
          <w:rFonts w:ascii="Times New Roman" w:hAnsi="Times New Roman"/>
        </w:rPr>
        <w:t xml:space="preserve"> </w:t>
      </w:r>
      <w:r w:rsidR="00837F94" w:rsidRPr="00E168A1">
        <w:rPr>
          <w:rFonts w:ascii="Times New Roman" w:hAnsi="Times New Roman"/>
        </w:rPr>
        <w:t>on</w:t>
      </w:r>
      <w:r w:rsidRPr="00E168A1">
        <w:rPr>
          <w:rFonts w:ascii="Times New Roman" w:hAnsi="Times New Roman"/>
        </w:rPr>
        <w:t xml:space="preserve"> </w:t>
      </w:r>
      <w:r w:rsidR="00005D7A" w:rsidRPr="00E168A1">
        <w:rPr>
          <w:rFonts w:ascii="Times New Roman" w:hAnsi="Times New Roman"/>
        </w:rPr>
        <w:t>c</w:t>
      </w:r>
      <w:r w:rsidR="00837F94" w:rsidRPr="00E168A1">
        <w:rPr>
          <w:rFonts w:ascii="Times New Roman" w:hAnsi="Times New Roman"/>
        </w:rPr>
        <w:t>ooperation</w:t>
      </w:r>
      <w:r w:rsidRPr="00E168A1">
        <w:rPr>
          <w:rFonts w:ascii="Times New Roman" w:hAnsi="Times New Roman"/>
        </w:rPr>
        <w:t xml:space="preserve"> </w:t>
      </w:r>
      <w:r w:rsidR="00837F94" w:rsidRPr="00E168A1">
        <w:rPr>
          <w:rFonts w:ascii="Times New Roman" w:hAnsi="Times New Roman"/>
        </w:rPr>
        <w:t>has</w:t>
      </w:r>
      <w:r w:rsidRPr="00E168A1">
        <w:rPr>
          <w:rFonts w:ascii="Times New Roman" w:hAnsi="Times New Roman"/>
        </w:rPr>
        <w:t xml:space="preserve"> </w:t>
      </w:r>
      <w:r w:rsidR="00837F94" w:rsidRPr="00E168A1">
        <w:rPr>
          <w:rFonts w:ascii="Times New Roman" w:hAnsi="Times New Roman"/>
        </w:rPr>
        <w:t>been</w:t>
      </w:r>
      <w:r w:rsidRPr="00E168A1">
        <w:rPr>
          <w:rFonts w:ascii="Times New Roman" w:hAnsi="Times New Roman"/>
        </w:rPr>
        <w:t xml:space="preserve"> </w:t>
      </w:r>
      <w:r w:rsidR="00837F94" w:rsidRPr="00E168A1">
        <w:rPr>
          <w:rFonts w:ascii="Times New Roman" w:hAnsi="Times New Roman"/>
        </w:rPr>
        <w:t>concluded</w:t>
      </w:r>
      <w:r w:rsidRPr="00E168A1">
        <w:rPr>
          <w:rFonts w:ascii="Times New Roman" w:hAnsi="Times New Roman"/>
        </w:rPr>
        <w:t xml:space="preserve"> </w:t>
      </w:r>
      <w:r w:rsidR="00837F94" w:rsidRPr="00E168A1">
        <w:rPr>
          <w:rFonts w:ascii="Times New Roman" w:hAnsi="Times New Roman"/>
        </w:rPr>
        <w:t>between</w:t>
      </w:r>
      <w:r w:rsidRPr="00E168A1">
        <w:rPr>
          <w:rFonts w:ascii="Times New Roman" w:hAnsi="Times New Roman"/>
        </w:rPr>
        <w:t xml:space="preserve"> </w:t>
      </w:r>
      <w:r w:rsidR="00837F94" w:rsidRPr="00E168A1">
        <w:rPr>
          <w:rFonts w:ascii="Times New Roman" w:hAnsi="Times New Roman"/>
        </w:rPr>
        <w:t>the</w:t>
      </w:r>
      <w:r w:rsidRPr="00E168A1">
        <w:rPr>
          <w:rFonts w:ascii="Times New Roman" w:hAnsi="Times New Roman"/>
        </w:rPr>
        <w:t xml:space="preserve"> </w:t>
      </w:r>
      <w:r w:rsidR="00837F94" w:rsidRPr="00E168A1">
        <w:rPr>
          <w:rFonts w:ascii="Times New Roman" w:hAnsi="Times New Roman"/>
        </w:rPr>
        <w:t>SAI,</w:t>
      </w:r>
      <w:r w:rsidRPr="00E168A1">
        <w:rPr>
          <w:rFonts w:ascii="Times New Roman" w:hAnsi="Times New Roman"/>
        </w:rPr>
        <w:t xml:space="preserve"> </w:t>
      </w:r>
      <w:r w:rsidR="005F3BAA" w:rsidRPr="00E168A1">
        <w:rPr>
          <w:rFonts w:ascii="Times New Roman" w:hAnsi="Times New Roman"/>
        </w:rPr>
        <w:t>PPO</w:t>
      </w:r>
      <w:r w:rsidR="00837F94" w:rsidRPr="00E168A1">
        <w:rPr>
          <w:rFonts w:ascii="Times New Roman" w:hAnsi="Times New Roman"/>
        </w:rPr>
        <w:t>,</w:t>
      </w:r>
      <w:r w:rsidRPr="00E168A1">
        <w:rPr>
          <w:rFonts w:ascii="Times New Roman" w:hAnsi="Times New Roman"/>
        </w:rPr>
        <w:t xml:space="preserve"> </w:t>
      </w:r>
      <w:r w:rsidR="0098242C" w:rsidRPr="00E168A1">
        <w:rPr>
          <w:rFonts w:ascii="Times New Roman" w:eastAsiaTheme="minorHAnsi" w:hAnsi="Times New Roman"/>
        </w:rPr>
        <w:t>RC</w:t>
      </w:r>
      <w:r w:rsidR="00837F94" w:rsidRPr="00E168A1">
        <w:rPr>
          <w:rFonts w:ascii="Times New Roman" w:hAnsi="Times New Roman"/>
        </w:rPr>
        <w:t>,</w:t>
      </w:r>
      <w:r w:rsidRPr="00E168A1">
        <w:rPr>
          <w:rFonts w:ascii="Times New Roman" w:hAnsi="Times New Roman"/>
        </w:rPr>
        <w:t xml:space="preserve"> </w:t>
      </w:r>
      <w:r w:rsidR="00A77BC5" w:rsidRPr="00E168A1">
        <w:rPr>
          <w:rFonts w:ascii="Times New Roman" w:hAnsi="Times New Roman"/>
        </w:rPr>
        <w:t>MoF</w:t>
      </w:r>
      <w:r w:rsidR="00837F94" w:rsidRPr="00E168A1">
        <w:rPr>
          <w:rFonts w:ascii="Times New Roman" w:hAnsi="Times New Roman"/>
        </w:rPr>
        <w:t>,</w:t>
      </w:r>
      <w:r w:rsidRPr="00E168A1">
        <w:rPr>
          <w:rFonts w:ascii="Times New Roman" w:hAnsi="Times New Roman"/>
        </w:rPr>
        <w:t xml:space="preserve"> </w:t>
      </w:r>
      <w:r w:rsidR="00837F94" w:rsidRPr="00E168A1">
        <w:rPr>
          <w:rFonts w:ascii="Times New Roman" w:hAnsi="Times New Roman"/>
        </w:rPr>
        <w:t>Ministry</w:t>
      </w:r>
      <w:r w:rsidRPr="00E168A1">
        <w:rPr>
          <w:rFonts w:ascii="Times New Roman" w:hAnsi="Times New Roman"/>
        </w:rPr>
        <w:t xml:space="preserve"> </w:t>
      </w:r>
      <w:r w:rsidR="00837F94" w:rsidRPr="00E168A1">
        <w:rPr>
          <w:rFonts w:ascii="Times New Roman" w:hAnsi="Times New Roman"/>
        </w:rPr>
        <w:t>of</w:t>
      </w:r>
      <w:r w:rsidRPr="00E168A1">
        <w:rPr>
          <w:rFonts w:ascii="Times New Roman" w:hAnsi="Times New Roman"/>
        </w:rPr>
        <w:t xml:space="preserve"> </w:t>
      </w:r>
      <w:r w:rsidR="00837F94" w:rsidRPr="00E168A1">
        <w:rPr>
          <w:rFonts w:ascii="Times New Roman" w:hAnsi="Times New Roman"/>
        </w:rPr>
        <w:t>Economy,</w:t>
      </w:r>
      <w:r w:rsidRPr="00E168A1">
        <w:rPr>
          <w:rFonts w:ascii="Times New Roman" w:hAnsi="Times New Roman"/>
        </w:rPr>
        <w:t xml:space="preserve"> </w:t>
      </w:r>
      <w:r w:rsidR="0098242C" w:rsidRPr="00E168A1">
        <w:rPr>
          <w:rFonts w:ascii="Times New Roman" w:hAnsi="Times New Roman"/>
        </w:rPr>
        <w:t>ACA</w:t>
      </w:r>
      <w:r w:rsidR="00837F94" w:rsidRPr="00E168A1">
        <w:rPr>
          <w:rFonts w:ascii="Times New Roman" w:hAnsi="Times New Roman"/>
        </w:rPr>
        <w:t>,</w:t>
      </w:r>
      <w:r w:rsidRPr="00E168A1">
        <w:rPr>
          <w:rFonts w:ascii="Times New Roman" w:hAnsi="Times New Roman"/>
        </w:rPr>
        <w:t xml:space="preserve"> </w:t>
      </w:r>
      <w:r w:rsidR="00837F94" w:rsidRPr="00E168A1">
        <w:rPr>
          <w:rFonts w:ascii="Times New Roman" w:hAnsi="Times New Roman"/>
        </w:rPr>
        <w:t>Anti</w:t>
      </w:r>
      <w:r w:rsidR="0098242C" w:rsidRPr="00E168A1">
        <w:rPr>
          <w:rFonts w:ascii="Times New Roman" w:hAnsi="Times New Roman"/>
        </w:rPr>
        <w:t>c</w:t>
      </w:r>
      <w:r w:rsidR="00837F94" w:rsidRPr="00E168A1">
        <w:rPr>
          <w:rFonts w:ascii="Times New Roman" w:hAnsi="Times New Roman"/>
        </w:rPr>
        <w:t>orruption</w:t>
      </w:r>
      <w:r w:rsidRPr="00E168A1">
        <w:rPr>
          <w:rFonts w:ascii="Times New Roman" w:hAnsi="Times New Roman"/>
        </w:rPr>
        <w:t xml:space="preserve"> </w:t>
      </w:r>
      <w:r w:rsidR="00837F94" w:rsidRPr="00E168A1">
        <w:rPr>
          <w:rFonts w:ascii="Times New Roman" w:hAnsi="Times New Roman"/>
        </w:rPr>
        <w:t>Council</w:t>
      </w:r>
      <w:r w:rsidR="00005D7A" w:rsidRPr="00E168A1">
        <w:rPr>
          <w:rFonts w:ascii="Times New Roman" w:hAnsi="Times New Roman"/>
        </w:rPr>
        <w:t>,</w:t>
      </w:r>
      <w:r w:rsidRPr="00E168A1">
        <w:rPr>
          <w:rFonts w:ascii="Times New Roman" w:hAnsi="Times New Roman"/>
        </w:rPr>
        <w:t xml:space="preserve"> </w:t>
      </w:r>
      <w:r w:rsidR="00837F94" w:rsidRPr="00E168A1">
        <w:rPr>
          <w:rFonts w:ascii="Times New Roman" w:hAnsi="Times New Roman"/>
        </w:rPr>
        <w:t>and</w:t>
      </w:r>
      <w:r w:rsidRPr="00E168A1">
        <w:rPr>
          <w:rFonts w:ascii="Times New Roman" w:hAnsi="Times New Roman"/>
        </w:rPr>
        <w:t xml:space="preserve"> </w:t>
      </w:r>
      <w:r w:rsidR="00837F94" w:rsidRPr="00E168A1">
        <w:rPr>
          <w:rFonts w:ascii="Times New Roman" w:hAnsi="Times New Roman"/>
        </w:rPr>
        <w:t>Commission</w:t>
      </w:r>
      <w:r w:rsidRPr="00E168A1">
        <w:rPr>
          <w:rFonts w:ascii="Times New Roman" w:hAnsi="Times New Roman"/>
        </w:rPr>
        <w:t xml:space="preserve"> </w:t>
      </w:r>
      <w:r w:rsidR="00837F94" w:rsidRPr="00E168A1">
        <w:rPr>
          <w:rFonts w:ascii="Times New Roman" w:hAnsi="Times New Roman"/>
        </w:rPr>
        <w:t>for</w:t>
      </w:r>
      <w:r w:rsidRPr="00E168A1">
        <w:rPr>
          <w:rFonts w:ascii="Times New Roman" w:hAnsi="Times New Roman"/>
        </w:rPr>
        <w:t xml:space="preserve"> </w:t>
      </w:r>
      <w:r w:rsidR="00837F94" w:rsidRPr="00E168A1">
        <w:rPr>
          <w:rFonts w:ascii="Times New Roman" w:hAnsi="Times New Roman"/>
        </w:rPr>
        <w:t>Protection</w:t>
      </w:r>
      <w:r w:rsidRPr="00E168A1">
        <w:rPr>
          <w:rFonts w:ascii="Times New Roman" w:hAnsi="Times New Roman"/>
        </w:rPr>
        <w:t xml:space="preserve"> </w:t>
      </w:r>
      <w:r w:rsidR="00837F94" w:rsidRPr="00E168A1">
        <w:rPr>
          <w:rFonts w:ascii="Times New Roman" w:hAnsi="Times New Roman"/>
        </w:rPr>
        <w:t>of</w:t>
      </w:r>
      <w:r w:rsidRPr="00E168A1">
        <w:rPr>
          <w:rFonts w:ascii="Times New Roman" w:hAnsi="Times New Roman"/>
        </w:rPr>
        <w:t xml:space="preserve"> </w:t>
      </w:r>
      <w:r w:rsidR="00837F94" w:rsidRPr="00E168A1">
        <w:rPr>
          <w:rFonts w:ascii="Times New Roman" w:hAnsi="Times New Roman"/>
        </w:rPr>
        <w:t>Competition,</w:t>
      </w:r>
      <w:r w:rsidRPr="00E168A1">
        <w:rPr>
          <w:rFonts w:ascii="Times New Roman" w:hAnsi="Times New Roman"/>
        </w:rPr>
        <w:t xml:space="preserve"> </w:t>
      </w:r>
      <w:r w:rsidR="00837F94" w:rsidRPr="00E168A1">
        <w:rPr>
          <w:rFonts w:ascii="Times New Roman" w:hAnsi="Times New Roman"/>
        </w:rPr>
        <w:t>which</w:t>
      </w:r>
      <w:r w:rsidRPr="00E168A1">
        <w:rPr>
          <w:rFonts w:ascii="Times New Roman" w:hAnsi="Times New Roman"/>
        </w:rPr>
        <w:t xml:space="preserve"> </w:t>
      </w:r>
      <w:r w:rsidR="00837F94" w:rsidRPr="00E168A1">
        <w:rPr>
          <w:rFonts w:ascii="Times New Roman" w:hAnsi="Times New Roman"/>
        </w:rPr>
        <w:t>regulates</w:t>
      </w:r>
      <w:r w:rsidRPr="00E168A1">
        <w:rPr>
          <w:rFonts w:ascii="Times New Roman" w:hAnsi="Times New Roman"/>
        </w:rPr>
        <w:t xml:space="preserve"> </w:t>
      </w:r>
      <w:r w:rsidR="00837F94" w:rsidRPr="00E168A1">
        <w:rPr>
          <w:rFonts w:ascii="Times New Roman" w:hAnsi="Times New Roman"/>
        </w:rPr>
        <w:t>the</w:t>
      </w:r>
      <w:r w:rsidRPr="00E168A1">
        <w:rPr>
          <w:rFonts w:ascii="Times New Roman" w:hAnsi="Times New Roman"/>
        </w:rPr>
        <w:t xml:space="preserve"> </w:t>
      </w:r>
      <w:r w:rsidR="00837F94" w:rsidRPr="00E168A1">
        <w:rPr>
          <w:rFonts w:ascii="Times New Roman" w:hAnsi="Times New Roman"/>
        </w:rPr>
        <w:t>manner</w:t>
      </w:r>
      <w:r w:rsidRPr="00E168A1">
        <w:rPr>
          <w:rFonts w:ascii="Times New Roman" w:hAnsi="Times New Roman"/>
        </w:rPr>
        <w:t xml:space="preserve"> </w:t>
      </w:r>
      <w:r w:rsidR="00837F94" w:rsidRPr="00E168A1">
        <w:rPr>
          <w:rFonts w:ascii="Times New Roman" w:hAnsi="Times New Roman"/>
        </w:rPr>
        <w:t>of</w:t>
      </w:r>
      <w:r w:rsidRPr="00E168A1">
        <w:rPr>
          <w:rFonts w:ascii="Times New Roman" w:hAnsi="Times New Roman"/>
        </w:rPr>
        <w:t xml:space="preserve"> </w:t>
      </w:r>
      <w:r w:rsidR="00837F94" w:rsidRPr="00E168A1">
        <w:rPr>
          <w:rFonts w:ascii="Times New Roman" w:hAnsi="Times New Roman"/>
        </w:rPr>
        <w:t>cooperation,</w:t>
      </w:r>
      <w:r w:rsidRPr="00E168A1">
        <w:rPr>
          <w:rFonts w:ascii="Times New Roman" w:hAnsi="Times New Roman"/>
        </w:rPr>
        <w:t xml:space="preserve"> </w:t>
      </w:r>
      <w:r w:rsidR="00837F94" w:rsidRPr="00E168A1">
        <w:rPr>
          <w:rFonts w:ascii="Times New Roman" w:hAnsi="Times New Roman"/>
        </w:rPr>
        <w:t>coordination</w:t>
      </w:r>
      <w:r w:rsidR="0091507F" w:rsidRPr="00E168A1">
        <w:rPr>
          <w:rFonts w:ascii="Times New Roman" w:hAnsi="Times New Roman"/>
        </w:rPr>
        <w:t>,</w:t>
      </w:r>
      <w:r w:rsidRPr="00E168A1">
        <w:rPr>
          <w:rFonts w:ascii="Times New Roman" w:hAnsi="Times New Roman"/>
        </w:rPr>
        <w:t xml:space="preserve"> </w:t>
      </w:r>
      <w:r w:rsidR="00837F94" w:rsidRPr="00E168A1">
        <w:rPr>
          <w:rFonts w:ascii="Times New Roman" w:hAnsi="Times New Roman"/>
        </w:rPr>
        <w:t>and</w:t>
      </w:r>
      <w:r w:rsidRPr="00E168A1">
        <w:rPr>
          <w:rFonts w:ascii="Times New Roman" w:hAnsi="Times New Roman"/>
        </w:rPr>
        <w:t xml:space="preserve"> </w:t>
      </w:r>
      <w:r w:rsidR="00837F94" w:rsidRPr="00E168A1">
        <w:rPr>
          <w:rFonts w:ascii="Times New Roman" w:hAnsi="Times New Roman"/>
        </w:rPr>
        <w:t>data</w:t>
      </w:r>
      <w:r w:rsidRPr="00E168A1">
        <w:rPr>
          <w:rFonts w:ascii="Times New Roman" w:hAnsi="Times New Roman"/>
        </w:rPr>
        <w:t xml:space="preserve"> </w:t>
      </w:r>
      <w:r w:rsidR="00837F94" w:rsidRPr="00E168A1">
        <w:rPr>
          <w:rFonts w:ascii="Times New Roman" w:hAnsi="Times New Roman"/>
        </w:rPr>
        <w:t>exchange</w:t>
      </w:r>
      <w:r w:rsidRPr="00E168A1">
        <w:rPr>
          <w:rFonts w:ascii="Times New Roman" w:hAnsi="Times New Roman"/>
        </w:rPr>
        <w:t xml:space="preserve"> </w:t>
      </w:r>
      <w:r w:rsidR="00837F94" w:rsidRPr="00E168A1">
        <w:rPr>
          <w:rFonts w:ascii="Times New Roman" w:hAnsi="Times New Roman"/>
        </w:rPr>
        <w:t>in</w:t>
      </w:r>
      <w:r w:rsidRPr="00E168A1">
        <w:rPr>
          <w:rFonts w:ascii="Times New Roman" w:hAnsi="Times New Roman"/>
        </w:rPr>
        <w:t xml:space="preserve"> </w:t>
      </w:r>
      <w:r w:rsidR="00837F94" w:rsidRPr="00E168A1">
        <w:rPr>
          <w:rFonts w:ascii="Times New Roman" w:hAnsi="Times New Roman"/>
        </w:rPr>
        <w:t>the</w:t>
      </w:r>
      <w:r w:rsidRPr="00E168A1">
        <w:rPr>
          <w:rFonts w:ascii="Times New Roman" w:hAnsi="Times New Roman"/>
        </w:rPr>
        <w:t xml:space="preserve"> </w:t>
      </w:r>
      <w:r w:rsidR="00837F94" w:rsidRPr="00E168A1">
        <w:rPr>
          <w:rFonts w:ascii="Times New Roman" w:hAnsi="Times New Roman"/>
        </w:rPr>
        <w:t>field</w:t>
      </w:r>
      <w:r w:rsidRPr="00E168A1">
        <w:rPr>
          <w:rFonts w:ascii="Times New Roman" w:hAnsi="Times New Roman"/>
        </w:rPr>
        <w:t xml:space="preserve"> </w:t>
      </w:r>
      <w:r w:rsidR="00837F94" w:rsidRPr="00E168A1">
        <w:rPr>
          <w:rFonts w:ascii="Times New Roman" w:hAnsi="Times New Roman"/>
        </w:rPr>
        <w:t>of</w:t>
      </w:r>
      <w:r w:rsidRPr="00E168A1">
        <w:rPr>
          <w:rFonts w:ascii="Times New Roman" w:hAnsi="Times New Roman"/>
        </w:rPr>
        <w:t xml:space="preserve"> </w:t>
      </w:r>
      <w:r w:rsidR="00837F94" w:rsidRPr="00E168A1">
        <w:rPr>
          <w:rFonts w:ascii="Times New Roman" w:hAnsi="Times New Roman"/>
        </w:rPr>
        <w:t>anticorruption.</w:t>
      </w:r>
      <w:r w:rsidRPr="00E168A1">
        <w:rPr>
          <w:rFonts w:ascii="Times New Roman" w:eastAsiaTheme="minorHAnsi" w:hAnsi="Times New Roman"/>
        </w:rPr>
        <w:t xml:space="preserve"> </w:t>
      </w:r>
      <w:r w:rsidR="00837F94" w:rsidRPr="00E168A1">
        <w:rPr>
          <w:rFonts w:ascii="Times New Roman" w:eastAsiaTheme="minorHAnsi" w:hAnsi="Times New Roman"/>
        </w:rPr>
        <w:t>It</w:t>
      </w:r>
      <w:r w:rsidRPr="00E168A1">
        <w:rPr>
          <w:rFonts w:ascii="Times New Roman" w:eastAsiaTheme="minorHAnsi" w:hAnsi="Times New Roman"/>
        </w:rPr>
        <w:t xml:space="preserve"> </w:t>
      </w:r>
      <w:r w:rsidR="00837F94" w:rsidRPr="00E168A1">
        <w:rPr>
          <w:rFonts w:ascii="Times New Roman" w:eastAsiaTheme="minorHAnsi" w:hAnsi="Times New Roman"/>
        </w:rPr>
        <w:t>is</w:t>
      </w:r>
      <w:r w:rsidRPr="00E168A1">
        <w:rPr>
          <w:rFonts w:ascii="Times New Roman" w:eastAsiaTheme="minorHAnsi" w:hAnsi="Times New Roman"/>
        </w:rPr>
        <w:t xml:space="preserve"> </w:t>
      </w:r>
      <w:r w:rsidR="00837F94" w:rsidRPr="00E168A1">
        <w:rPr>
          <w:rFonts w:ascii="Times New Roman" w:eastAsiaTheme="minorHAnsi" w:hAnsi="Times New Roman"/>
        </w:rPr>
        <w:t>too</w:t>
      </w:r>
      <w:r w:rsidRPr="00E168A1">
        <w:rPr>
          <w:rFonts w:ascii="Times New Roman" w:eastAsiaTheme="minorHAnsi" w:hAnsi="Times New Roman"/>
        </w:rPr>
        <w:t xml:space="preserve"> </w:t>
      </w:r>
      <w:r w:rsidR="00837F94" w:rsidRPr="00E168A1">
        <w:rPr>
          <w:rFonts w:ascii="Times New Roman" w:eastAsiaTheme="minorHAnsi" w:hAnsi="Times New Roman"/>
        </w:rPr>
        <w:t>early</w:t>
      </w:r>
      <w:r w:rsidRPr="00E168A1">
        <w:rPr>
          <w:rFonts w:ascii="Times New Roman" w:eastAsiaTheme="minorHAnsi" w:hAnsi="Times New Roman"/>
        </w:rPr>
        <w:t xml:space="preserve"> </w:t>
      </w:r>
      <w:r w:rsidR="00837F94" w:rsidRPr="00E168A1">
        <w:rPr>
          <w:rFonts w:ascii="Times New Roman" w:eastAsiaTheme="minorHAnsi" w:hAnsi="Times New Roman"/>
        </w:rPr>
        <w:t>to</w:t>
      </w:r>
      <w:r w:rsidRPr="00E168A1">
        <w:rPr>
          <w:rFonts w:ascii="Times New Roman" w:eastAsiaTheme="minorHAnsi" w:hAnsi="Times New Roman"/>
        </w:rPr>
        <w:t xml:space="preserve"> </w:t>
      </w:r>
      <w:r w:rsidR="00837F94" w:rsidRPr="00E168A1">
        <w:rPr>
          <w:rFonts w:ascii="Times New Roman" w:eastAsiaTheme="minorHAnsi" w:hAnsi="Times New Roman"/>
        </w:rPr>
        <w:t>assess</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results</w:t>
      </w:r>
      <w:r w:rsidRPr="00E168A1">
        <w:rPr>
          <w:rFonts w:ascii="Times New Roman" w:eastAsiaTheme="minorHAnsi" w:hAnsi="Times New Roman"/>
        </w:rPr>
        <w:t xml:space="preserve"> </w:t>
      </w:r>
      <w:r w:rsidR="00837F94" w:rsidRPr="00E168A1">
        <w:rPr>
          <w:rFonts w:ascii="Times New Roman" w:eastAsiaTheme="minorHAnsi" w:hAnsi="Times New Roman"/>
        </w:rPr>
        <w:t>of</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005D7A" w:rsidRPr="00E168A1">
        <w:rPr>
          <w:rFonts w:ascii="Times New Roman" w:eastAsiaTheme="minorHAnsi" w:hAnsi="Times New Roman"/>
        </w:rPr>
        <w:t>m</w:t>
      </w:r>
      <w:r w:rsidR="00837F94" w:rsidRPr="00E168A1">
        <w:rPr>
          <w:rFonts w:ascii="Times New Roman" w:eastAsiaTheme="minorHAnsi" w:hAnsi="Times New Roman"/>
        </w:rPr>
        <w:t>emorandum</w:t>
      </w:r>
      <w:r w:rsidRPr="00E168A1">
        <w:rPr>
          <w:rFonts w:ascii="Times New Roman" w:eastAsiaTheme="minorHAnsi" w:hAnsi="Times New Roman"/>
        </w:rPr>
        <w:t xml:space="preserve"> </w:t>
      </w:r>
      <w:r w:rsidR="00837F94" w:rsidRPr="00E168A1">
        <w:rPr>
          <w:rFonts w:ascii="Times New Roman" w:eastAsiaTheme="minorHAnsi" w:hAnsi="Times New Roman"/>
        </w:rPr>
        <w:t>and</w:t>
      </w:r>
      <w:r w:rsidRPr="00E168A1">
        <w:rPr>
          <w:rFonts w:ascii="Times New Roman" w:eastAsiaTheme="minorHAnsi" w:hAnsi="Times New Roman"/>
        </w:rPr>
        <w:t xml:space="preserve"> </w:t>
      </w:r>
      <w:r w:rsidR="00837F94" w:rsidRPr="00E168A1">
        <w:rPr>
          <w:rFonts w:ascii="Times New Roman" w:eastAsiaTheme="minorHAnsi" w:hAnsi="Times New Roman"/>
        </w:rPr>
        <w:t>how</w:t>
      </w:r>
      <w:r w:rsidRPr="00E168A1">
        <w:rPr>
          <w:rFonts w:ascii="Times New Roman" w:eastAsiaTheme="minorHAnsi" w:hAnsi="Times New Roman"/>
        </w:rPr>
        <w:t xml:space="preserve"> </w:t>
      </w:r>
      <w:r w:rsidR="00837F94" w:rsidRPr="00E168A1">
        <w:rPr>
          <w:rFonts w:ascii="Times New Roman" w:eastAsiaTheme="minorHAnsi" w:hAnsi="Times New Roman"/>
        </w:rPr>
        <w:t>it</w:t>
      </w:r>
      <w:r w:rsidRPr="00E168A1">
        <w:rPr>
          <w:rFonts w:ascii="Times New Roman" w:eastAsiaTheme="minorHAnsi" w:hAnsi="Times New Roman"/>
        </w:rPr>
        <w:t xml:space="preserve"> </w:t>
      </w:r>
      <w:r w:rsidR="00837F94" w:rsidRPr="00E168A1">
        <w:rPr>
          <w:rFonts w:ascii="Times New Roman" w:eastAsiaTheme="minorHAnsi" w:hAnsi="Times New Roman"/>
        </w:rPr>
        <w:t>addresses</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remark</w:t>
      </w:r>
      <w:r w:rsidRPr="00E168A1">
        <w:rPr>
          <w:rFonts w:ascii="Times New Roman" w:eastAsiaTheme="minorHAnsi" w:hAnsi="Times New Roman"/>
        </w:rPr>
        <w:t xml:space="preserve"> </w:t>
      </w:r>
      <w:r w:rsidR="00837F94" w:rsidRPr="00E168A1">
        <w:rPr>
          <w:rFonts w:ascii="Times New Roman" w:eastAsiaTheme="minorHAnsi" w:hAnsi="Times New Roman"/>
        </w:rPr>
        <w:t>from</w:t>
      </w:r>
      <w:r w:rsidRPr="00E168A1">
        <w:rPr>
          <w:rFonts w:ascii="Times New Roman" w:eastAsiaTheme="minorHAnsi" w:hAnsi="Times New Roman"/>
        </w:rPr>
        <w:t xml:space="preserve"> </w:t>
      </w:r>
      <w:r w:rsidR="00837F94" w:rsidRPr="00E168A1">
        <w:rPr>
          <w:rFonts w:ascii="Times New Roman" w:eastAsiaTheme="minorHAnsi" w:hAnsi="Times New Roman"/>
        </w:rPr>
        <w:t>the</w:t>
      </w:r>
      <w:r w:rsidRPr="00E168A1">
        <w:rPr>
          <w:rFonts w:ascii="Times New Roman" w:eastAsiaTheme="minorHAnsi" w:hAnsi="Times New Roman"/>
        </w:rPr>
        <w:t xml:space="preserve"> </w:t>
      </w:r>
      <w:r w:rsidR="00837F94" w:rsidRPr="00E168A1">
        <w:rPr>
          <w:rFonts w:ascii="Times New Roman" w:eastAsiaTheme="minorHAnsi" w:hAnsi="Times New Roman"/>
        </w:rPr>
        <w:t>EU</w:t>
      </w:r>
      <w:r w:rsidRPr="00E168A1">
        <w:rPr>
          <w:rFonts w:ascii="Times New Roman" w:eastAsiaTheme="minorHAnsi" w:hAnsi="Times New Roman"/>
        </w:rPr>
        <w:t xml:space="preserve"> </w:t>
      </w:r>
      <w:r w:rsidR="00837F94" w:rsidRPr="00E168A1">
        <w:rPr>
          <w:rFonts w:ascii="Times New Roman" w:eastAsiaTheme="minorHAnsi" w:hAnsi="Times New Roman"/>
        </w:rPr>
        <w:t>Screening</w:t>
      </w:r>
      <w:r w:rsidRPr="00E168A1">
        <w:rPr>
          <w:rFonts w:ascii="Times New Roman" w:eastAsiaTheme="minorHAnsi" w:hAnsi="Times New Roman"/>
        </w:rPr>
        <w:t xml:space="preserve"> </w:t>
      </w:r>
      <w:r w:rsidR="00837F94" w:rsidRPr="00E168A1">
        <w:rPr>
          <w:rFonts w:ascii="Times New Roman" w:eastAsiaTheme="minorHAnsi" w:hAnsi="Times New Roman"/>
        </w:rPr>
        <w:t>Report</w:t>
      </w:r>
      <w:r w:rsidRPr="00E168A1">
        <w:rPr>
          <w:rFonts w:ascii="Times New Roman" w:eastAsiaTheme="minorHAnsi" w:hAnsi="Times New Roman"/>
        </w:rPr>
        <w:t xml:space="preserve"> </w:t>
      </w:r>
      <w:r w:rsidR="00837F94" w:rsidRPr="00E168A1">
        <w:rPr>
          <w:rFonts w:ascii="Times New Roman" w:eastAsiaTheme="minorHAnsi" w:hAnsi="Times New Roman"/>
        </w:rPr>
        <w:t>on</w:t>
      </w:r>
      <w:r w:rsidRPr="00E168A1">
        <w:rPr>
          <w:rFonts w:ascii="Times New Roman" w:eastAsiaTheme="minorHAnsi" w:hAnsi="Times New Roman"/>
        </w:rPr>
        <w:t xml:space="preserve"> </w:t>
      </w:r>
      <w:r w:rsidR="00837F94" w:rsidRPr="00E168A1">
        <w:rPr>
          <w:rFonts w:ascii="Times New Roman" w:eastAsiaTheme="minorHAnsi" w:hAnsi="Times New Roman"/>
        </w:rPr>
        <w:t>judiciary</w:t>
      </w:r>
      <w:r w:rsidRPr="00E168A1">
        <w:rPr>
          <w:rFonts w:ascii="Times New Roman" w:eastAsiaTheme="minorHAnsi" w:hAnsi="Times New Roman"/>
        </w:rPr>
        <w:t xml:space="preserve"> </w:t>
      </w:r>
      <w:r w:rsidR="00837F94" w:rsidRPr="00E168A1">
        <w:rPr>
          <w:rFonts w:ascii="Times New Roman" w:eastAsiaTheme="minorHAnsi" w:hAnsi="Times New Roman"/>
        </w:rPr>
        <w:t>which</w:t>
      </w:r>
      <w:r w:rsidRPr="00E168A1">
        <w:rPr>
          <w:rFonts w:ascii="Times New Roman" w:eastAsiaTheme="minorHAnsi" w:hAnsi="Times New Roman"/>
        </w:rPr>
        <w:t xml:space="preserve"> </w:t>
      </w:r>
      <w:r w:rsidR="00837F94" w:rsidRPr="00E168A1">
        <w:rPr>
          <w:rFonts w:ascii="Times New Roman" w:eastAsiaTheme="minorHAnsi" w:hAnsi="Times New Roman"/>
        </w:rPr>
        <w:t>states</w:t>
      </w:r>
      <w:r w:rsidRPr="00E168A1">
        <w:rPr>
          <w:rFonts w:ascii="Times New Roman" w:eastAsiaTheme="minorHAnsi" w:hAnsi="Times New Roman"/>
        </w:rPr>
        <w:t xml:space="preserve"> </w:t>
      </w:r>
      <w:r w:rsidR="00837F94" w:rsidRPr="00E168A1">
        <w:rPr>
          <w:rFonts w:ascii="Times New Roman" w:eastAsiaTheme="minorHAnsi" w:hAnsi="Times New Roman"/>
        </w:rPr>
        <w:t>that</w:t>
      </w:r>
      <w:r w:rsidRPr="00E168A1">
        <w:rPr>
          <w:rFonts w:ascii="Times New Roman" w:eastAsiaTheme="minorHAnsi" w:hAnsi="Times New Roman"/>
        </w:rPr>
        <w:t xml:space="preserve"> </w:t>
      </w:r>
      <w:r w:rsidR="00837F94" w:rsidRPr="00E168A1">
        <w:rPr>
          <w:rFonts w:ascii="Times New Roman" w:eastAsiaTheme="minorHAnsi" w:hAnsi="Times New Roman"/>
        </w:rPr>
        <w:t>“inter-agency</w:t>
      </w:r>
      <w:r w:rsidRPr="00E168A1">
        <w:rPr>
          <w:rFonts w:ascii="Times New Roman" w:eastAsiaTheme="minorHAnsi" w:hAnsi="Times New Roman"/>
        </w:rPr>
        <w:t xml:space="preserve"> </w:t>
      </w:r>
      <w:r w:rsidR="00837F94" w:rsidRPr="00E168A1">
        <w:rPr>
          <w:rFonts w:ascii="Times New Roman" w:eastAsiaTheme="minorHAnsi" w:hAnsi="Times New Roman"/>
        </w:rPr>
        <w:t>cooperation</w:t>
      </w:r>
      <w:r w:rsidRPr="00E168A1">
        <w:rPr>
          <w:rFonts w:ascii="Times New Roman" w:eastAsiaTheme="minorHAnsi" w:hAnsi="Times New Roman"/>
        </w:rPr>
        <w:t xml:space="preserve"> </w:t>
      </w:r>
      <w:r w:rsidR="00837F94" w:rsidRPr="00E168A1">
        <w:rPr>
          <w:rFonts w:ascii="Times New Roman" w:eastAsiaTheme="minorHAnsi" w:hAnsi="Times New Roman"/>
        </w:rPr>
        <w:t>has</w:t>
      </w:r>
      <w:r w:rsidRPr="00E168A1">
        <w:rPr>
          <w:rFonts w:ascii="Times New Roman" w:eastAsiaTheme="minorHAnsi" w:hAnsi="Times New Roman"/>
        </w:rPr>
        <w:t xml:space="preserve"> </w:t>
      </w:r>
      <w:r w:rsidR="00837F94" w:rsidRPr="00E168A1">
        <w:rPr>
          <w:rFonts w:ascii="Times New Roman" w:eastAsiaTheme="minorHAnsi" w:hAnsi="Times New Roman"/>
        </w:rPr>
        <w:t>improved</w:t>
      </w:r>
      <w:r w:rsidRPr="00E168A1">
        <w:rPr>
          <w:rFonts w:ascii="Times New Roman" w:eastAsiaTheme="minorHAnsi" w:hAnsi="Times New Roman"/>
        </w:rPr>
        <w:t xml:space="preserve"> </w:t>
      </w:r>
      <w:r w:rsidR="00837F94" w:rsidRPr="00E168A1">
        <w:rPr>
          <w:rFonts w:ascii="Times New Roman" w:eastAsiaTheme="minorHAnsi" w:hAnsi="Times New Roman"/>
        </w:rPr>
        <w:t>to</w:t>
      </w:r>
      <w:r w:rsidRPr="00E168A1">
        <w:rPr>
          <w:rFonts w:ascii="Times New Roman" w:eastAsiaTheme="minorHAnsi" w:hAnsi="Times New Roman"/>
        </w:rPr>
        <w:t xml:space="preserve"> </w:t>
      </w:r>
      <w:r w:rsidR="00837F94" w:rsidRPr="00E168A1">
        <w:rPr>
          <w:rFonts w:ascii="Times New Roman" w:eastAsiaTheme="minorHAnsi" w:hAnsi="Times New Roman"/>
        </w:rPr>
        <w:t>a</w:t>
      </w:r>
      <w:r w:rsidRPr="00E168A1">
        <w:rPr>
          <w:rFonts w:ascii="Times New Roman" w:eastAsiaTheme="minorHAnsi" w:hAnsi="Times New Roman"/>
        </w:rPr>
        <w:t xml:space="preserve"> </w:t>
      </w:r>
      <w:r w:rsidR="00837F94" w:rsidRPr="00E168A1">
        <w:rPr>
          <w:rFonts w:ascii="Times New Roman" w:eastAsiaTheme="minorHAnsi" w:hAnsi="Times New Roman"/>
        </w:rPr>
        <w:t>certain</w:t>
      </w:r>
      <w:r w:rsidRPr="00E168A1">
        <w:rPr>
          <w:rFonts w:ascii="Times New Roman" w:eastAsiaTheme="minorHAnsi" w:hAnsi="Times New Roman"/>
        </w:rPr>
        <w:t xml:space="preserve"> </w:t>
      </w:r>
      <w:r w:rsidR="00837F94" w:rsidRPr="00E168A1">
        <w:rPr>
          <w:rFonts w:ascii="Times New Roman" w:eastAsiaTheme="minorHAnsi" w:hAnsi="Times New Roman"/>
        </w:rPr>
        <w:t>extent,</w:t>
      </w:r>
      <w:r w:rsidRPr="00E168A1">
        <w:rPr>
          <w:rFonts w:ascii="Times New Roman" w:eastAsiaTheme="minorHAnsi" w:hAnsi="Times New Roman"/>
        </w:rPr>
        <w:t xml:space="preserve"> </w:t>
      </w:r>
      <w:r w:rsidR="00837F94" w:rsidRPr="00E168A1">
        <w:rPr>
          <w:rFonts w:ascii="Times New Roman" w:eastAsiaTheme="minorHAnsi" w:hAnsi="Times New Roman"/>
        </w:rPr>
        <w:t>but</w:t>
      </w:r>
      <w:r w:rsidRPr="00E168A1">
        <w:rPr>
          <w:rFonts w:ascii="Times New Roman" w:eastAsiaTheme="minorHAnsi" w:hAnsi="Times New Roman"/>
        </w:rPr>
        <w:t xml:space="preserve"> </w:t>
      </w:r>
      <w:r w:rsidR="00837F94" w:rsidRPr="00E168A1">
        <w:rPr>
          <w:rFonts w:ascii="Times New Roman" w:eastAsiaTheme="minorHAnsi" w:hAnsi="Times New Roman"/>
        </w:rPr>
        <w:t>needs</w:t>
      </w:r>
      <w:r w:rsidRPr="00E168A1">
        <w:rPr>
          <w:rFonts w:ascii="Times New Roman" w:eastAsiaTheme="minorHAnsi" w:hAnsi="Times New Roman"/>
        </w:rPr>
        <w:t xml:space="preserve"> </w:t>
      </w:r>
      <w:r w:rsidR="00837F94" w:rsidRPr="00E168A1">
        <w:rPr>
          <w:rFonts w:ascii="Times New Roman" w:eastAsiaTheme="minorHAnsi" w:hAnsi="Times New Roman"/>
        </w:rPr>
        <w:t>to</w:t>
      </w:r>
      <w:r w:rsidRPr="00E168A1">
        <w:rPr>
          <w:rFonts w:ascii="Times New Roman" w:eastAsiaTheme="minorHAnsi" w:hAnsi="Times New Roman"/>
        </w:rPr>
        <w:t xml:space="preserve"> </w:t>
      </w:r>
      <w:r w:rsidR="00837F94" w:rsidRPr="00E168A1">
        <w:rPr>
          <w:rFonts w:ascii="Times New Roman" w:eastAsiaTheme="minorHAnsi" w:hAnsi="Times New Roman"/>
        </w:rPr>
        <w:t>be</w:t>
      </w:r>
      <w:r w:rsidRPr="00E168A1">
        <w:rPr>
          <w:rFonts w:ascii="Times New Roman" w:eastAsiaTheme="minorHAnsi" w:hAnsi="Times New Roman"/>
        </w:rPr>
        <w:t xml:space="preserve"> </w:t>
      </w:r>
      <w:r w:rsidR="00837F94" w:rsidRPr="00E168A1">
        <w:rPr>
          <w:rFonts w:ascii="Times New Roman" w:eastAsiaTheme="minorHAnsi" w:hAnsi="Times New Roman"/>
        </w:rPr>
        <w:t>further</w:t>
      </w:r>
      <w:r w:rsidRPr="00E168A1">
        <w:rPr>
          <w:rFonts w:ascii="Times New Roman" w:eastAsiaTheme="minorHAnsi" w:hAnsi="Times New Roman"/>
        </w:rPr>
        <w:t xml:space="preserve"> </w:t>
      </w:r>
      <w:r w:rsidR="00837F94" w:rsidRPr="00E168A1">
        <w:rPr>
          <w:rFonts w:ascii="Times New Roman" w:eastAsiaTheme="minorHAnsi" w:hAnsi="Times New Roman"/>
        </w:rPr>
        <w:t>developed.</w:t>
      </w:r>
      <w:r w:rsidRPr="00E168A1">
        <w:rPr>
          <w:rFonts w:ascii="Times New Roman" w:eastAsiaTheme="minorHAnsi" w:hAnsi="Times New Roman"/>
        </w:rPr>
        <w:t xml:space="preserve"> </w:t>
      </w:r>
      <w:r w:rsidR="00837F94" w:rsidRPr="00E168A1">
        <w:rPr>
          <w:rFonts w:ascii="Times New Roman" w:eastAsiaTheme="minorHAnsi" w:hAnsi="Times New Roman"/>
        </w:rPr>
        <w:t>In</w:t>
      </w:r>
      <w:r w:rsidRPr="00E168A1">
        <w:rPr>
          <w:rFonts w:ascii="Times New Roman" w:eastAsiaTheme="minorHAnsi" w:hAnsi="Times New Roman"/>
        </w:rPr>
        <w:t xml:space="preserve"> </w:t>
      </w:r>
      <w:r w:rsidR="00837F94" w:rsidRPr="00E168A1">
        <w:rPr>
          <w:rFonts w:ascii="Times New Roman" w:eastAsiaTheme="minorHAnsi" w:hAnsi="Times New Roman"/>
        </w:rPr>
        <w:t>particular,</w:t>
      </w:r>
      <w:r w:rsidRPr="00E168A1">
        <w:rPr>
          <w:rFonts w:ascii="Times New Roman" w:eastAsiaTheme="minorHAnsi" w:hAnsi="Times New Roman"/>
        </w:rPr>
        <w:t xml:space="preserve"> </w:t>
      </w:r>
      <w:r w:rsidR="00837F94" w:rsidRPr="00E168A1">
        <w:rPr>
          <w:rFonts w:ascii="Times New Roman" w:eastAsiaTheme="minorHAnsi" w:hAnsi="Times New Roman"/>
        </w:rPr>
        <w:t>databases</w:t>
      </w:r>
      <w:r w:rsidRPr="00E168A1">
        <w:rPr>
          <w:rFonts w:ascii="Times New Roman" w:eastAsiaTheme="minorHAnsi" w:hAnsi="Times New Roman"/>
        </w:rPr>
        <w:t xml:space="preserve"> </w:t>
      </w:r>
      <w:r w:rsidR="00837F94" w:rsidRPr="00E168A1">
        <w:rPr>
          <w:rFonts w:ascii="Times New Roman" w:eastAsiaTheme="minorHAnsi" w:hAnsi="Times New Roman"/>
        </w:rPr>
        <w:t>should</w:t>
      </w:r>
      <w:r w:rsidRPr="00E168A1">
        <w:rPr>
          <w:rFonts w:ascii="Times New Roman" w:eastAsiaTheme="minorHAnsi" w:hAnsi="Times New Roman"/>
        </w:rPr>
        <w:t xml:space="preserve"> </w:t>
      </w:r>
      <w:r w:rsidR="00837F94" w:rsidRPr="00E168A1">
        <w:rPr>
          <w:rFonts w:ascii="Times New Roman" w:eastAsiaTheme="minorHAnsi" w:hAnsi="Times New Roman"/>
        </w:rPr>
        <w:t>be</w:t>
      </w:r>
      <w:r w:rsidRPr="00E168A1">
        <w:rPr>
          <w:rFonts w:ascii="Times New Roman" w:eastAsiaTheme="minorHAnsi" w:hAnsi="Times New Roman"/>
        </w:rPr>
        <w:t xml:space="preserve"> </w:t>
      </w:r>
      <w:r w:rsidR="00837F94" w:rsidRPr="00E168A1">
        <w:rPr>
          <w:rFonts w:ascii="Times New Roman" w:eastAsiaTheme="minorHAnsi" w:hAnsi="Times New Roman"/>
        </w:rPr>
        <w:t>better</w:t>
      </w:r>
      <w:r w:rsidRPr="00E168A1">
        <w:rPr>
          <w:rFonts w:ascii="Times New Roman" w:eastAsiaTheme="minorHAnsi" w:hAnsi="Times New Roman"/>
        </w:rPr>
        <w:t xml:space="preserve"> </w:t>
      </w:r>
      <w:r w:rsidR="00837F94" w:rsidRPr="00E168A1">
        <w:rPr>
          <w:rFonts w:ascii="Times New Roman" w:eastAsiaTheme="minorHAnsi" w:hAnsi="Times New Roman"/>
        </w:rPr>
        <w:t>interconnected</w:t>
      </w:r>
      <w:r w:rsidRPr="00E168A1">
        <w:rPr>
          <w:rFonts w:ascii="Times New Roman" w:eastAsiaTheme="minorHAnsi" w:hAnsi="Times New Roman"/>
        </w:rPr>
        <w:t xml:space="preserve"> </w:t>
      </w:r>
      <w:r w:rsidR="00837F94" w:rsidRPr="00E168A1">
        <w:rPr>
          <w:rFonts w:ascii="Times New Roman" w:eastAsiaTheme="minorHAnsi" w:hAnsi="Times New Roman"/>
        </w:rPr>
        <w:t>and</w:t>
      </w:r>
      <w:r w:rsidRPr="00E168A1">
        <w:rPr>
          <w:rFonts w:ascii="Times New Roman" w:eastAsiaTheme="minorHAnsi" w:hAnsi="Times New Roman"/>
        </w:rPr>
        <w:t xml:space="preserve"> </w:t>
      </w:r>
      <w:r w:rsidR="00837F94" w:rsidRPr="00E168A1">
        <w:rPr>
          <w:rFonts w:ascii="Times New Roman" w:eastAsiaTheme="minorHAnsi" w:hAnsi="Times New Roman"/>
        </w:rPr>
        <w:t>a</w:t>
      </w:r>
      <w:r w:rsidRPr="00E168A1">
        <w:rPr>
          <w:rFonts w:ascii="Times New Roman" w:eastAsiaTheme="minorHAnsi" w:hAnsi="Times New Roman"/>
        </w:rPr>
        <w:t xml:space="preserve"> </w:t>
      </w:r>
      <w:r w:rsidR="00837F94" w:rsidRPr="00E168A1">
        <w:rPr>
          <w:rFonts w:ascii="Times New Roman" w:eastAsiaTheme="minorHAnsi" w:hAnsi="Times New Roman"/>
        </w:rPr>
        <w:t>safe</w:t>
      </w:r>
      <w:r w:rsidRPr="00E168A1">
        <w:rPr>
          <w:rFonts w:ascii="Times New Roman" w:eastAsiaTheme="minorHAnsi" w:hAnsi="Times New Roman"/>
        </w:rPr>
        <w:t xml:space="preserve"> </w:t>
      </w:r>
      <w:r w:rsidR="00837F94" w:rsidRPr="00E168A1">
        <w:rPr>
          <w:rFonts w:ascii="Times New Roman" w:eastAsiaTheme="minorHAnsi" w:hAnsi="Times New Roman"/>
        </w:rPr>
        <w:t>platform</w:t>
      </w:r>
      <w:r w:rsidRPr="00E168A1">
        <w:rPr>
          <w:rFonts w:ascii="Times New Roman" w:eastAsiaTheme="minorHAnsi" w:hAnsi="Times New Roman"/>
        </w:rPr>
        <w:t xml:space="preserve"> </w:t>
      </w:r>
      <w:r w:rsidR="00837F94" w:rsidRPr="00E168A1">
        <w:rPr>
          <w:rFonts w:ascii="Times New Roman" w:eastAsiaTheme="minorHAnsi" w:hAnsi="Times New Roman"/>
        </w:rPr>
        <w:t>to</w:t>
      </w:r>
      <w:r w:rsidRPr="00E168A1">
        <w:rPr>
          <w:rFonts w:ascii="Times New Roman" w:eastAsiaTheme="minorHAnsi" w:hAnsi="Times New Roman"/>
        </w:rPr>
        <w:t xml:space="preserve"> </w:t>
      </w:r>
      <w:r w:rsidR="00837F94" w:rsidRPr="00E168A1">
        <w:rPr>
          <w:rFonts w:ascii="Times New Roman" w:eastAsiaTheme="minorHAnsi" w:hAnsi="Times New Roman"/>
        </w:rPr>
        <w:t>exchange</w:t>
      </w:r>
      <w:r w:rsidRPr="00E168A1">
        <w:rPr>
          <w:rFonts w:ascii="Times New Roman" w:eastAsiaTheme="minorHAnsi" w:hAnsi="Times New Roman"/>
        </w:rPr>
        <w:t xml:space="preserve"> </w:t>
      </w:r>
      <w:r w:rsidR="00837F94" w:rsidRPr="00E168A1">
        <w:rPr>
          <w:rFonts w:ascii="Times New Roman" w:eastAsiaTheme="minorHAnsi" w:hAnsi="Times New Roman"/>
        </w:rPr>
        <w:t>intelligence</w:t>
      </w:r>
      <w:r w:rsidRPr="00E168A1">
        <w:rPr>
          <w:rFonts w:ascii="Times New Roman" w:eastAsiaTheme="minorHAnsi" w:hAnsi="Times New Roman"/>
        </w:rPr>
        <w:t xml:space="preserve"> </w:t>
      </w:r>
      <w:r w:rsidR="00837F94" w:rsidRPr="00E168A1">
        <w:rPr>
          <w:rFonts w:ascii="Times New Roman" w:eastAsiaTheme="minorHAnsi" w:hAnsi="Times New Roman"/>
        </w:rPr>
        <w:t>should</w:t>
      </w:r>
      <w:r w:rsidRPr="00E168A1">
        <w:rPr>
          <w:rFonts w:ascii="Times New Roman" w:eastAsiaTheme="minorHAnsi" w:hAnsi="Times New Roman"/>
        </w:rPr>
        <w:t xml:space="preserve"> </w:t>
      </w:r>
      <w:r w:rsidR="00837F94" w:rsidRPr="00E168A1">
        <w:rPr>
          <w:rFonts w:ascii="Times New Roman" w:eastAsiaTheme="minorHAnsi" w:hAnsi="Times New Roman"/>
        </w:rPr>
        <w:t>be</w:t>
      </w:r>
      <w:r w:rsidRPr="00E168A1">
        <w:rPr>
          <w:rFonts w:ascii="Times New Roman" w:eastAsiaTheme="minorHAnsi" w:hAnsi="Times New Roman"/>
        </w:rPr>
        <w:t xml:space="preserve"> </w:t>
      </w:r>
      <w:r w:rsidR="00837F94" w:rsidRPr="00E168A1">
        <w:rPr>
          <w:rFonts w:ascii="Times New Roman" w:eastAsiaTheme="minorHAnsi" w:hAnsi="Times New Roman"/>
        </w:rPr>
        <w:t>established.”</w:t>
      </w:r>
      <w:r w:rsidRPr="00E168A1">
        <w:rPr>
          <w:rFonts w:ascii="Times New Roman" w:eastAsiaTheme="minorHAnsi" w:hAnsi="Times New Roman"/>
        </w:rPr>
        <w:t xml:space="preserve"> </w:t>
      </w:r>
    </w:p>
    <w:p w14:paraId="7F817BCF" w14:textId="236B1265" w:rsidR="00837F94" w:rsidRPr="004C78D4" w:rsidRDefault="00837F94" w:rsidP="00350C50">
      <w:pPr>
        <w:pStyle w:val="Heading2"/>
        <w:spacing w:before="120" w:after="120" w:line="240" w:lineRule="auto"/>
        <w:ind w:left="0" w:firstLine="0"/>
      </w:pPr>
      <w:bookmarkStart w:id="54" w:name="_Toc442428975"/>
      <w:r w:rsidRPr="004C78D4">
        <w:t>Alignment</w:t>
      </w:r>
      <w:r w:rsidR="00900061" w:rsidRPr="004C78D4">
        <w:t xml:space="preserve"> </w:t>
      </w:r>
      <w:r w:rsidRPr="004C78D4">
        <w:t>with</w:t>
      </w:r>
      <w:r w:rsidR="00900061" w:rsidRPr="004C78D4">
        <w:t xml:space="preserve"> </w:t>
      </w:r>
      <w:r w:rsidR="00BA5BE4" w:rsidRPr="004C78D4">
        <w:t>Anti</w:t>
      </w:r>
      <w:r w:rsidRPr="004C78D4">
        <w:t>corruption</w:t>
      </w:r>
      <w:r w:rsidR="00900061" w:rsidRPr="004C78D4">
        <w:t xml:space="preserve"> </w:t>
      </w:r>
      <w:r w:rsidR="00BA5BE4" w:rsidRPr="004C78D4">
        <w:t>G</w:t>
      </w:r>
      <w:r w:rsidRPr="004C78D4">
        <w:t>uidelines</w:t>
      </w:r>
      <w:bookmarkEnd w:id="54"/>
    </w:p>
    <w:p w14:paraId="541F57BF" w14:textId="77777777" w:rsidR="004C78D4" w:rsidRPr="004C78D4" w:rsidRDefault="00900061" w:rsidP="004C78D4">
      <w:pPr>
        <w:pStyle w:val="ListParagraph"/>
        <w:numPr>
          <w:ilvl w:val="0"/>
          <w:numId w:val="9"/>
        </w:numPr>
        <w:spacing w:line="0" w:lineRule="atLeast"/>
        <w:ind w:left="0" w:firstLine="0"/>
        <w:contextualSpacing w:val="0"/>
        <w:rPr>
          <w:rFonts w:ascii="Times New Roman" w:hAnsi="Times New Roman"/>
          <w:b/>
        </w:rPr>
      </w:pPr>
      <w:r w:rsidRPr="004C78D4">
        <w:rPr>
          <w:rFonts w:ascii="Times New Roman" w:hAnsi="Times New Roman"/>
        </w:rPr>
        <w:t xml:space="preserve"> </w:t>
      </w:r>
      <w:r w:rsidR="004C78D4" w:rsidRPr="004C78D4">
        <w:rPr>
          <w:rFonts w:ascii="Times New Roman" w:hAnsi="Times New Roman"/>
          <w:b/>
        </w:rPr>
        <w:t>Program implementation will be aligned with the ACG applicable to Program for Results operations.</w:t>
      </w:r>
      <w:r w:rsidR="004C78D4" w:rsidRPr="004C78D4">
        <w:rPr>
          <w:rFonts w:ascii="Times New Roman" w:hAnsi="Times New Roman"/>
        </w:rPr>
        <w:t xml:space="preserve"> The Government of Serbia has agreed to implement the Program in accordance with the ACG applicable to PforR operations dated February 1, 2012, and revised on July 10, 2015. These guidelines will be operationalized in the following ways under the Program:</w:t>
      </w:r>
    </w:p>
    <w:p w14:paraId="51761B7E" w14:textId="77777777" w:rsidR="004C78D4" w:rsidRPr="004C78D4" w:rsidRDefault="004C78D4" w:rsidP="004C78D4">
      <w:pPr>
        <w:pStyle w:val="ListParagraph"/>
        <w:numPr>
          <w:ilvl w:val="1"/>
          <w:numId w:val="28"/>
        </w:numPr>
        <w:spacing w:line="0" w:lineRule="atLeast"/>
        <w:ind w:left="720"/>
        <w:contextualSpacing w:val="0"/>
        <w:rPr>
          <w:rFonts w:ascii="Times New Roman" w:hAnsi="Times New Roman"/>
        </w:rPr>
      </w:pPr>
      <w:r w:rsidRPr="004C78D4">
        <w:rPr>
          <w:rFonts w:ascii="Times New Roman" w:eastAsia="Times New Roman" w:hAnsi="Times New Roman"/>
          <w:b/>
        </w:rPr>
        <w:t>Sharing of information on fraud and corruption allegations:</w:t>
      </w:r>
      <w:r w:rsidRPr="004C78D4">
        <w:rPr>
          <w:rFonts w:ascii="Times New Roman" w:eastAsia="Times New Roman" w:hAnsi="Times New Roman"/>
        </w:rPr>
        <w:t xml:space="preserve">  Through the official exchange of letters, the SAI will confirm agreement to share with the World Bank any indications or allegations of Fraud and Corruption (as defined by the ACG) in connection with the Program from the public, Government representatives, its own investigation, or otherwise, together with the investigative and other actions that it proposes to take with respect thereto, every six months.</w:t>
      </w:r>
      <w:r w:rsidRPr="004C78D4">
        <w:rPr>
          <w:rFonts w:ascii="Times New Roman" w:hAnsi="Times New Roman"/>
        </w:rPr>
        <w:t xml:space="preserve"> </w:t>
      </w:r>
    </w:p>
    <w:p w14:paraId="3B099A33" w14:textId="77777777" w:rsidR="004C78D4" w:rsidRPr="004C78D4" w:rsidRDefault="004C78D4" w:rsidP="004C78D4">
      <w:pPr>
        <w:pStyle w:val="ListParagraph"/>
        <w:numPr>
          <w:ilvl w:val="1"/>
          <w:numId w:val="28"/>
        </w:numPr>
        <w:spacing w:line="0" w:lineRule="atLeast"/>
        <w:ind w:left="720"/>
        <w:contextualSpacing w:val="0"/>
        <w:rPr>
          <w:rFonts w:ascii="Times New Roman" w:hAnsi="Times New Roman"/>
        </w:rPr>
      </w:pPr>
      <w:r w:rsidRPr="004C78D4">
        <w:rPr>
          <w:rFonts w:ascii="Times New Roman" w:eastAsia="Times New Roman" w:hAnsi="Times New Roman"/>
          <w:b/>
        </w:rPr>
        <w:t>Application of World Bank debarment and suspension lists of firms and individuals under the Program:</w:t>
      </w:r>
      <w:r w:rsidRPr="004C78D4">
        <w:rPr>
          <w:rFonts w:ascii="Times New Roman" w:eastAsia="Times New Roman" w:hAnsi="Times New Roman"/>
          <w:i/>
        </w:rPr>
        <w:t xml:space="preserve"> </w:t>
      </w:r>
      <w:r w:rsidRPr="004C78D4">
        <w:rPr>
          <w:rFonts w:ascii="Times New Roman" w:eastAsia="Times New Roman" w:hAnsi="Times New Roman"/>
        </w:rPr>
        <w:t>The Ministry of Finance will share with the procuring entities the names of firms and individuals on the World Bank Group’s debarment and suspension lists and will ensure that these firms and individuals are not allowed to bid for contracts or benefit from a contract under operation during the period of debarment or suspension. The Ministry of Finance and Public Procurement Office will check compliance and report to the World Bank every six months as part of the reporting requirement of the operation.</w:t>
      </w:r>
      <w:r w:rsidRPr="004C78D4">
        <w:rPr>
          <w:rFonts w:ascii="Times New Roman" w:hAnsi="Times New Roman"/>
        </w:rPr>
        <w:t xml:space="preserve"> </w:t>
      </w:r>
    </w:p>
    <w:p w14:paraId="7A6D5FCE" w14:textId="77777777" w:rsidR="004C78D4" w:rsidRPr="004C78D4" w:rsidRDefault="004C78D4" w:rsidP="004C78D4">
      <w:pPr>
        <w:pStyle w:val="ListParagraph"/>
        <w:numPr>
          <w:ilvl w:val="1"/>
          <w:numId w:val="28"/>
        </w:numPr>
        <w:spacing w:line="0" w:lineRule="atLeast"/>
        <w:ind w:left="720"/>
        <w:contextualSpacing w:val="0"/>
        <w:rPr>
          <w:rFonts w:ascii="Times New Roman" w:hAnsi="Times New Roman"/>
        </w:rPr>
      </w:pPr>
      <w:r w:rsidRPr="004C78D4">
        <w:rPr>
          <w:rFonts w:ascii="Times New Roman" w:eastAsia="Times New Roman" w:hAnsi="Times New Roman"/>
          <w:b/>
        </w:rPr>
        <w:t>Investigation of Fraud and Corruption Allegations:</w:t>
      </w:r>
      <w:r w:rsidRPr="004C78D4">
        <w:rPr>
          <w:rFonts w:ascii="Times New Roman" w:eastAsia="Times New Roman" w:hAnsi="Times New Roman"/>
        </w:rPr>
        <w:t xml:space="preserve"> All allegations of fraud and corruption will be investigated by the SAI and the prosecutor’s office and those found to be credible will be prosecuted. The SAI will report to the World Bank every six months on the actions taken in any such investigations; and promptly, upon the completion of any such investigation, report to the Bank the findings thereof. The World Bank’s Institutional Integrity Vice-Presidency (INT) may also jointly with the SAI, or on its own initiative, investigate any allegations or other indications of Fraud and Corruption (as defined in the ACG) in connection with the Program or any part of the Program. In all such cases the Program managers and SAI will collaborate with INT to acquire all </w:t>
      </w:r>
      <w:r w:rsidRPr="004C78D4">
        <w:rPr>
          <w:rFonts w:ascii="Times New Roman" w:eastAsia="Times New Roman" w:hAnsi="Times New Roman"/>
        </w:rPr>
        <w:lastRenderedPageBreak/>
        <w:t>records and documentation that INT may reasonably request from the operation regarding the use of the Program financing</w:t>
      </w:r>
      <w:r w:rsidRPr="004C78D4">
        <w:rPr>
          <w:rFonts w:ascii="Times New Roman" w:hAnsi="Times New Roman"/>
        </w:rPr>
        <w:t>. If the borrower  or the Bank determined that any person or entity has engaged in Fraud and Corruption (as defined in the ACG) in connection with the Program, the Borrow will take timely and appropriate actions , satisfactory to the World Bank, to remedy or otherwise address the situation  to prevent its recurrence.</w:t>
      </w:r>
    </w:p>
    <w:p w14:paraId="51015467" w14:textId="77777777" w:rsidR="004C78D4" w:rsidRPr="004C78D4" w:rsidRDefault="004C78D4" w:rsidP="004C78D4">
      <w:pPr>
        <w:pStyle w:val="ListParagraph"/>
        <w:numPr>
          <w:ilvl w:val="1"/>
          <w:numId w:val="28"/>
        </w:numPr>
        <w:spacing w:line="0" w:lineRule="atLeast"/>
        <w:ind w:left="720"/>
        <w:contextualSpacing w:val="0"/>
        <w:rPr>
          <w:rFonts w:ascii="Times New Roman" w:hAnsi="Times New Roman"/>
        </w:rPr>
      </w:pPr>
      <w:r w:rsidRPr="004C78D4">
        <w:rPr>
          <w:rFonts w:ascii="Times New Roman" w:eastAsia="Times New Roman" w:hAnsi="Times New Roman"/>
          <w:b/>
        </w:rPr>
        <w:t>Cooperation with representatives of the Bank:</w:t>
      </w:r>
      <w:r w:rsidRPr="004C78D4">
        <w:rPr>
          <w:rFonts w:ascii="Times New Roman" w:hAnsi="Times New Roman"/>
        </w:rPr>
        <w:t xml:space="preserve">  the Borrow shall fully cooperate with representatives of the Bank in any inquiry conducted by the Bank into allegations or other indicators of Fraud and Corruption (as defined in the ACG) in connection with the Program, and shall take all appropriate measures to ensure the full cooperation of relevant persons and entities subject to the Borrower’s jurisdiction in such inquiry.</w:t>
      </w:r>
    </w:p>
    <w:p w14:paraId="1C17172E" w14:textId="4160D1D1" w:rsidR="004C78D4" w:rsidRPr="004C78D4" w:rsidRDefault="004C78D4" w:rsidP="004C78D4">
      <w:pPr>
        <w:pStyle w:val="ListParagraph"/>
        <w:numPr>
          <w:ilvl w:val="0"/>
          <w:numId w:val="9"/>
        </w:numPr>
        <w:autoSpaceDE w:val="0"/>
        <w:autoSpaceDN w:val="0"/>
        <w:adjustRightInd w:val="0"/>
        <w:ind w:left="0" w:firstLine="0"/>
        <w:contextualSpacing w:val="0"/>
        <w:rPr>
          <w:rFonts w:ascii="Times New Roman" w:hAnsi="Times New Roman"/>
        </w:rPr>
      </w:pPr>
      <w:bookmarkStart w:id="55" w:name="_Toc442428976"/>
      <w:r w:rsidRPr="004C78D4">
        <w:rPr>
          <w:rFonts w:ascii="Times New Roman" w:hAnsi="Times New Roman"/>
          <w:b/>
        </w:rPr>
        <w:t xml:space="preserve">The Assessment concludes that the Fraud and Corruption risk will remain high.  </w:t>
      </w:r>
      <w:r w:rsidRPr="004C78D4">
        <w:rPr>
          <w:rFonts w:ascii="Times New Roman" w:hAnsi="Times New Roman"/>
        </w:rPr>
        <w:t>Several fraud and corruption related cases have been filed by SAI in the recent past</w:t>
      </w:r>
      <w:r w:rsidRPr="004C78D4">
        <w:rPr>
          <w:rFonts w:ascii="Times New Roman" w:hAnsi="Times New Roman"/>
          <w:b/>
        </w:rPr>
        <w:t xml:space="preserve">. </w:t>
      </w:r>
      <w:r w:rsidRPr="004C78D4">
        <w:rPr>
          <w:rFonts w:ascii="Times New Roman" w:hAnsi="Times New Roman"/>
        </w:rPr>
        <w:t xml:space="preserve">In the course of 2014, on the basis of the audit of financial statements from 2013 for all sectors (i.e. central and local Government, public enterprises, extra-budgetary funds), SAI has filed 139 reports (111 for misdemeanor charges, 13 for economic crimes and 15 for criminal charges). Until March 2015 (latest available data), further 103 reports were filed (95 for misdemeanor charges, 6 for economic crimes and 2 for criminal charges). Additionally, </w:t>
      </w:r>
      <w:r w:rsidRPr="004C78D4">
        <w:rPr>
          <w:rFonts w:ascii="Times New Roman" w:eastAsiaTheme="minorHAnsi" w:hAnsi="Times New Roman"/>
        </w:rPr>
        <w:t xml:space="preserve">starting from March 2014, when the new Law on Misdemeanor Offences entered into force, Public Procurement Office has filed 26 requests for initiation of misdemeanor proceedings to the Republic Commission for Protection of Rights in Public Procurement Procedures. </w:t>
      </w:r>
      <w:r w:rsidRPr="004C78D4">
        <w:rPr>
          <w:rFonts w:ascii="Times New Roman" w:hAnsi="Times New Roman"/>
        </w:rPr>
        <w:t xml:space="preserve">The Program Action Plan details important actions that would have to be undertaken by the implementing agencies to ensure that Program activities are not affected by Fraud and Corruption. </w:t>
      </w:r>
    </w:p>
    <w:p w14:paraId="348590A3" w14:textId="77777777" w:rsidR="00837F94" w:rsidRPr="00E168A1" w:rsidRDefault="00837F94" w:rsidP="00350C50">
      <w:pPr>
        <w:pStyle w:val="Heading2"/>
        <w:spacing w:before="120" w:after="120" w:line="240" w:lineRule="auto"/>
        <w:ind w:left="0" w:firstLine="0"/>
      </w:pPr>
      <w:r w:rsidRPr="00E168A1">
        <w:t>Conclusion</w:t>
      </w:r>
      <w:bookmarkEnd w:id="55"/>
      <w:r w:rsidR="00900061" w:rsidRPr="00E168A1">
        <w:t xml:space="preserve"> </w:t>
      </w:r>
    </w:p>
    <w:p w14:paraId="030A99E8" w14:textId="14BBFB8D" w:rsidR="00837F94" w:rsidRPr="004C78D4" w:rsidRDefault="00996A77" w:rsidP="00645878">
      <w:pPr>
        <w:pStyle w:val="ListParagraph"/>
        <w:numPr>
          <w:ilvl w:val="0"/>
          <w:numId w:val="9"/>
        </w:numPr>
        <w:ind w:left="0" w:firstLine="0"/>
        <w:contextualSpacing w:val="0"/>
        <w:rPr>
          <w:rFonts w:ascii="Times New Roman" w:hAnsi="Times New Roman"/>
        </w:rPr>
      </w:pPr>
      <w:r w:rsidRPr="00E168A1">
        <w:rPr>
          <w:rFonts w:ascii="Times New Roman" w:hAnsi="Times New Roman"/>
          <w:b/>
        </w:rPr>
        <w:t>The c</w:t>
      </w:r>
      <w:r w:rsidR="00837F94" w:rsidRPr="00E168A1">
        <w:rPr>
          <w:rFonts w:ascii="Times New Roman" w:hAnsi="Times New Roman"/>
          <w:b/>
        </w:rPr>
        <w:t>ountry’s</w:t>
      </w:r>
      <w:r w:rsidR="00900061" w:rsidRPr="00E168A1">
        <w:rPr>
          <w:rFonts w:ascii="Times New Roman" w:hAnsi="Times New Roman"/>
          <w:b/>
        </w:rPr>
        <w:t xml:space="preserve"> </w:t>
      </w:r>
      <w:r w:rsidRPr="00E168A1">
        <w:rPr>
          <w:rFonts w:ascii="Times New Roman" w:hAnsi="Times New Roman"/>
          <w:b/>
        </w:rPr>
        <w:t>I</w:t>
      </w:r>
      <w:r w:rsidR="00837F94" w:rsidRPr="00E168A1">
        <w:rPr>
          <w:rFonts w:ascii="Times New Roman" w:hAnsi="Times New Roman"/>
          <w:b/>
        </w:rPr>
        <w:t>nstitutional</w:t>
      </w:r>
      <w:r w:rsidR="00900061" w:rsidRPr="00E168A1">
        <w:rPr>
          <w:rFonts w:ascii="Times New Roman" w:hAnsi="Times New Roman"/>
          <w:b/>
        </w:rPr>
        <w:t xml:space="preserve"> </w:t>
      </w:r>
      <w:r w:rsidR="00837F94"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L</w:t>
      </w:r>
      <w:r w:rsidR="00837F94" w:rsidRPr="00E168A1">
        <w:rPr>
          <w:rFonts w:ascii="Times New Roman" w:hAnsi="Times New Roman"/>
          <w:b/>
        </w:rPr>
        <w:t>egislative</w:t>
      </w:r>
      <w:r w:rsidR="00900061" w:rsidRPr="00E168A1">
        <w:rPr>
          <w:rFonts w:ascii="Times New Roman" w:hAnsi="Times New Roman"/>
          <w:b/>
        </w:rPr>
        <w:t xml:space="preserve"> </w:t>
      </w:r>
      <w:r w:rsidRPr="00E168A1">
        <w:rPr>
          <w:rFonts w:ascii="Times New Roman" w:hAnsi="Times New Roman"/>
          <w:b/>
        </w:rPr>
        <w:t>F</w:t>
      </w:r>
      <w:r w:rsidR="00837F94" w:rsidRPr="00E168A1">
        <w:rPr>
          <w:rFonts w:ascii="Times New Roman" w:hAnsi="Times New Roman"/>
          <w:b/>
        </w:rPr>
        <w:t>ramework</w:t>
      </w:r>
      <w:r w:rsidR="00900061" w:rsidRPr="00E168A1">
        <w:rPr>
          <w:rFonts w:ascii="Times New Roman" w:hAnsi="Times New Roman"/>
          <w:b/>
        </w:rPr>
        <w:t xml:space="preserve"> </w:t>
      </w:r>
      <w:r w:rsidR="00837F94" w:rsidRPr="00E168A1">
        <w:rPr>
          <w:rFonts w:ascii="Times New Roman" w:hAnsi="Times New Roman"/>
          <w:b/>
        </w:rPr>
        <w:t>in</w:t>
      </w:r>
      <w:r w:rsidR="00900061" w:rsidRPr="00E168A1">
        <w:rPr>
          <w:rFonts w:ascii="Times New Roman" w:hAnsi="Times New Roman"/>
          <w:b/>
        </w:rPr>
        <w:t xml:space="preserve"> </w:t>
      </w:r>
      <w:r w:rsidR="00837F94" w:rsidRPr="00E168A1">
        <w:rPr>
          <w:rFonts w:ascii="Times New Roman" w:hAnsi="Times New Roman"/>
          <w:b/>
        </w:rPr>
        <w:t>mitigation</w:t>
      </w:r>
      <w:r w:rsidR="00900061" w:rsidRPr="00E168A1">
        <w:rPr>
          <w:rFonts w:ascii="Times New Roman" w:hAnsi="Times New Roman"/>
          <w:b/>
        </w:rPr>
        <w:t xml:space="preserve"> </w:t>
      </w:r>
      <w:r w:rsidR="005147A8" w:rsidRPr="00E168A1">
        <w:rPr>
          <w:rFonts w:ascii="Times New Roman" w:hAnsi="Times New Roman"/>
          <w:b/>
        </w:rPr>
        <w:t xml:space="preserve">of </w:t>
      </w:r>
      <w:r w:rsidR="00A34355" w:rsidRPr="00E168A1">
        <w:rPr>
          <w:rFonts w:ascii="Times New Roman" w:hAnsi="Times New Roman"/>
          <w:b/>
        </w:rPr>
        <w:t>F&amp;C</w:t>
      </w:r>
      <w:r w:rsidR="00900061" w:rsidRPr="00E168A1">
        <w:rPr>
          <w:rFonts w:ascii="Times New Roman" w:hAnsi="Times New Roman"/>
          <w:b/>
        </w:rPr>
        <w:t xml:space="preserve"> </w:t>
      </w:r>
      <w:r w:rsidR="00837F94" w:rsidRPr="00E168A1">
        <w:rPr>
          <w:rFonts w:ascii="Times New Roman" w:hAnsi="Times New Roman"/>
          <w:b/>
        </w:rPr>
        <w:t>risks</w:t>
      </w:r>
      <w:r w:rsidR="00900061" w:rsidRPr="00E168A1">
        <w:rPr>
          <w:rFonts w:ascii="Times New Roman" w:hAnsi="Times New Roman"/>
          <w:b/>
        </w:rPr>
        <w:t xml:space="preserve"> </w:t>
      </w:r>
      <w:r w:rsidR="00837F94" w:rsidRPr="00E168A1">
        <w:rPr>
          <w:rFonts w:ascii="Times New Roman" w:hAnsi="Times New Roman"/>
          <w:b/>
        </w:rPr>
        <w:t>continues</w:t>
      </w:r>
      <w:r w:rsidR="00900061" w:rsidRPr="00E168A1">
        <w:rPr>
          <w:rFonts w:ascii="Times New Roman" w:hAnsi="Times New Roman"/>
          <w:b/>
        </w:rPr>
        <w:t xml:space="preserve"> </w:t>
      </w:r>
      <w:r w:rsidR="00837F94" w:rsidRPr="00E168A1">
        <w:rPr>
          <w:rFonts w:ascii="Times New Roman" w:hAnsi="Times New Roman"/>
          <w:b/>
        </w:rPr>
        <w:t>to</w:t>
      </w:r>
      <w:r w:rsidR="00900061" w:rsidRPr="00E168A1">
        <w:rPr>
          <w:rFonts w:ascii="Times New Roman" w:hAnsi="Times New Roman"/>
          <w:b/>
        </w:rPr>
        <w:t xml:space="preserve"> </w:t>
      </w:r>
      <w:r w:rsidR="00837F94" w:rsidRPr="00E168A1">
        <w:rPr>
          <w:rFonts w:ascii="Times New Roman" w:hAnsi="Times New Roman"/>
          <w:b/>
        </w:rPr>
        <w:t>gradually</w:t>
      </w:r>
      <w:r w:rsidR="00900061" w:rsidRPr="00E168A1">
        <w:rPr>
          <w:rFonts w:ascii="Times New Roman" w:hAnsi="Times New Roman"/>
          <w:b/>
        </w:rPr>
        <w:t xml:space="preserve"> </w:t>
      </w:r>
      <w:r w:rsidR="00837F94" w:rsidRPr="00E168A1">
        <w:rPr>
          <w:rFonts w:ascii="Times New Roman" w:hAnsi="Times New Roman"/>
          <w:b/>
        </w:rPr>
        <w:t>strengthen.</w:t>
      </w:r>
      <w:r w:rsidR="00900061" w:rsidRPr="00E168A1">
        <w:rPr>
          <w:rFonts w:ascii="Times New Roman" w:hAnsi="Times New Roman"/>
        </w:rPr>
        <w:t xml:space="preserve"> </w:t>
      </w:r>
      <w:r w:rsidR="00837F94" w:rsidRPr="00E168A1">
        <w:rPr>
          <w:rFonts w:ascii="Times New Roman" w:hAnsi="Times New Roman"/>
        </w:rPr>
        <w:t>An</w:t>
      </w:r>
      <w:r w:rsidR="00900061" w:rsidRPr="00E168A1">
        <w:rPr>
          <w:rFonts w:ascii="Times New Roman" w:hAnsi="Times New Roman"/>
        </w:rPr>
        <w:t xml:space="preserve"> </w:t>
      </w:r>
      <w:r w:rsidR="00837F94" w:rsidRPr="00E168A1">
        <w:rPr>
          <w:rFonts w:ascii="Times New Roman" w:hAnsi="Times New Roman"/>
        </w:rPr>
        <w:t>assessment</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2D4DC5" w:rsidRPr="00E168A1">
        <w:rPr>
          <w:rFonts w:ascii="Times New Roman" w:hAnsi="Times New Roman"/>
        </w:rPr>
        <w:t>L</w:t>
      </w:r>
      <w:r w:rsidR="00837F94" w:rsidRPr="00E168A1">
        <w:rPr>
          <w:rFonts w:ascii="Times New Roman" w:hAnsi="Times New Roman"/>
        </w:rPr>
        <w:t>egal</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2D4DC5" w:rsidRPr="00E168A1">
        <w:rPr>
          <w:rFonts w:ascii="Times New Roman" w:hAnsi="Times New Roman"/>
        </w:rPr>
        <w:t>I</w:t>
      </w:r>
      <w:r w:rsidR="00837F94" w:rsidRPr="00E168A1">
        <w:rPr>
          <w:rFonts w:ascii="Times New Roman" w:hAnsi="Times New Roman"/>
        </w:rPr>
        <w:t>nstitutional</w:t>
      </w:r>
      <w:r w:rsidR="00900061" w:rsidRPr="00E168A1">
        <w:rPr>
          <w:rFonts w:ascii="Times New Roman" w:hAnsi="Times New Roman"/>
        </w:rPr>
        <w:t xml:space="preserve"> </w:t>
      </w:r>
      <w:r w:rsidR="002D4DC5" w:rsidRPr="00E168A1">
        <w:rPr>
          <w:rFonts w:ascii="Times New Roman" w:hAnsi="Times New Roman"/>
        </w:rPr>
        <w:t>F</w:t>
      </w:r>
      <w:r w:rsidR="00837F94" w:rsidRPr="00E168A1">
        <w:rPr>
          <w:rFonts w:ascii="Times New Roman" w:hAnsi="Times New Roman"/>
        </w:rPr>
        <w:t>ramework</w:t>
      </w:r>
      <w:r w:rsidR="00900061" w:rsidRPr="00E168A1">
        <w:rPr>
          <w:rFonts w:ascii="Times New Roman" w:hAnsi="Times New Roman"/>
        </w:rPr>
        <w:t xml:space="preserve"> </w:t>
      </w:r>
      <w:r w:rsidR="00837F94" w:rsidRPr="00E168A1">
        <w:rPr>
          <w:rFonts w:ascii="Times New Roman" w:hAnsi="Times New Roman"/>
        </w:rPr>
        <w:t>for</w:t>
      </w:r>
      <w:r w:rsidR="00900061" w:rsidRPr="00E168A1">
        <w:rPr>
          <w:rFonts w:ascii="Times New Roman" w:hAnsi="Times New Roman"/>
        </w:rPr>
        <w:t xml:space="preserve"> </w:t>
      </w:r>
      <w:r w:rsidR="002D4DC5" w:rsidRPr="00E168A1">
        <w:rPr>
          <w:rFonts w:ascii="Times New Roman" w:hAnsi="Times New Roman"/>
        </w:rPr>
        <w:t>A</w:t>
      </w:r>
      <w:r w:rsidR="00837F94" w:rsidRPr="00E168A1">
        <w:rPr>
          <w:rFonts w:ascii="Times New Roman" w:hAnsi="Times New Roman"/>
        </w:rPr>
        <w:t>nticorruption</w:t>
      </w:r>
      <w:r w:rsidR="00900061" w:rsidRPr="00E168A1">
        <w:rPr>
          <w:rFonts w:ascii="Times New Roman" w:hAnsi="Times New Roman"/>
        </w:rPr>
        <w:t xml:space="preserve"> </w:t>
      </w:r>
      <w:r w:rsidR="00837F94" w:rsidRPr="00E168A1">
        <w:rPr>
          <w:rFonts w:ascii="Times New Roman" w:hAnsi="Times New Roman"/>
        </w:rPr>
        <w:t>together</w:t>
      </w:r>
      <w:r w:rsidR="00900061" w:rsidRPr="00E168A1">
        <w:rPr>
          <w:rFonts w:ascii="Times New Roman" w:hAnsi="Times New Roman"/>
        </w:rPr>
        <w:t xml:space="preserve"> </w:t>
      </w:r>
      <w:r w:rsidR="00837F94" w:rsidRPr="00E168A1">
        <w:rPr>
          <w:rFonts w:ascii="Times New Roman" w:hAnsi="Times New Roman"/>
        </w:rPr>
        <w:t>with</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effectiveness</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country</w:t>
      </w:r>
      <w:r w:rsidR="00900061" w:rsidRPr="00E168A1">
        <w:rPr>
          <w:rFonts w:ascii="Times New Roman" w:hAnsi="Times New Roman"/>
        </w:rPr>
        <w:t xml:space="preserve"> </w:t>
      </w:r>
      <w:r w:rsidR="00837F94" w:rsidRPr="00E168A1">
        <w:rPr>
          <w:rFonts w:ascii="Times New Roman" w:hAnsi="Times New Roman"/>
        </w:rPr>
        <w:t>systems</w:t>
      </w:r>
      <w:r w:rsidR="00900061" w:rsidRPr="00E168A1">
        <w:rPr>
          <w:rFonts w:ascii="Times New Roman" w:hAnsi="Times New Roman"/>
        </w:rPr>
        <w:t xml:space="preserve"> </w:t>
      </w:r>
      <w:r w:rsidR="00837F94" w:rsidRPr="00E168A1">
        <w:rPr>
          <w:rFonts w:ascii="Times New Roman" w:hAnsi="Times New Roman"/>
        </w:rPr>
        <w:t>for</w:t>
      </w:r>
      <w:r w:rsidR="00900061" w:rsidRPr="00E168A1">
        <w:rPr>
          <w:rFonts w:ascii="Times New Roman" w:hAnsi="Times New Roman"/>
        </w:rPr>
        <w:t xml:space="preserve"> </w:t>
      </w:r>
      <w:r w:rsidR="00837F94" w:rsidRPr="00E168A1">
        <w:rPr>
          <w:rFonts w:ascii="Times New Roman" w:hAnsi="Times New Roman"/>
        </w:rPr>
        <w:t>tackling</w:t>
      </w:r>
      <w:r w:rsidR="00900061" w:rsidRPr="00E168A1">
        <w:rPr>
          <w:rFonts w:ascii="Times New Roman" w:hAnsi="Times New Roman"/>
        </w:rPr>
        <w:t xml:space="preserve"> </w:t>
      </w:r>
      <w:r w:rsidR="00A34355" w:rsidRPr="00E168A1">
        <w:rPr>
          <w:rFonts w:ascii="Times New Roman" w:hAnsi="Times New Roman"/>
        </w:rPr>
        <w:t>F&amp;C</w:t>
      </w:r>
      <w:r w:rsidR="00900061" w:rsidRPr="00E168A1">
        <w:rPr>
          <w:rFonts w:ascii="Times New Roman" w:hAnsi="Times New Roman"/>
        </w:rPr>
        <w:t xml:space="preserve"> </w:t>
      </w:r>
      <w:r w:rsidR="00837F94" w:rsidRPr="00E168A1">
        <w:rPr>
          <w:rFonts w:ascii="Times New Roman" w:hAnsi="Times New Roman"/>
        </w:rPr>
        <w:t>was</w:t>
      </w:r>
      <w:r w:rsidR="00900061" w:rsidRPr="00E168A1">
        <w:rPr>
          <w:rFonts w:ascii="Times New Roman" w:hAnsi="Times New Roman"/>
        </w:rPr>
        <w:t xml:space="preserve"> </w:t>
      </w:r>
      <w:r w:rsidR="00837F94" w:rsidRPr="00E168A1">
        <w:rPr>
          <w:rFonts w:ascii="Times New Roman" w:hAnsi="Times New Roman"/>
        </w:rPr>
        <w:t>undertaken</w:t>
      </w:r>
      <w:r w:rsidR="00900061" w:rsidRPr="00E168A1">
        <w:rPr>
          <w:rFonts w:ascii="Times New Roman" w:hAnsi="Times New Roman"/>
        </w:rPr>
        <w:t xml:space="preserve"> </w:t>
      </w:r>
      <w:r w:rsidR="00837F94" w:rsidRPr="00E168A1">
        <w:rPr>
          <w:rFonts w:ascii="Times New Roman" w:hAnsi="Times New Roman"/>
        </w:rPr>
        <w:t>as</w:t>
      </w:r>
      <w:r w:rsidR="00900061" w:rsidRPr="00E168A1">
        <w:rPr>
          <w:rFonts w:ascii="Times New Roman" w:hAnsi="Times New Roman"/>
        </w:rPr>
        <w:t xml:space="preserve"> </w:t>
      </w:r>
      <w:r w:rsidR="00837F94" w:rsidRPr="00E168A1">
        <w:rPr>
          <w:rFonts w:ascii="Times New Roman" w:hAnsi="Times New Roman"/>
        </w:rPr>
        <w:t>part</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1B78A4" w:rsidRPr="00E168A1">
        <w:rPr>
          <w:rFonts w:ascii="Times New Roman" w:hAnsi="Times New Roman"/>
        </w:rPr>
        <w:t>Program</w:t>
      </w:r>
      <w:r w:rsidR="00837F94" w:rsidRPr="00E168A1">
        <w:rPr>
          <w:rFonts w:ascii="Times New Roman" w:hAnsi="Times New Roman"/>
        </w:rPr>
        <w:t>’s</w:t>
      </w:r>
      <w:r w:rsidR="00900061" w:rsidRPr="00E168A1">
        <w:rPr>
          <w:rFonts w:ascii="Times New Roman" w:hAnsi="Times New Roman"/>
        </w:rPr>
        <w:t xml:space="preserve"> </w:t>
      </w:r>
      <w:r w:rsidR="00837F94" w:rsidRPr="00E168A1">
        <w:rPr>
          <w:rFonts w:ascii="Times New Roman" w:hAnsi="Times New Roman"/>
        </w:rPr>
        <w:t>Technical</w:t>
      </w:r>
      <w:r w:rsidR="00900061" w:rsidRPr="00E168A1">
        <w:rPr>
          <w:rFonts w:ascii="Times New Roman" w:hAnsi="Times New Roman"/>
        </w:rPr>
        <w:t xml:space="preserve"> </w:t>
      </w:r>
      <w:r w:rsidR="00837F94" w:rsidRPr="00E168A1">
        <w:rPr>
          <w:rFonts w:ascii="Times New Roman" w:hAnsi="Times New Roman"/>
        </w:rPr>
        <w:t>Assessment.</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837F94" w:rsidRPr="00E168A1">
        <w:rPr>
          <w:rFonts w:ascii="Times New Roman" w:hAnsi="Times New Roman"/>
        </w:rPr>
        <w:t>assessment</w:t>
      </w:r>
      <w:r w:rsidR="00900061" w:rsidRPr="00E168A1">
        <w:rPr>
          <w:rFonts w:ascii="Times New Roman" w:hAnsi="Times New Roman"/>
        </w:rPr>
        <w:t xml:space="preserve"> </w:t>
      </w:r>
      <w:r w:rsidR="00837F94" w:rsidRPr="00E168A1">
        <w:rPr>
          <w:rFonts w:ascii="Times New Roman" w:hAnsi="Times New Roman"/>
        </w:rPr>
        <w:t>concluded</w:t>
      </w:r>
      <w:r w:rsidR="00900061" w:rsidRPr="00E168A1">
        <w:rPr>
          <w:rFonts w:ascii="Times New Roman" w:hAnsi="Times New Roman"/>
        </w:rPr>
        <w:t xml:space="preserve"> </w:t>
      </w:r>
      <w:r w:rsidR="00837F94" w:rsidRPr="00E168A1">
        <w:rPr>
          <w:rFonts w:ascii="Times New Roman" w:hAnsi="Times New Roman"/>
        </w:rPr>
        <w:t>that</w:t>
      </w:r>
      <w:r w:rsidR="00900061" w:rsidRPr="00E168A1">
        <w:rPr>
          <w:rFonts w:ascii="Times New Roman" w:hAnsi="Times New Roman"/>
        </w:rPr>
        <w:t xml:space="preserve"> </w:t>
      </w:r>
      <w:r w:rsidR="00837F94" w:rsidRPr="00E168A1">
        <w:rPr>
          <w:rFonts w:ascii="Times New Roman" w:hAnsi="Times New Roman"/>
        </w:rPr>
        <w:t>while</w:t>
      </w:r>
      <w:r w:rsidR="00900061" w:rsidRPr="00E168A1">
        <w:rPr>
          <w:rFonts w:ascii="Times New Roman" w:hAnsi="Times New Roman"/>
        </w:rPr>
        <w:t xml:space="preserve"> </w:t>
      </w:r>
      <w:r w:rsidR="005147A8" w:rsidRPr="00E168A1">
        <w:rPr>
          <w:rFonts w:ascii="Times New Roman" w:hAnsi="Times New Roman"/>
        </w:rPr>
        <w:t xml:space="preserve">the </w:t>
      </w:r>
      <w:r w:rsidR="00837F94" w:rsidRPr="00E168A1">
        <w:rPr>
          <w:rFonts w:ascii="Times New Roman" w:hAnsi="Times New Roman"/>
        </w:rPr>
        <w:t>level</w:t>
      </w:r>
      <w:r w:rsidR="00900061" w:rsidRPr="00E168A1">
        <w:rPr>
          <w:rFonts w:ascii="Times New Roman" w:hAnsi="Times New Roman"/>
        </w:rPr>
        <w:t xml:space="preserve"> </w:t>
      </w:r>
      <w:r w:rsidR="00837F94" w:rsidRPr="00E168A1">
        <w:rPr>
          <w:rFonts w:ascii="Times New Roman" w:hAnsi="Times New Roman"/>
        </w:rPr>
        <w:t>of</w:t>
      </w:r>
      <w:r w:rsidR="00900061" w:rsidRPr="00E168A1">
        <w:rPr>
          <w:rFonts w:ascii="Times New Roman" w:hAnsi="Times New Roman"/>
        </w:rPr>
        <w:t xml:space="preserve"> </w:t>
      </w:r>
      <w:r w:rsidR="00837F94" w:rsidRPr="00E168A1">
        <w:rPr>
          <w:rFonts w:ascii="Times New Roman" w:hAnsi="Times New Roman"/>
        </w:rPr>
        <w:t>corruption</w:t>
      </w:r>
      <w:r w:rsidR="00900061" w:rsidRPr="00E168A1">
        <w:rPr>
          <w:rFonts w:ascii="Times New Roman" w:hAnsi="Times New Roman"/>
        </w:rPr>
        <w:t xml:space="preserve"> </w:t>
      </w:r>
      <w:r w:rsidR="00837F94" w:rsidRPr="00E168A1">
        <w:rPr>
          <w:rFonts w:ascii="Times New Roman" w:hAnsi="Times New Roman"/>
        </w:rPr>
        <w:t>remains</w:t>
      </w:r>
      <w:r w:rsidR="00900061" w:rsidRPr="00E168A1">
        <w:rPr>
          <w:rFonts w:ascii="Times New Roman" w:hAnsi="Times New Roman"/>
        </w:rPr>
        <w:t xml:space="preserve"> </w:t>
      </w:r>
      <w:r w:rsidR="00837F94" w:rsidRPr="00E168A1">
        <w:rPr>
          <w:rFonts w:ascii="Times New Roman" w:hAnsi="Times New Roman"/>
        </w:rPr>
        <w:t>high,</w:t>
      </w:r>
      <w:r w:rsidR="00900061" w:rsidRPr="00E168A1">
        <w:rPr>
          <w:rFonts w:ascii="Times New Roman" w:hAnsi="Times New Roman"/>
        </w:rPr>
        <w:t xml:space="preserve"> </w:t>
      </w:r>
      <w:r w:rsidR="00837F94" w:rsidRPr="00E168A1">
        <w:rPr>
          <w:rFonts w:ascii="Times New Roman" w:hAnsi="Times New Roman"/>
        </w:rPr>
        <w:t>the</w:t>
      </w:r>
      <w:r w:rsidR="00900061" w:rsidRPr="00E168A1">
        <w:rPr>
          <w:rFonts w:ascii="Times New Roman" w:hAnsi="Times New Roman"/>
        </w:rPr>
        <w:t xml:space="preserve"> </w:t>
      </w:r>
      <w:r w:rsidR="00754266" w:rsidRPr="00E168A1">
        <w:rPr>
          <w:rFonts w:ascii="Times New Roman" w:hAnsi="Times New Roman"/>
        </w:rPr>
        <w:t>I</w:t>
      </w:r>
      <w:r w:rsidR="00837F94" w:rsidRPr="00E168A1">
        <w:rPr>
          <w:rFonts w:ascii="Times New Roman" w:hAnsi="Times New Roman"/>
        </w:rPr>
        <w:t>nstitutional</w:t>
      </w:r>
      <w:r w:rsidR="00900061" w:rsidRPr="00E168A1">
        <w:rPr>
          <w:rFonts w:ascii="Times New Roman" w:hAnsi="Times New Roman"/>
        </w:rPr>
        <w:t xml:space="preserve"> </w:t>
      </w:r>
      <w:r w:rsidR="00837F94" w:rsidRPr="00E168A1">
        <w:rPr>
          <w:rFonts w:ascii="Times New Roman" w:hAnsi="Times New Roman"/>
        </w:rPr>
        <w:t>and</w:t>
      </w:r>
      <w:r w:rsidR="00900061" w:rsidRPr="00E168A1">
        <w:rPr>
          <w:rFonts w:ascii="Times New Roman" w:hAnsi="Times New Roman"/>
        </w:rPr>
        <w:t xml:space="preserve"> </w:t>
      </w:r>
      <w:r w:rsidR="00754266" w:rsidRPr="00E168A1">
        <w:rPr>
          <w:rFonts w:ascii="Times New Roman" w:hAnsi="Times New Roman"/>
        </w:rPr>
        <w:t>L</w:t>
      </w:r>
      <w:r w:rsidR="00837F94" w:rsidRPr="00E168A1">
        <w:rPr>
          <w:rFonts w:ascii="Times New Roman" w:hAnsi="Times New Roman"/>
        </w:rPr>
        <w:t>egal</w:t>
      </w:r>
      <w:r w:rsidR="00900061" w:rsidRPr="00E168A1">
        <w:rPr>
          <w:rFonts w:ascii="Times New Roman" w:hAnsi="Times New Roman"/>
        </w:rPr>
        <w:t xml:space="preserve"> </w:t>
      </w:r>
      <w:r w:rsidR="00754266" w:rsidRPr="00E168A1">
        <w:rPr>
          <w:rFonts w:ascii="Times New Roman" w:hAnsi="Times New Roman"/>
        </w:rPr>
        <w:t>F</w:t>
      </w:r>
      <w:r w:rsidR="00837F94" w:rsidRPr="00E168A1">
        <w:rPr>
          <w:rFonts w:ascii="Times New Roman" w:hAnsi="Times New Roman"/>
        </w:rPr>
        <w:t>ramework</w:t>
      </w:r>
      <w:r w:rsidR="00900061" w:rsidRPr="00E168A1">
        <w:rPr>
          <w:rFonts w:ascii="Times New Roman" w:hAnsi="Times New Roman"/>
        </w:rPr>
        <w:t xml:space="preserve"> </w:t>
      </w:r>
      <w:r w:rsidR="00837F94" w:rsidRPr="00E168A1">
        <w:rPr>
          <w:rFonts w:ascii="Times New Roman" w:hAnsi="Times New Roman"/>
        </w:rPr>
        <w:t>for</w:t>
      </w:r>
      <w:r w:rsidR="00900061" w:rsidRPr="00E168A1">
        <w:rPr>
          <w:rFonts w:ascii="Times New Roman" w:hAnsi="Times New Roman"/>
        </w:rPr>
        <w:t xml:space="preserve"> </w:t>
      </w:r>
      <w:r w:rsidR="00837F94" w:rsidRPr="00E168A1">
        <w:rPr>
          <w:rFonts w:ascii="Times New Roman" w:hAnsi="Times New Roman"/>
        </w:rPr>
        <w:t>tackling</w:t>
      </w:r>
      <w:r w:rsidR="00900061" w:rsidRPr="00E168A1">
        <w:rPr>
          <w:rFonts w:ascii="Times New Roman" w:hAnsi="Times New Roman"/>
        </w:rPr>
        <w:t xml:space="preserve"> </w:t>
      </w:r>
      <w:r w:rsidR="00837F94" w:rsidRPr="00E168A1">
        <w:rPr>
          <w:rFonts w:ascii="Times New Roman" w:hAnsi="Times New Roman"/>
        </w:rPr>
        <w:t>corruption</w:t>
      </w:r>
      <w:r w:rsidR="00900061" w:rsidRPr="00E168A1">
        <w:rPr>
          <w:rFonts w:ascii="Times New Roman" w:hAnsi="Times New Roman"/>
        </w:rPr>
        <w:t xml:space="preserve"> </w:t>
      </w:r>
      <w:r w:rsidR="00837F94" w:rsidRPr="00E168A1">
        <w:rPr>
          <w:rFonts w:ascii="Times New Roman" w:hAnsi="Times New Roman"/>
        </w:rPr>
        <w:t>is</w:t>
      </w:r>
      <w:r w:rsidR="00900061" w:rsidRPr="00E168A1">
        <w:rPr>
          <w:rFonts w:ascii="Times New Roman" w:hAnsi="Times New Roman"/>
        </w:rPr>
        <w:t xml:space="preserve"> </w:t>
      </w:r>
      <w:r w:rsidR="00837F94" w:rsidRPr="004C78D4">
        <w:rPr>
          <w:rFonts w:ascii="Times New Roman" w:hAnsi="Times New Roman"/>
        </w:rPr>
        <w:t>progressively</w:t>
      </w:r>
      <w:r w:rsidR="00900061" w:rsidRPr="004C78D4">
        <w:rPr>
          <w:rFonts w:ascii="Times New Roman" w:hAnsi="Times New Roman"/>
        </w:rPr>
        <w:t xml:space="preserve"> </w:t>
      </w:r>
      <w:r w:rsidR="00837F94" w:rsidRPr="004C78D4">
        <w:rPr>
          <w:rFonts w:ascii="Times New Roman" w:hAnsi="Times New Roman"/>
        </w:rPr>
        <w:t>improving</w:t>
      </w:r>
      <w:r w:rsidR="00900061" w:rsidRPr="004C78D4">
        <w:rPr>
          <w:rFonts w:ascii="Times New Roman" w:hAnsi="Times New Roman"/>
        </w:rPr>
        <w:t xml:space="preserve"> </w:t>
      </w:r>
      <w:r w:rsidR="00837F94" w:rsidRPr="004C78D4">
        <w:rPr>
          <w:rFonts w:ascii="Times New Roman" w:hAnsi="Times New Roman"/>
        </w:rPr>
        <w:t>and</w:t>
      </w:r>
      <w:r w:rsidR="00900061" w:rsidRPr="004C78D4">
        <w:rPr>
          <w:rFonts w:ascii="Times New Roman" w:hAnsi="Times New Roman"/>
        </w:rPr>
        <w:t xml:space="preserve"> </w:t>
      </w:r>
      <w:r w:rsidR="00837F94" w:rsidRPr="004C78D4">
        <w:rPr>
          <w:rFonts w:ascii="Times New Roman" w:hAnsi="Times New Roman"/>
        </w:rPr>
        <w:t>existing</w:t>
      </w:r>
      <w:r w:rsidR="00900061" w:rsidRPr="004C78D4">
        <w:rPr>
          <w:rFonts w:ascii="Times New Roman" w:hAnsi="Times New Roman"/>
        </w:rPr>
        <w:t xml:space="preserve"> </w:t>
      </w:r>
      <w:r w:rsidR="00EB3365" w:rsidRPr="004C78D4">
        <w:rPr>
          <w:rFonts w:ascii="Times New Roman" w:hAnsi="Times New Roman"/>
        </w:rPr>
        <w:t>government</w:t>
      </w:r>
      <w:r w:rsidR="00900061" w:rsidRPr="004C78D4">
        <w:rPr>
          <w:rFonts w:ascii="Times New Roman" w:hAnsi="Times New Roman"/>
        </w:rPr>
        <w:t xml:space="preserve"> </w:t>
      </w:r>
      <w:r w:rsidR="00837F94" w:rsidRPr="004C78D4">
        <w:rPr>
          <w:rFonts w:ascii="Times New Roman" w:hAnsi="Times New Roman"/>
        </w:rPr>
        <w:t>commitment</w:t>
      </w:r>
      <w:r w:rsidR="00900061" w:rsidRPr="004C78D4">
        <w:rPr>
          <w:rFonts w:ascii="Times New Roman" w:hAnsi="Times New Roman"/>
        </w:rPr>
        <w:t xml:space="preserve"> </w:t>
      </w:r>
      <w:r w:rsidR="00837F94" w:rsidRPr="004C78D4">
        <w:rPr>
          <w:rFonts w:ascii="Times New Roman" w:hAnsi="Times New Roman"/>
        </w:rPr>
        <w:t>to</w:t>
      </w:r>
      <w:r w:rsidR="00900061" w:rsidRPr="004C78D4">
        <w:rPr>
          <w:rFonts w:ascii="Times New Roman" w:hAnsi="Times New Roman"/>
        </w:rPr>
        <w:t xml:space="preserve"> </w:t>
      </w:r>
      <w:r w:rsidR="00837F94" w:rsidRPr="004C78D4">
        <w:rPr>
          <w:rFonts w:ascii="Times New Roman" w:hAnsi="Times New Roman"/>
        </w:rPr>
        <w:t>addressing</w:t>
      </w:r>
      <w:r w:rsidR="00900061" w:rsidRPr="004C78D4">
        <w:rPr>
          <w:rFonts w:ascii="Times New Roman" w:hAnsi="Times New Roman"/>
        </w:rPr>
        <w:t xml:space="preserve"> </w:t>
      </w:r>
      <w:r w:rsidR="00837F94" w:rsidRPr="004C78D4">
        <w:rPr>
          <w:rFonts w:ascii="Times New Roman" w:hAnsi="Times New Roman"/>
        </w:rPr>
        <w:t>corruption</w:t>
      </w:r>
      <w:r w:rsidR="00900061" w:rsidRPr="004C78D4">
        <w:rPr>
          <w:rFonts w:ascii="Times New Roman" w:hAnsi="Times New Roman"/>
        </w:rPr>
        <w:t xml:space="preserve"> </w:t>
      </w:r>
      <w:r w:rsidR="00837F94" w:rsidRPr="004C78D4">
        <w:rPr>
          <w:rFonts w:ascii="Times New Roman" w:hAnsi="Times New Roman"/>
        </w:rPr>
        <w:t>is</w:t>
      </w:r>
      <w:r w:rsidR="00900061" w:rsidRPr="004C78D4">
        <w:rPr>
          <w:rFonts w:ascii="Times New Roman" w:hAnsi="Times New Roman"/>
        </w:rPr>
        <w:t xml:space="preserve"> </w:t>
      </w:r>
      <w:r w:rsidR="00837F94" w:rsidRPr="004C78D4">
        <w:rPr>
          <w:rFonts w:ascii="Times New Roman" w:hAnsi="Times New Roman"/>
        </w:rPr>
        <w:t>high.</w:t>
      </w:r>
      <w:r w:rsidR="00900061" w:rsidRPr="004C78D4">
        <w:rPr>
          <w:rFonts w:ascii="Times New Roman" w:hAnsi="Times New Roman"/>
        </w:rPr>
        <w:t xml:space="preserve"> </w:t>
      </w:r>
    </w:p>
    <w:p w14:paraId="3806A576" w14:textId="77777777" w:rsidR="004C78D4" w:rsidRPr="004C78D4" w:rsidRDefault="004C78D4" w:rsidP="004C78D4">
      <w:pPr>
        <w:pStyle w:val="ListParagraph"/>
        <w:numPr>
          <w:ilvl w:val="0"/>
          <w:numId w:val="9"/>
        </w:numPr>
        <w:ind w:left="0" w:firstLine="0"/>
        <w:contextualSpacing w:val="0"/>
        <w:rPr>
          <w:rFonts w:ascii="Times New Roman" w:hAnsi="Times New Roman"/>
          <w:b/>
          <w:color w:val="000000"/>
        </w:rPr>
      </w:pPr>
      <w:r w:rsidRPr="004C78D4">
        <w:rPr>
          <w:rFonts w:ascii="Times New Roman" w:hAnsi="Times New Roman"/>
          <w:b/>
        </w:rPr>
        <w:t xml:space="preserve">The World Bank’s Guidelines on Preventing and Combating Fraud and Corruption in Program for Results Financing would apply to the whole Program. </w:t>
      </w:r>
      <w:r w:rsidRPr="004C78D4">
        <w:rPr>
          <w:rFonts w:ascii="Times New Roman" w:hAnsi="Times New Roman"/>
        </w:rPr>
        <w:t xml:space="preserve">If requested, the Bank should be provided access to any information related to contracts under said Program (even if held by third parties/contractors) and the Bank should have the right to investigate any allegations of fraud and corruption within the Program. As part of its statutory mandate to audit Government finances, irrespective of source, the Serbia Audit Institution will share, with the World Bank, information on allegations of fraud and corruption. The Borrower’s commitment to follow the Guidelines is confirmed in the Minutes of Negotiations. </w:t>
      </w:r>
    </w:p>
    <w:p w14:paraId="629034B6" w14:textId="73EA4B54" w:rsidR="001B3E00" w:rsidRPr="004C78D4" w:rsidRDefault="00837F94" w:rsidP="00645878">
      <w:pPr>
        <w:pStyle w:val="ListParagraph"/>
        <w:numPr>
          <w:ilvl w:val="0"/>
          <w:numId w:val="9"/>
        </w:numPr>
        <w:ind w:left="0" w:firstLine="0"/>
        <w:contextualSpacing w:val="0"/>
        <w:rPr>
          <w:rFonts w:ascii="Times New Roman" w:hAnsi="Times New Roman"/>
        </w:rPr>
      </w:pPr>
      <w:r w:rsidRPr="004C78D4">
        <w:rPr>
          <w:rFonts w:ascii="Times New Roman" w:hAnsi="Times New Roman"/>
          <w:b/>
        </w:rPr>
        <w:t>It</w:t>
      </w:r>
      <w:r w:rsidR="00900061" w:rsidRPr="004C78D4">
        <w:rPr>
          <w:rFonts w:ascii="Times New Roman" w:hAnsi="Times New Roman"/>
          <w:b/>
        </w:rPr>
        <w:t xml:space="preserve"> </w:t>
      </w:r>
      <w:r w:rsidRPr="004C78D4">
        <w:rPr>
          <w:rFonts w:ascii="Times New Roman" w:hAnsi="Times New Roman"/>
          <w:b/>
        </w:rPr>
        <w:t>has</w:t>
      </w:r>
      <w:r w:rsidR="00900061" w:rsidRPr="004C78D4">
        <w:rPr>
          <w:rFonts w:ascii="Times New Roman" w:hAnsi="Times New Roman"/>
          <w:b/>
        </w:rPr>
        <w:t xml:space="preserve"> </w:t>
      </w:r>
      <w:r w:rsidRPr="004C78D4">
        <w:rPr>
          <w:rFonts w:ascii="Times New Roman" w:hAnsi="Times New Roman"/>
          <w:b/>
        </w:rPr>
        <w:t>been</w:t>
      </w:r>
      <w:r w:rsidR="00900061" w:rsidRPr="004C78D4">
        <w:rPr>
          <w:rFonts w:ascii="Times New Roman" w:hAnsi="Times New Roman"/>
          <w:b/>
        </w:rPr>
        <w:t xml:space="preserve"> </w:t>
      </w:r>
      <w:r w:rsidRPr="004C78D4">
        <w:rPr>
          <w:rFonts w:ascii="Times New Roman" w:hAnsi="Times New Roman"/>
          <w:b/>
        </w:rPr>
        <w:t>agreed</w:t>
      </w:r>
      <w:r w:rsidR="00900061" w:rsidRPr="004C78D4">
        <w:rPr>
          <w:rFonts w:ascii="Times New Roman" w:hAnsi="Times New Roman"/>
          <w:b/>
        </w:rPr>
        <w:t xml:space="preserve"> </w:t>
      </w:r>
      <w:r w:rsidRPr="004C78D4">
        <w:rPr>
          <w:rFonts w:ascii="Times New Roman" w:hAnsi="Times New Roman"/>
          <w:b/>
        </w:rPr>
        <w:t>that</w:t>
      </w:r>
      <w:r w:rsidR="00900061" w:rsidRPr="004C78D4">
        <w:rPr>
          <w:rFonts w:ascii="Times New Roman" w:hAnsi="Times New Roman"/>
          <w:b/>
        </w:rPr>
        <w:t xml:space="preserve"> </w:t>
      </w:r>
      <w:r w:rsidRPr="004C78D4">
        <w:rPr>
          <w:rFonts w:ascii="Times New Roman" w:hAnsi="Times New Roman"/>
          <w:b/>
        </w:rPr>
        <w:t>the</w:t>
      </w:r>
      <w:r w:rsidR="00900061" w:rsidRPr="004C78D4">
        <w:rPr>
          <w:rFonts w:ascii="Times New Roman" w:hAnsi="Times New Roman"/>
          <w:b/>
        </w:rPr>
        <w:t xml:space="preserve"> </w:t>
      </w:r>
      <w:r w:rsidRPr="004C78D4">
        <w:rPr>
          <w:rFonts w:ascii="Times New Roman" w:hAnsi="Times New Roman"/>
          <w:b/>
        </w:rPr>
        <w:t>SAI</w:t>
      </w:r>
      <w:r w:rsidR="00900061" w:rsidRPr="004C78D4">
        <w:rPr>
          <w:rFonts w:ascii="Times New Roman" w:hAnsi="Times New Roman"/>
          <w:b/>
        </w:rPr>
        <w:t xml:space="preserve"> </w:t>
      </w:r>
      <w:r w:rsidRPr="004C78D4">
        <w:rPr>
          <w:rFonts w:ascii="Times New Roman" w:hAnsi="Times New Roman"/>
          <w:b/>
        </w:rPr>
        <w:t>will</w:t>
      </w:r>
      <w:r w:rsidR="00900061" w:rsidRPr="004C78D4">
        <w:rPr>
          <w:rFonts w:ascii="Times New Roman" w:hAnsi="Times New Roman"/>
          <w:b/>
        </w:rPr>
        <w:t xml:space="preserve"> </w:t>
      </w:r>
      <w:r w:rsidRPr="004C78D4">
        <w:rPr>
          <w:rFonts w:ascii="Times New Roman" w:hAnsi="Times New Roman"/>
          <w:b/>
        </w:rPr>
        <w:t>share</w:t>
      </w:r>
      <w:r w:rsidR="00900061" w:rsidRPr="004C78D4">
        <w:rPr>
          <w:rFonts w:ascii="Times New Roman" w:hAnsi="Times New Roman"/>
          <w:b/>
        </w:rPr>
        <w:t xml:space="preserve"> </w:t>
      </w:r>
      <w:r w:rsidRPr="004C78D4">
        <w:rPr>
          <w:rFonts w:ascii="Times New Roman" w:hAnsi="Times New Roman"/>
          <w:b/>
        </w:rPr>
        <w:t>with</w:t>
      </w:r>
      <w:r w:rsidR="00900061" w:rsidRPr="004C78D4">
        <w:rPr>
          <w:rFonts w:ascii="Times New Roman" w:hAnsi="Times New Roman"/>
          <w:b/>
        </w:rPr>
        <w:t xml:space="preserve"> </w:t>
      </w:r>
      <w:r w:rsidRPr="004C78D4">
        <w:rPr>
          <w:rFonts w:ascii="Times New Roman" w:hAnsi="Times New Roman"/>
          <w:b/>
        </w:rPr>
        <w:t>the</w:t>
      </w:r>
      <w:r w:rsidR="00900061" w:rsidRPr="004C78D4">
        <w:rPr>
          <w:rFonts w:ascii="Times New Roman" w:hAnsi="Times New Roman"/>
          <w:b/>
        </w:rPr>
        <w:t xml:space="preserve"> </w:t>
      </w:r>
      <w:r w:rsidRPr="004C78D4">
        <w:rPr>
          <w:rFonts w:ascii="Times New Roman" w:hAnsi="Times New Roman"/>
          <w:b/>
        </w:rPr>
        <w:t>Bank</w:t>
      </w:r>
      <w:r w:rsidR="00900061" w:rsidRPr="004C78D4">
        <w:rPr>
          <w:rFonts w:ascii="Times New Roman" w:hAnsi="Times New Roman"/>
          <w:b/>
        </w:rPr>
        <w:t xml:space="preserve"> </w:t>
      </w:r>
      <w:r w:rsidRPr="004C78D4">
        <w:rPr>
          <w:rFonts w:ascii="Times New Roman" w:hAnsi="Times New Roman"/>
          <w:b/>
        </w:rPr>
        <w:t>any</w:t>
      </w:r>
      <w:r w:rsidR="00900061" w:rsidRPr="004C78D4">
        <w:rPr>
          <w:rFonts w:ascii="Times New Roman" w:hAnsi="Times New Roman"/>
          <w:b/>
        </w:rPr>
        <w:t xml:space="preserve"> </w:t>
      </w:r>
      <w:r w:rsidRPr="004C78D4">
        <w:rPr>
          <w:rFonts w:ascii="Times New Roman" w:hAnsi="Times New Roman"/>
          <w:b/>
        </w:rPr>
        <w:t>indications</w:t>
      </w:r>
      <w:r w:rsidR="00900061" w:rsidRPr="004C78D4">
        <w:rPr>
          <w:rFonts w:ascii="Times New Roman" w:hAnsi="Times New Roman"/>
          <w:b/>
        </w:rPr>
        <w:t xml:space="preserve"> </w:t>
      </w:r>
      <w:r w:rsidRPr="004C78D4">
        <w:rPr>
          <w:rFonts w:ascii="Times New Roman" w:hAnsi="Times New Roman"/>
          <w:b/>
        </w:rPr>
        <w:t>or</w:t>
      </w:r>
      <w:r w:rsidR="00900061" w:rsidRPr="004C78D4">
        <w:rPr>
          <w:rFonts w:ascii="Times New Roman" w:hAnsi="Times New Roman"/>
          <w:b/>
        </w:rPr>
        <w:t xml:space="preserve"> </w:t>
      </w:r>
      <w:r w:rsidRPr="004C78D4">
        <w:rPr>
          <w:rFonts w:ascii="Times New Roman" w:hAnsi="Times New Roman"/>
          <w:b/>
        </w:rPr>
        <w:t>allegations</w:t>
      </w:r>
      <w:r w:rsidR="00900061" w:rsidRPr="004C78D4">
        <w:rPr>
          <w:rFonts w:ascii="Times New Roman" w:hAnsi="Times New Roman"/>
          <w:b/>
        </w:rPr>
        <w:t xml:space="preserve"> </w:t>
      </w:r>
      <w:r w:rsidRPr="004C78D4">
        <w:rPr>
          <w:rFonts w:ascii="Times New Roman" w:hAnsi="Times New Roman"/>
          <w:b/>
        </w:rPr>
        <w:t>relating</w:t>
      </w:r>
      <w:r w:rsidR="00900061" w:rsidRPr="004C78D4">
        <w:rPr>
          <w:rFonts w:ascii="Times New Roman" w:hAnsi="Times New Roman"/>
          <w:b/>
        </w:rPr>
        <w:t xml:space="preserve"> </w:t>
      </w:r>
      <w:r w:rsidRPr="004C78D4">
        <w:rPr>
          <w:rFonts w:ascii="Times New Roman" w:hAnsi="Times New Roman"/>
          <w:b/>
        </w:rPr>
        <w:t>to</w:t>
      </w:r>
      <w:r w:rsidR="00900061" w:rsidRPr="004C78D4">
        <w:rPr>
          <w:rFonts w:ascii="Times New Roman" w:hAnsi="Times New Roman"/>
          <w:b/>
        </w:rPr>
        <w:t xml:space="preserve"> </w:t>
      </w:r>
      <w:r w:rsidR="00A34355" w:rsidRPr="004C78D4">
        <w:rPr>
          <w:rFonts w:ascii="Times New Roman" w:hAnsi="Times New Roman"/>
          <w:b/>
        </w:rPr>
        <w:t>F&amp;C</w:t>
      </w:r>
      <w:r w:rsidR="00900061" w:rsidRPr="004C78D4">
        <w:rPr>
          <w:rFonts w:ascii="Times New Roman" w:hAnsi="Times New Roman"/>
          <w:b/>
        </w:rPr>
        <w:t xml:space="preserve"> </w:t>
      </w:r>
      <w:r w:rsidRPr="004C78D4">
        <w:rPr>
          <w:rFonts w:ascii="Times New Roman" w:hAnsi="Times New Roman"/>
          <w:b/>
        </w:rPr>
        <w:t>identified</w:t>
      </w:r>
      <w:r w:rsidR="00900061" w:rsidRPr="004C78D4">
        <w:rPr>
          <w:rFonts w:ascii="Times New Roman" w:hAnsi="Times New Roman"/>
          <w:b/>
        </w:rPr>
        <w:t xml:space="preserve"> </w:t>
      </w:r>
      <w:r w:rsidRPr="004C78D4">
        <w:rPr>
          <w:rFonts w:ascii="Times New Roman" w:hAnsi="Times New Roman"/>
          <w:b/>
        </w:rPr>
        <w:t>during</w:t>
      </w:r>
      <w:r w:rsidR="00900061" w:rsidRPr="004C78D4">
        <w:rPr>
          <w:rFonts w:ascii="Times New Roman" w:hAnsi="Times New Roman"/>
          <w:b/>
        </w:rPr>
        <w:t xml:space="preserve"> </w:t>
      </w:r>
      <w:r w:rsidRPr="004C78D4">
        <w:rPr>
          <w:rFonts w:ascii="Times New Roman" w:hAnsi="Times New Roman"/>
          <w:b/>
        </w:rPr>
        <w:t>the</w:t>
      </w:r>
      <w:r w:rsidR="00900061" w:rsidRPr="004C78D4">
        <w:rPr>
          <w:rFonts w:ascii="Times New Roman" w:hAnsi="Times New Roman"/>
          <w:b/>
        </w:rPr>
        <w:t xml:space="preserve"> </w:t>
      </w:r>
      <w:r w:rsidRPr="004C78D4">
        <w:rPr>
          <w:rFonts w:ascii="Times New Roman" w:hAnsi="Times New Roman"/>
          <w:b/>
        </w:rPr>
        <w:t>SAI’s</w:t>
      </w:r>
      <w:r w:rsidR="00900061" w:rsidRPr="004C78D4">
        <w:rPr>
          <w:rFonts w:ascii="Times New Roman" w:hAnsi="Times New Roman"/>
          <w:b/>
        </w:rPr>
        <w:t xml:space="preserve"> </w:t>
      </w:r>
      <w:r w:rsidRPr="004C78D4">
        <w:rPr>
          <w:rFonts w:ascii="Times New Roman" w:hAnsi="Times New Roman"/>
          <w:b/>
        </w:rPr>
        <w:t>work.</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SAI</w:t>
      </w:r>
      <w:r w:rsidR="00900061" w:rsidRPr="004C78D4">
        <w:rPr>
          <w:rFonts w:ascii="Times New Roman" w:hAnsi="Times New Roman"/>
        </w:rPr>
        <w:t xml:space="preserve"> </w:t>
      </w:r>
      <w:r w:rsidRPr="004C78D4">
        <w:rPr>
          <w:rFonts w:ascii="Times New Roman" w:hAnsi="Times New Roman"/>
        </w:rPr>
        <w:t>has</w:t>
      </w:r>
      <w:r w:rsidR="00900061" w:rsidRPr="004C78D4">
        <w:rPr>
          <w:rFonts w:ascii="Times New Roman" w:hAnsi="Times New Roman"/>
        </w:rPr>
        <w:t xml:space="preserve"> </w:t>
      </w:r>
      <w:r w:rsidRPr="004C78D4">
        <w:rPr>
          <w:rFonts w:ascii="Times New Roman" w:hAnsi="Times New Roman"/>
        </w:rPr>
        <w:t>a</w:t>
      </w:r>
      <w:r w:rsidR="00900061" w:rsidRPr="004C78D4">
        <w:rPr>
          <w:rFonts w:ascii="Times New Roman" w:hAnsi="Times New Roman"/>
        </w:rPr>
        <w:t xml:space="preserve"> </w:t>
      </w:r>
      <w:r w:rsidRPr="004C78D4">
        <w:rPr>
          <w:rFonts w:ascii="Times New Roman" w:hAnsi="Times New Roman"/>
        </w:rPr>
        <w:t>statutory</w:t>
      </w:r>
      <w:r w:rsidR="00900061" w:rsidRPr="004C78D4">
        <w:rPr>
          <w:rFonts w:ascii="Times New Roman" w:hAnsi="Times New Roman"/>
        </w:rPr>
        <w:t xml:space="preserve"> </w:t>
      </w:r>
      <w:r w:rsidRPr="004C78D4">
        <w:rPr>
          <w:rFonts w:ascii="Times New Roman" w:hAnsi="Times New Roman"/>
        </w:rPr>
        <w:t>mandate</w:t>
      </w:r>
      <w:r w:rsidR="00900061" w:rsidRPr="004C78D4">
        <w:rPr>
          <w:rFonts w:ascii="Times New Roman" w:hAnsi="Times New Roman"/>
        </w:rPr>
        <w:t xml:space="preserve"> </w:t>
      </w:r>
      <w:r w:rsidRPr="004C78D4">
        <w:rPr>
          <w:rFonts w:ascii="Times New Roman" w:hAnsi="Times New Roman"/>
        </w:rPr>
        <w:t>to</w:t>
      </w:r>
      <w:r w:rsidR="00900061" w:rsidRPr="004C78D4">
        <w:rPr>
          <w:rFonts w:ascii="Times New Roman" w:hAnsi="Times New Roman"/>
        </w:rPr>
        <w:t xml:space="preserve"> </w:t>
      </w:r>
      <w:r w:rsidRPr="004C78D4">
        <w:rPr>
          <w:rFonts w:ascii="Times New Roman" w:hAnsi="Times New Roman"/>
        </w:rPr>
        <w:t>audit</w:t>
      </w:r>
      <w:r w:rsidR="00900061" w:rsidRPr="004C78D4">
        <w:rPr>
          <w:rFonts w:ascii="Times New Roman" w:hAnsi="Times New Roman"/>
        </w:rPr>
        <w:t xml:space="preserve"> </w:t>
      </w:r>
      <w:r w:rsidRPr="004C78D4">
        <w:rPr>
          <w:rFonts w:ascii="Times New Roman" w:hAnsi="Times New Roman"/>
        </w:rPr>
        <w:t>all</w:t>
      </w:r>
      <w:r w:rsidR="00900061" w:rsidRPr="004C78D4">
        <w:rPr>
          <w:rFonts w:ascii="Times New Roman" w:hAnsi="Times New Roman"/>
        </w:rPr>
        <w:t xml:space="preserve"> </w:t>
      </w:r>
      <w:r w:rsidR="00EB3365" w:rsidRPr="004C78D4">
        <w:rPr>
          <w:rFonts w:ascii="Times New Roman" w:hAnsi="Times New Roman"/>
        </w:rPr>
        <w:t>government</w:t>
      </w:r>
      <w:r w:rsidR="00900061" w:rsidRPr="004C78D4">
        <w:rPr>
          <w:rFonts w:ascii="Times New Roman" w:hAnsi="Times New Roman"/>
        </w:rPr>
        <w:t xml:space="preserve"> </w:t>
      </w:r>
      <w:r w:rsidRPr="004C78D4">
        <w:rPr>
          <w:rFonts w:ascii="Times New Roman" w:hAnsi="Times New Roman"/>
        </w:rPr>
        <w:t>finances</w:t>
      </w:r>
      <w:r w:rsidR="00900061" w:rsidRPr="004C78D4">
        <w:rPr>
          <w:rFonts w:ascii="Times New Roman" w:hAnsi="Times New Roman"/>
        </w:rPr>
        <w:t xml:space="preserve"> </w:t>
      </w:r>
      <w:r w:rsidRPr="004C78D4">
        <w:rPr>
          <w:rFonts w:ascii="Times New Roman" w:hAnsi="Times New Roman"/>
        </w:rPr>
        <w:t>irrespective</w:t>
      </w:r>
      <w:r w:rsidR="00900061" w:rsidRPr="004C78D4">
        <w:rPr>
          <w:rFonts w:ascii="Times New Roman" w:hAnsi="Times New Roman"/>
        </w:rPr>
        <w:t xml:space="preserve"> </w:t>
      </w:r>
      <w:r w:rsidRPr="004C78D4">
        <w:rPr>
          <w:rFonts w:ascii="Times New Roman" w:hAnsi="Times New Roman"/>
        </w:rPr>
        <w:t>of</w:t>
      </w:r>
      <w:r w:rsidR="00900061" w:rsidRPr="004C78D4">
        <w:rPr>
          <w:rFonts w:ascii="Times New Roman" w:hAnsi="Times New Roman"/>
        </w:rPr>
        <w:t xml:space="preserve"> </w:t>
      </w:r>
      <w:r w:rsidRPr="004C78D4">
        <w:rPr>
          <w:rFonts w:ascii="Times New Roman" w:hAnsi="Times New Roman"/>
        </w:rPr>
        <w:t>their</w:t>
      </w:r>
      <w:r w:rsidR="00900061" w:rsidRPr="004C78D4">
        <w:rPr>
          <w:rFonts w:ascii="Times New Roman" w:hAnsi="Times New Roman"/>
        </w:rPr>
        <w:t xml:space="preserve"> </w:t>
      </w:r>
      <w:r w:rsidRPr="004C78D4">
        <w:rPr>
          <w:rFonts w:ascii="Times New Roman" w:hAnsi="Times New Roman"/>
        </w:rPr>
        <w:t>source.</w:t>
      </w:r>
      <w:r w:rsidR="00900061" w:rsidRPr="004C78D4">
        <w:rPr>
          <w:rFonts w:ascii="Times New Roman" w:hAnsi="Times New Roman"/>
        </w:rPr>
        <w:t xml:space="preserve"> </w:t>
      </w:r>
      <w:r w:rsidRPr="004C78D4">
        <w:rPr>
          <w:rFonts w:ascii="Times New Roman" w:hAnsi="Times New Roman"/>
        </w:rPr>
        <w:t>Thus,</w:t>
      </w:r>
      <w:r w:rsidR="00900061" w:rsidRPr="004C78D4">
        <w:rPr>
          <w:rFonts w:ascii="Times New Roman" w:hAnsi="Times New Roman"/>
        </w:rPr>
        <w:t xml:space="preserve"> </w:t>
      </w:r>
      <w:r w:rsidRPr="004C78D4">
        <w:rPr>
          <w:rFonts w:ascii="Times New Roman" w:hAnsi="Times New Roman"/>
        </w:rPr>
        <w:t>financing</w:t>
      </w:r>
      <w:r w:rsidR="00900061" w:rsidRPr="004C78D4">
        <w:rPr>
          <w:rFonts w:ascii="Times New Roman" w:hAnsi="Times New Roman"/>
        </w:rPr>
        <w:t xml:space="preserve"> </w:t>
      </w:r>
      <w:r w:rsidRPr="004C78D4">
        <w:rPr>
          <w:rFonts w:ascii="Times New Roman" w:hAnsi="Times New Roman"/>
        </w:rPr>
        <w:t>from</w:t>
      </w:r>
      <w:r w:rsidR="00900061" w:rsidRPr="004C78D4">
        <w:rPr>
          <w:rFonts w:ascii="Times New Roman" w:hAnsi="Times New Roman"/>
        </w:rPr>
        <w:t xml:space="preserve"> </w:t>
      </w:r>
      <w:r w:rsidRPr="004C78D4">
        <w:rPr>
          <w:rFonts w:ascii="Times New Roman" w:hAnsi="Times New Roman"/>
        </w:rPr>
        <w:t>grants</w:t>
      </w:r>
      <w:r w:rsidR="00900061" w:rsidRPr="004C78D4">
        <w:rPr>
          <w:rFonts w:ascii="Times New Roman" w:hAnsi="Times New Roman"/>
        </w:rPr>
        <w:t xml:space="preserve"> </w:t>
      </w:r>
      <w:r w:rsidRPr="004C78D4">
        <w:rPr>
          <w:rFonts w:ascii="Times New Roman" w:hAnsi="Times New Roman"/>
        </w:rPr>
        <w:t>and</w:t>
      </w:r>
      <w:r w:rsidR="00900061" w:rsidRPr="004C78D4">
        <w:rPr>
          <w:rFonts w:ascii="Times New Roman" w:hAnsi="Times New Roman"/>
        </w:rPr>
        <w:t xml:space="preserve"> </w:t>
      </w:r>
      <w:r w:rsidRPr="004C78D4">
        <w:rPr>
          <w:rFonts w:ascii="Times New Roman" w:hAnsi="Times New Roman"/>
        </w:rPr>
        <w:t>loan</w:t>
      </w:r>
      <w:r w:rsidR="00900061" w:rsidRPr="004C78D4">
        <w:rPr>
          <w:rFonts w:ascii="Times New Roman" w:hAnsi="Times New Roman"/>
        </w:rPr>
        <w:t xml:space="preserve"> </w:t>
      </w:r>
      <w:r w:rsidRPr="004C78D4">
        <w:rPr>
          <w:rFonts w:ascii="Times New Roman" w:hAnsi="Times New Roman"/>
        </w:rPr>
        <w:t>are</w:t>
      </w:r>
      <w:r w:rsidR="00900061" w:rsidRPr="004C78D4">
        <w:rPr>
          <w:rFonts w:ascii="Times New Roman" w:hAnsi="Times New Roman"/>
        </w:rPr>
        <w:t xml:space="preserve"> </w:t>
      </w:r>
      <w:r w:rsidRPr="004C78D4">
        <w:rPr>
          <w:rFonts w:ascii="Times New Roman" w:hAnsi="Times New Roman"/>
        </w:rPr>
        <w:t>equally</w:t>
      </w:r>
      <w:r w:rsidR="00900061" w:rsidRPr="004C78D4">
        <w:rPr>
          <w:rFonts w:ascii="Times New Roman" w:hAnsi="Times New Roman"/>
        </w:rPr>
        <w:t xml:space="preserve"> </w:t>
      </w:r>
      <w:r w:rsidRPr="004C78D4">
        <w:rPr>
          <w:rFonts w:ascii="Times New Roman" w:hAnsi="Times New Roman"/>
        </w:rPr>
        <w:t>covered</w:t>
      </w:r>
      <w:r w:rsidR="00900061" w:rsidRPr="004C78D4">
        <w:rPr>
          <w:rFonts w:ascii="Times New Roman" w:hAnsi="Times New Roman"/>
        </w:rPr>
        <w:t xml:space="preserve"> </w:t>
      </w:r>
      <w:r w:rsidRPr="004C78D4">
        <w:rPr>
          <w:rFonts w:ascii="Times New Roman" w:hAnsi="Times New Roman"/>
        </w:rPr>
        <w:t>with</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SAI</w:t>
      </w:r>
      <w:r w:rsidR="00900061" w:rsidRPr="004C78D4">
        <w:rPr>
          <w:rFonts w:ascii="Times New Roman" w:hAnsi="Times New Roman"/>
        </w:rPr>
        <w:t xml:space="preserve"> </w:t>
      </w:r>
      <w:r w:rsidRPr="004C78D4">
        <w:rPr>
          <w:rFonts w:ascii="Times New Roman" w:hAnsi="Times New Roman"/>
        </w:rPr>
        <w:t>Law.</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SAI’s</w:t>
      </w:r>
      <w:r w:rsidR="00900061" w:rsidRPr="004C78D4">
        <w:rPr>
          <w:rFonts w:ascii="Times New Roman" w:hAnsi="Times New Roman"/>
        </w:rPr>
        <w:t xml:space="preserve"> </w:t>
      </w:r>
      <w:r w:rsidRPr="004C78D4">
        <w:rPr>
          <w:rFonts w:ascii="Times New Roman" w:hAnsi="Times New Roman"/>
        </w:rPr>
        <w:t>mandate</w:t>
      </w:r>
      <w:r w:rsidR="00900061" w:rsidRPr="004C78D4">
        <w:rPr>
          <w:rFonts w:ascii="Times New Roman" w:hAnsi="Times New Roman"/>
        </w:rPr>
        <w:t xml:space="preserve"> </w:t>
      </w:r>
      <w:r w:rsidRPr="004C78D4">
        <w:rPr>
          <w:rFonts w:ascii="Times New Roman" w:hAnsi="Times New Roman"/>
        </w:rPr>
        <w:t>covers</w:t>
      </w:r>
      <w:r w:rsidR="00900061" w:rsidRPr="004C78D4">
        <w:rPr>
          <w:rFonts w:ascii="Times New Roman" w:hAnsi="Times New Roman"/>
        </w:rPr>
        <w:t xml:space="preserve"> </w:t>
      </w:r>
      <w:r w:rsidRPr="004C78D4">
        <w:rPr>
          <w:rFonts w:ascii="Times New Roman" w:hAnsi="Times New Roman"/>
        </w:rPr>
        <w:t>tackling</w:t>
      </w:r>
      <w:r w:rsidR="00900061" w:rsidRPr="004C78D4">
        <w:rPr>
          <w:rFonts w:ascii="Times New Roman" w:hAnsi="Times New Roman"/>
        </w:rPr>
        <w:t xml:space="preserve"> </w:t>
      </w:r>
      <w:r w:rsidR="00A34355" w:rsidRPr="004C78D4">
        <w:rPr>
          <w:rFonts w:ascii="Times New Roman" w:hAnsi="Times New Roman"/>
        </w:rPr>
        <w:t>F&amp;C</w:t>
      </w:r>
      <w:r w:rsidR="00447621" w:rsidRPr="004C78D4">
        <w:rPr>
          <w:rFonts w:ascii="Times New Roman" w:hAnsi="Times New Roman"/>
        </w:rPr>
        <w:t>,</w:t>
      </w:r>
      <w:r w:rsidR="00900061" w:rsidRPr="004C78D4">
        <w:rPr>
          <w:rFonts w:ascii="Times New Roman" w:hAnsi="Times New Roman"/>
        </w:rPr>
        <w:t xml:space="preserve"> </w:t>
      </w:r>
      <w:r w:rsidRPr="004C78D4">
        <w:rPr>
          <w:rFonts w:ascii="Times New Roman" w:hAnsi="Times New Roman"/>
        </w:rPr>
        <w:lastRenderedPageBreak/>
        <w:t>and</w:t>
      </w:r>
      <w:r w:rsidR="00900061" w:rsidRPr="004C78D4">
        <w:rPr>
          <w:rFonts w:ascii="Times New Roman" w:hAnsi="Times New Roman"/>
        </w:rPr>
        <w:t xml:space="preserve"> </w:t>
      </w:r>
      <w:r w:rsidRPr="004C78D4">
        <w:rPr>
          <w:rFonts w:ascii="Times New Roman" w:hAnsi="Times New Roman"/>
        </w:rPr>
        <w:t>given</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nature</w:t>
      </w:r>
      <w:r w:rsidR="00900061" w:rsidRPr="004C78D4">
        <w:rPr>
          <w:rFonts w:ascii="Times New Roman" w:hAnsi="Times New Roman"/>
        </w:rPr>
        <w:t xml:space="preserve"> </w:t>
      </w:r>
      <w:r w:rsidRPr="004C78D4">
        <w:rPr>
          <w:rFonts w:ascii="Times New Roman" w:hAnsi="Times New Roman"/>
        </w:rPr>
        <w:t>of</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lending</w:t>
      </w:r>
      <w:r w:rsidR="00B86A9C" w:rsidRPr="004C78D4">
        <w:rPr>
          <w:rFonts w:ascii="Times New Roman" w:hAnsi="Times New Roman"/>
        </w:rPr>
        <w:t>,</w:t>
      </w:r>
      <w:r w:rsidR="00900061" w:rsidRPr="004C78D4">
        <w:rPr>
          <w:rFonts w:ascii="Times New Roman" w:hAnsi="Times New Roman"/>
        </w:rPr>
        <w:t xml:space="preserve"> </w:t>
      </w:r>
      <w:r w:rsidRPr="004C78D4">
        <w:rPr>
          <w:rFonts w:ascii="Times New Roman" w:hAnsi="Times New Roman"/>
        </w:rPr>
        <w:t>an</w:t>
      </w:r>
      <w:r w:rsidR="00900061" w:rsidRPr="004C78D4">
        <w:rPr>
          <w:rFonts w:ascii="Times New Roman" w:hAnsi="Times New Roman"/>
        </w:rPr>
        <w:t xml:space="preserve"> </w:t>
      </w:r>
      <w:r w:rsidRPr="004C78D4">
        <w:rPr>
          <w:rFonts w:ascii="Times New Roman" w:hAnsi="Times New Roman"/>
        </w:rPr>
        <w:t>official</w:t>
      </w:r>
      <w:r w:rsidR="00900061" w:rsidRPr="004C78D4">
        <w:rPr>
          <w:rFonts w:ascii="Times New Roman" w:hAnsi="Times New Roman"/>
        </w:rPr>
        <w:t xml:space="preserve"> </w:t>
      </w:r>
      <w:r w:rsidRPr="004C78D4">
        <w:rPr>
          <w:rFonts w:ascii="Times New Roman" w:hAnsi="Times New Roman"/>
        </w:rPr>
        <w:t>exchange</w:t>
      </w:r>
      <w:r w:rsidR="00900061" w:rsidRPr="004C78D4">
        <w:rPr>
          <w:rFonts w:ascii="Times New Roman" w:hAnsi="Times New Roman"/>
        </w:rPr>
        <w:t xml:space="preserve"> </w:t>
      </w:r>
      <w:r w:rsidRPr="004C78D4">
        <w:rPr>
          <w:rFonts w:ascii="Times New Roman" w:hAnsi="Times New Roman"/>
        </w:rPr>
        <w:t>of</w:t>
      </w:r>
      <w:r w:rsidR="00900061" w:rsidRPr="004C78D4">
        <w:rPr>
          <w:rFonts w:ascii="Times New Roman" w:hAnsi="Times New Roman"/>
        </w:rPr>
        <w:t xml:space="preserve"> </w:t>
      </w:r>
      <w:r w:rsidRPr="004C78D4">
        <w:rPr>
          <w:rFonts w:ascii="Times New Roman" w:hAnsi="Times New Roman"/>
        </w:rPr>
        <w:t>letters</w:t>
      </w:r>
      <w:r w:rsidR="00900061" w:rsidRPr="004C78D4">
        <w:rPr>
          <w:rFonts w:ascii="Times New Roman" w:hAnsi="Times New Roman"/>
        </w:rPr>
        <w:t xml:space="preserve"> </w:t>
      </w:r>
      <w:r w:rsidR="00427280" w:rsidRPr="004C78D4">
        <w:rPr>
          <w:rFonts w:ascii="Times New Roman" w:hAnsi="Times New Roman"/>
        </w:rPr>
        <w:t xml:space="preserve">will </w:t>
      </w:r>
      <w:r w:rsidRPr="004C78D4">
        <w:rPr>
          <w:rFonts w:ascii="Times New Roman" w:hAnsi="Times New Roman"/>
        </w:rPr>
        <w:t>set</w:t>
      </w:r>
      <w:r w:rsidR="00900061" w:rsidRPr="004C78D4">
        <w:rPr>
          <w:rFonts w:ascii="Times New Roman" w:hAnsi="Times New Roman"/>
        </w:rPr>
        <w:t xml:space="preserve"> </w:t>
      </w:r>
      <w:r w:rsidRPr="004C78D4">
        <w:rPr>
          <w:rFonts w:ascii="Times New Roman" w:hAnsi="Times New Roman"/>
        </w:rPr>
        <w:t>out</w:t>
      </w:r>
      <w:r w:rsidR="00900061" w:rsidRPr="004C78D4">
        <w:rPr>
          <w:rFonts w:ascii="Times New Roman" w:hAnsi="Times New Roman"/>
        </w:rPr>
        <w:t xml:space="preserve"> </w:t>
      </w:r>
      <w:r w:rsidRPr="004C78D4">
        <w:rPr>
          <w:rFonts w:ascii="Times New Roman" w:hAnsi="Times New Roman"/>
        </w:rPr>
        <w:t>a</w:t>
      </w:r>
      <w:r w:rsidR="00900061" w:rsidRPr="004C78D4">
        <w:rPr>
          <w:rFonts w:ascii="Times New Roman" w:hAnsi="Times New Roman"/>
        </w:rPr>
        <w:t xml:space="preserve"> </w:t>
      </w:r>
      <w:r w:rsidRPr="004C78D4">
        <w:rPr>
          <w:rFonts w:ascii="Times New Roman" w:hAnsi="Times New Roman"/>
        </w:rPr>
        <w:t>mechanism</w:t>
      </w:r>
      <w:r w:rsidR="00900061" w:rsidRPr="004C78D4">
        <w:rPr>
          <w:rFonts w:ascii="Times New Roman" w:hAnsi="Times New Roman"/>
        </w:rPr>
        <w:t xml:space="preserve"> </w:t>
      </w:r>
      <w:r w:rsidRPr="004C78D4">
        <w:rPr>
          <w:rFonts w:ascii="Times New Roman" w:hAnsi="Times New Roman"/>
        </w:rPr>
        <w:t>to</w:t>
      </w:r>
      <w:r w:rsidR="00900061" w:rsidRPr="004C78D4">
        <w:rPr>
          <w:rFonts w:ascii="Times New Roman" w:hAnsi="Times New Roman"/>
        </w:rPr>
        <w:t xml:space="preserve"> </w:t>
      </w:r>
      <w:r w:rsidRPr="004C78D4">
        <w:rPr>
          <w:rFonts w:ascii="Times New Roman" w:hAnsi="Times New Roman"/>
        </w:rPr>
        <w:t>allow</w:t>
      </w:r>
      <w:r w:rsidR="00900061" w:rsidRPr="004C78D4">
        <w:rPr>
          <w:rFonts w:ascii="Times New Roman" w:hAnsi="Times New Roman"/>
        </w:rPr>
        <w:t xml:space="preserve"> </w:t>
      </w:r>
      <w:r w:rsidRPr="004C78D4">
        <w:rPr>
          <w:rFonts w:ascii="Times New Roman" w:hAnsi="Times New Roman"/>
        </w:rPr>
        <w:t>for</w:t>
      </w:r>
      <w:r w:rsidR="00900061" w:rsidRPr="004C78D4">
        <w:rPr>
          <w:rFonts w:ascii="Times New Roman" w:hAnsi="Times New Roman"/>
        </w:rPr>
        <w:t xml:space="preserve"> </w:t>
      </w:r>
      <w:r w:rsidRPr="004C78D4">
        <w:rPr>
          <w:rFonts w:ascii="Times New Roman" w:hAnsi="Times New Roman"/>
        </w:rPr>
        <w:t>exchange</w:t>
      </w:r>
      <w:r w:rsidR="00900061" w:rsidRPr="004C78D4">
        <w:rPr>
          <w:rFonts w:ascii="Times New Roman" w:hAnsi="Times New Roman"/>
        </w:rPr>
        <w:t xml:space="preserve"> </w:t>
      </w:r>
      <w:r w:rsidRPr="004C78D4">
        <w:rPr>
          <w:rFonts w:ascii="Times New Roman" w:hAnsi="Times New Roman"/>
        </w:rPr>
        <w:t>of</w:t>
      </w:r>
      <w:r w:rsidR="00900061" w:rsidRPr="004C78D4">
        <w:rPr>
          <w:rFonts w:ascii="Times New Roman" w:hAnsi="Times New Roman"/>
        </w:rPr>
        <w:t xml:space="preserve"> </w:t>
      </w:r>
      <w:r w:rsidRPr="004C78D4">
        <w:rPr>
          <w:rFonts w:ascii="Times New Roman" w:hAnsi="Times New Roman"/>
        </w:rPr>
        <w:t>information</w:t>
      </w:r>
      <w:r w:rsidR="00900061" w:rsidRPr="004C78D4">
        <w:rPr>
          <w:rFonts w:ascii="Times New Roman" w:hAnsi="Times New Roman"/>
        </w:rPr>
        <w:t xml:space="preserve"> </w:t>
      </w:r>
      <w:r w:rsidRPr="004C78D4">
        <w:rPr>
          <w:rFonts w:ascii="Times New Roman" w:hAnsi="Times New Roman"/>
        </w:rPr>
        <w:t>on</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integrity</w:t>
      </w:r>
      <w:r w:rsidR="00900061" w:rsidRPr="004C78D4">
        <w:rPr>
          <w:rFonts w:ascii="Times New Roman" w:hAnsi="Times New Roman"/>
        </w:rPr>
        <w:t xml:space="preserve"> </w:t>
      </w:r>
      <w:r w:rsidRPr="004C78D4">
        <w:rPr>
          <w:rFonts w:ascii="Times New Roman" w:hAnsi="Times New Roman"/>
        </w:rPr>
        <w:t>of</w:t>
      </w:r>
      <w:r w:rsidR="00900061" w:rsidRPr="004C78D4">
        <w:rPr>
          <w:rFonts w:ascii="Times New Roman" w:hAnsi="Times New Roman"/>
        </w:rPr>
        <w:t xml:space="preserve"> </w:t>
      </w:r>
      <w:r w:rsidRPr="004C78D4">
        <w:rPr>
          <w:rFonts w:ascii="Times New Roman" w:hAnsi="Times New Roman"/>
        </w:rPr>
        <w:t>spending</w:t>
      </w:r>
      <w:r w:rsidR="00900061" w:rsidRPr="004C78D4">
        <w:rPr>
          <w:rFonts w:ascii="Times New Roman" w:hAnsi="Times New Roman"/>
        </w:rPr>
        <w:t xml:space="preserve"> </w:t>
      </w:r>
      <w:r w:rsidRPr="004C78D4">
        <w:rPr>
          <w:rFonts w:ascii="Times New Roman" w:hAnsi="Times New Roman"/>
        </w:rPr>
        <w:t>related</w:t>
      </w:r>
      <w:r w:rsidR="00900061" w:rsidRPr="004C78D4">
        <w:rPr>
          <w:rFonts w:ascii="Times New Roman" w:hAnsi="Times New Roman"/>
        </w:rPr>
        <w:t xml:space="preserve"> </w:t>
      </w:r>
      <w:r w:rsidRPr="004C78D4">
        <w:rPr>
          <w:rFonts w:ascii="Times New Roman" w:hAnsi="Times New Roman"/>
        </w:rPr>
        <w:t>to</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Pr="004C78D4">
        <w:rPr>
          <w:rFonts w:ascii="Times New Roman" w:hAnsi="Times New Roman"/>
        </w:rPr>
        <w:t>activities</w:t>
      </w:r>
      <w:r w:rsidR="00900061" w:rsidRPr="004C78D4">
        <w:rPr>
          <w:rFonts w:ascii="Times New Roman" w:hAnsi="Times New Roman"/>
        </w:rPr>
        <w:t xml:space="preserve"> </w:t>
      </w:r>
      <w:r w:rsidRPr="004C78D4">
        <w:rPr>
          <w:rFonts w:ascii="Times New Roman" w:hAnsi="Times New Roman"/>
        </w:rPr>
        <w:t>covered</w:t>
      </w:r>
      <w:r w:rsidR="00900061" w:rsidRPr="004C78D4">
        <w:rPr>
          <w:rFonts w:ascii="Times New Roman" w:hAnsi="Times New Roman"/>
        </w:rPr>
        <w:t xml:space="preserve"> </w:t>
      </w:r>
      <w:r w:rsidRPr="004C78D4">
        <w:rPr>
          <w:rFonts w:ascii="Times New Roman" w:hAnsi="Times New Roman"/>
        </w:rPr>
        <w:t>by</w:t>
      </w:r>
      <w:r w:rsidR="00900061" w:rsidRPr="004C78D4">
        <w:rPr>
          <w:rFonts w:ascii="Times New Roman" w:hAnsi="Times New Roman"/>
        </w:rPr>
        <w:t xml:space="preserve"> </w:t>
      </w:r>
      <w:r w:rsidRPr="004C78D4">
        <w:rPr>
          <w:rFonts w:ascii="Times New Roman" w:hAnsi="Times New Roman"/>
        </w:rPr>
        <w:t>the</w:t>
      </w:r>
      <w:r w:rsidR="00900061" w:rsidRPr="004C78D4">
        <w:rPr>
          <w:rFonts w:ascii="Times New Roman" w:hAnsi="Times New Roman"/>
        </w:rPr>
        <w:t xml:space="preserve"> </w:t>
      </w:r>
      <w:r w:rsidR="001B78A4" w:rsidRPr="004C78D4">
        <w:rPr>
          <w:rFonts w:ascii="Times New Roman" w:hAnsi="Times New Roman"/>
        </w:rPr>
        <w:t>Program</w:t>
      </w:r>
      <w:r w:rsidRPr="004C78D4">
        <w:rPr>
          <w:rFonts w:ascii="Times New Roman" w:hAnsi="Times New Roman"/>
        </w:rPr>
        <w:t>.</w:t>
      </w:r>
    </w:p>
    <w:p w14:paraId="51431D95" w14:textId="77777777" w:rsidR="009068F9" w:rsidRPr="00E168A1" w:rsidRDefault="009068F9" w:rsidP="00645878">
      <w:pPr>
        <w:rPr>
          <w:rFonts w:ascii="Times New Roman" w:hAnsi="Times New Roman"/>
        </w:rPr>
        <w:sectPr w:rsidR="009068F9" w:rsidRPr="00E168A1" w:rsidSect="00FF4790">
          <w:headerReference w:type="default" r:id="rId22"/>
          <w:footerReference w:type="default" r:id="rId23"/>
          <w:footerReference w:type="first" r:id="rId24"/>
          <w:pgSz w:w="12240" w:h="15840"/>
          <w:pgMar w:top="1440" w:right="1440" w:bottom="1440" w:left="1440" w:header="720" w:footer="720" w:gutter="0"/>
          <w:pgNumType w:start="1"/>
          <w:cols w:space="720"/>
          <w:docGrid w:linePitch="360"/>
        </w:sectPr>
      </w:pPr>
    </w:p>
    <w:p w14:paraId="16D2B373" w14:textId="7E58CE39" w:rsidR="00A17E70" w:rsidRPr="00E168A1" w:rsidRDefault="00B03657" w:rsidP="00EF0C6E">
      <w:pPr>
        <w:jc w:val="center"/>
        <w:outlineLvl w:val="0"/>
        <w:rPr>
          <w:rFonts w:ascii="Times New Roman" w:hAnsi="Times New Roman"/>
          <w:b/>
        </w:rPr>
      </w:pPr>
      <w:bookmarkStart w:id="56" w:name="_Toc305833868"/>
      <w:bookmarkStart w:id="57" w:name="_Toc442428977"/>
      <w:r w:rsidRPr="00E168A1">
        <w:rPr>
          <w:rFonts w:ascii="Times New Roman" w:hAnsi="Times New Roman"/>
          <w:b/>
        </w:rPr>
        <w:lastRenderedPageBreak/>
        <w:t>Annex</w:t>
      </w:r>
      <w:r w:rsidR="00900061" w:rsidRPr="00E168A1">
        <w:rPr>
          <w:rFonts w:ascii="Times New Roman" w:hAnsi="Times New Roman"/>
          <w:b/>
        </w:rPr>
        <w:t xml:space="preserve"> </w:t>
      </w:r>
      <w:r w:rsidRPr="00E168A1">
        <w:rPr>
          <w:rFonts w:ascii="Times New Roman" w:hAnsi="Times New Roman"/>
          <w:b/>
        </w:rPr>
        <w:t>1:</w:t>
      </w:r>
      <w:r w:rsidR="00900061" w:rsidRPr="00E168A1">
        <w:rPr>
          <w:rFonts w:ascii="Times New Roman" w:hAnsi="Times New Roman"/>
          <w:b/>
        </w:rPr>
        <w:t xml:space="preserve"> </w:t>
      </w:r>
      <w:r w:rsidR="00A17E70" w:rsidRPr="00E168A1">
        <w:rPr>
          <w:rFonts w:ascii="Times New Roman" w:hAnsi="Times New Roman"/>
          <w:b/>
        </w:rPr>
        <w:t>Key</w:t>
      </w:r>
      <w:r w:rsidR="00900061" w:rsidRPr="00E168A1">
        <w:rPr>
          <w:rFonts w:ascii="Times New Roman" w:hAnsi="Times New Roman"/>
          <w:b/>
        </w:rPr>
        <w:t xml:space="preserve"> </w:t>
      </w:r>
      <w:r w:rsidR="001C207D" w:rsidRPr="00E168A1">
        <w:rPr>
          <w:rFonts w:ascii="Times New Roman" w:hAnsi="Times New Roman"/>
          <w:b/>
        </w:rPr>
        <w:t>P</w:t>
      </w:r>
      <w:r w:rsidR="00A17E70" w:rsidRPr="00E168A1">
        <w:rPr>
          <w:rFonts w:ascii="Times New Roman" w:hAnsi="Times New Roman"/>
          <w:b/>
        </w:rPr>
        <w:t>rovisions</w:t>
      </w:r>
      <w:r w:rsidR="00900061" w:rsidRPr="00E168A1">
        <w:rPr>
          <w:rFonts w:ascii="Times New Roman" w:hAnsi="Times New Roman"/>
          <w:b/>
        </w:rPr>
        <w:t xml:space="preserve"> </w:t>
      </w:r>
      <w:r w:rsidR="00A17E70" w:rsidRPr="00E168A1">
        <w:rPr>
          <w:rFonts w:ascii="Times New Roman" w:hAnsi="Times New Roman"/>
          <w:b/>
        </w:rPr>
        <w:t>of</w:t>
      </w:r>
      <w:r w:rsidR="00900061" w:rsidRPr="00E168A1">
        <w:rPr>
          <w:rFonts w:ascii="Times New Roman" w:hAnsi="Times New Roman"/>
          <w:b/>
        </w:rPr>
        <w:t xml:space="preserve"> </w:t>
      </w:r>
      <w:r w:rsidR="00A17E70" w:rsidRPr="00E168A1">
        <w:rPr>
          <w:rFonts w:ascii="Times New Roman" w:hAnsi="Times New Roman"/>
          <w:b/>
        </w:rPr>
        <w:t>the</w:t>
      </w:r>
      <w:r w:rsidR="00900061" w:rsidRPr="00E168A1">
        <w:rPr>
          <w:rFonts w:ascii="Times New Roman" w:hAnsi="Times New Roman"/>
          <w:b/>
        </w:rPr>
        <w:t xml:space="preserve"> </w:t>
      </w:r>
      <w:r w:rsidR="00A17E70" w:rsidRPr="00E168A1">
        <w:rPr>
          <w:rFonts w:ascii="Times New Roman" w:hAnsi="Times New Roman"/>
          <w:b/>
        </w:rPr>
        <w:t>2012</w:t>
      </w:r>
      <w:r w:rsidR="00900061" w:rsidRPr="00E168A1">
        <w:rPr>
          <w:rFonts w:ascii="Times New Roman" w:hAnsi="Times New Roman"/>
          <w:b/>
        </w:rPr>
        <w:t xml:space="preserve"> </w:t>
      </w:r>
      <w:r w:rsidR="00A17E70" w:rsidRPr="00E168A1">
        <w:rPr>
          <w:rFonts w:ascii="Times New Roman" w:hAnsi="Times New Roman"/>
          <w:b/>
        </w:rPr>
        <w:t>Public</w:t>
      </w:r>
      <w:r w:rsidR="00900061" w:rsidRPr="00E168A1">
        <w:rPr>
          <w:rFonts w:ascii="Times New Roman" w:hAnsi="Times New Roman"/>
          <w:b/>
        </w:rPr>
        <w:t xml:space="preserve"> </w:t>
      </w:r>
      <w:r w:rsidR="00A17E70" w:rsidRPr="00E168A1">
        <w:rPr>
          <w:rFonts w:ascii="Times New Roman" w:hAnsi="Times New Roman"/>
          <w:b/>
        </w:rPr>
        <w:t>Procurement</w:t>
      </w:r>
      <w:r w:rsidR="00900061" w:rsidRPr="00E168A1">
        <w:rPr>
          <w:rFonts w:ascii="Times New Roman" w:hAnsi="Times New Roman"/>
          <w:b/>
        </w:rPr>
        <w:t xml:space="preserve"> </w:t>
      </w:r>
      <w:r w:rsidR="00A17E70" w:rsidRPr="00E168A1">
        <w:rPr>
          <w:rFonts w:ascii="Times New Roman" w:hAnsi="Times New Roman"/>
          <w:b/>
        </w:rPr>
        <w:t>Law</w:t>
      </w:r>
      <w:bookmarkEnd w:id="56"/>
      <w:bookmarkEnd w:id="57"/>
    </w:p>
    <w:p w14:paraId="2C3AFFD8" w14:textId="66D37EC7" w:rsidR="00A17E70" w:rsidRPr="00E168A1" w:rsidRDefault="00B03657" w:rsidP="00645878">
      <w:pPr>
        <w:rPr>
          <w:rFonts w:ascii="Times New Roman" w:eastAsia="Times New Roman" w:hAnsi="Times New Roman"/>
        </w:rPr>
      </w:pPr>
      <w:r w:rsidRPr="00E168A1">
        <w:rPr>
          <w:rFonts w:ascii="Times New Roman" w:eastAsia="Times New Roman" w:hAnsi="Times New Roman"/>
        </w:rPr>
        <w:t>Key</w:t>
      </w:r>
      <w:r w:rsidR="00900061" w:rsidRPr="00E168A1">
        <w:rPr>
          <w:rFonts w:ascii="Times New Roman" w:eastAsia="Times New Roman" w:hAnsi="Times New Roman"/>
        </w:rPr>
        <w:t xml:space="preserve"> </w:t>
      </w:r>
      <w:r w:rsidRPr="00E168A1">
        <w:rPr>
          <w:rFonts w:ascii="Times New Roman" w:eastAsia="Times New Roman" w:hAnsi="Times New Roman"/>
        </w:rPr>
        <w:t>provisions</w:t>
      </w:r>
      <w:r w:rsidR="00900061" w:rsidRPr="00E168A1">
        <w:rPr>
          <w:rFonts w:ascii="Times New Roman" w:eastAsia="Times New Roman" w:hAnsi="Times New Roman"/>
        </w:rPr>
        <w:t xml:space="preserve"> </w:t>
      </w:r>
      <w:r w:rsidRPr="00E168A1">
        <w:rPr>
          <w:rFonts w:ascii="Times New Roman" w:eastAsia="Times New Roman" w:hAnsi="Times New Roman"/>
        </w:rPr>
        <w:t>include</w:t>
      </w:r>
      <w:r w:rsidR="00472A36" w:rsidRPr="00E168A1">
        <w:rPr>
          <w:rFonts w:ascii="Times New Roman" w:eastAsia="Times New Roman" w:hAnsi="Times New Roman"/>
        </w:rPr>
        <w:t xml:space="preserve"> the following:</w:t>
      </w:r>
    </w:p>
    <w:p w14:paraId="6E75DCBB" w14:textId="54459B2D" w:rsidR="00A17E70" w:rsidRPr="00E168A1" w:rsidRDefault="00B03657" w:rsidP="00EF0C6E">
      <w:pPr>
        <w:pStyle w:val="ListParagraph"/>
        <w:numPr>
          <w:ilvl w:val="0"/>
          <w:numId w:val="21"/>
        </w:numPr>
        <w:ind w:left="0" w:firstLine="0"/>
        <w:contextualSpacing w:val="0"/>
        <w:rPr>
          <w:rFonts w:ascii="Times New Roman" w:eastAsia="Times New Roman" w:hAnsi="Times New Roman"/>
        </w:rPr>
      </w:pPr>
      <w:r w:rsidRPr="00E168A1">
        <w:rPr>
          <w:rFonts w:ascii="Times New Roman" w:eastAsia="Times New Roman" w:hAnsi="Times New Roman"/>
          <w:b/>
        </w:rPr>
        <w:t>Adoption</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plans.</w:t>
      </w:r>
      <w:r w:rsidR="00900061" w:rsidRPr="00E168A1">
        <w:rPr>
          <w:rFonts w:ascii="Times New Roman" w:eastAsia="Times New Roman" w:hAnsi="Times New Roman"/>
          <w:b/>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requires</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adopt</w:t>
      </w:r>
      <w:r w:rsidR="00900061" w:rsidRPr="00E168A1">
        <w:rPr>
          <w:rFonts w:ascii="Times New Roman" w:eastAsia="Times New Roman" w:hAnsi="Times New Roman"/>
        </w:rPr>
        <w:t xml:space="preserve"> </w:t>
      </w:r>
      <w:r w:rsidRPr="00E168A1">
        <w:rPr>
          <w:rFonts w:ascii="Times New Roman" w:eastAsia="Times New Roman" w:hAnsi="Times New Roman"/>
        </w:rPr>
        <w:t>an</w:t>
      </w:r>
      <w:r w:rsidR="00900061" w:rsidRPr="00E168A1">
        <w:rPr>
          <w:rFonts w:ascii="Times New Roman" w:eastAsia="Times New Roman" w:hAnsi="Times New Roman"/>
        </w:rPr>
        <w:t xml:space="preserve"> </w:t>
      </w:r>
      <w:r w:rsidRPr="00E168A1">
        <w:rPr>
          <w:rFonts w:ascii="Times New Roman" w:eastAsia="Times New Roman" w:hAnsi="Times New Roman"/>
        </w:rPr>
        <w:t>annual</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plan</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submit</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electronically</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both</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SAI</w:t>
      </w:r>
      <w:r w:rsidR="00900061" w:rsidRPr="00E168A1">
        <w:rPr>
          <w:rFonts w:ascii="Times New Roman" w:eastAsia="Times New Roman" w:hAnsi="Times New Roman"/>
        </w:rPr>
        <w:t xml:space="preserve"> </w:t>
      </w:r>
      <w:r w:rsidRPr="00E168A1">
        <w:rPr>
          <w:rFonts w:ascii="Times New Roman" w:eastAsia="Times New Roman" w:hAnsi="Times New Roman"/>
        </w:rPr>
        <w:t>within</w:t>
      </w:r>
      <w:r w:rsidR="00900061" w:rsidRPr="00E168A1">
        <w:rPr>
          <w:rFonts w:ascii="Times New Roman" w:eastAsia="Times New Roman" w:hAnsi="Times New Roman"/>
        </w:rPr>
        <w:t xml:space="preserve"> </w:t>
      </w:r>
      <w:r w:rsidRPr="00E168A1">
        <w:rPr>
          <w:rFonts w:ascii="Times New Roman" w:eastAsia="Times New Roman" w:hAnsi="Times New Roman"/>
        </w:rPr>
        <w:t>ten</w:t>
      </w:r>
      <w:r w:rsidR="00900061" w:rsidRPr="00E168A1">
        <w:rPr>
          <w:rFonts w:ascii="Times New Roman" w:eastAsia="Times New Roman" w:hAnsi="Times New Roman"/>
        </w:rPr>
        <w:t xml:space="preserve"> </w:t>
      </w:r>
      <w:r w:rsidRPr="00E168A1">
        <w:rPr>
          <w:rFonts w:ascii="Times New Roman" w:eastAsia="Times New Roman" w:hAnsi="Times New Roman"/>
        </w:rPr>
        <w:t>days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adoption.</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may</w:t>
      </w:r>
      <w:r w:rsidR="00900061" w:rsidRPr="00E168A1">
        <w:rPr>
          <w:rFonts w:ascii="Times New Roman" w:eastAsia="Times New Roman" w:hAnsi="Times New Roman"/>
        </w:rPr>
        <w:t xml:space="preserve"> </w:t>
      </w:r>
      <w:r w:rsidRPr="00E168A1">
        <w:rPr>
          <w:rFonts w:ascii="Times New Roman" w:eastAsia="Times New Roman" w:hAnsi="Times New Roman"/>
        </w:rPr>
        <w:t>only</w:t>
      </w:r>
      <w:r w:rsidR="00900061" w:rsidRPr="00E168A1">
        <w:rPr>
          <w:rFonts w:ascii="Times New Roman" w:eastAsia="Times New Roman" w:hAnsi="Times New Roman"/>
        </w:rPr>
        <w:t xml:space="preserve"> </w:t>
      </w:r>
      <w:r w:rsidRPr="00E168A1">
        <w:rPr>
          <w:rFonts w:ascii="Times New Roman" w:eastAsia="Times New Roman" w:hAnsi="Times New Roman"/>
        </w:rPr>
        <w:t>initiate</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900061" w:rsidRPr="00E168A1">
        <w:rPr>
          <w:rFonts w:ascii="Times New Roman" w:eastAsia="Times New Roman" w:hAnsi="Times New Roman"/>
        </w:rPr>
        <w:t xml:space="preserve"> </w:t>
      </w:r>
      <w:r w:rsidRPr="00E168A1">
        <w:rPr>
          <w:rFonts w:ascii="Times New Roman" w:eastAsia="Times New Roman" w:hAnsi="Times New Roman"/>
        </w:rPr>
        <w:t>were</w:t>
      </w:r>
      <w:r w:rsidR="00900061" w:rsidRPr="00E168A1">
        <w:rPr>
          <w:rFonts w:ascii="Times New Roman" w:eastAsia="Times New Roman" w:hAnsi="Times New Roman"/>
        </w:rPr>
        <w:t xml:space="preserve"> </w:t>
      </w:r>
      <w:r w:rsidRPr="00E168A1">
        <w:rPr>
          <w:rFonts w:ascii="Times New Roman" w:eastAsia="Times New Roman" w:hAnsi="Times New Roman"/>
        </w:rPr>
        <w:t>envisaged</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plan</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which</w:t>
      </w:r>
      <w:r w:rsidR="00900061" w:rsidRPr="00E168A1">
        <w:rPr>
          <w:rFonts w:ascii="Times New Roman" w:eastAsia="Times New Roman" w:hAnsi="Times New Roman"/>
        </w:rPr>
        <w:t xml:space="preserve"> </w:t>
      </w:r>
      <w:r w:rsidRPr="00E168A1">
        <w:rPr>
          <w:rFonts w:ascii="Times New Roman" w:eastAsia="Times New Roman" w:hAnsi="Times New Roman"/>
        </w:rPr>
        <w:t>funds</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been</w:t>
      </w:r>
      <w:r w:rsidR="00900061" w:rsidRPr="00E168A1">
        <w:rPr>
          <w:rFonts w:ascii="Times New Roman" w:eastAsia="Times New Roman" w:hAnsi="Times New Roman"/>
        </w:rPr>
        <w:t xml:space="preserve"> </w:t>
      </w:r>
      <w:r w:rsidRPr="00E168A1">
        <w:rPr>
          <w:rFonts w:ascii="Times New Roman" w:eastAsia="Times New Roman" w:hAnsi="Times New Roman"/>
        </w:rPr>
        <w:t>allocated</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plans</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tight</w:t>
      </w:r>
      <w:r w:rsidR="00900061" w:rsidRPr="00E168A1">
        <w:rPr>
          <w:rFonts w:ascii="Times New Roman" w:eastAsia="Times New Roman" w:hAnsi="Times New Roman"/>
        </w:rPr>
        <w:t xml:space="preserve"> </w:t>
      </w:r>
      <w:r w:rsidRPr="00E168A1">
        <w:rPr>
          <w:rFonts w:ascii="Times New Roman" w:eastAsia="Times New Roman" w:hAnsi="Times New Roman"/>
        </w:rPr>
        <w:t>margin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flexibility</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modification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items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fund</w:t>
      </w:r>
      <w:r w:rsidR="00900061" w:rsidRPr="00E168A1">
        <w:rPr>
          <w:rFonts w:ascii="Times New Roman" w:eastAsia="Times New Roman" w:hAnsi="Times New Roman"/>
        </w:rPr>
        <w:t xml:space="preserve"> </w:t>
      </w:r>
      <w:r w:rsidRPr="00E168A1">
        <w:rPr>
          <w:rFonts w:ascii="Times New Roman" w:eastAsia="Times New Roman" w:hAnsi="Times New Roman"/>
        </w:rPr>
        <w:t>allocations</w:t>
      </w:r>
      <w:r w:rsidR="00D53937" w:rsidRPr="00E168A1">
        <w:rPr>
          <w:rFonts w:ascii="Times New Roman" w:eastAsia="Times New Roman" w:hAnsi="Times New Roman"/>
        </w:rPr>
        <w:t>—</w:t>
      </w:r>
      <w:r w:rsidRPr="00E168A1">
        <w:rPr>
          <w:rFonts w:ascii="Times New Roman" w:eastAsia="Times New Roman" w:hAnsi="Times New Roman"/>
        </w:rPr>
        <w:t>only</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limited</w:t>
      </w:r>
      <w:r w:rsidR="00900061" w:rsidRPr="00E168A1">
        <w:rPr>
          <w:rFonts w:ascii="Times New Roman" w:eastAsia="Times New Roman" w:hAnsi="Times New Roman"/>
        </w:rPr>
        <w:t xml:space="preserve"> </w:t>
      </w:r>
      <w:r w:rsidRPr="00E168A1">
        <w:rPr>
          <w:rFonts w:ascii="Times New Roman" w:eastAsia="Times New Roman" w:hAnsi="Times New Roman"/>
        </w:rPr>
        <w:t>circumstances</w:t>
      </w:r>
      <w:r w:rsidR="00900061" w:rsidRPr="00E168A1">
        <w:rPr>
          <w:rFonts w:ascii="Times New Roman" w:eastAsia="Times New Roman" w:hAnsi="Times New Roman"/>
        </w:rPr>
        <w:t xml:space="preserve"> </w:t>
      </w:r>
      <w:r w:rsidRPr="00E168A1">
        <w:rPr>
          <w:rFonts w:ascii="Times New Roman" w:eastAsia="Times New Roman" w:hAnsi="Times New Roman"/>
        </w:rPr>
        <w:t>can</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subsequent</w:t>
      </w:r>
      <w:r w:rsidR="00900061" w:rsidRPr="00E168A1">
        <w:rPr>
          <w:rFonts w:ascii="Times New Roman" w:eastAsia="Times New Roman" w:hAnsi="Times New Roman"/>
        </w:rPr>
        <w:t xml:space="preserve"> </w:t>
      </w:r>
      <w:r w:rsidRPr="00E168A1">
        <w:rPr>
          <w:rFonts w:ascii="Times New Roman" w:eastAsia="Times New Roman" w:hAnsi="Times New Roman"/>
        </w:rPr>
        <w:t>variation</w:t>
      </w:r>
      <w:r w:rsidR="00900061" w:rsidRPr="00E168A1">
        <w:rPr>
          <w:rFonts w:ascii="Times New Roman" w:eastAsia="Times New Roman" w:hAnsi="Times New Roman"/>
        </w:rPr>
        <w:t xml:space="preserve"> </w:t>
      </w:r>
      <w:r w:rsidRPr="00E168A1">
        <w:rPr>
          <w:rFonts w:ascii="Times New Roman" w:eastAsia="Times New Roman" w:hAnsi="Times New Roman"/>
        </w:rPr>
        <w:t>be</w:t>
      </w:r>
      <w:r w:rsidR="00900061" w:rsidRPr="00E168A1">
        <w:rPr>
          <w:rFonts w:ascii="Times New Roman" w:eastAsia="Times New Roman" w:hAnsi="Times New Roman"/>
        </w:rPr>
        <w:t xml:space="preserve"> </w:t>
      </w:r>
      <w:r w:rsidRPr="00E168A1">
        <w:rPr>
          <w:rFonts w:ascii="Times New Roman" w:eastAsia="Times New Roman" w:hAnsi="Times New Roman"/>
        </w:rPr>
        <w:t>permitted.)</w:t>
      </w:r>
      <w:r w:rsidR="00900061" w:rsidRPr="00E168A1">
        <w:rPr>
          <w:rFonts w:ascii="Times New Roman" w:eastAsia="Times New Roman" w:hAnsi="Times New Roman"/>
        </w:rPr>
        <w:t xml:space="preserve"> </w:t>
      </w:r>
    </w:p>
    <w:p w14:paraId="3AA1D4EA" w14:textId="7E1E4552" w:rsidR="00A17E70" w:rsidRPr="00E168A1" w:rsidRDefault="00B03657" w:rsidP="00EF0C6E">
      <w:pPr>
        <w:pStyle w:val="ListParagraph"/>
        <w:numPr>
          <w:ilvl w:val="0"/>
          <w:numId w:val="21"/>
        </w:numPr>
        <w:ind w:left="0" w:firstLine="0"/>
        <w:contextualSpacing w:val="0"/>
        <w:rPr>
          <w:rFonts w:ascii="Times New Roman" w:eastAsia="Times New Roman" w:hAnsi="Times New Roman"/>
        </w:rPr>
      </w:pPr>
      <w:r w:rsidRPr="00E168A1">
        <w:rPr>
          <w:rFonts w:ascii="Times New Roman" w:eastAsia="Times New Roman" w:hAnsi="Times New Roman"/>
          <w:b/>
        </w:rPr>
        <w:t>Publication</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all</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notices</w:t>
      </w:r>
      <w:r w:rsidR="00900061" w:rsidRPr="00E168A1">
        <w:rPr>
          <w:rFonts w:ascii="Times New Roman" w:eastAsia="Times New Roman" w:hAnsi="Times New Roman"/>
          <w:b/>
        </w:rPr>
        <w:t xml:space="preserve"> </w:t>
      </w:r>
      <w:r w:rsidRPr="00E168A1">
        <w:rPr>
          <w:rFonts w:ascii="Times New Roman" w:eastAsia="Times New Roman" w:hAnsi="Times New Roman"/>
          <w:b/>
        </w:rPr>
        <w:t>on</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00370289" w:rsidRPr="00E168A1">
        <w:rPr>
          <w:rFonts w:ascii="Times New Roman" w:eastAsia="Times New Roman" w:hAnsi="Times New Roman"/>
          <w:b/>
        </w:rPr>
        <w:t>p</w:t>
      </w:r>
      <w:r w:rsidRPr="00E168A1">
        <w:rPr>
          <w:rFonts w:ascii="Times New Roman" w:eastAsia="Times New Roman" w:hAnsi="Times New Roman"/>
          <w:b/>
        </w:rPr>
        <w:t>rocurement</w:t>
      </w:r>
      <w:r w:rsidR="00900061" w:rsidRPr="00E168A1">
        <w:rPr>
          <w:rFonts w:ascii="Times New Roman" w:eastAsia="Times New Roman" w:hAnsi="Times New Roman"/>
          <w:b/>
        </w:rPr>
        <w:t xml:space="preserve"> </w:t>
      </w:r>
      <w:r w:rsidR="00370289" w:rsidRPr="00E168A1">
        <w:rPr>
          <w:rFonts w:ascii="Times New Roman" w:eastAsia="Times New Roman" w:hAnsi="Times New Roman"/>
          <w:b/>
        </w:rPr>
        <w:t>p</w:t>
      </w:r>
      <w:r w:rsidRPr="00E168A1">
        <w:rPr>
          <w:rFonts w:ascii="Times New Roman" w:eastAsia="Times New Roman" w:hAnsi="Times New Roman"/>
          <w:b/>
        </w:rPr>
        <w:t>ortal.</w:t>
      </w:r>
      <w:r w:rsidR="00900061" w:rsidRPr="00E168A1">
        <w:rPr>
          <w:rFonts w:ascii="Times New Roman" w:eastAsia="Times New Roman" w:hAnsi="Times New Roman"/>
        </w:rPr>
        <w:t xml:space="preserve"> </w:t>
      </w:r>
      <w:r w:rsidRPr="00E168A1">
        <w:rPr>
          <w:rFonts w:ascii="Times New Roman" w:eastAsia="Times New Roman" w:hAnsi="Times New Roman"/>
        </w:rPr>
        <w:t>This</w:t>
      </w:r>
      <w:r w:rsidR="00900061" w:rsidRPr="00E168A1">
        <w:rPr>
          <w:rFonts w:ascii="Times New Roman" w:eastAsia="Times New Roman" w:hAnsi="Times New Roman"/>
        </w:rPr>
        <w:t xml:space="preserve"> </w:t>
      </w:r>
      <w:r w:rsidRPr="00E168A1">
        <w:rPr>
          <w:rFonts w:ascii="Times New Roman" w:eastAsia="Times New Roman" w:hAnsi="Times New Roman"/>
        </w:rPr>
        <w:t>targets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particular</w:t>
      </w:r>
      <w:r w:rsidR="00900061" w:rsidRPr="00E168A1">
        <w:rPr>
          <w:rFonts w:ascii="Times New Roman" w:eastAsia="Times New Roman" w:hAnsi="Times New Roman"/>
        </w:rPr>
        <w:t xml:space="preserve"> </w:t>
      </w:r>
      <w:r w:rsidRPr="00E168A1">
        <w:rPr>
          <w:rFonts w:ascii="Times New Roman" w:eastAsia="Times New Roman" w:hAnsi="Times New Roman"/>
        </w:rPr>
        <w:t>low-value</w:t>
      </w:r>
      <w:r w:rsidR="00900061" w:rsidRPr="00E168A1">
        <w:rPr>
          <w:rFonts w:ascii="Times New Roman" w:eastAsia="Times New Roman" w:hAnsi="Times New Roman"/>
        </w:rPr>
        <w:t xml:space="preserve"> </w:t>
      </w:r>
      <w:r w:rsidRPr="00E168A1">
        <w:rPr>
          <w:rFonts w:ascii="Times New Roman" w:eastAsia="Times New Roman" w:hAnsi="Times New Roman"/>
        </w:rPr>
        <w:t>contracts,</w:t>
      </w:r>
      <w:r w:rsidR="00900061" w:rsidRPr="00E168A1">
        <w:rPr>
          <w:rFonts w:ascii="Times New Roman" w:eastAsia="Times New Roman" w:hAnsi="Times New Roman"/>
        </w:rPr>
        <w:t xml:space="preserve"> </w:t>
      </w:r>
      <w:r w:rsidRPr="00E168A1">
        <w:rPr>
          <w:rFonts w:ascii="Times New Roman" w:eastAsia="Times New Roman" w:hAnsi="Times New Roman"/>
        </w:rPr>
        <w:t>which</w:t>
      </w:r>
      <w:r w:rsidR="00900061" w:rsidRPr="00E168A1">
        <w:rPr>
          <w:rFonts w:ascii="Times New Roman" w:eastAsia="Times New Roman" w:hAnsi="Times New Roman"/>
        </w:rPr>
        <w:t xml:space="preserve"> </w:t>
      </w:r>
      <w:r w:rsidRPr="00E168A1">
        <w:rPr>
          <w:rFonts w:ascii="Times New Roman" w:eastAsia="Times New Roman" w:hAnsi="Times New Roman"/>
        </w:rPr>
        <w:t>represent</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substantial</w:t>
      </w:r>
      <w:r w:rsidR="00900061" w:rsidRPr="00E168A1">
        <w:rPr>
          <w:rFonts w:ascii="Times New Roman" w:eastAsia="Times New Roman" w:hAnsi="Times New Roman"/>
        </w:rPr>
        <w:t xml:space="preserve"> </w:t>
      </w:r>
      <w:r w:rsidRPr="00E168A1">
        <w:rPr>
          <w:rFonts w:ascii="Times New Roman" w:eastAsia="Times New Roman" w:hAnsi="Times New Roman"/>
        </w:rPr>
        <w:t>part</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purchasing</w:t>
      </w:r>
      <w:r w:rsidR="00900061" w:rsidRPr="00E168A1">
        <w:rPr>
          <w:rFonts w:ascii="Times New Roman" w:eastAsia="Times New Roman" w:hAnsi="Times New Roman"/>
        </w:rPr>
        <w:t xml:space="preserve"> </w:t>
      </w:r>
      <w:r w:rsidRPr="00E168A1">
        <w:rPr>
          <w:rFonts w:ascii="Times New Roman" w:eastAsia="Times New Roman" w:hAnsi="Times New Roman"/>
        </w:rPr>
        <w:t>activities.</w:t>
      </w:r>
      <w:r w:rsidR="00900061" w:rsidRPr="00E168A1">
        <w:rPr>
          <w:rFonts w:ascii="Times New Roman" w:eastAsia="Times New Roman" w:hAnsi="Times New Roman"/>
        </w:rPr>
        <w:t xml:space="preserve"> </w:t>
      </w:r>
      <w:r w:rsidRPr="00E168A1">
        <w:rPr>
          <w:rFonts w:ascii="Times New Roman" w:eastAsia="Times New Roman" w:hAnsi="Times New Roman"/>
        </w:rPr>
        <w:t>Low-value</w:t>
      </w:r>
      <w:r w:rsidR="00900061" w:rsidRPr="00E168A1">
        <w:rPr>
          <w:rFonts w:ascii="Times New Roman" w:eastAsia="Times New Roman" w:hAnsi="Times New Roman"/>
        </w:rPr>
        <w:t xml:space="preserve"> </w:t>
      </w:r>
      <w:r w:rsidRPr="00E168A1">
        <w:rPr>
          <w:rFonts w:ascii="Times New Roman" w:eastAsia="Times New Roman" w:hAnsi="Times New Roman"/>
        </w:rPr>
        <w:t>contracts</w:t>
      </w:r>
      <w:r w:rsidR="00900061" w:rsidRPr="00E168A1">
        <w:rPr>
          <w:rFonts w:ascii="Times New Roman" w:eastAsia="Times New Roman" w:hAnsi="Times New Roman"/>
        </w:rPr>
        <w:t xml:space="preserve"> </w:t>
      </w:r>
      <w:r w:rsidRPr="00E168A1">
        <w:rPr>
          <w:rFonts w:ascii="Times New Roman" w:eastAsia="Times New Roman" w:hAnsi="Times New Roman"/>
        </w:rPr>
        <w:t>are</w:t>
      </w:r>
      <w:r w:rsidR="00900061" w:rsidRPr="00E168A1">
        <w:rPr>
          <w:rFonts w:ascii="Times New Roman" w:eastAsia="Times New Roman" w:hAnsi="Times New Roman"/>
        </w:rPr>
        <w:t xml:space="preserve"> </w:t>
      </w:r>
      <w:r w:rsidRPr="00E168A1">
        <w:rPr>
          <w:rFonts w:ascii="Times New Roman" w:eastAsia="Times New Roman" w:hAnsi="Times New Roman"/>
        </w:rPr>
        <w:t>defined</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contracts</w:t>
      </w:r>
      <w:r w:rsidR="00900061" w:rsidRPr="00E168A1">
        <w:rPr>
          <w:rFonts w:ascii="Times New Roman" w:eastAsia="Times New Roman" w:hAnsi="Times New Roman"/>
        </w:rPr>
        <w:t xml:space="preserve"> </w:t>
      </w:r>
      <w:r w:rsidRPr="00E168A1">
        <w:rPr>
          <w:rFonts w:ascii="Times New Roman" w:eastAsia="Times New Roman" w:hAnsi="Times New Roman"/>
        </w:rPr>
        <w:t>valued</w:t>
      </w:r>
      <w:r w:rsidR="00900061" w:rsidRPr="00E168A1">
        <w:rPr>
          <w:rFonts w:ascii="Times New Roman" w:eastAsia="Times New Roman" w:hAnsi="Times New Roman"/>
        </w:rPr>
        <w:t xml:space="preserve"> </w:t>
      </w:r>
      <w:r w:rsidRPr="00E168A1">
        <w:rPr>
          <w:rFonts w:ascii="Times New Roman" w:eastAsia="Times New Roman" w:hAnsi="Times New Roman"/>
        </w:rPr>
        <w:t>under</w:t>
      </w:r>
      <w:r w:rsidR="00900061" w:rsidRPr="00E168A1">
        <w:rPr>
          <w:rFonts w:ascii="Times New Roman" w:eastAsia="Times New Roman" w:hAnsi="Times New Roman"/>
        </w:rPr>
        <w:t xml:space="preserve"> </w:t>
      </w:r>
      <w:r w:rsidRPr="00E168A1">
        <w:rPr>
          <w:rFonts w:ascii="Times New Roman" w:eastAsia="Times New Roman" w:hAnsi="Times New Roman"/>
        </w:rPr>
        <w:t>RSD</w:t>
      </w:r>
      <w:r w:rsidR="00900061" w:rsidRPr="00E168A1">
        <w:rPr>
          <w:rFonts w:ascii="Times New Roman" w:eastAsia="Times New Roman" w:hAnsi="Times New Roman"/>
        </w:rPr>
        <w:t xml:space="preserve"> </w:t>
      </w:r>
      <w:r w:rsidR="00424D51" w:rsidRPr="00E168A1">
        <w:rPr>
          <w:rFonts w:ascii="Times New Roman" w:eastAsia="Times New Roman" w:hAnsi="Times New Roman"/>
        </w:rPr>
        <w:t>5</w:t>
      </w:r>
      <w:r w:rsidR="00900061" w:rsidRPr="00E168A1">
        <w:rPr>
          <w:rFonts w:ascii="Times New Roman" w:eastAsia="Times New Roman" w:hAnsi="Times New Roman"/>
        </w:rPr>
        <w:t xml:space="preserve"> </w:t>
      </w:r>
      <w:r w:rsidRPr="00E168A1">
        <w:rPr>
          <w:rFonts w:ascii="Times New Roman" w:eastAsia="Times New Roman" w:hAnsi="Times New Roman"/>
        </w:rPr>
        <w:t>million</w:t>
      </w:r>
      <w:r w:rsidR="00900061" w:rsidRPr="00E168A1">
        <w:rPr>
          <w:rFonts w:ascii="Times New Roman" w:eastAsia="Times New Roman" w:hAnsi="Times New Roman"/>
        </w:rPr>
        <w:t xml:space="preserve"> </w:t>
      </w:r>
      <w:r w:rsidRPr="00E168A1">
        <w:rPr>
          <w:rFonts w:ascii="Times New Roman" w:eastAsia="Times New Roman" w:hAnsi="Times New Roman"/>
        </w:rPr>
        <w:t>(</w:t>
      </w:r>
      <w:r w:rsidR="00636D1D" w:rsidRPr="00E168A1">
        <w:rPr>
          <w:rFonts w:ascii="Times New Roman" w:eastAsia="Times New Roman" w:hAnsi="Times New Roman"/>
        </w:rPr>
        <w:t>approximately</w:t>
      </w:r>
      <w:r w:rsidR="00900061" w:rsidRPr="00E168A1">
        <w:rPr>
          <w:rFonts w:ascii="Times New Roman" w:eastAsia="Times New Roman" w:hAnsi="Times New Roman"/>
        </w:rPr>
        <w:t xml:space="preserve"> </w:t>
      </w:r>
      <w:r w:rsidR="00B71C7F" w:rsidRPr="00E168A1">
        <w:rPr>
          <w:rFonts w:ascii="Times New Roman" w:hAnsi="Times New Roman"/>
        </w:rPr>
        <w:t>€</w:t>
      </w:r>
      <w:r w:rsidR="007328D2" w:rsidRPr="00E168A1">
        <w:rPr>
          <w:rFonts w:ascii="Times New Roman" w:eastAsia="Times New Roman" w:hAnsi="Times New Roman"/>
        </w:rPr>
        <w:t>40,</w:t>
      </w:r>
      <w:r w:rsidR="00424D51" w:rsidRPr="00E168A1">
        <w:rPr>
          <w:rFonts w:ascii="Times New Roman" w:eastAsia="Times New Roman" w:hAnsi="Times New Roman"/>
        </w:rPr>
        <w:t>000</w:t>
      </w:r>
      <w:r w:rsidRPr="00E168A1">
        <w:rPr>
          <w:rFonts w:ascii="Times New Roman" w:eastAsia="Times New Roman" w:hAnsi="Times New Roman"/>
        </w:rPr>
        <w:t>).</w:t>
      </w:r>
      <w:r w:rsidR="00900061" w:rsidRPr="00E168A1">
        <w:rPr>
          <w:rFonts w:ascii="Times New Roman" w:eastAsia="Times New Roman" w:hAnsi="Times New Roman"/>
        </w:rPr>
        <w:t xml:space="preserve"> </w:t>
      </w:r>
      <w:r w:rsidR="005D1F47" w:rsidRPr="00E168A1">
        <w:rPr>
          <w:rFonts w:ascii="Times New Roman" w:eastAsia="Times New Roman" w:hAnsi="Times New Roman"/>
        </w:rPr>
        <w:t>Below</w:t>
      </w:r>
      <w:r w:rsidR="00900061" w:rsidRPr="00E168A1">
        <w:rPr>
          <w:rFonts w:ascii="Times New Roman" w:eastAsia="Times New Roman" w:hAnsi="Times New Roman"/>
        </w:rPr>
        <w:t xml:space="preserve"> </w:t>
      </w:r>
      <w:r w:rsidR="005D1F47" w:rsidRPr="00E168A1">
        <w:rPr>
          <w:rFonts w:ascii="Times New Roman" w:eastAsia="Times New Roman" w:hAnsi="Times New Roman"/>
        </w:rPr>
        <w:t>RSD</w:t>
      </w:r>
      <w:r w:rsidR="00900061" w:rsidRPr="00E168A1">
        <w:rPr>
          <w:rFonts w:ascii="Times New Roman" w:eastAsia="Times New Roman" w:hAnsi="Times New Roman"/>
        </w:rPr>
        <w:t xml:space="preserve"> </w:t>
      </w:r>
      <w:r w:rsidR="005D1F47" w:rsidRPr="00E168A1">
        <w:rPr>
          <w:rFonts w:ascii="Times New Roman" w:eastAsia="Times New Roman" w:hAnsi="Times New Roman"/>
        </w:rPr>
        <w:t>500</w:t>
      </w:r>
      <w:r w:rsidR="00EE239D" w:rsidRPr="00E168A1">
        <w:rPr>
          <w:rFonts w:ascii="Times New Roman" w:eastAsia="Times New Roman" w:hAnsi="Times New Roman"/>
        </w:rPr>
        <w:t>,</w:t>
      </w:r>
      <w:r w:rsidR="005D1F47" w:rsidRPr="00E168A1">
        <w:rPr>
          <w:rFonts w:ascii="Times New Roman" w:eastAsia="Times New Roman" w:hAnsi="Times New Roman"/>
        </w:rPr>
        <w:t>000</w:t>
      </w:r>
      <w:r w:rsidR="00900061" w:rsidRPr="00E168A1">
        <w:rPr>
          <w:rFonts w:ascii="Times New Roman" w:eastAsia="Times New Roman" w:hAnsi="Times New Roman"/>
        </w:rPr>
        <w:t xml:space="preserve"> </w:t>
      </w:r>
      <w:r w:rsidR="005D1F47" w:rsidRPr="00E168A1">
        <w:rPr>
          <w:rFonts w:ascii="Times New Roman" w:eastAsia="Times New Roman" w:hAnsi="Times New Roman"/>
        </w:rPr>
        <w:t>(</w:t>
      </w:r>
      <w:r w:rsidR="00B71C7F" w:rsidRPr="00E168A1">
        <w:rPr>
          <w:rFonts w:ascii="Times New Roman" w:hAnsi="Times New Roman"/>
        </w:rPr>
        <w:t>€</w:t>
      </w:r>
      <w:r w:rsidR="005D1F47" w:rsidRPr="00E168A1">
        <w:rPr>
          <w:rFonts w:ascii="Times New Roman" w:eastAsia="Times New Roman" w:hAnsi="Times New Roman"/>
        </w:rPr>
        <w:t>4,200)</w:t>
      </w:r>
      <w:r w:rsidR="00900061" w:rsidRPr="00E168A1">
        <w:rPr>
          <w:rFonts w:ascii="Times New Roman" w:eastAsia="Times New Roman" w:hAnsi="Times New Roman"/>
        </w:rPr>
        <w:t xml:space="preserve"> </w:t>
      </w:r>
      <w:r w:rsidR="005D1F47" w:rsidRPr="00E168A1">
        <w:rPr>
          <w:rFonts w:ascii="Times New Roman" w:eastAsia="Times New Roman" w:hAnsi="Times New Roman"/>
        </w:rPr>
        <w:t>the</w:t>
      </w:r>
      <w:r w:rsidR="00900061" w:rsidRPr="00E168A1">
        <w:rPr>
          <w:rFonts w:ascii="Times New Roman" w:eastAsia="Times New Roman" w:hAnsi="Times New Roman"/>
        </w:rPr>
        <w:t xml:space="preserve"> </w:t>
      </w:r>
      <w:r w:rsidR="005D1F47" w:rsidRPr="00E168A1">
        <w:rPr>
          <w:rFonts w:ascii="Times New Roman" w:eastAsia="Times New Roman" w:hAnsi="Times New Roman"/>
        </w:rPr>
        <w:t>provisions</w:t>
      </w:r>
      <w:r w:rsidR="00900061" w:rsidRPr="00E168A1">
        <w:rPr>
          <w:rFonts w:ascii="Times New Roman" w:eastAsia="Times New Roman" w:hAnsi="Times New Roman"/>
        </w:rPr>
        <w:t xml:space="preserve"> </w:t>
      </w:r>
      <w:r w:rsidR="005D1F47" w:rsidRPr="00E168A1">
        <w:rPr>
          <w:rFonts w:ascii="Times New Roman" w:eastAsia="Times New Roman" w:hAnsi="Times New Roman"/>
        </w:rPr>
        <w:t>of</w:t>
      </w:r>
      <w:r w:rsidR="00900061" w:rsidRPr="00E168A1">
        <w:rPr>
          <w:rFonts w:ascii="Times New Roman" w:eastAsia="Times New Roman" w:hAnsi="Times New Roman"/>
        </w:rPr>
        <w:t xml:space="preserve"> </w:t>
      </w:r>
      <w:r w:rsidR="005D1F47" w:rsidRPr="00E168A1">
        <w:rPr>
          <w:rFonts w:ascii="Times New Roman" w:eastAsia="Times New Roman" w:hAnsi="Times New Roman"/>
        </w:rPr>
        <w:t>the</w:t>
      </w:r>
      <w:r w:rsidR="00900061" w:rsidRPr="00E168A1">
        <w:rPr>
          <w:rFonts w:ascii="Times New Roman" w:eastAsia="Times New Roman" w:hAnsi="Times New Roman"/>
        </w:rPr>
        <w:t xml:space="preserve"> </w:t>
      </w:r>
      <w:r w:rsidR="005D1F47" w:rsidRPr="00E168A1">
        <w:rPr>
          <w:rFonts w:ascii="Times New Roman" w:eastAsia="Times New Roman" w:hAnsi="Times New Roman"/>
        </w:rPr>
        <w:t>PPL</w:t>
      </w:r>
      <w:r w:rsidR="00900061" w:rsidRPr="00E168A1">
        <w:rPr>
          <w:rFonts w:ascii="Times New Roman" w:eastAsia="Times New Roman" w:hAnsi="Times New Roman"/>
        </w:rPr>
        <w:t xml:space="preserve"> </w:t>
      </w:r>
      <w:r w:rsidR="005D1F47" w:rsidRPr="00E168A1">
        <w:rPr>
          <w:rFonts w:ascii="Times New Roman" w:eastAsia="Times New Roman" w:hAnsi="Times New Roman"/>
        </w:rPr>
        <w:t>do</w:t>
      </w:r>
      <w:r w:rsidR="00900061" w:rsidRPr="00E168A1">
        <w:rPr>
          <w:rFonts w:ascii="Times New Roman" w:eastAsia="Times New Roman" w:hAnsi="Times New Roman"/>
        </w:rPr>
        <w:t xml:space="preserve"> </w:t>
      </w:r>
      <w:r w:rsidR="005D1F47" w:rsidRPr="00E168A1">
        <w:rPr>
          <w:rFonts w:ascii="Times New Roman" w:eastAsia="Times New Roman" w:hAnsi="Times New Roman"/>
        </w:rPr>
        <w:t>not</w:t>
      </w:r>
      <w:r w:rsidR="00900061" w:rsidRPr="00E168A1">
        <w:rPr>
          <w:rFonts w:ascii="Times New Roman" w:eastAsia="Times New Roman" w:hAnsi="Times New Roman"/>
        </w:rPr>
        <w:t xml:space="preserve"> </w:t>
      </w:r>
      <w:r w:rsidR="005D1F47" w:rsidRPr="00E168A1">
        <w:rPr>
          <w:rFonts w:ascii="Times New Roman" w:eastAsia="Times New Roman" w:hAnsi="Times New Roman"/>
        </w:rPr>
        <w:t>apply.</w:t>
      </w:r>
      <w:r w:rsidR="00900061" w:rsidRPr="00E168A1">
        <w:rPr>
          <w:rFonts w:ascii="Times New Roman" w:eastAsia="Times New Roman" w:hAnsi="Times New Roman"/>
        </w:rPr>
        <w:t xml:space="preserve"> </w:t>
      </w:r>
      <w:r w:rsidR="002E1CC5" w:rsidRPr="00E168A1">
        <w:rPr>
          <w:rFonts w:ascii="Times New Roman" w:eastAsia="Times New Roman" w:hAnsi="Times New Roman"/>
        </w:rPr>
        <w:t>The c</w:t>
      </w:r>
      <w:r w:rsidR="00D9693E" w:rsidRPr="00E168A1">
        <w:rPr>
          <w:rFonts w:ascii="Times New Roman" w:eastAsia="Times New Roman" w:hAnsi="Times New Roman"/>
        </w:rPr>
        <w:t>ontracting</w:t>
      </w:r>
      <w:r w:rsidR="00900061" w:rsidRPr="00E168A1">
        <w:rPr>
          <w:rFonts w:ascii="Times New Roman" w:eastAsia="Times New Roman" w:hAnsi="Times New Roman"/>
        </w:rPr>
        <w:t xml:space="preserve"> </w:t>
      </w:r>
      <w:r w:rsidR="00D9693E" w:rsidRPr="00E168A1">
        <w:rPr>
          <w:rFonts w:ascii="Times New Roman" w:eastAsia="Times New Roman" w:hAnsi="Times New Roman"/>
        </w:rPr>
        <w:t>authorities</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publish</w:t>
      </w:r>
      <w:r w:rsidR="00900061" w:rsidRPr="00E168A1">
        <w:rPr>
          <w:rFonts w:ascii="Times New Roman" w:eastAsia="Times New Roman" w:hAnsi="Times New Roman"/>
        </w:rPr>
        <w:t xml:space="preserve"> </w:t>
      </w:r>
      <w:r w:rsidRPr="00E168A1">
        <w:rPr>
          <w:rFonts w:ascii="Times New Roman" w:eastAsia="Times New Roman" w:hAnsi="Times New Roman"/>
        </w:rPr>
        <w:t>their</w:t>
      </w:r>
      <w:r w:rsidR="00900061" w:rsidRPr="00E168A1">
        <w:rPr>
          <w:rFonts w:ascii="Times New Roman" w:eastAsia="Times New Roman" w:hAnsi="Times New Roman"/>
        </w:rPr>
        <w:t xml:space="preserve"> </w:t>
      </w:r>
      <w:r w:rsidRPr="00E168A1">
        <w:rPr>
          <w:rFonts w:ascii="Times New Roman" w:eastAsia="Times New Roman" w:hAnsi="Times New Roman"/>
        </w:rPr>
        <w:t>notices</w:t>
      </w:r>
      <w:r w:rsidR="00900061" w:rsidRPr="00E168A1">
        <w:rPr>
          <w:rFonts w:ascii="Times New Roman" w:eastAsia="Times New Roman" w:hAnsi="Times New Roman"/>
        </w:rPr>
        <w:t xml:space="preserve"> </w:t>
      </w:r>
      <w:r w:rsidR="00D9693E" w:rsidRPr="00E168A1">
        <w:rPr>
          <w:rFonts w:ascii="Times New Roman" w:eastAsia="Times New Roman" w:hAnsi="Times New Roman"/>
        </w:rPr>
        <w:t>and</w:t>
      </w:r>
      <w:r w:rsidR="00900061" w:rsidRPr="00E168A1">
        <w:rPr>
          <w:rFonts w:ascii="Times New Roman" w:eastAsia="Times New Roman" w:hAnsi="Times New Roman"/>
        </w:rPr>
        <w:t xml:space="preserve"> </w:t>
      </w:r>
      <w:r w:rsidR="00D9693E" w:rsidRPr="00E168A1">
        <w:rPr>
          <w:rFonts w:ascii="Times New Roman" w:eastAsia="Times New Roman" w:hAnsi="Times New Roman"/>
        </w:rPr>
        <w:t>bidding</w:t>
      </w:r>
      <w:r w:rsidR="00900061" w:rsidRPr="00E168A1">
        <w:rPr>
          <w:rFonts w:ascii="Times New Roman" w:eastAsia="Times New Roman" w:hAnsi="Times New Roman"/>
        </w:rPr>
        <w:t xml:space="preserve"> </w:t>
      </w:r>
      <w:r w:rsidR="00D9693E" w:rsidRPr="00E168A1">
        <w:rPr>
          <w:rFonts w:ascii="Times New Roman" w:eastAsia="Times New Roman" w:hAnsi="Times New Roman"/>
        </w:rPr>
        <w:t>documents</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00424F39" w:rsidRPr="00E168A1">
        <w:rPr>
          <w:rFonts w:ascii="Times New Roman" w:eastAsia="Times New Roman" w:hAnsi="Times New Roman"/>
        </w:rPr>
        <w:t>p</w:t>
      </w:r>
      <w:r w:rsidRPr="00E168A1">
        <w:rPr>
          <w:rFonts w:ascii="Times New Roman" w:eastAsia="Times New Roman" w:hAnsi="Times New Roman"/>
        </w:rPr>
        <w:t>rocurement</w:t>
      </w:r>
      <w:r w:rsidR="00900061" w:rsidRPr="00E168A1">
        <w:rPr>
          <w:rFonts w:ascii="Times New Roman" w:eastAsia="Times New Roman" w:hAnsi="Times New Roman"/>
        </w:rPr>
        <w:t xml:space="preserve"> </w:t>
      </w:r>
      <w:r w:rsidR="00424F39" w:rsidRPr="00E168A1">
        <w:rPr>
          <w:rFonts w:ascii="Times New Roman" w:eastAsia="Times New Roman" w:hAnsi="Times New Roman"/>
        </w:rPr>
        <w:t>p</w:t>
      </w:r>
      <w:r w:rsidRPr="00E168A1">
        <w:rPr>
          <w:rFonts w:ascii="Times New Roman" w:eastAsia="Times New Roman" w:hAnsi="Times New Roman"/>
        </w:rPr>
        <w:t>ortal</w:t>
      </w:r>
      <w:r w:rsidR="00900061" w:rsidRPr="00E168A1">
        <w:rPr>
          <w:rFonts w:ascii="Times New Roman" w:eastAsia="Times New Roman" w:hAnsi="Times New Roman"/>
        </w:rPr>
        <w:t xml:space="preserve"> </w:t>
      </w:r>
      <w:r w:rsidRPr="00E168A1">
        <w:rPr>
          <w:rFonts w:ascii="Times New Roman" w:eastAsia="Times New Roman" w:hAnsi="Times New Roman"/>
        </w:rPr>
        <w:t>(free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charge)</w:t>
      </w:r>
      <w:r w:rsidR="00D9693E"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Moreover,</w:t>
      </w:r>
      <w:r w:rsidR="00900061" w:rsidRPr="00E168A1">
        <w:rPr>
          <w:rFonts w:ascii="Times New Roman" w:eastAsia="Times New Roman" w:hAnsi="Times New Roman"/>
        </w:rPr>
        <w:t xml:space="preserve"> </w:t>
      </w:r>
      <w:r w:rsidRPr="00E168A1">
        <w:rPr>
          <w:rFonts w:ascii="Times New Roman" w:eastAsia="Times New Roman" w:hAnsi="Times New Roman"/>
        </w:rPr>
        <w:t>whenever</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r w:rsidRPr="00E168A1">
        <w:rPr>
          <w:rFonts w:ascii="Times New Roman" w:eastAsia="Times New Roman" w:hAnsi="Times New Roman"/>
        </w:rPr>
        <w:t>wants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initiate</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negotiated</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without</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call</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competition,</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obliged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publish</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notice</w:t>
      </w:r>
      <w:r w:rsidR="00900061" w:rsidRPr="00E168A1">
        <w:rPr>
          <w:rFonts w:ascii="Times New Roman" w:eastAsia="Times New Roman" w:hAnsi="Times New Roman"/>
        </w:rPr>
        <w:t xml:space="preserve"> </w:t>
      </w:r>
      <w:r w:rsidRPr="00E168A1">
        <w:rPr>
          <w:rFonts w:ascii="Times New Roman" w:eastAsia="Times New Roman" w:hAnsi="Times New Roman"/>
        </w:rPr>
        <w:t>accordingly.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new</w:t>
      </w:r>
      <w:r w:rsidR="00900061" w:rsidRPr="00E168A1">
        <w:rPr>
          <w:rFonts w:ascii="Times New Roman" w:eastAsia="Times New Roman" w:hAnsi="Times New Roman"/>
        </w:rPr>
        <w:t xml:space="preserve"> </w:t>
      </w:r>
      <w:r w:rsidRPr="00E168A1">
        <w:rPr>
          <w:rFonts w:ascii="Times New Roman" w:eastAsia="Times New Roman" w:hAnsi="Times New Roman"/>
        </w:rPr>
        <w:t>portal</w:t>
      </w:r>
      <w:r w:rsidR="00900061" w:rsidRPr="00E168A1">
        <w:rPr>
          <w:rFonts w:ascii="Times New Roman" w:eastAsia="Times New Roman" w:hAnsi="Times New Roman"/>
        </w:rPr>
        <w:t xml:space="preserve"> </w:t>
      </w:r>
      <w:r w:rsidRPr="00E168A1">
        <w:rPr>
          <w:rFonts w:ascii="Times New Roman" w:eastAsia="Times New Roman" w:hAnsi="Times New Roman"/>
        </w:rPr>
        <w:t>became</w:t>
      </w:r>
      <w:r w:rsidR="00900061" w:rsidRPr="00E168A1">
        <w:rPr>
          <w:rFonts w:ascii="Times New Roman" w:eastAsia="Times New Roman" w:hAnsi="Times New Roman"/>
        </w:rPr>
        <w:t xml:space="preserve"> </w:t>
      </w:r>
      <w:r w:rsidRPr="00E168A1">
        <w:rPr>
          <w:rFonts w:ascii="Times New Roman" w:eastAsia="Times New Roman" w:hAnsi="Times New Roman"/>
        </w:rPr>
        <w:t>operational</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April</w:t>
      </w:r>
      <w:r w:rsidR="0033220B" w:rsidRPr="00E168A1">
        <w:rPr>
          <w:rFonts w:ascii="Times New Roman" w:eastAsia="Times New Roman" w:hAnsi="Times New Roman"/>
        </w:rPr>
        <w:t xml:space="preserve"> 1,</w:t>
      </w:r>
      <w:r w:rsidR="00900061" w:rsidRPr="00E168A1">
        <w:rPr>
          <w:rFonts w:ascii="Times New Roman" w:eastAsia="Times New Roman" w:hAnsi="Times New Roman"/>
        </w:rPr>
        <w:t xml:space="preserve"> </w:t>
      </w:r>
      <w:r w:rsidRPr="00E168A1">
        <w:rPr>
          <w:rFonts w:ascii="Times New Roman" w:eastAsia="Times New Roman" w:hAnsi="Times New Roman"/>
        </w:rPr>
        <w:t>2013</w:t>
      </w:r>
      <w:r w:rsidR="00D330EF"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registered</w:t>
      </w:r>
      <w:r w:rsidR="00900061" w:rsidRPr="00E168A1">
        <w:rPr>
          <w:rFonts w:ascii="Times New Roman" w:eastAsia="Times New Roman" w:hAnsi="Times New Roman"/>
        </w:rPr>
        <w:t xml:space="preserve"> </w:t>
      </w:r>
      <w:r w:rsidRPr="00E168A1">
        <w:rPr>
          <w:rFonts w:ascii="Times New Roman" w:eastAsia="Times New Roman" w:hAnsi="Times New Roman"/>
        </w:rPr>
        <w:t>users</w:t>
      </w:r>
      <w:r w:rsidR="00900061" w:rsidRPr="00E168A1">
        <w:rPr>
          <w:rFonts w:ascii="Times New Roman" w:eastAsia="Times New Roman" w:hAnsi="Times New Roman"/>
        </w:rPr>
        <w:t xml:space="preserve"> </w:t>
      </w:r>
      <w:r w:rsidRPr="00E168A1">
        <w:rPr>
          <w:rFonts w:ascii="Times New Roman" w:eastAsia="Times New Roman" w:hAnsi="Times New Roman"/>
        </w:rPr>
        <w:t>has</w:t>
      </w:r>
      <w:r w:rsidR="00900061" w:rsidRPr="00E168A1">
        <w:rPr>
          <w:rFonts w:ascii="Times New Roman" w:eastAsia="Times New Roman" w:hAnsi="Times New Roman"/>
        </w:rPr>
        <w:t xml:space="preserve"> </w:t>
      </w:r>
      <w:r w:rsidRPr="00E168A1">
        <w:rPr>
          <w:rFonts w:ascii="Times New Roman" w:eastAsia="Times New Roman" w:hAnsi="Times New Roman"/>
        </w:rPr>
        <w:t>more</w:t>
      </w:r>
      <w:r w:rsidR="00900061" w:rsidRPr="00E168A1">
        <w:rPr>
          <w:rFonts w:ascii="Times New Roman" w:eastAsia="Times New Roman" w:hAnsi="Times New Roman"/>
        </w:rPr>
        <w:t xml:space="preserve"> </w:t>
      </w:r>
      <w:r w:rsidRPr="00E168A1">
        <w:rPr>
          <w:rFonts w:ascii="Times New Roman" w:eastAsia="Times New Roman" w:hAnsi="Times New Roman"/>
        </w:rPr>
        <w:t>than</w:t>
      </w:r>
      <w:r w:rsidR="00900061" w:rsidRPr="00E168A1">
        <w:rPr>
          <w:rFonts w:ascii="Times New Roman" w:eastAsia="Times New Roman" w:hAnsi="Times New Roman"/>
        </w:rPr>
        <w:t xml:space="preserve"> </w:t>
      </w:r>
      <w:r w:rsidRPr="00E168A1">
        <w:rPr>
          <w:rFonts w:ascii="Times New Roman" w:eastAsia="Times New Roman" w:hAnsi="Times New Roman"/>
        </w:rPr>
        <w:t>doubled</w:t>
      </w:r>
      <w:r w:rsidR="00900061" w:rsidRPr="00E168A1">
        <w:rPr>
          <w:rFonts w:ascii="Times New Roman" w:eastAsia="Times New Roman" w:hAnsi="Times New Roman"/>
        </w:rPr>
        <w:t xml:space="preserve"> </w:t>
      </w:r>
      <w:r w:rsidRPr="00E168A1">
        <w:rPr>
          <w:rFonts w:ascii="Times New Roman" w:eastAsia="Times New Roman" w:hAnsi="Times New Roman"/>
        </w:rPr>
        <w:t>compared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old</w:t>
      </w:r>
      <w:r w:rsidR="00900061" w:rsidRPr="00E168A1">
        <w:rPr>
          <w:rFonts w:ascii="Times New Roman" w:eastAsia="Times New Roman" w:hAnsi="Times New Roman"/>
        </w:rPr>
        <w:t xml:space="preserve"> </w:t>
      </w:r>
      <w:r w:rsidRPr="00E168A1">
        <w:rPr>
          <w:rFonts w:ascii="Times New Roman" w:eastAsia="Times New Roman" w:hAnsi="Times New Roman"/>
        </w:rPr>
        <w:t>portal.</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average</w:t>
      </w:r>
      <w:r w:rsidR="00900061" w:rsidRPr="00E168A1">
        <w:rPr>
          <w:rFonts w:ascii="Times New Roman" w:eastAsia="Times New Roman" w:hAnsi="Times New Roman"/>
        </w:rPr>
        <w:t xml:space="preserve"> </w:t>
      </w:r>
      <w:r w:rsidRPr="00E168A1">
        <w:rPr>
          <w:rFonts w:ascii="Times New Roman" w:eastAsia="Times New Roman" w:hAnsi="Times New Roman"/>
        </w:rPr>
        <w:t>number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posted</w:t>
      </w:r>
      <w:r w:rsidR="00900061" w:rsidRPr="00E168A1">
        <w:rPr>
          <w:rFonts w:ascii="Times New Roman" w:eastAsia="Times New Roman" w:hAnsi="Times New Roman"/>
        </w:rPr>
        <w:t xml:space="preserve"> </w:t>
      </w:r>
      <w:r w:rsidRPr="00E168A1">
        <w:rPr>
          <w:rFonts w:ascii="Times New Roman" w:eastAsia="Times New Roman" w:hAnsi="Times New Roman"/>
        </w:rPr>
        <w:t>tenders</w:t>
      </w:r>
      <w:r w:rsidR="00900061" w:rsidRPr="00E168A1">
        <w:rPr>
          <w:rFonts w:ascii="Times New Roman" w:eastAsia="Times New Roman" w:hAnsi="Times New Roman"/>
        </w:rPr>
        <w:t xml:space="preserve"> </w:t>
      </w:r>
      <w:r w:rsidRPr="00E168A1">
        <w:rPr>
          <w:rFonts w:ascii="Times New Roman" w:eastAsia="Times New Roman" w:hAnsi="Times New Roman"/>
        </w:rPr>
        <w:t>per</w:t>
      </w:r>
      <w:r w:rsidR="00900061" w:rsidRPr="00E168A1">
        <w:rPr>
          <w:rFonts w:ascii="Times New Roman" w:eastAsia="Times New Roman" w:hAnsi="Times New Roman"/>
        </w:rPr>
        <w:t xml:space="preserve"> </w:t>
      </w:r>
      <w:r w:rsidRPr="00E168A1">
        <w:rPr>
          <w:rFonts w:ascii="Times New Roman" w:eastAsia="Times New Roman" w:hAnsi="Times New Roman"/>
        </w:rPr>
        <w:t>day</w:t>
      </w:r>
      <w:r w:rsidR="00900061" w:rsidRPr="00E168A1">
        <w:rPr>
          <w:rFonts w:ascii="Times New Roman" w:eastAsia="Times New Roman" w:hAnsi="Times New Roman"/>
        </w:rPr>
        <w:t xml:space="preserve"> </w:t>
      </w:r>
      <w:r w:rsidRPr="00E168A1">
        <w:rPr>
          <w:rFonts w:ascii="Times New Roman" w:eastAsia="Times New Roman" w:hAnsi="Times New Roman"/>
        </w:rPr>
        <w:t>also</w:t>
      </w:r>
      <w:r w:rsidR="00900061" w:rsidRPr="00E168A1">
        <w:rPr>
          <w:rFonts w:ascii="Times New Roman" w:eastAsia="Times New Roman" w:hAnsi="Times New Roman"/>
        </w:rPr>
        <w:t xml:space="preserve"> </w:t>
      </w:r>
      <w:r w:rsidRPr="00E168A1">
        <w:rPr>
          <w:rFonts w:ascii="Times New Roman" w:eastAsia="Times New Roman" w:hAnsi="Times New Roman"/>
        </w:rPr>
        <w:t>increased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more</w:t>
      </w:r>
      <w:r w:rsidR="00900061" w:rsidRPr="00E168A1">
        <w:rPr>
          <w:rFonts w:ascii="Times New Roman" w:eastAsia="Times New Roman" w:hAnsi="Times New Roman"/>
        </w:rPr>
        <w:t xml:space="preserve"> </w:t>
      </w:r>
      <w:r w:rsidRPr="00E168A1">
        <w:rPr>
          <w:rFonts w:ascii="Times New Roman" w:eastAsia="Times New Roman" w:hAnsi="Times New Roman"/>
        </w:rPr>
        <w:t>than</w:t>
      </w:r>
      <w:r w:rsidR="00900061" w:rsidRPr="00E168A1">
        <w:rPr>
          <w:rFonts w:ascii="Times New Roman" w:eastAsia="Times New Roman" w:hAnsi="Times New Roman"/>
        </w:rPr>
        <w:t xml:space="preserve"> </w:t>
      </w:r>
      <w:r w:rsidRPr="00E168A1">
        <w:rPr>
          <w:rFonts w:ascii="Times New Roman" w:eastAsia="Times New Roman" w:hAnsi="Times New Roman"/>
        </w:rPr>
        <w:t>60</w:t>
      </w:r>
      <w:r w:rsidR="00950355" w:rsidRPr="00E168A1">
        <w:rPr>
          <w:rFonts w:ascii="Times New Roman" w:eastAsia="Times New Roman" w:hAnsi="Times New Roman"/>
        </w:rPr>
        <w:t xml:space="preserve"> percent</w:t>
      </w:r>
      <w:r w:rsidR="00D41DFB" w:rsidRPr="00E168A1">
        <w:rPr>
          <w:rFonts w:ascii="Times New Roman" w:eastAsia="Times New Roman" w:hAnsi="Times New Roman"/>
        </w:rPr>
        <w:t>.</w:t>
      </w:r>
      <w:r w:rsidRPr="00E168A1">
        <w:rPr>
          <w:rStyle w:val="FootnoteReference"/>
          <w:rFonts w:ascii="Times New Roman" w:eastAsia="Times New Roman" w:hAnsi="Times New Roman"/>
        </w:rPr>
        <w:footnoteReference w:id="56"/>
      </w:r>
      <w:r w:rsidR="00900061" w:rsidRPr="00E168A1">
        <w:rPr>
          <w:rFonts w:ascii="Times New Roman" w:eastAsia="Times New Roman" w:hAnsi="Times New Roman"/>
        </w:rPr>
        <w:t xml:space="preserve"> </w:t>
      </w:r>
    </w:p>
    <w:p w14:paraId="6D71ECE5" w14:textId="204F5D23" w:rsidR="00A17E70" w:rsidRPr="00E168A1" w:rsidRDefault="00B03657" w:rsidP="00EF0C6E">
      <w:pPr>
        <w:pStyle w:val="ListParagraph"/>
        <w:numPr>
          <w:ilvl w:val="0"/>
          <w:numId w:val="21"/>
        </w:numPr>
        <w:ind w:left="0" w:firstLine="0"/>
        <w:contextualSpacing w:val="0"/>
        <w:rPr>
          <w:rFonts w:ascii="Times New Roman" w:eastAsia="Times New Roman" w:hAnsi="Times New Roman"/>
        </w:rPr>
      </w:pPr>
      <w:r w:rsidRPr="00E168A1">
        <w:rPr>
          <w:rFonts w:ascii="Times New Roman" w:eastAsia="Times New Roman" w:hAnsi="Times New Roman"/>
          <w:b/>
        </w:rPr>
        <w:t>De-bureaucrati</w:t>
      </w:r>
      <w:r w:rsidR="00D330EF" w:rsidRPr="00E168A1">
        <w:rPr>
          <w:rFonts w:ascii="Times New Roman" w:eastAsia="Times New Roman" w:hAnsi="Times New Roman"/>
          <w:b/>
        </w:rPr>
        <w:t>z</w:t>
      </w:r>
      <w:r w:rsidRPr="00E168A1">
        <w:rPr>
          <w:rFonts w:ascii="Times New Roman" w:eastAsia="Times New Roman" w:hAnsi="Times New Roman"/>
          <w:b/>
        </w:rPr>
        <w:t>ation,</w:t>
      </w:r>
      <w:r w:rsidR="00900061" w:rsidRPr="00E168A1">
        <w:rPr>
          <w:rFonts w:ascii="Times New Roman" w:eastAsia="Times New Roman" w:hAnsi="Times New Roman"/>
          <w:b/>
        </w:rPr>
        <w:t xml:space="preserve"> </w:t>
      </w:r>
      <w:r w:rsidRPr="00E168A1">
        <w:rPr>
          <w:rFonts w:ascii="Times New Roman" w:eastAsia="Times New Roman" w:hAnsi="Times New Roman"/>
          <w:b/>
        </w:rPr>
        <w:t>notably</w:t>
      </w:r>
      <w:r w:rsidR="00900061" w:rsidRPr="00E168A1">
        <w:rPr>
          <w:rFonts w:ascii="Times New Roman" w:eastAsia="Times New Roman" w:hAnsi="Times New Roman"/>
          <w:b/>
        </w:rPr>
        <w:t xml:space="preserve"> </w:t>
      </w:r>
      <w:r w:rsidRPr="00E168A1">
        <w:rPr>
          <w:rFonts w:ascii="Times New Roman" w:eastAsia="Times New Roman" w:hAnsi="Times New Roman"/>
          <w:b/>
        </w:rPr>
        <w:t>through</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Pr="00E168A1">
        <w:rPr>
          <w:rFonts w:ascii="Times New Roman" w:eastAsia="Times New Roman" w:hAnsi="Times New Roman"/>
          <w:b/>
        </w:rPr>
        <w:t>establishment</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a</w:t>
      </w:r>
      <w:r w:rsidR="00900061" w:rsidRPr="00E168A1">
        <w:rPr>
          <w:rFonts w:ascii="Times New Roman" w:eastAsia="Times New Roman" w:hAnsi="Times New Roman"/>
          <w:b/>
        </w:rPr>
        <w:t xml:space="preserve"> </w:t>
      </w:r>
      <w:r w:rsidR="00C00E5E" w:rsidRPr="00E168A1">
        <w:rPr>
          <w:rFonts w:ascii="Times New Roman" w:eastAsia="Times New Roman" w:hAnsi="Times New Roman"/>
          <w:b/>
        </w:rPr>
        <w:t>C</w:t>
      </w:r>
      <w:r w:rsidRPr="00E168A1">
        <w:rPr>
          <w:rFonts w:ascii="Times New Roman" w:eastAsia="Times New Roman" w:hAnsi="Times New Roman"/>
          <w:b/>
        </w:rPr>
        <w:t>entral</w:t>
      </w:r>
      <w:r w:rsidR="00900061" w:rsidRPr="00E168A1">
        <w:rPr>
          <w:rFonts w:ascii="Times New Roman" w:eastAsia="Times New Roman" w:hAnsi="Times New Roman"/>
          <w:b/>
        </w:rPr>
        <w:t xml:space="preserve"> </w:t>
      </w:r>
      <w:r w:rsidR="00C00E5E" w:rsidRPr="00E168A1">
        <w:rPr>
          <w:rFonts w:ascii="Times New Roman" w:eastAsia="Times New Roman" w:hAnsi="Times New Roman"/>
          <w:b/>
        </w:rPr>
        <w:t>R</w:t>
      </w:r>
      <w:r w:rsidRPr="00E168A1">
        <w:rPr>
          <w:rFonts w:ascii="Times New Roman" w:eastAsia="Times New Roman" w:hAnsi="Times New Roman"/>
          <w:b/>
        </w:rPr>
        <w:t>egistry</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00C00E5E" w:rsidRPr="00E168A1">
        <w:rPr>
          <w:rFonts w:ascii="Times New Roman" w:eastAsia="Times New Roman" w:hAnsi="Times New Roman"/>
          <w:b/>
        </w:rPr>
        <w:t>B</w:t>
      </w:r>
      <w:r w:rsidRPr="00E168A1">
        <w:rPr>
          <w:rFonts w:ascii="Times New Roman" w:eastAsia="Times New Roman" w:hAnsi="Times New Roman"/>
          <w:b/>
        </w:rPr>
        <w:t>idders</w:t>
      </w:r>
      <w:r w:rsidR="00900061" w:rsidRPr="00E168A1">
        <w:rPr>
          <w:rFonts w:ascii="Times New Roman" w:eastAsia="Times New Roman" w:hAnsi="Times New Roman"/>
          <w:b/>
        </w:rPr>
        <w:t xml:space="preserve"> </w:t>
      </w:r>
      <w:r w:rsidRPr="00E168A1">
        <w:rPr>
          <w:rFonts w:ascii="Times New Roman" w:eastAsia="Times New Roman" w:hAnsi="Times New Roman"/>
          <w:b/>
        </w:rPr>
        <w:t>and</w:t>
      </w:r>
      <w:r w:rsidR="00900061" w:rsidRPr="00E168A1">
        <w:rPr>
          <w:rFonts w:ascii="Times New Roman" w:eastAsia="Times New Roman" w:hAnsi="Times New Roman"/>
          <w:b/>
        </w:rPr>
        <w:t xml:space="preserve"> </w:t>
      </w:r>
      <w:r w:rsidRPr="00E168A1">
        <w:rPr>
          <w:rFonts w:ascii="Times New Roman" w:eastAsia="Times New Roman" w:hAnsi="Times New Roman"/>
          <w:b/>
        </w:rPr>
        <w:t>a</w:t>
      </w:r>
      <w:r w:rsidR="00900061" w:rsidRPr="00E168A1">
        <w:rPr>
          <w:rFonts w:ascii="Times New Roman" w:eastAsia="Times New Roman" w:hAnsi="Times New Roman"/>
          <w:b/>
        </w:rPr>
        <w:t xml:space="preserve"> </w:t>
      </w:r>
      <w:r w:rsidRPr="00E168A1">
        <w:rPr>
          <w:rFonts w:ascii="Times New Roman" w:eastAsia="Times New Roman" w:hAnsi="Times New Roman"/>
          <w:b/>
        </w:rPr>
        <w:t>simplified</w:t>
      </w:r>
      <w:r w:rsidR="00900061" w:rsidRPr="00E168A1">
        <w:rPr>
          <w:rFonts w:ascii="Times New Roman" w:eastAsia="Times New Roman" w:hAnsi="Times New Roman"/>
          <w:b/>
        </w:rPr>
        <w:t xml:space="preserve"> </w:t>
      </w:r>
      <w:r w:rsidRPr="00E168A1">
        <w:rPr>
          <w:rFonts w:ascii="Times New Roman" w:eastAsia="Times New Roman" w:hAnsi="Times New Roman"/>
          <w:b/>
        </w:rPr>
        <w:t>bidding</w:t>
      </w:r>
      <w:r w:rsidR="00900061" w:rsidRPr="00E168A1">
        <w:rPr>
          <w:rFonts w:ascii="Times New Roman" w:eastAsia="Times New Roman" w:hAnsi="Times New Roman"/>
          <w:b/>
        </w:rPr>
        <w:t xml:space="preserve"> </w:t>
      </w:r>
      <w:r w:rsidRPr="00E168A1">
        <w:rPr>
          <w:rFonts w:ascii="Times New Roman" w:eastAsia="Times New Roman" w:hAnsi="Times New Roman"/>
          <w:b/>
        </w:rPr>
        <w:t>process.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Central</w:t>
      </w:r>
      <w:r w:rsidR="00900061" w:rsidRPr="00E168A1">
        <w:rPr>
          <w:rFonts w:ascii="Times New Roman" w:eastAsia="Times New Roman" w:hAnsi="Times New Roman"/>
        </w:rPr>
        <w:t xml:space="preserve"> </w:t>
      </w:r>
      <w:r w:rsidRPr="00E168A1">
        <w:rPr>
          <w:rFonts w:ascii="Times New Roman" w:eastAsia="Times New Roman" w:hAnsi="Times New Roman"/>
        </w:rPr>
        <w:t>Registry</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Bidders</w:t>
      </w:r>
      <w:r w:rsidR="00900061" w:rsidRPr="00E168A1">
        <w:rPr>
          <w:rFonts w:ascii="Times New Roman" w:eastAsia="Times New Roman" w:hAnsi="Times New Roman"/>
        </w:rPr>
        <w:t xml:space="preserve"> </w:t>
      </w:r>
      <w:r w:rsidRPr="00E168A1">
        <w:rPr>
          <w:rFonts w:ascii="Times New Roman" w:eastAsia="Times New Roman" w:hAnsi="Times New Roman"/>
        </w:rPr>
        <w:t>became</w:t>
      </w:r>
      <w:r w:rsidR="00900061" w:rsidRPr="00E168A1">
        <w:rPr>
          <w:rFonts w:ascii="Times New Roman" w:eastAsia="Times New Roman" w:hAnsi="Times New Roman"/>
        </w:rPr>
        <w:t xml:space="preserve"> </w:t>
      </w:r>
      <w:r w:rsidRPr="00E168A1">
        <w:rPr>
          <w:rFonts w:ascii="Times New Roman" w:eastAsia="Times New Roman" w:hAnsi="Times New Roman"/>
        </w:rPr>
        <w:t>operational</w:t>
      </w:r>
      <w:r w:rsidR="00900061" w:rsidRPr="00E168A1">
        <w:rPr>
          <w:rFonts w:ascii="Times New Roman" w:eastAsia="Times New Roman" w:hAnsi="Times New Roman"/>
        </w:rPr>
        <w:t xml:space="preserve"> </w:t>
      </w:r>
      <w:r w:rsidRPr="00E168A1">
        <w:rPr>
          <w:rFonts w:ascii="Times New Roman" w:eastAsia="Times New Roman" w:hAnsi="Times New Roman"/>
        </w:rPr>
        <w:t>on</w:t>
      </w:r>
      <w:r w:rsidR="00900061" w:rsidRPr="00E168A1">
        <w:rPr>
          <w:rFonts w:ascii="Times New Roman" w:eastAsia="Times New Roman" w:hAnsi="Times New Roman"/>
        </w:rPr>
        <w:t xml:space="preserve"> </w:t>
      </w:r>
      <w:r w:rsidRPr="00E168A1">
        <w:rPr>
          <w:rFonts w:ascii="Times New Roman" w:eastAsia="Times New Roman" w:hAnsi="Times New Roman"/>
        </w:rPr>
        <w:t>September</w:t>
      </w:r>
      <w:r w:rsidR="00900061" w:rsidRPr="00E168A1">
        <w:rPr>
          <w:rFonts w:ascii="Times New Roman" w:eastAsia="Times New Roman" w:hAnsi="Times New Roman"/>
        </w:rPr>
        <w:t xml:space="preserve"> </w:t>
      </w:r>
      <w:r w:rsidR="00F315AD" w:rsidRPr="00E168A1">
        <w:rPr>
          <w:rFonts w:ascii="Times New Roman" w:eastAsia="Times New Roman" w:hAnsi="Times New Roman"/>
        </w:rPr>
        <w:t xml:space="preserve">1, </w:t>
      </w:r>
      <w:r w:rsidRPr="00E168A1">
        <w:rPr>
          <w:rFonts w:ascii="Times New Roman" w:eastAsia="Times New Roman" w:hAnsi="Times New Roman"/>
        </w:rPr>
        <w:t>2013,</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features</w:t>
      </w:r>
      <w:r w:rsidR="00900061" w:rsidRPr="00E168A1">
        <w:rPr>
          <w:rFonts w:ascii="Times New Roman" w:eastAsia="Times New Roman" w:hAnsi="Times New Roman"/>
        </w:rPr>
        <w:t xml:space="preserve"> </w:t>
      </w:r>
      <w:r w:rsidRPr="00E168A1">
        <w:rPr>
          <w:rFonts w:ascii="Times New Roman" w:eastAsia="Times New Roman" w:hAnsi="Times New Roman"/>
        </w:rPr>
        <w:t>more</w:t>
      </w:r>
      <w:r w:rsidR="00900061" w:rsidRPr="00E168A1">
        <w:rPr>
          <w:rFonts w:ascii="Times New Roman" w:eastAsia="Times New Roman" w:hAnsi="Times New Roman"/>
        </w:rPr>
        <w:t xml:space="preserve"> </w:t>
      </w:r>
      <w:r w:rsidRPr="00E168A1">
        <w:rPr>
          <w:rFonts w:ascii="Times New Roman" w:eastAsia="Times New Roman" w:hAnsi="Times New Roman"/>
        </w:rPr>
        <w:t>than</w:t>
      </w:r>
      <w:r w:rsidR="00900061" w:rsidRPr="00E168A1">
        <w:rPr>
          <w:rFonts w:ascii="Times New Roman" w:eastAsia="Times New Roman" w:hAnsi="Times New Roman"/>
        </w:rPr>
        <w:t xml:space="preserve"> </w:t>
      </w:r>
      <w:r w:rsidRPr="00E168A1">
        <w:rPr>
          <w:rFonts w:ascii="Times New Roman" w:eastAsia="Times New Roman" w:hAnsi="Times New Roman"/>
        </w:rPr>
        <w:t>2</w:t>
      </w:r>
      <w:r w:rsidR="00D41DFB" w:rsidRPr="00E168A1">
        <w:rPr>
          <w:rFonts w:ascii="Times New Roman" w:eastAsia="Times New Roman" w:hAnsi="Times New Roman"/>
        </w:rPr>
        <w:t>,</w:t>
      </w:r>
      <w:r w:rsidRPr="00E168A1">
        <w:rPr>
          <w:rFonts w:ascii="Times New Roman" w:eastAsia="Times New Roman" w:hAnsi="Times New Roman"/>
        </w:rPr>
        <w:t>000</w:t>
      </w:r>
      <w:r w:rsidR="00900061" w:rsidRPr="00E168A1">
        <w:rPr>
          <w:rFonts w:ascii="Times New Roman" w:eastAsia="Times New Roman" w:hAnsi="Times New Roman"/>
        </w:rPr>
        <w:t xml:space="preserve"> </w:t>
      </w:r>
      <w:r w:rsidRPr="00E168A1">
        <w:rPr>
          <w:rFonts w:ascii="Times New Roman" w:eastAsia="Times New Roman" w:hAnsi="Times New Roman"/>
        </w:rPr>
        <w:t>registered</w:t>
      </w:r>
      <w:r w:rsidR="00900061" w:rsidRPr="00E168A1">
        <w:rPr>
          <w:rFonts w:ascii="Times New Roman" w:eastAsia="Times New Roman" w:hAnsi="Times New Roman"/>
        </w:rPr>
        <w:t xml:space="preserve"> </w:t>
      </w:r>
      <w:r w:rsidRPr="00E168A1">
        <w:rPr>
          <w:rFonts w:ascii="Times New Roman" w:eastAsia="Times New Roman" w:hAnsi="Times New Roman"/>
        </w:rPr>
        <w:t>bidders.</w:t>
      </w:r>
      <w:r w:rsidR="00900061" w:rsidRPr="00E168A1">
        <w:rPr>
          <w:rFonts w:ascii="Times New Roman" w:eastAsia="Times New Roman" w:hAnsi="Times New Roman"/>
        </w:rPr>
        <w:t xml:space="preserve"> </w:t>
      </w:r>
      <w:r w:rsidRPr="00E168A1">
        <w:rPr>
          <w:rFonts w:ascii="Times New Roman" w:eastAsia="Times New Roman" w:hAnsi="Times New Roman"/>
        </w:rPr>
        <w:t>It</w:t>
      </w:r>
      <w:r w:rsidR="00900061" w:rsidRPr="00E168A1">
        <w:rPr>
          <w:rFonts w:ascii="Times New Roman" w:eastAsia="Times New Roman" w:hAnsi="Times New Roman"/>
        </w:rPr>
        <w:t xml:space="preserve"> </w:t>
      </w:r>
      <w:r w:rsidRPr="00E168A1">
        <w:rPr>
          <w:rFonts w:ascii="Times New Roman" w:eastAsia="Times New Roman" w:hAnsi="Times New Roman"/>
        </w:rPr>
        <w:t>facilitates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verification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mandatory</w:t>
      </w:r>
      <w:r w:rsidR="00900061" w:rsidRPr="00E168A1">
        <w:rPr>
          <w:rFonts w:ascii="Times New Roman" w:eastAsia="Times New Roman" w:hAnsi="Times New Roman"/>
        </w:rPr>
        <w:t xml:space="preserve"> </w:t>
      </w:r>
      <w:r w:rsidRPr="00E168A1">
        <w:rPr>
          <w:rFonts w:ascii="Times New Roman" w:eastAsia="Times New Roman" w:hAnsi="Times New Roman"/>
        </w:rPr>
        <w:t>eligibility</w:t>
      </w:r>
      <w:r w:rsidR="00900061" w:rsidRPr="00E168A1">
        <w:rPr>
          <w:rFonts w:ascii="Times New Roman" w:eastAsia="Times New Roman" w:hAnsi="Times New Roman"/>
        </w:rPr>
        <w:t xml:space="preserve"> </w:t>
      </w:r>
      <w:r w:rsidRPr="00E168A1">
        <w:rPr>
          <w:rFonts w:ascii="Times New Roman" w:eastAsia="Times New Roman" w:hAnsi="Times New Roman"/>
        </w:rPr>
        <w:t>requirements</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participation</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addition,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allows</w:t>
      </w:r>
      <w:r w:rsidR="00900061" w:rsidRPr="00E168A1">
        <w:rPr>
          <w:rFonts w:ascii="Times New Roman" w:eastAsia="Times New Roman" w:hAnsi="Times New Roman"/>
        </w:rPr>
        <w:t xml:space="preserve"> </w:t>
      </w:r>
      <w:r w:rsidRPr="00E168A1">
        <w:rPr>
          <w:rFonts w:ascii="Times New Roman" w:eastAsia="Times New Roman" w:hAnsi="Times New Roman"/>
        </w:rPr>
        <w:t>bidders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prove</w:t>
      </w:r>
      <w:r w:rsidR="00900061" w:rsidRPr="00E168A1">
        <w:rPr>
          <w:rFonts w:ascii="Times New Roman" w:eastAsia="Times New Roman" w:hAnsi="Times New Roman"/>
        </w:rPr>
        <w:t xml:space="preserve"> </w:t>
      </w:r>
      <w:r w:rsidRPr="00E168A1">
        <w:rPr>
          <w:rFonts w:ascii="Times New Roman" w:eastAsia="Times New Roman" w:hAnsi="Times New Roman"/>
        </w:rPr>
        <w:t>their</w:t>
      </w:r>
      <w:r w:rsidR="00900061" w:rsidRPr="00E168A1">
        <w:rPr>
          <w:rFonts w:ascii="Times New Roman" w:eastAsia="Times New Roman" w:hAnsi="Times New Roman"/>
        </w:rPr>
        <w:t xml:space="preserve"> </w:t>
      </w:r>
      <w:r w:rsidRPr="00E168A1">
        <w:rPr>
          <w:rFonts w:ascii="Times New Roman" w:eastAsia="Times New Roman" w:hAnsi="Times New Roman"/>
        </w:rPr>
        <w:t>eligibility</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submitting</w:t>
      </w:r>
      <w:r w:rsidR="00900061" w:rsidRPr="00E168A1">
        <w:rPr>
          <w:rFonts w:ascii="Times New Roman" w:eastAsia="Times New Roman" w:hAnsi="Times New Roman"/>
        </w:rPr>
        <w:t xml:space="preserve"> </w:t>
      </w:r>
      <w:r w:rsidRPr="00E168A1">
        <w:rPr>
          <w:rFonts w:ascii="Times New Roman" w:eastAsia="Times New Roman" w:hAnsi="Times New Roman"/>
        </w:rPr>
        <w:t>copies</w:t>
      </w:r>
      <w:r w:rsidR="00900061" w:rsidRPr="00E168A1">
        <w:rPr>
          <w:rFonts w:ascii="Times New Roman" w:eastAsia="Times New Roman" w:hAnsi="Times New Roman"/>
        </w:rPr>
        <w:t xml:space="preserve"> </w:t>
      </w:r>
      <w:r w:rsidRPr="00E168A1">
        <w:rPr>
          <w:rFonts w:ascii="Times New Roman" w:eastAsia="Times New Roman" w:hAnsi="Times New Roman"/>
        </w:rPr>
        <w:t>rather</w:t>
      </w:r>
      <w:r w:rsidR="00900061" w:rsidRPr="00E168A1">
        <w:rPr>
          <w:rFonts w:ascii="Times New Roman" w:eastAsia="Times New Roman" w:hAnsi="Times New Roman"/>
        </w:rPr>
        <w:t xml:space="preserve"> </w:t>
      </w:r>
      <w:r w:rsidRPr="00E168A1">
        <w:rPr>
          <w:rFonts w:ascii="Times New Roman" w:eastAsia="Times New Roman" w:hAnsi="Times New Roman"/>
        </w:rPr>
        <w:t>than</w:t>
      </w:r>
      <w:r w:rsidR="00900061" w:rsidRPr="00E168A1">
        <w:rPr>
          <w:rFonts w:ascii="Times New Roman" w:eastAsia="Times New Roman" w:hAnsi="Times New Roman"/>
        </w:rPr>
        <w:t xml:space="preserve"> </w:t>
      </w:r>
      <w:r w:rsidRPr="00E168A1">
        <w:rPr>
          <w:rFonts w:ascii="Times New Roman" w:eastAsia="Times New Roman" w:hAnsi="Times New Roman"/>
        </w:rPr>
        <w:t>original</w:t>
      </w:r>
      <w:r w:rsidR="00900061" w:rsidRPr="00E168A1">
        <w:rPr>
          <w:rFonts w:ascii="Times New Roman" w:eastAsia="Times New Roman" w:hAnsi="Times New Roman"/>
        </w:rPr>
        <w:t xml:space="preserve"> </w:t>
      </w:r>
      <w:r w:rsidRPr="00E168A1">
        <w:rPr>
          <w:rFonts w:ascii="Times New Roman" w:eastAsia="Times New Roman" w:hAnsi="Times New Roman"/>
        </w:rPr>
        <w:t>documents</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avoid</w:t>
      </w:r>
      <w:r w:rsidR="00900061" w:rsidRPr="00E168A1">
        <w:rPr>
          <w:rFonts w:ascii="Times New Roman" w:eastAsia="Times New Roman" w:hAnsi="Times New Roman"/>
        </w:rPr>
        <w:t xml:space="preserve"> </w:t>
      </w:r>
      <w:r w:rsidRPr="00E168A1">
        <w:rPr>
          <w:rFonts w:ascii="Times New Roman" w:eastAsia="Times New Roman" w:hAnsi="Times New Roman"/>
        </w:rPr>
        <w:t>supplying</w:t>
      </w:r>
      <w:r w:rsidR="00900061" w:rsidRPr="00E168A1">
        <w:rPr>
          <w:rFonts w:ascii="Times New Roman" w:eastAsia="Times New Roman" w:hAnsi="Times New Roman"/>
        </w:rPr>
        <w:t xml:space="preserve"> </w:t>
      </w:r>
      <w:r w:rsidRPr="00E168A1">
        <w:rPr>
          <w:rFonts w:ascii="Times New Roman" w:eastAsia="Times New Roman" w:hAnsi="Times New Roman"/>
        </w:rPr>
        <w:t>evidence</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publicly</w:t>
      </w:r>
      <w:r w:rsidR="00900061" w:rsidRPr="00E168A1">
        <w:rPr>
          <w:rFonts w:ascii="Times New Roman" w:eastAsia="Times New Roman" w:hAnsi="Times New Roman"/>
        </w:rPr>
        <w:t xml:space="preserve"> </w:t>
      </w:r>
      <w:r w:rsidRPr="00E168A1">
        <w:rPr>
          <w:rFonts w:ascii="Times New Roman" w:eastAsia="Times New Roman" w:hAnsi="Times New Roman"/>
        </w:rPr>
        <w:t>available</w:t>
      </w:r>
      <w:r w:rsidR="00900061" w:rsidRPr="00E168A1">
        <w:rPr>
          <w:rFonts w:ascii="Times New Roman" w:eastAsia="Times New Roman" w:hAnsi="Times New Roman"/>
        </w:rPr>
        <w:t xml:space="preserve"> </w:t>
      </w:r>
      <w:r w:rsidR="00261413" w:rsidRPr="00E168A1">
        <w:rPr>
          <w:rFonts w:ascii="Times New Roman" w:eastAsia="Times New Roman" w:hAnsi="Times New Roman"/>
        </w:rPr>
        <w:t xml:space="preserve">on the </w:t>
      </w:r>
      <w:r w:rsidRPr="00E168A1">
        <w:rPr>
          <w:rFonts w:ascii="Times New Roman" w:eastAsia="Times New Roman" w:hAnsi="Times New Roman"/>
        </w:rPr>
        <w:t>websites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competent</w:t>
      </w:r>
      <w:r w:rsidR="00900061" w:rsidRPr="00E168A1">
        <w:rPr>
          <w:rFonts w:ascii="Times New Roman" w:eastAsia="Times New Roman" w:hAnsi="Times New Roman"/>
        </w:rPr>
        <w:t xml:space="preserve"> </w:t>
      </w:r>
      <w:r w:rsidRPr="00E168A1">
        <w:rPr>
          <w:rFonts w:ascii="Times New Roman" w:eastAsia="Times New Roman" w:hAnsi="Times New Roman"/>
        </w:rPr>
        <w:t>bodies.</w:t>
      </w:r>
      <w:r w:rsidR="00900061" w:rsidRPr="00E168A1">
        <w:rPr>
          <w:rFonts w:ascii="Times New Roman" w:eastAsia="Times New Roman" w:hAnsi="Times New Roman"/>
        </w:rPr>
        <w:t xml:space="preserve"> </w:t>
      </w:r>
      <w:r w:rsidRPr="00E168A1">
        <w:rPr>
          <w:rFonts w:ascii="Times New Roman" w:eastAsia="Times New Roman" w:hAnsi="Times New Roman"/>
        </w:rPr>
        <w:t>Only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(potential)</w:t>
      </w:r>
      <w:r w:rsidR="00900061" w:rsidRPr="00E168A1">
        <w:rPr>
          <w:rFonts w:ascii="Times New Roman" w:eastAsia="Times New Roman" w:hAnsi="Times New Roman"/>
        </w:rPr>
        <w:t xml:space="preserve"> </w:t>
      </w:r>
      <w:r w:rsidRPr="00E168A1">
        <w:rPr>
          <w:rFonts w:ascii="Times New Roman" w:eastAsia="Times New Roman" w:hAnsi="Times New Roman"/>
        </w:rPr>
        <w:t>winner</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Pr="00E168A1">
        <w:rPr>
          <w:rFonts w:ascii="Times New Roman" w:eastAsia="Times New Roman" w:hAnsi="Times New Roman"/>
        </w:rPr>
        <w:t>will</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supply</w:t>
      </w:r>
      <w:r w:rsidR="00900061" w:rsidRPr="00E168A1">
        <w:rPr>
          <w:rFonts w:ascii="Times New Roman" w:eastAsia="Times New Roman" w:hAnsi="Times New Roman"/>
        </w:rPr>
        <w:t xml:space="preserve"> </w:t>
      </w:r>
      <w:r w:rsidRPr="00E168A1">
        <w:rPr>
          <w:rFonts w:ascii="Times New Roman" w:eastAsia="Times New Roman" w:hAnsi="Times New Roman"/>
        </w:rPr>
        <w:t>original</w:t>
      </w:r>
      <w:r w:rsidR="00900061" w:rsidRPr="00E168A1">
        <w:rPr>
          <w:rFonts w:ascii="Times New Roman" w:eastAsia="Times New Roman" w:hAnsi="Times New Roman"/>
        </w:rPr>
        <w:t xml:space="preserve"> </w:t>
      </w:r>
      <w:r w:rsidRPr="00E168A1">
        <w:rPr>
          <w:rFonts w:ascii="Times New Roman" w:eastAsia="Times New Roman" w:hAnsi="Times New Roman"/>
        </w:rPr>
        <w:t>documents,</w:t>
      </w:r>
      <w:r w:rsidR="00900061" w:rsidRPr="00E168A1">
        <w:rPr>
          <w:rFonts w:ascii="Times New Roman" w:eastAsia="Times New Roman" w:hAnsi="Times New Roman"/>
        </w:rPr>
        <w:t xml:space="preserve"> </w:t>
      </w:r>
      <w:r w:rsidRPr="00E168A1">
        <w:rPr>
          <w:rFonts w:ascii="Times New Roman" w:eastAsia="Times New Roman" w:hAnsi="Times New Roman"/>
        </w:rPr>
        <w:t>if</w:t>
      </w:r>
      <w:r w:rsidR="00900061" w:rsidRPr="00E168A1">
        <w:rPr>
          <w:rFonts w:ascii="Times New Roman" w:eastAsia="Times New Roman" w:hAnsi="Times New Roman"/>
        </w:rPr>
        <w:t xml:space="preserve"> </w:t>
      </w:r>
      <w:r w:rsidRPr="00E168A1">
        <w:rPr>
          <w:rFonts w:ascii="Times New Roman" w:eastAsia="Times New Roman" w:hAnsi="Times New Roman"/>
        </w:rPr>
        <w:t>requested</w:t>
      </w:r>
      <w:r w:rsidR="00900061" w:rsidRPr="00E168A1">
        <w:rPr>
          <w:rFonts w:ascii="Times New Roman" w:eastAsia="Times New Roman" w:hAnsi="Times New Roman"/>
        </w:rPr>
        <w:t xml:space="preserve"> </w:t>
      </w:r>
      <w:r w:rsidRPr="00E168A1">
        <w:rPr>
          <w:rFonts w:ascii="Times New Roman" w:eastAsia="Times New Roman" w:hAnsi="Times New Roman"/>
        </w:rPr>
        <w:t>by</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authority.</w:t>
      </w:r>
      <w:r w:rsidR="00900061" w:rsidRPr="00E168A1">
        <w:rPr>
          <w:rFonts w:ascii="Times New Roman" w:eastAsia="Times New Roman" w:hAnsi="Times New Roman"/>
        </w:rPr>
        <w:t xml:space="preserve"> </w:t>
      </w:r>
    </w:p>
    <w:p w14:paraId="469A0FDE" w14:textId="1C862D13" w:rsidR="00A17E70" w:rsidRPr="00E168A1" w:rsidRDefault="00B03657" w:rsidP="00EF0C6E">
      <w:pPr>
        <w:pStyle w:val="ListParagraph"/>
        <w:numPr>
          <w:ilvl w:val="0"/>
          <w:numId w:val="21"/>
        </w:numPr>
        <w:ind w:left="0" w:firstLine="0"/>
        <w:contextualSpacing w:val="0"/>
        <w:rPr>
          <w:rFonts w:ascii="Times New Roman" w:eastAsia="Times New Roman" w:hAnsi="Times New Roman"/>
        </w:rPr>
      </w:pPr>
      <w:r w:rsidRPr="00E168A1">
        <w:rPr>
          <w:rFonts w:ascii="Times New Roman" w:eastAsia="Times New Roman" w:hAnsi="Times New Roman"/>
          <w:b/>
        </w:rPr>
        <w:t>Expanded</w:t>
      </w:r>
      <w:r w:rsidR="00900061" w:rsidRPr="00E168A1">
        <w:rPr>
          <w:rFonts w:ascii="Times New Roman" w:eastAsia="Times New Roman" w:hAnsi="Times New Roman"/>
          <w:b/>
        </w:rPr>
        <w:t xml:space="preserve"> </w:t>
      </w:r>
      <w:r w:rsidRPr="00E168A1">
        <w:rPr>
          <w:rFonts w:ascii="Times New Roman" w:eastAsia="Times New Roman" w:hAnsi="Times New Roman"/>
          <w:b/>
        </w:rPr>
        <w:t>control</w:t>
      </w:r>
      <w:r w:rsidR="00900061" w:rsidRPr="00E168A1">
        <w:rPr>
          <w:rFonts w:ascii="Times New Roman" w:eastAsia="Times New Roman" w:hAnsi="Times New Roman"/>
          <w:b/>
        </w:rPr>
        <w:t xml:space="preserve"> </w:t>
      </w:r>
      <w:r w:rsidRPr="00E168A1">
        <w:rPr>
          <w:rFonts w:ascii="Times New Roman" w:eastAsia="Times New Roman" w:hAnsi="Times New Roman"/>
          <w:b/>
        </w:rPr>
        <w:t>functions</w:t>
      </w:r>
      <w:r w:rsidR="00900061" w:rsidRPr="00E168A1">
        <w:rPr>
          <w:rFonts w:ascii="Times New Roman" w:eastAsia="Times New Roman" w:hAnsi="Times New Roman"/>
          <w:b/>
        </w:rPr>
        <w:t xml:space="preserve"> </w:t>
      </w:r>
      <w:r w:rsidRPr="00E168A1">
        <w:rPr>
          <w:rFonts w:ascii="Times New Roman" w:eastAsia="Times New Roman" w:hAnsi="Times New Roman"/>
          <w:b/>
        </w:rPr>
        <w:t>for</w:t>
      </w:r>
      <w:r w:rsidR="00900061" w:rsidRPr="00E168A1">
        <w:rPr>
          <w:rFonts w:ascii="Times New Roman" w:eastAsia="Times New Roman" w:hAnsi="Times New Roman"/>
          <w:b/>
        </w:rPr>
        <w:t xml:space="preserve"> </w:t>
      </w:r>
      <w:r w:rsidRPr="00E168A1">
        <w:rPr>
          <w:rFonts w:ascii="Times New Roman" w:eastAsia="Times New Roman" w:hAnsi="Times New Roman"/>
          <w:b/>
        </w:rPr>
        <w:t>the</w:t>
      </w:r>
      <w:r w:rsidR="00900061" w:rsidRPr="00E168A1">
        <w:rPr>
          <w:rFonts w:ascii="Times New Roman" w:eastAsia="Times New Roman" w:hAnsi="Times New Roman"/>
          <w:b/>
        </w:rPr>
        <w:t xml:space="preserve"> </w:t>
      </w:r>
      <w:r w:rsidR="005F3BAA" w:rsidRPr="00E168A1">
        <w:rPr>
          <w:rFonts w:ascii="Times New Roman" w:eastAsia="Times New Roman" w:hAnsi="Times New Roman"/>
          <w:b/>
        </w:rPr>
        <w:t>PPO</w:t>
      </w:r>
      <w:r w:rsidRPr="00E168A1">
        <w:rPr>
          <w:rFonts w:ascii="Times New Roman" w:eastAsia="Times New Roman" w:hAnsi="Times New Roman"/>
          <w:b/>
        </w:rPr>
        <w:t>.</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PPO</w:t>
      </w:r>
      <w:r w:rsidR="00900061" w:rsidRPr="00E168A1">
        <w:rPr>
          <w:rFonts w:ascii="Times New Roman" w:eastAsia="Times New Roman" w:hAnsi="Times New Roman"/>
        </w:rPr>
        <w:t xml:space="preserve"> </w:t>
      </w:r>
      <w:r w:rsidRPr="00E168A1">
        <w:rPr>
          <w:rFonts w:ascii="Times New Roman" w:eastAsia="Times New Roman" w:hAnsi="Times New Roman"/>
        </w:rPr>
        <w:t>is</w:t>
      </w:r>
      <w:r w:rsidR="00900061" w:rsidRPr="00E168A1">
        <w:rPr>
          <w:rFonts w:ascii="Times New Roman" w:eastAsia="Times New Roman" w:hAnsi="Times New Roman"/>
        </w:rPr>
        <w:t xml:space="preserve"> </w:t>
      </w:r>
      <w:r w:rsidRPr="00E168A1">
        <w:rPr>
          <w:rFonts w:ascii="Times New Roman" w:eastAsia="Times New Roman" w:hAnsi="Times New Roman"/>
        </w:rPr>
        <w:t>now</w:t>
      </w:r>
      <w:r w:rsidR="00900061" w:rsidRPr="00E168A1">
        <w:rPr>
          <w:rFonts w:ascii="Times New Roman" w:eastAsia="Times New Roman" w:hAnsi="Times New Roman"/>
        </w:rPr>
        <w:t xml:space="preserve"> </w:t>
      </w:r>
      <w:r w:rsidRPr="00E168A1">
        <w:rPr>
          <w:rFonts w:ascii="Times New Roman" w:eastAsia="Times New Roman" w:hAnsi="Times New Roman"/>
        </w:rPr>
        <w:t>required</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give</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prior</w:t>
      </w:r>
      <w:r w:rsidR="00900061" w:rsidRPr="00E168A1">
        <w:rPr>
          <w:rFonts w:ascii="Times New Roman" w:eastAsia="Times New Roman" w:hAnsi="Times New Roman"/>
        </w:rPr>
        <w:t xml:space="preserve"> </w:t>
      </w:r>
      <w:r w:rsidRPr="00E168A1">
        <w:rPr>
          <w:rFonts w:ascii="Times New Roman" w:eastAsia="Times New Roman" w:hAnsi="Times New Roman"/>
        </w:rPr>
        <w:t>approval</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noncompetitive</w:t>
      </w:r>
      <w:r w:rsidR="00900061" w:rsidRPr="00E168A1">
        <w:rPr>
          <w:rFonts w:ascii="Times New Roman" w:eastAsia="Times New Roman" w:hAnsi="Times New Roman"/>
        </w:rPr>
        <w:t xml:space="preserve"> </w:t>
      </w:r>
      <w:r w:rsidRPr="00E168A1">
        <w:rPr>
          <w:rFonts w:ascii="Times New Roman" w:eastAsia="Times New Roman" w:hAnsi="Times New Roman"/>
        </w:rPr>
        <w:t>procedures</w:t>
      </w:r>
      <w:r w:rsidR="00900061" w:rsidRPr="00E168A1">
        <w:rPr>
          <w:rFonts w:ascii="Times New Roman" w:eastAsia="Times New Roman" w:hAnsi="Times New Roman"/>
        </w:rPr>
        <w:t xml:space="preserve"> </w:t>
      </w:r>
      <w:r w:rsidRPr="00E168A1">
        <w:rPr>
          <w:rFonts w:ascii="Times New Roman" w:eastAsia="Times New Roman" w:hAnsi="Times New Roman"/>
        </w:rPr>
        <w:t>(negotiated</w:t>
      </w:r>
      <w:r w:rsidR="00900061" w:rsidRPr="00E168A1">
        <w:rPr>
          <w:rFonts w:ascii="Times New Roman" w:eastAsia="Times New Roman" w:hAnsi="Times New Roman"/>
        </w:rPr>
        <w:t xml:space="preserve"> </w:t>
      </w:r>
      <w:r w:rsidRPr="00E168A1">
        <w:rPr>
          <w:rFonts w:ascii="Times New Roman" w:eastAsia="Times New Roman" w:hAnsi="Times New Roman"/>
        </w:rPr>
        <w:t>procedure</w:t>
      </w:r>
      <w:r w:rsidR="00900061" w:rsidRPr="00E168A1">
        <w:rPr>
          <w:rFonts w:ascii="Times New Roman" w:eastAsia="Times New Roman" w:hAnsi="Times New Roman"/>
        </w:rPr>
        <w:t xml:space="preserve"> </w:t>
      </w:r>
      <w:r w:rsidR="00424D51" w:rsidRPr="00E168A1">
        <w:rPr>
          <w:rFonts w:ascii="Times New Roman" w:eastAsia="Times New Roman" w:hAnsi="Times New Roman"/>
        </w:rPr>
        <w:t>without</w:t>
      </w:r>
      <w:r w:rsidR="00900061" w:rsidRPr="00E168A1">
        <w:rPr>
          <w:rFonts w:ascii="Times New Roman" w:eastAsia="Times New Roman" w:hAnsi="Times New Roman"/>
        </w:rPr>
        <w:t xml:space="preserve"> </w:t>
      </w:r>
      <w:r w:rsidR="00D9693E" w:rsidRPr="00E168A1">
        <w:rPr>
          <w:rFonts w:ascii="Times New Roman" w:eastAsia="Times New Roman" w:hAnsi="Times New Roman"/>
        </w:rPr>
        <w:t>invitation</w:t>
      </w:r>
      <w:r w:rsidRPr="00E168A1">
        <w:rPr>
          <w:rFonts w:ascii="Times New Roman" w:eastAsia="Times New Roman" w:hAnsi="Times New Roman"/>
        </w:rPr>
        <w:t>,</w:t>
      </w:r>
      <w:r w:rsidR="00900061" w:rsidRPr="00E168A1">
        <w:rPr>
          <w:rFonts w:ascii="Times New Roman" w:eastAsia="Times New Roman" w:hAnsi="Times New Roman"/>
        </w:rPr>
        <w:t xml:space="preserve"> </w:t>
      </w:r>
      <w:r w:rsidRPr="00E168A1">
        <w:rPr>
          <w:rFonts w:ascii="Times New Roman" w:eastAsia="Times New Roman" w:hAnsi="Times New Roman"/>
        </w:rPr>
        <w:t>competitive</w:t>
      </w:r>
      <w:r w:rsidR="00900061" w:rsidRPr="00E168A1">
        <w:rPr>
          <w:rFonts w:ascii="Times New Roman" w:eastAsia="Times New Roman" w:hAnsi="Times New Roman"/>
        </w:rPr>
        <w:t xml:space="preserve"> </w:t>
      </w:r>
      <w:r w:rsidRPr="00E168A1">
        <w:rPr>
          <w:rFonts w:ascii="Times New Roman" w:eastAsia="Times New Roman" w:hAnsi="Times New Roman"/>
        </w:rPr>
        <w:t>dialogue)</w:t>
      </w:r>
      <w:r w:rsidR="00900061" w:rsidRPr="00E168A1">
        <w:rPr>
          <w:rFonts w:ascii="Times New Roman" w:eastAsia="Times New Roman" w:hAnsi="Times New Roman"/>
        </w:rPr>
        <w:t xml:space="preserve"> </w:t>
      </w:r>
      <w:r w:rsidRPr="00E168A1">
        <w:rPr>
          <w:rFonts w:ascii="Times New Roman" w:eastAsia="Times New Roman" w:hAnsi="Times New Roman"/>
        </w:rPr>
        <w:t>and</w:t>
      </w:r>
      <w:r w:rsidR="00900061" w:rsidRPr="00E168A1">
        <w:rPr>
          <w:rFonts w:ascii="Times New Roman" w:eastAsia="Times New Roman" w:hAnsi="Times New Roman"/>
        </w:rPr>
        <w:t xml:space="preserve"> </w:t>
      </w:r>
      <w:r w:rsidRPr="00E168A1">
        <w:rPr>
          <w:rFonts w:ascii="Times New Roman" w:eastAsia="Times New Roman" w:hAnsi="Times New Roman"/>
        </w:rPr>
        <w:t>certain</w:t>
      </w:r>
      <w:r w:rsidR="00900061" w:rsidRPr="00E168A1">
        <w:rPr>
          <w:rFonts w:ascii="Times New Roman" w:eastAsia="Times New Roman" w:hAnsi="Times New Roman"/>
        </w:rPr>
        <w:t xml:space="preserve"> </w:t>
      </w:r>
      <w:r w:rsidRPr="00E168A1">
        <w:rPr>
          <w:rFonts w:ascii="Times New Roman" w:eastAsia="Times New Roman" w:hAnsi="Times New Roman"/>
        </w:rPr>
        <w:t>decisions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contracting</w:t>
      </w:r>
      <w:r w:rsidR="00900061" w:rsidRPr="00E168A1">
        <w:rPr>
          <w:rFonts w:ascii="Times New Roman" w:eastAsia="Times New Roman" w:hAnsi="Times New Roman"/>
        </w:rPr>
        <w:t xml:space="preserve"> </w:t>
      </w:r>
      <w:r w:rsidRPr="00E168A1">
        <w:rPr>
          <w:rFonts w:ascii="Times New Roman" w:eastAsia="Times New Roman" w:hAnsi="Times New Roman"/>
        </w:rPr>
        <w:t>authorities.</w:t>
      </w:r>
    </w:p>
    <w:p w14:paraId="1F5F8919" w14:textId="142A2CB6" w:rsidR="00A17E70" w:rsidRPr="00E168A1" w:rsidRDefault="00B03657" w:rsidP="00EF0C6E">
      <w:pPr>
        <w:pStyle w:val="ListParagraph"/>
        <w:numPr>
          <w:ilvl w:val="0"/>
          <w:numId w:val="21"/>
        </w:numPr>
        <w:ind w:left="0" w:firstLine="0"/>
        <w:contextualSpacing w:val="0"/>
        <w:rPr>
          <w:rFonts w:ascii="Times New Roman" w:hAnsi="Times New Roman"/>
        </w:rPr>
      </w:pPr>
      <w:r w:rsidRPr="00E168A1">
        <w:rPr>
          <w:rFonts w:ascii="Times New Roman" w:eastAsia="Times New Roman" w:hAnsi="Times New Roman"/>
          <w:b/>
        </w:rPr>
        <w:t>Monitoring</w:t>
      </w:r>
      <w:r w:rsidR="00900061" w:rsidRPr="00E168A1">
        <w:rPr>
          <w:rFonts w:ascii="Times New Roman" w:eastAsia="Times New Roman" w:hAnsi="Times New Roman"/>
          <w:b/>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public</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for</w:t>
      </w:r>
      <w:r w:rsidR="00900061" w:rsidRPr="00E168A1">
        <w:rPr>
          <w:rFonts w:ascii="Times New Roman" w:eastAsia="Times New Roman" w:hAnsi="Times New Roman"/>
          <w:b/>
        </w:rPr>
        <w:t xml:space="preserve"> </w:t>
      </w:r>
      <w:r w:rsidRPr="00E168A1">
        <w:rPr>
          <w:rFonts w:ascii="Times New Roman" w:eastAsia="Times New Roman" w:hAnsi="Times New Roman"/>
          <w:b/>
        </w:rPr>
        <w:t>larger</w:t>
      </w:r>
      <w:r w:rsidR="00900061" w:rsidRPr="00E168A1">
        <w:rPr>
          <w:rFonts w:ascii="Times New Roman" w:eastAsia="Times New Roman" w:hAnsi="Times New Roman"/>
          <w:b/>
        </w:rPr>
        <w:t xml:space="preserve"> </w:t>
      </w:r>
      <w:r w:rsidRPr="00E168A1">
        <w:rPr>
          <w:rFonts w:ascii="Times New Roman" w:eastAsia="Times New Roman" w:hAnsi="Times New Roman"/>
          <w:b/>
        </w:rPr>
        <w:t>contracts</w:t>
      </w:r>
      <w:r w:rsidR="00900061" w:rsidRPr="00E168A1">
        <w:rPr>
          <w:rFonts w:ascii="Times New Roman" w:eastAsia="Times New Roman" w:hAnsi="Times New Roman"/>
          <w:b/>
        </w:rPr>
        <w:t xml:space="preserve"> </w:t>
      </w:r>
      <w:r w:rsidRPr="00E168A1">
        <w:rPr>
          <w:rFonts w:ascii="Times New Roman" w:eastAsia="Times New Roman" w:hAnsi="Times New Roman"/>
          <w:b/>
        </w:rPr>
        <w:t>(over</w:t>
      </w:r>
      <w:r w:rsidR="00900061" w:rsidRPr="00E168A1">
        <w:rPr>
          <w:rFonts w:ascii="Times New Roman" w:eastAsia="Times New Roman" w:hAnsi="Times New Roman"/>
          <w:b/>
        </w:rPr>
        <w:t xml:space="preserve"> </w:t>
      </w:r>
      <w:r w:rsidRPr="00E168A1">
        <w:rPr>
          <w:rFonts w:ascii="Times New Roman" w:eastAsia="Times New Roman" w:hAnsi="Times New Roman"/>
          <w:b/>
        </w:rPr>
        <w:t>RSD</w:t>
      </w:r>
      <w:r w:rsidR="00900061" w:rsidRPr="00E168A1">
        <w:rPr>
          <w:rFonts w:ascii="Times New Roman" w:eastAsia="Times New Roman" w:hAnsi="Times New Roman"/>
          <w:b/>
        </w:rPr>
        <w:t xml:space="preserve"> </w:t>
      </w:r>
      <w:r w:rsidRPr="00E168A1">
        <w:rPr>
          <w:rFonts w:ascii="Times New Roman" w:eastAsia="Times New Roman" w:hAnsi="Times New Roman"/>
          <w:b/>
        </w:rPr>
        <w:t>1</w:t>
      </w:r>
      <w:r w:rsidR="00900061" w:rsidRPr="00E168A1">
        <w:rPr>
          <w:rFonts w:ascii="Times New Roman" w:eastAsia="Times New Roman" w:hAnsi="Times New Roman"/>
          <w:b/>
        </w:rPr>
        <w:t xml:space="preserve"> </w:t>
      </w:r>
      <w:r w:rsidRPr="00E168A1">
        <w:rPr>
          <w:rFonts w:ascii="Times New Roman" w:eastAsia="Times New Roman" w:hAnsi="Times New Roman"/>
          <w:b/>
        </w:rPr>
        <w:t>billion,</w:t>
      </w:r>
      <w:r w:rsidR="00900061" w:rsidRPr="00E168A1">
        <w:rPr>
          <w:rFonts w:ascii="Times New Roman" w:eastAsia="Times New Roman" w:hAnsi="Times New Roman"/>
          <w:b/>
        </w:rPr>
        <w:t xml:space="preserve"> </w:t>
      </w:r>
      <w:r w:rsidR="00B71C7F" w:rsidRPr="00E168A1">
        <w:rPr>
          <w:rFonts w:ascii="Times New Roman" w:hAnsi="Times New Roman"/>
          <w:b/>
        </w:rPr>
        <w:t>that is,</w:t>
      </w:r>
      <w:r w:rsidR="00900061" w:rsidRPr="00E168A1">
        <w:rPr>
          <w:rFonts w:ascii="Times New Roman" w:eastAsia="Times New Roman" w:hAnsi="Times New Roman"/>
          <w:b/>
        </w:rPr>
        <w:t xml:space="preserve"> </w:t>
      </w:r>
      <w:r w:rsidR="00D330EF" w:rsidRPr="00E168A1">
        <w:rPr>
          <w:rFonts w:ascii="Times New Roman" w:eastAsia="Times New Roman" w:hAnsi="Times New Roman"/>
          <w:b/>
        </w:rPr>
        <w:t>approximately</w:t>
      </w:r>
      <w:r w:rsidR="00900061" w:rsidRPr="00E168A1">
        <w:rPr>
          <w:rFonts w:ascii="Times New Roman" w:eastAsia="Times New Roman" w:hAnsi="Times New Roman"/>
          <w:b/>
        </w:rPr>
        <w:t xml:space="preserve"> </w:t>
      </w:r>
      <w:r w:rsidR="00B71C7F" w:rsidRPr="00E168A1">
        <w:rPr>
          <w:rFonts w:ascii="Times New Roman" w:eastAsia="Times New Roman" w:hAnsi="Times New Roman"/>
          <w:b/>
        </w:rPr>
        <w:t>€</w:t>
      </w:r>
      <w:r w:rsidRPr="00E168A1">
        <w:rPr>
          <w:rFonts w:ascii="Times New Roman" w:hAnsi="Times New Roman"/>
          <w:b/>
        </w:rPr>
        <w:t>8,950,000</w:t>
      </w:r>
      <w:r w:rsidRPr="00E168A1">
        <w:rPr>
          <w:rFonts w:ascii="Times New Roman" w:eastAsia="Times New Roman" w:hAnsi="Times New Roman"/>
          <w:b/>
        </w:rPr>
        <w:t>)</w:t>
      </w:r>
      <w:r w:rsidR="00900061" w:rsidRPr="00E168A1">
        <w:rPr>
          <w:rFonts w:ascii="Times New Roman" w:eastAsia="Times New Roman" w:hAnsi="Times New Roman"/>
          <w:b/>
        </w:rPr>
        <w:t xml:space="preserve"> </w:t>
      </w:r>
      <w:r w:rsidRPr="00E168A1">
        <w:rPr>
          <w:rFonts w:ascii="Times New Roman" w:eastAsia="Times New Roman" w:hAnsi="Times New Roman"/>
          <w:b/>
        </w:rPr>
        <w:t>by</w:t>
      </w:r>
      <w:r w:rsidR="00900061" w:rsidRPr="00E168A1">
        <w:rPr>
          <w:rFonts w:ascii="Times New Roman" w:eastAsia="Times New Roman" w:hAnsi="Times New Roman"/>
          <w:b/>
        </w:rPr>
        <w:t xml:space="preserve"> </w:t>
      </w:r>
      <w:r w:rsidRPr="00E168A1">
        <w:rPr>
          <w:rFonts w:ascii="Times New Roman" w:eastAsia="Times New Roman" w:hAnsi="Times New Roman"/>
          <w:b/>
        </w:rPr>
        <w:t>civil</w:t>
      </w:r>
      <w:r w:rsidR="00900061" w:rsidRPr="00E168A1">
        <w:rPr>
          <w:rFonts w:ascii="Times New Roman" w:eastAsia="Times New Roman" w:hAnsi="Times New Roman"/>
          <w:b/>
        </w:rPr>
        <w:t xml:space="preserve"> </w:t>
      </w:r>
      <w:r w:rsidRPr="00E168A1">
        <w:rPr>
          <w:rFonts w:ascii="Times New Roman" w:eastAsia="Times New Roman" w:hAnsi="Times New Roman"/>
          <w:b/>
        </w:rPr>
        <w:t>supervisors.</w:t>
      </w:r>
      <w:r w:rsidR="00900061" w:rsidRPr="00E168A1">
        <w:rPr>
          <w:rFonts w:ascii="Times New Roman" w:eastAsia="Times New Roman" w:hAnsi="Times New Roman"/>
          <w:b/>
        </w:rPr>
        <w:t xml:space="preserve"> </w:t>
      </w:r>
      <w:r w:rsidRPr="00E168A1">
        <w:rPr>
          <w:rFonts w:ascii="Times New Roman" w:eastAsia="Times New Roman" w:hAnsi="Times New Roman"/>
        </w:rPr>
        <w:t>These</w:t>
      </w:r>
      <w:r w:rsidR="00900061" w:rsidRPr="00E168A1">
        <w:rPr>
          <w:rFonts w:ascii="Times New Roman" w:eastAsia="Times New Roman" w:hAnsi="Times New Roman"/>
        </w:rPr>
        <w:t xml:space="preserve"> </w:t>
      </w:r>
      <w:r w:rsidRPr="00E168A1">
        <w:rPr>
          <w:rFonts w:ascii="Times New Roman" w:eastAsia="Times New Roman" w:hAnsi="Times New Roman"/>
        </w:rPr>
        <w:t>supervisors</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either</w:t>
      </w:r>
      <w:r w:rsidR="00900061" w:rsidRPr="00E168A1">
        <w:rPr>
          <w:rFonts w:ascii="Times New Roman" w:hAnsi="Times New Roman"/>
        </w:rPr>
        <w:t xml:space="preserve"> </w:t>
      </w:r>
      <w:r w:rsidRPr="00E168A1">
        <w:rPr>
          <w:rFonts w:ascii="Times New Roman" w:hAnsi="Times New Roman"/>
        </w:rPr>
        <w:t>experts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domain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00D81C6F" w:rsidRPr="00E168A1">
        <w:rPr>
          <w:rFonts w:ascii="Times New Roman" w:hAnsi="Times New Roman"/>
        </w:rPr>
        <w:t xml:space="preserve">in </w:t>
      </w:r>
      <w:r w:rsidRPr="00E168A1">
        <w:rPr>
          <w:rFonts w:ascii="Times New Roman" w:hAnsi="Times New Roman"/>
        </w:rPr>
        <w:t>associations</w:t>
      </w:r>
      <w:r w:rsidR="00900061" w:rsidRPr="00E168A1">
        <w:rPr>
          <w:rFonts w:ascii="Times New Roman" w:hAnsi="Times New Roman"/>
        </w:rPr>
        <w:t xml:space="preserve"> </w:t>
      </w:r>
      <w:r w:rsidRPr="00E168A1">
        <w:rPr>
          <w:rFonts w:ascii="Times New Roman" w:hAnsi="Times New Roman"/>
        </w:rPr>
        <w:t>dealing</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prevention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corruption</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conflicts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interests.</w:t>
      </w:r>
      <w:r w:rsidR="00900061" w:rsidRPr="00E168A1">
        <w:rPr>
          <w:rFonts w:ascii="Times New Roman" w:hAnsi="Times New Roman"/>
        </w:rPr>
        <w:t xml:space="preserve"> </w:t>
      </w:r>
    </w:p>
    <w:p w14:paraId="2F1B4891" w14:textId="47334F0A" w:rsidR="00A17E70" w:rsidRPr="00E168A1" w:rsidRDefault="00B03657" w:rsidP="00EF0C6E">
      <w:pPr>
        <w:pStyle w:val="ListParagraph"/>
        <w:numPr>
          <w:ilvl w:val="0"/>
          <w:numId w:val="21"/>
        </w:numPr>
        <w:ind w:left="0" w:firstLine="0"/>
        <w:contextualSpacing w:val="0"/>
        <w:rPr>
          <w:rFonts w:ascii="Times New Roman" w:eastAsia="Times New Roman" w:hAnsi="Times New Roman"/>
        </w:rPr>
      </w:pPr>
      <w:r w:rsidRPr="00E168A1">
        <w:rPr>
          <w:rFonts w:ascii="Times New Roman" w:eastAsia="Times New Roman" w:hAnsi="Times New Roman"/>
          <w:b/>
        </w:rPr>
        <w:t>Sanctions</w:t>
      </w:r>
      <w:r w:rsidR="00900061" w:rsidRPr="00E168A1">
        <w:rPr>
          <w:rFonts w:ascii="Times New Roman" w:eastAsia="Times New Roman" w:hAnsi="Times New Roman"/>
          <w:b/>
        </w:rPr>
        <w:t xml:space="preserve"> </w:t>
      </w:r>
      <w:r w:rsidRPr="00E168A1">
        <w:rPr>
          <w:rFonts w:ascii="Times New Roman" w:eastAsia="Times New Roman" w:hAnsi="Times New Roman"/>
          <w:b/>
        </w:rPr>
        <w:t>for</w:t>
      </w:r>
      <w:r w:rsidR="00900061" w:rsidRPr="00E168A1">
        <w:rPr>
          <w:rFonts w:ascii="Times New Roman" w:eastAsia="Times New Roman" w:hAnsi="Times New Roman"/>
          <w:b/>
        </w:rPr>
        <w:t xml:space="preserve"> </w:t>
      </w:r>
      <w:r w:rsidRPr="00E168A1">
        <w:rPr>
          <w:rFonts w:ascii="Times New Roman" w:eastAsia="Times New Roman" w:hAnsi="Times New Roman"/>
          <w:b/>
        </w:rPr>
        <w:t>noncompliance</w:t>
      </w:r>
      <w:r w:rsidR="00900061" w:rsidRPr="00E168A1">
        <w:rPr>
          <w:rFonts w:ascii="Times New Roman" w:eastAsia="Times New Roman" w:hAnsi="Times New Roman"/>
        </w:rPr>
        <w:t xml:space="preserve"> </w:t>
      </w:r>
      <w:r w:rsidRPr="00E168A1">
        <w:rPr>
          <w:rFonts w:ascii="Times New Roman" w:eastAsia="Times New Roman" w:hAnsi="Times New Roman"/>
          <w:b/>
        </w:rPr>
        <w:t>of</w:t>
      </w:r>
      <w:r w:rsidR="00900061" w:rsidRPr="00E168A1">
        <w:rPr>
          <w:rFonts w:ascii="Times New Roman" w:eastAsia="Times New Roman" w:hAnsi="Times New Roman"/>
          <w:b/>
        </w:rPr>
        <w:t xml:space="preserve"> </w:t>
      </w:r>
      <w:r w:rsidRPr="00E168A1">
        <w:rPr>
          <w:rFonts w:ascii="Times New Roman" w:eastAsia="Times New Roman" w:hAnsi="Times New Roman"/>
          <w:b/>
        </w:rPr>
        <w:t>contracting</w:t>
      </w:r>
      <w:r w:rsidR="00900061" w:rsidRPr="00E168A1">
        <w:rPr>
          <w:rFonts w:ascii="Times New Roman" w:eastAsia="Times New Roman" w:hAnsi="Times New Roman"/>
          <w:b/>
        </w:rPr>
        <w:t xml:space="preserve"> </w:t>
      </w:r>
      <w:r w:rsidRPr="00E168A1">
        <w:rPr>
          <w:rFonts w:ascii="Times New Roman" w:eastAsia="Times New Roman" w:hAnsi="Times New Roman"/>
          <w:b/>
        </w:rPr>
        <w:t>authorities,</w:t>
      </w:r>
      <w:r w:rsidR="00900061" w:rsidRPr="00E168A1">
        <w:rPr>
          <w:rFonts w:ascii="Times New Roman" w:eastAsia="Times New Roman" w:hAnsi="Times New Roman"/>
          <w:b/>
        </w:rPr>
        <w:t xml:space="preserve"> </w:t>
      </w:r>
      <w:r w:rsidRPr="00E168A1">
        <w:rPr>
          <w:rFonts w:ascii="Times New Roman" w:eastAsia="Times New Roman" w:hAnsi="Times New Roman"/>
          <w:b/>
        </w:rPr>
        <w:t>procurement</w:t>
      </w:r>
      <w:r w:rsidR="00900061" w:rsidRPr="00E168A1">
        <w:rPr>
          <w:rFonts w:ascii="Times New Roman" w:eastAsia="Times New Roman" w:hAnsi="Times New Roman"/>
          <w:b/>
        </w:rPr>
        <w:t xml:space="preserve"> </w:t>
      </w:r>
      <w:r w:rsidRPr="00E168A1">
        <w:rPr>
          <w:rFonts w:ascii="Times New Roman" w:eastAsia="Times New Roman" w:hAnsi="Times New Roman"/>
          <w:b/>
        </w:rPr>
        <w:t>officers</w:t>
      </w:r>
      <w:r w:rsidR="00D81C6F" w:rsidRPr="00E168A1">
        <w:rPr>
          <w:rFonts w:ascii="Times New Roman" w:eastAsia="Times New Roman" w:hAnsi="Times New Roman"/>
          <w:b/>
        </w:rPr>
        <w:t>,</w:t>
      </w:r>
      <w:r w:rsidR="00900061" w:rsidRPr="00E168A1">
        <w:rPr>
          <w:rFonts w:ascii="Times New Roman" w:eastAsia="Times New Roman" w:hAnsi="Times New Roman"/>
          <w:b/>
        </w:rPr>
        <w:t xml:space="preserve"> </w:t>
      </w:r>
      <w:r w:rsidRPr="00E168A1">
        <w:rPr>
          <w:rFonts w:ascii="Times New Roman" w:eastAsia="Times New Roman" w:hAnsi="Times New Roman"/>
          <w:b/>
        </w:rPr>
        <w:t>and</w:t>
      </w:r>
      <w:r w:rsidR="00900061" w:rsidRPr="00E168A1">
        <w:rPr>
          <w:rFonts w:ascii="Times New Roman" w:eastAsia="Times New Roman" w:hAnsi="Times New Roman"/>
          <w:b/>
        </w:rPr>
        <w:t xml:space="preserve"> </w:t>
      </w:r>
      <w:r w:rsidRPr="00E168A1">
        <w:rPr>
          <w:rFonts w:ascii="Times New Roman" w:eastAsia="Times New Roman" w:hAnsi="Times New Roman"/>
          <w:b/>
        </w:rPr>
        <w:t>bidders.</w:t>
      </w:r>
      <w:r w:rsidR="00900061" w:rsidRPr="00E168A1">
        <w:rPr>
          <w:rFonts w:ascii="Times New Roman" w:eastAsia="Times New Roman" w:hAnsi="Times New Roman"/>
          <w:b/>
        </w:rPr>
        <w:t xml:space="preserve"> </w:t>
      </w:r>
      <w:r w:rsidRPr="00E168A1">
        <w:rPr>
          <w:rFonts w:ascii="Times New Roman" w:eastAsia="Times New Roman" w:hAnsi="Times New Roman"/>
        </w:rPr>
        <w:t>“</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fined</w:t>
      </w:r>
      <w:r w:rsidR="00900061" w:rsidRPr="00E168A1">
        <w:rPr>
          <w:rFonts w:ascii="Times New Roman" w:hAnsi="Times New Roman"/>
        </w:rPr>
        <w:t xml:space="preserve"> </w:t>
      </w:r>
      <w:r w:rsidRPr="00E168A1">
        <w:rPr>
          <w:rFonts w:ascii="Times New Roman" w:hAnsi="Times New Roman"/>
        </w:rPr>
        <w:t>up</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RSD</w:t>
      </w:r>
      <w:r w:rsidR="00900061" w:rsidRPr="00E168A1">
        <w:rPr>
          <w:rFonts w:ascii="Times New Roman" w:hAnsi="Times New Roman"/>
        </w:rPr>
        <w:t xml:space="preserve"> </w:t>
      </w:r>
      <w:r w:rsidRPr="00E168A1">
        <w:rPr>
          <w:rFonts w:ascii="Times New Roman" w:hAnsi="Times New Roman"/>
        </w:rPr>
        <w:t>1,000,000</w:t>
      </w:r>
      <w:r w:rsidR="00900061" w:rsidRPr="00E168A1">
        <w:rPr>
          <w:rFonts w:ascii="Times New Roman" w:hAnsi="Times New Roman"/>
        </w:rPr>
        <w:t xml:space="preserve"> </w:t>
      </w:r>
      <w:r w:rsidRPr="00E168A1">
        <w:rPr>
          <w:rFonts w:ascii="Times New Roman" w:hAnsi="Times New Roman"/>
        </w:rPr>
        <w:t>(</w:t>
      </w:r>
      <w:r w:rsidR="00D330EF" w:rsidRPr="00E168A1">
        <w:rPr>
          <w:rFonts w:ascii="Times New Roman" w:hAnsi="Times New Roman"/>
        </w:rPr>
        <w:t>approximately</w:t>
      </w:r>
      <w:r w:rsidR="00900061" w:rsidRPr="00E168A1">
        <w:rPr>
          <w:rFonts w:ascii="Times New Roman" w:hAnsi="Times New Roman"/>
        </w:rPr>
        <w:t xml:space="preserve"> </w:t>
      </w:r>
      <w:r w:rsidR="00B71C7F" w:rsidRPr="00E168A1">
        <w:rPr>
          <w:rFonts w:ascii="Times New Roman" w:hAnsi="Times New Roman"/>
        </w:rPr>
        <w:t>€</w:t>
      </w:r>
      <w:r w:rsidRPr="00E168A1">
        <w:rPr>
          <w:rFonts w:ascii="Times New Roman" w:hAnsi="Times New Roman"/>
        </w:rPr>
        <w:t>8,950)</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breaching</w:t>
      </w:r>
      <w:r w:rsidR="00900061" w:rsidRPr="00E168A1">
        <w:rPr>
          <w:rFonts w:ascii="Times New Roman" w:hAnsi="Times New Roman"/>
        </w:rPr>
        <w:t xml:space="preserve"> </w:t>
      </w:r>
      <w:r w:rsidRPr="00E168A1">
        <w:rPr>
          <w:rFonts w:ascii="Times New Roman" w:hAnsi="Times New Roman"/>
        </w:rPr>
        <w:t>procedural</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obligations.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more</w:t>
      </w:r>
      <w:r w:rsidR="00900061" w:rsidRPr="00E168A1">
        <w:rPr>
          <w:rFonts w:ascii="Times New Roman" w:hAnsi="Times New Roman"/>
        </w:rPr>
        <w:t xml:space="preserve"> </w:t>
      </w:r>
      <w:r w:rsidRPr="00E168A1">
        <w:rPr>
          <w:rFonts w:ascii="Times New Roman" w:hAnsi="Times New Roman"/>
        </w:rPr>
        <w:t>serious</w:t>
      </w:r>
      <w:r w:rsidR="00900061" w:rsidRPr="00E168A1">
        <w:rPr>
          <w:rFonts w:ascii="Times New Roman" w:hAnsi="Times New Roman"/>
        </w:rPr>
        <w:t xml:space="preserve"> </w:t>
      </w:r>
      <w:r w:rsidRPr="00E168A1">
        <w:rPr>
          <w:rFonts w:ascii="Times New Roman" w:hAnsi="Times New Roman"/>
        </w:rPr>
        <w:t>violations,</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failure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follow</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when</w:t>
      </w:r>
      <w:r w:rsidR="00900061" w:rsidRPr="00E168A1">
        <w:rPr>
          <w:rFonts w:ascii="Times New Roman" w:hAnsi="Times New Roman"/>
        </w:rPr>
        <w:t xml:space="preserve"> </w:t>
      </w:r>
      <w:r w:rsidRPr="00E168A1">
        <w:rPr>
          <w:rFonts w:ascii="Times New Roman" w:hAnsi="Times New Roman"/>
        </w:rPr>
        <w:t>no</w:t>
      </w:r>
      <w:r w:rsidR="00900061" w:rsidRPr="00E168A1">
        <w:rPr>
          <w:rFonts w:ascii="Times New Roman" w:hAnsi="Times New Roman"/>
        </w:rPr>
        <w:t xml:space="preserve"> </w:t>
      </w:r>
      <w:r w:rsidRPr="00E168A1">
        <w:rPr>
          <w:rFonts w:ascii="Times New Roman" w:hAnsi="Times New Roman"/>
        </w:rPr>
        <w:t>exemption</w:t>
      </w:r>
      <w:r w:rsidR="00900061" w:rsidRPr="00E168A1">
        <w:rPr>
          <w:rFonts w:ascii="Times New Roman" w:hAnsi="Times New Roman"/>
        </w:rPr>
        <w:t xml:space="preserve"> </w:t>
      </w:r>
      <w:r w:rsidRPr="00E168A1">
        <w:rPr>
          <w:rFonts w:ascii="Times New Roman" w:hAnsi="Times New Roman"/>
        </w:rPr>
        <w:t>exists</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accepting</w:t>
      </w:r>
      <w:r w:rsidR="00900061" w:rsidRPr="00E168A1">
        <w:rPr>
          <w:rFonts w:ascii="Times New Roman" w:hAnsi="Times New Roman"/>
        </w:rPr>
        <w:t xml:space="preserve"> </w:t>
      </w:r>
      <w:r w:rsidRPr="00E168A1">
        <w:rPr>
          <w:rFonts w:ascii="Times New Roman" w:hAnsi="Times New Roman"/>
        </w:rPr>
        <w:t>bids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interested</w:t>
      </w:r>
      <w:r w:rsidR="00900061" w:rsidRPr="00E168A1">
        <w:rPr>
          <w:rFonts w:ascii="Times New Roman" w:hAnsi="Times New Roman"/>
        </w:rPr>
        <w:t xml:space="preserve"> </w:t>
      </w:r>
      <w:r w:rsidRPr="00E168A1">
        <w:rPr>
          <w:rFonts w:ascii="Times New Roman" w:hAnsi="Times New Roman"/>
        </w:rPr>
        <w:t>persons,</w:t>
      </w:r>
      <w:r w:rsidR="00900061" w:rsidRPr="00E168A1">
        <w:rPr>
          <w:rFonts w:ascii="Times New Roman" w:hAnsi="Times New Roman"/>
        </w:rPr>
        <w:t xml:space="preserve"> </w:t>
      </w:r>
      <w:r w:rsidRPr="00E168A1">
        <w:rPr>
          <w:rFonts w:ascii="Times New Roman" w:hAnsi="Times New Roman"/>
        </w:rPr>
        <w:t>fines</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go</w:t>
      </w:r>
      <w:r w:rsidR="00900061" w:rsidRPr="00E168A1">
        <w:rPr>
          <w:rFonts w:ascii="Times New Roman" w:hAnsi="Times New Roman"/>
        </w:rPr>
        <w:t xml:space="preserve"> </w:t>
      </w:r>
      <w:r w:rsidRPr="00E168A1">
        <w:rPr>
          <w:rFonts w:ascii="Times New Roman" w:hAnsi="Times New Roman"/>
        </w:rPr>
        <w:t>up</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RSD</w:t>
      </w:r>
      <w:r w:rsidR="00900061" w:rsidRPr="00E168A1">
        <w:rPr>
          <w:rFonts w:ascii="Times New Roman" w:hAnsi="Times New Roman"/>
        </w:rPr>
        <w:t xml:space="preserve"> </w:t>
      </w:r>
      <w:r w:rsidRPr="00E168A1">
        <w:rPr>
          <w:rFonts w:ascii="Times New Roman" w:hAnsi="Times New Roman"/>
        </w:rPr>
        <w:t>1,500,000</w:t>
      </w:r>
      <w:r w:rsidR="00900061" w:rsidRPr="00E168A1">
        <w:rPr>
          <w:rFonts w:ascii="Times New Roman" w:hAnsi="Times New Roman"/>
        </w:rPr>
        <w:t xml:space="preserve"> </w:t>
      </w:r>
      <w:r w:rsidRPr="00E168A1">
        <w:rPr>
          <w:rFonts w:ascii="Times New Roman" w:hAnsi="Times New Roman"/>
        </w:rPr>
        <w:t>(</w:t>
      </w:r>
      <w:r w:rsidR="00D330EF" w:rsidRPr="00E168A1">
        <w:rPr>
          <w:rFonts w:ascii="Times New Roman" w:hAnsi="Times New Roman"/>
        </w:rPr>
        <w:t>approximately</w:t>
      </w:r>
      <w:r w:rsidR="00900061" w:rsidRPr="00E168A1">
        <w:rPr>
          <w:rFonts w:ascii="Times New Roman" w:hAnsi="Times New Roman"/>
        </w:rPr>
        <w:t xml:space="preserve"> </w:t>
      </w:r>
      <w:r w:rsidR="00B71C7F" w:rsidRPr="00E168A1">
        <w:rPr>
          <w:rFonts w:ascii="Times New Roman" w:hAnsi="Times New Roman"/>
        </w:rPr>
        <w:t>€</w:t>
      </w:r>
      <w:r w:rsidRPr="00E168A1">
        <w:rPr>
          <w:rFonts w:ascii="Times New Roman" w:hAnsi="Times New Roman"/>
        </w:rPr>
        <w:t>13,400).</w:t>
      </w:r>
      <w:r w:rsidR="00900061" w:rsidRPr="00E168A1">
        <w:rPr>
          <w:rFonts w:ascii="Times New Roman" w:hAnsi="Times New Roman"/>
        </w:rPr>
        <w:t xml:space="preserve"> </w:t>
      </w:r>
      <w:r w:rsidRPr="00E168A1">
        <w:rPr>
          <w:rFonts w:ascii="Times New Roman" w:hAnsi="Times New Roman"/>
        </w:rPr>
        <w:t>Bidders</w:t>
      </w:r>
      <w:r w:rsidR="00900061" w:rsidRPr="00E168A1">
        <w:rPr>
          <w:rFonts w:ascii="Times New Roman" w:hAnsi="Times New Roman"/>
        </w:rPr>
        <w:t xml:space="preserve"> </w:t>
      </w:r>
      <w:r w:rsidRPr="00E168A1">
        <w:rPr>
          <w:rFonts w:ascii="Times New Roman" w:hAnsi="Times New Roman"/>
        </w:rPr>
        <w:t>who</w:t>
      </w:r>
      <w:r w:rsidR="00900061" w:rsidRPr="00E168A1">
        <w:rPr>
          <w:rFonts w:ascii="Times New Roman" w:hAnsi="Times New Roman"/>
        </w:rPr>
        <w:t xml:space="preserve"> </w:t>
      </w:r>
      <w:r w:rsidRPr="00E168A1">
        <w:rPr>
          <w:rFonts w:ascii="Times New Roman" w:hAnsi="Times New Roman"/>
        </w:rPr>
        <w:t>provide</w:t>
      </w:r>
      <w:r w:rsidR="00900061" w:rsidRPr="00E168A1">
        <w:rPr>
          <w:rFonts w:ascii="Times New Roman" w:hAnsi="Times New Roman"/>
        </w:rPr>
        <w:t xml:space="preserve"> </w:t>
      </w:r>
      <w:r w:rsidRPr="00E168A1">
        <w:rPr>
          <w:rFonts w:ascii="Times New Roman" w:hAnsi="Times New Roman"/>
        </w:rPr>
        <w:t>inaccurate</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false</w:t>
      </w:r>
      <w:r w:rsidR="00900061" w:rsidRPr="00E168A1">
        <w:rPr>
          <w:rFonts w:ascii="Times New Roman" w:hAnsi="Times New Roman"/>
        </w:rPr>
        <w:t xml:space="preserve"> </w:t>
      </w:r>
      <w:r w:rsidRPr="00E168A1">
        <w:rPr>
          <w:rFonts w:ascii="Times New Roman" w:hAnsi="Times New Roman"/>
        </w:rPr>
        <w:t>information,</w:t>
      </w:r>
      <w:r w:rsidR="00900061" w:rsidRPr="00E168A1">
        <w:rPr>
          <w:rFonts w:ascii="Times New Roman" w:hAnsi="Times New Roman"/>
        </w:rPr>
        <w:t xml:space="preserve"> </w:t>
      </w:r>
      <w:r w:rsidRPr="00E168A1">
        <w:rPr>
          <w:rFonts w:ascii="Times New Roman" w:hAnsi="Times New Roman"/>
        </w:rPr>
        <w:t>hire</w:t>
      </w:r>
      <w:r w:rsidR="00900061" w:rsidRPr="00E168A1">
        <w:rPr>
          <w:rFonts w:ascii="Times New Roman" w:hAnsi="Times New Roman"/>
        </w:rPr>
        <w:t xml:space="preserve"> </w:t>
      </w:r>
      <w:r w:rsidRPr="00E168A1">
        <w:rPr>
          <w:rFonts w:ascii="Times New Roman" w:hAnsi="Times New Roman"/>
        </w:rPr>
        <w:t>undisclosed</w:t>
      </w:r>
      <w:r w:rsidR="00900061" w:rsidRPr="00E168A1">
        <w:rPr>
          <w:rFonts w:ascii="Times New Roman" w:hAnsi="Times New Roman"/>
        </w:rPr>
        <w:t xml:space="preserve"> </w:t>
      </w:r>
      <w:r w:rsidRPr="00E168A1">
        <w:rPr>
          <w:rFonts w:ascii="Times New Roman" w:hAnsi="Times New Roman"/>
        </w:rPr>
        <w:t>subcontractors</w:t>
      </w:r>
      <w:r w:rsidR="00D330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act</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interested</w:t>
      </w:r>
      <w:r w:rsidR="00900061" w:rsidRPr="00E168A1">
        <w:rPr>
          <w:rFonts w:ascii="Times New Roman" w:hAnsi="Times New Roman"/>
        </w:rPr>
        <w:t xml:space="preserve"> </w:t>
      </w:r>
      <w:r w:rsidRPr="00E168A1">
        <w:rPr>
          <w:rFonts w:ascii="Times New Roman" w:hAnsi="Times New Roman"/>
        </w:rPr>
        <w:t>person</w:t>
      </w:r>
      <w:r w:rsidR="00900061" w:rsidRPr="00E168A1">
        <w:rPr>
          <w:rFonts w:ascii="Times New Roman" w:hAnsi="Times New Roman"/>
        </w:rPr>
        <w:t xml:space="preserve"> </w:t>
      </w:r>
      <w:r w:rsidRPr="00E168A1">
        <w:rPr>
          <w:rFonts w:ascii="Times New Roman" w:hAnsi="Times New Roman"/>
        </w:rPr>
        <w:lastRenderedPageBreak/>
        <w:t>can</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fined</w:t>
      </w:r>
      <w:r w:rsidR="00900061" w:rsidRPr="00E168A1">
        <w:rPr>
          <w:rFonts w:ascii="Times New Roman" w:hAnsi="Times New Roman"/>
        </w:rPr>
        <w:t xml:space="preserve"> </w:t>
      </w:r>
      <w:r w:rsidRPr="00E168A1">
        <w:rPr>
          <w:rFonts w:ascii="Times New Roman" w:hAnsi="Times New Roman"/>
        </w:rPr>
        <w:t>up</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RSD</w:t>
      </w:r>
      <w:r w:rsidR="00900061" w:rsidRPr="00E168A1">
        <w:rPr>
          <w:rFonts w:ascii="Times New Roman" w:hAnsi="Times New Roman"/>
        </w:rPr>
        <w:t xml:space="preserve"> </w:t>
      </w:r>
      <w:r w:rsidRPr="00E168A1">
        <w:rPr>
          <w:rFonts w:ascii="Times New Roman" w:hAnsi="Times New Roman"/>
        </w:rPr>
        <w:t>1,000,000</w:t>
      </w:r>
      <w:r w:rsidR="00900061" w:rsidRPr="00E168A1">
        <w:rPr>
          <w:rFonts w:ascii="Times New Roman" w:hAnsi="Times New Roman"/>
        </w:rPr>
        <w:t xml:space="preserve"> </w:t>
      </w:r>
      <w:r w:rsidRPr="00E168A1">
        <w:rPr>
          <w:rFonts w:ascii="Times New Roman" w:hAnsi="Times New Roman"/>
        </w:rPr>
        <w:t>(</w:t>
      </w:r>
      <w:r w:rsidR="00D330EF" w:rsidRPr="00E168A1">
        <w:rPr>
          <w:rFonts w:ascii="Times New Roman" w:hAnsi="Times New Roman"/>
        </w:rPr>
        <w:t>approximately</w:t>
      </w:r>
      <w:r w:rsidR="00900061" w:rsidRPr="00E168A1">
        <w:rPr>
          <w:rFonts w:ascii="Times New Roman" w:hAnsi="Times New Roman"/>
        </w:rPr>
        <w:t xml:space="preserve"> </w:t>
      </w:r>
      <w:r w:rsidR="00B71C7F" w:rsidRPr="00E168A1">
        <w:rPr>
          <w:rFonts w:ascii="Times New Roman" w:hAnsi="Times New Roman"/>
        </w:rPr>
        <w:t>€</w:t>
      </w:r>
      <w:r w:rsidRPr="00E168A1">
        <w:rPr>
          <w:rFonts w:ascii="Times New Roman" w:hAnsi="Times New Roman"/>
        </w:rPr>
        <w:t>8,950).</w:t>
      </w:r>
      <w:r w:rsidR="00900061" w:rsidRPr="00E168A1">
        <w:rPr>
          <w:rFonts w:ascii="Times New Roman" w:hAnsi="Times New Roman"/>
        </w:rPr>
        <w:t xml:space="preserve"> </w:t>
      </w:r>
      <w:r w:rsidRPr="00E168A1">
        <w:rPr>
          <w:rFonts w:ascii="Times New Roman" w:hAnsi="Times New Roman"/>
        </w:rPr>
        <w:t>Individuals</w:t>
      </w:r>
      <w:r w:rsidR="00900061" w:rsidRPr="00E168A1">
        <w:rPr>
          <w:rFonts w:ascii="Times New Roman" w:hAnsi="Times New Roman"/>
        </w:rPr>
        <w:t xml:space="preserve"> </w:t>
      </w:r>
      <w:r w:rsidRPr="00E168A1">
        <w:rPr>
          <w:rFonts w:ascii="Times New Roman" w:hAnsi="Times New Roman"/>
        </w:rPr>
        <w:t>(physical</w:t>
      </w:r>
      <w:r w:rsidR="00900061" w:rsidRPr="00E168A1">
        <w:rPr>
          <w:rFonts w:ascii="Times New Roman" w:hAnsi="Times New Roman"/>
        </w:rPr>
        <w:t xml:space="preserve"> </w:t>
      </w:r>
      <w:r w:rsidRPr="00E168A1">
        <w:rPr>
          <w:rFonts w:ascii="Times New Roman" w:hAnsi="Times New Roman"/>
        </w:rPr>
        <w:t>persons)</w:t>
      </w:r>
      <w:r w:rsidR="00900061" w:rsidRPr="00E168A1">
        <w:rPr>
          <w:rFonts w:ascii="Times New Roman" w:hAnsi="Times New Roman"/>
        </w:rPr>
        <w:t xml:space="preserve"> </w:t>
      </w:r>
      <w:r w:rsidRPr="00E168A1">
        <w:rPr>
          <w:rFonts w:ascii="Times New Roman" w:hAnsi="Times New Roman"/>
        </w:rPr>
        <w:t>acting</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authority</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bidder</w:t>
      </w:r>
      <w:r w:rsidR="00900061" w:rsidRPr="00E168A1">
        <w:rPr>
          <w:rFonts w:ascii="Times New Roman" w:hAnsi="Times New Roman"/>
        </w:rPr>
        <w:t xml:space="preserve"> </w:t>
      </w:r>
      <w:r w:rsidRPr="00E168A1">
        <w:rPr>
          <w:rFonts w:ascii="Times New Roman" w:hAnsi="Times New Roman"/>
        </w:rPr>
        <w:t>may</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be</w:t>
      </w:r>
      <w:r w:rsidR="00900061" w:rsidRPr="00E168A1">
        <w:rPr>
          <w:rFonts w:ascii="Times New Roman" w:hAnsi="Times New Roman"/>
        </w:rPr>
        <w:t xml:space="preserve"> </w:t>
      </w:r>
      <w:r w:rsidRPr="00E168A1">
        <w:rPr>
          <w:rFonts w:ascii="Times New Roman" w:hAnsi="Times New Roman"/>
        </w:rPr>
        <w:t>fined</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more</w:t>
      </w:r>
      <w:r w:rsidR="00900061" w:rsidRPr="00E168A1">
        <w:rPr>
          <w:rFonts w:ascii="Times New Roman" w:hAnsi="Times New Roman"/>
        </w:rPr>
        <w:t xml:space="preserve"> </w:t>
      </w:r>
      <w:r w:rsidRPr="00E168A1">
        <w:rPr>
          <w:rFonts w:ascii="Times New Roman" w:hAnsi="Times New Roman"/>
        </w:rPr>
        <w:t>modest</w:t>
      </w:r>
      <w:r w:rsidR="00900061" w:rsidRPr="00E168A1">
        <w:rPr>
          <w:rFonts w:ascii="Times New Roman" w:hAnsi="Times New Roman"/>
        </w:rPr>
        <w:t xml:space="preserve"> </w:t>
      </w:r>
      <w:r w:rsidRPr="00E168A1">
        <w:rPr>
          <w:rFonts w:ascii="Times New Roman" w:hAnsi="Times New Roman"/>
        </w:rPr>
        <w:t>sum</w:t>
      </w:r>
      <w:r w:rsidR="00D41DFB" w:rsidRPr="00E168A1">
        <w:rPr>
          <w:rFonts w:ascii="Times New Roman" w:hAnsi="Times New Roman"/>
        </w:rPr>
        <w:t>.</w:t>
      </w:r>
      <w:r w:rsidRPr="00E168A1">
        <w:rPr>
          <w:rFonts w:ascii="Times New Roman" w:hAnsi="Times New Roman"/>
        </w:rPr>
        <w:t>”</w:t>
      </w:r>
      <w:r w:rsidRPr="00E168A1">
        <w:rPr>
          <w:rStyle w:val="FootnoteReference"/>
          <w:rFonts w:ascii="Times New Roman" w:hAnsi="Times New Roman"/>
        </w:rPr>
        <w:footnoteReference w:id="57"/>
      </w:r>
    </w:p>
    <w:p w14:paraId="44BBBD44" w14:textId="77777777" w:rsidR="00A17E70" w:rsidRPr="00E168A1" w:rsidRDefault="00B03657" w:rsidP="00645878">
      <w:pPr>
        <w:rPr>
          <w:rFonts w:ascii="Times New Roman" w:eastAsia="Times New Roman" w:hAnsi="Times New Roman"/>
        </w:rPr>
      </w:pP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also</w:t>
      </w:r>
      <w:r w:rsidR="00900061" w:rsidRPr="00E168A1">
        <w:rPr>
          <w:rFonts w:ascii="Times New Roman" w:eastAsia="Times New Roman" w:hAnsi="Times New Roman"/>
        </w:rPr>
        <w:t xml:space="preserve"> </w:t>
      </w:r>
      <w:r w:rsidRPr="00E168A1">
        <w:rPr>
          <w:rFonts w:ascii="Times New Roman" w:eastAsia="Times New Roman" w:hAnsi="Times New Roman"/>
        </w:rPr>
        <w:t>comprises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few</w:t>
      </w:r>
      <w:r w:rsidR="00900061" w:rsidRPr="00E168A1">
        <w:rPr>
          <w:rFonts w:ascii="Times New Roman" w:eastAsia="Times New Roman" w:hAnsi="Times New Roman"/>
        </w:rPr>
        <w:t xml:space="preserve"> </w:t>
      </w:r>
      <w:r w:rsidRPr="00E168A1">
        <w:rPr>
          <w:rFonts w:ascii="Times New Roman" w:eastAsia="Times New Roman" w:hAnsi="Times New Roman"/>
        </w:rPr>
        <w:t>specific</w:t>
      </w:r>
      <w:r w:rsidR="00900061" w:rsidRPr="00E168A1">
        <w:rPr>
          <w:rFonts w:ascii="Times New Roman" w:eastAsia="Times New Roman" w:hAnsi="Times New Roman"/>
        </w:rPr>
        <w:t xml:space="preserve"> </w:t>
      </w:r>
      <w:r w:rsidRPr="00E168A1">
        <w:rPr>
          <w:rFonts w:ascii="Times New Roman" w:eastAsia="Times New Roman" w:hAnsi="Times New Roman"/>
        </w:rPr>
        <w:t>anticorruption</w:t>
      </w:r>
      <w:r w:rsidR="00900061" w:rsidRPr="00E168A1">
        <w:rPr>
          <w:rFonts w:ascii="Times New Roman" w:eastAsia="Times New Roman" w:hAnsi="Times New Roman"/>
        </w:rPr>
        <w:t xml:space="preserve"> </w:t>
      </w:r>
      <w:r w:rsidRPr="00E168A1">
        <w:rPr>
          <w:rFonts w:ascii="Times New Roman" w:eastAsia="Times New Roman" w:hAnsi="Times New Roman"/>
        </w:rPr>
        <w:t>provisions:</w:t>
      </w:r>
      <w:r w:rsidR="00900061" w:rsidRPr="00E168A1">
        <w:rPr>
          <w:rFonts w:ascii="Times New Roman" w:eastAsia="Times New Roman" w:hAnsi="Times New Roman"/>
        </w:rPr>
        <w:t xml:space="preserve"> </w:t>
      </w:r>
    </w:p>
    <w:p w14:paraId="7158A454" w14:textId="66065568" w:rsidR="00A17E70" w:rsidRPr="00E168A1" w:rsidRDefault="00B03657" w:rsidP="00EF0C6E">
      <w:pPr>
        <w:pStyle w:val="ListParagraph"/>
        <w:numPr>
          <w:ilvl w:val="0"/>
          <w:numId w:val="35"/>
        </w:numPr>
        <w:ind w:left="0" w:firstLine="0"/>
        <w:contextualSpacing w:val="0"/>
        <w:rPr>
          <w:rFonts w:ascii="Times New Roman" w:hAnsi="Times New Roman"/>
        </w:rPr>
      </w:pPr>
      <w:r w:rsidRPr="00E168A1">
        <w:rPr>
          <w:rFonts w:ascii="Times New Roman" w:hAnsi="Times New Roman"/>
          <w:b/>
        </w:rPr>
        <w:t>Mandatory</w:t>
      </w:r>
      <w:r w:rsidR="00900061" w:rsidRPr="00E168A1">
        <w:rPr>
          <w:rFonts w:ascii="Times New Roman" w:hAnsi="Times New Roman"/>
          <w:b/>
        </w:rPr>
        <w:t xml:space="preserve"> </w:t>
      </w:r>
      <w:r w:rsidRPr="00E168A1">
        <w:rPr>
          <w:rFonts w:ascii="Times New Roman" w:hAnsi="Times New Roman"/>
          <w:b/>
        </w:rPr>
        <w:t>corruption</w:t>
      </w:r>
      <w:r w:rsidR="00900061" w:rsidRPr="00E168A1">
        <w:rPr>
          <w:rFonts w:ascii="Times New Roman" w:hAnsi="Times New Roman"/>
          <w:b/>
        </w:rPr>
        <w:t xml:space="preserve"> </w:t>
      </w:r>
      <w:r w:rsidRPr="00E168A1">
        <w:rPr>
          <w:rFonts w:ascii="Times New Roman" w:hAnsi="Times New Roman"/>
          <w:b/>
        </w:rPr>
        <w:t>prevention</w:t>
      </w:r>
      <w:r w:rsidR="00900061" w:rsidRPr="00E168A1">
        <w:rPr>
          <w:rFonts w:ascii="Times New Roman" w:hAnsi="Times New Roman"/>
          <w:b/>
        </w:rPr>
        <w:t xml:space="preserve"> </w:t>
      </w:r>
      <w:r w:rsidRPr="00E168A1">
        <w:rPr>
          <w:rFonts w:ascii="Times New Roman" w:hAnsi="Times New Roman"/>
          <w:b/>
        </w:rPr>
        <w:t>plans.</w:t>
      </w:r>
      <w:r w:rsidR="00900061" w:rsidRPr="00E168A1">
        <w:rPr>
          <w:rFonts w:ascii="Times New Roman" w:hAnsi="Times New Roman"/>
          <w:b/>
        </w:rPr>
        <w:t xml:space="preserve"> </w:t>
      </w:r>
      <w:r w:rsidRPr="00E168A1">
        <w:rPr>
          <w:rFonts w:ascii="Times New Roman" w:hAnsi="Times New Roman"/>
        </w:rPr>
        <w:t>Both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cooperation</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BC1B90" w:rsidRPr="00E168A1">
        <w:rPr>
          <w:rFonts w:ascii="Times New Roman" w:hAnsi="Times New Roman"/>
        </w:rPr>
        <w:t>ACA</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estimated</w:t>
      </w:r>
      <w:r w:rsidR="00900061" w:rsidRPr="00E168A1">
        <w:rPr>
          <w:rFonts w:ascii="Times New Roman" w:hAnsi="Times New Roman"/>
        </w:rPr>
        <w:t xml:space="preserve"> </w:t>
      </w:r>
      <w:r w:rsidRPr="00E168A1">
        <w:rPr>
          <w:rFonts w:ascii="Times New Roman" w:hAnsi="Times New Roman"/>
        </w:rPr>
        <w:t>annual</w:t>
      </w:r>
      <w:r w:rsidR="00900061" w:rsidRPr="00E168A1">
        <w:rPr>
          <w:rFonts w:ascii="Times New Roman" w:hAnsi="Times New Roman"/>
        </w:rPr>
        <w:t xml:space="preserve"> </w:t>
      </w:r>
      <w:r w:rsidRPr="00E168A1">
        <w:rPr>
          <w:rFonts w:ascii="Times New Roman" w:hAnsi="Times New Roman"/>
        </w:rPr>
        <w:t>value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excess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00D330EF" w:rsidRPr="00E168A1">
        <w:rPr>
          <w:rFonts w:ascii="Times New Roman" w:hAnsi="Times New Roman"/>
        </w:rPr>
        <w:t>RSD 1</w:t>
      </w:r>
      <w:r w:rsidR="00900061" w:rsidRPr="00E168A1">
        <w:rPr>
          <w:rFonts w:ascii="Times New Roman" w:hAnsi="Times New Roman"/>
        </w:rPr>
        <w:t xml:space="preserve"> </w:t>
      </w:r>
      <w:r w:rsidRPr="00E168A1">
        <w:rPr>
          <w:rFonts w:ascii="Times New Roman" w:hAnsi="Times New Roman"/>
        </w:rPr>
        <w:t>billion</w:t>
      </w:r>
      <w:r w:rsidR="00900061" w:rsidRPr="00E168A1">
        <w:rPr>
          <w:rFonts w:ascii="Times New Roman" w:hAnsi="Times New Roman"/>
        </w:rPr>
        <w:t xml:space="preserve"> </w:t>
      </w:r>
      <w:r w:rsidRPr="00E168A1">
        <w:rPr>
          <w:rFonts w:ascii="Times New Roman" w:hAnsi="Times New Roman"/>
        </w:rPr>
        <w:t>dinars</w:t>
      </w:r>
      <w:r w:rsidR="00900061" w:rsidRPr="00E168A1">
        <w:rPr>
          <w:rFonts w:ascii="Times New Roman" w:hAnsi="Times New Roman"/>
        </w:rPr>
        <w:t xml:space="preserve"> </w:t>
      </w:r>
      <w:r w:rsidRPr="00A90FD9">
        <w:rPr>
          <w:rFonts w:ascii="Times New Roman" w:hAnsi="Times New Roman"/>
        </w:rPr>
        <w:t>(ca.</w:t>
      </w:r>
      <w:r w:rsidR="00900061" w:rsidRPr="00A90FD9">
        <w:rPr>
          <w:rFonts w:ascii="Times New Roman" w:hAnsi="Times New Roman"/>
        </w:rPr>
        <w:t xml:space="preserve"> </w:t>
      </w:r>
      <w:r w:rsidR="00B71C7F" w:rsidRPr="00A90FD9">
        <w:rPr>
          <w:rFonts w:ascii="Times New Roman" w:hAnsi="Times New Roman"/>
        </w:rPr>
        <w:t>€</w:t>
      </w:r>
      <w:r w:rsidRPr="005769EE">
        <w:rPr>
          <w:rFonts w:ascii="Times New Roman" w:hAnsi="Times New Roman"/>
        </w:rPr>
        <w:t>8,950,000)</w:t>
      </w:r>
      <w:r w:rsidR="00900061" w:rsidRPr="00E168A1">
        <w:rPr>
          <w:rFonts w:ascii="Times New Roman" w:hAnsi="Times New Roman"/>
        </w:rPr>
        <w:t xml:space="preserve"> </w:t>
      </w:r>
      <w:r w:rsidRPr="00E168A1">
        <w:rPr>
          <w:rFonts w:ascii="Times New Roman" w:hAnsi="Times New Roman"/>
        </w:rPr>
        <w:t>have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adopt</w:t>
      </w:r>
      <w:r w:rsidR="00900061" w:rsidRPr="00E168A1">
        <w:rPr>
          <w:rFonts w:ascii="Times New Roman" w:hAnsi="Times New Roman"/>
        </w:rPr>
        <w:t xml:space="preserve"> </w:t>
      </w:r>
      <w:r w:rsidRPr="00E168A1">
        <w:rPr>
          <w:rFonts w:ascii="Times New Roman" w:hAnsi="Times New Roman"/>
        </w:rPr>
        <w:t>internal</w:t>
      </w:r>
      <w:r w:rsidR="00900061" w:rsidRPr="00E168A1">
        <w:rPr>
          <w:rFonts w:ascii="Times New Roman" w:hAnsi="Times New Roman"/>
        </w:rPr>
        <w:t xml:space="preserve"> </w:t>
      </w:r>
      <w:r w:rsidRPr="00E168A1">
        <w:rPr>
          <w:rFonts w:ascii="Times New Roman" w:hAnsi="Times New Roman"/>
        </w:rPr>
        <w:t>action</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combating</w:t>
      </w:r>
      <w:r w:rsidR="00900061" w:rsidRPr="00E168A1">
        <w:rPr>
          <w:rFonts w:ascii="Times New Roman" w:hAnsi="Times New Roman"/>
        </w:rPr>
        <w:t xml:space="preserve"> </w:t>
      </w:r>
      <w:r w:rsidRPr="00E168A1">
        <w:rPr>
          <w:rFonts w:ascii="Times New Roman" w:hAnsi="Times New Roman"/>
        </w:rPr>
        <w:t>corruption</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p>
    <w:p w14:paraId="70A5276B" w14:textId="77777777" w:rsidR="00A17E70" w:rsidRPr="00E168A1" w:rsidRDefault="00B03657" w:rsidP="00EF0C6E">
      <w:pPr>
        <w:pStyle w:val="ListParagraph"/>
        <w:numPr>
          <w:ilvl w:val="0"/>
          <w:numId w:val="35"/>
        </w:numPr>
        <w:ind w:left="0" w:firstLine="0"/>
        <w:contextualSpacing w:val="0"/>
        <w:rPr>
          <w:rFonts w:ascii="Times New Roman" w:hAnsi="Times New Roman"/>
          <w:b/>
        </w:rPr>
      </w:pPr>
      <w:r w:rsidRPr="00E168A1">
        <w:rPr>
          <w:rFonts w:ascii="Times New Roman" w:hAnsi="Times New Roman"/>
          <w:b/>
        </w:rPr>
        <w:t>Post-employment</w:t>
      </w:r>
      <w:r w:rsidR="00900061" w:rsidRPr="00E168A1">
        <w:rPr>
          <w:rFonts w:ascii="Times New Roman" w:hAnsi="Times New Roman"/>
          <w:b/>
        </w:rPr>
        <w:t xml:space="preserve"> </w:t>
      </w:r>
      <w:r w:rsidRPr="00E168A1">
        <w:rPr>
          <w:rFonts w:ascii="Times New Roman" w:hAnsi="Times New Roman"/>
          <w:b/>
        </w:rPr>
        <w:t>restrictions</w:t>
      </w:r>
      <w:r w:rsidR="00900061" w:rsidRPr="00E168A1">
        <w:rPr>
          <w:rFonts w:ascii="Times New Roman" w:hAnsi="Times New Roman"/>
          <w:b/>
        </w:rPr>
        <w:t xml:space="preserve"> </w:t>
      </w:r>
      <w:r w:rsidRPr="00E168A1">
        <w:rPr>
          <w:rFonts w:ascii="Times New Roman" w:hAnsi="Times New Roman"/>
          <w:b/>
        </w:rPr>
        <w:t>for</w:t>
      </w:r>
      <w:r w:rsidR="00900061" w:rsidRPr="00E168A1">
        <w:rPr>
          <w:rFonts w:ascii="Times New Roman" w:hAnsi="Times New Roman"/>
          <w:b/>
        </w:rPr>
        <w:t xml:space="preserve"> </w:t>
      </w:r>
      <w:r w:rsidRPr="00E168A1">
        <w:rPr>
          <w:rFonts w:ascii="Times New Roman" w:hAnsi="Times New Roman"/>
          <w:b/>
        </w:rPr>
        <w:t>procurement</w:t>
      </w:r>
      <w:r w:rsidR="00900061" w:rsidRPr="00E168A1">
        <w:rPr>
          <w:rFonts w:ascii="Times New Roman" w:hAnsi="Times New Roman"/>
          <w:b/>
        </w:rPr>
        <w:t xml:space="preserve"> </w:t>
      </w:r>
      <w:r w:rsidRPr="00E168A1">
        <w:rPr>
          <w:rFonts w:ascii="Times New Roman" w:hAnsi="Times New Roman"/>
          <w:b/>
        </w:rPr>
        <w:t>staff,</w:t>
      </w:r>
      <w:r w:rsidR="00900061" w:rsidRPr="00E168A1">
        <w:rPr>
          <w:rFonts w:ascii="Times New Roman" w:hAnsi="Times New Roman"/>
          <w:b/>
        </w:rPr>
        <w:t xml:space="preserve"> </w:t>
      </w:r>
      <w:r w:rsidRPr="00E168A1">
        <w:rPr>
          <w:rFonts w:ascii="Times New Roman" w:hAnsi="Times New Roman"/>
          <w:b/>
        </w:rPr>
        <w:t>provisions</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prevent</w:t>
      </w:r>
      <w:r w:rsidR="00900061" w:rsidRPr="00E168A1">
        <w:rPr>
          <w:rFonts w:ascii="Times New Roman" w:hAnsi="Times New Roman"/>
          <w:b/>
        </w:rPr>
        <w:t xml:space="preserve"> </w:t>
      </w:r>
      <w:r w:rsidRPr="00E168A1">
        <w:rPr>
          <w:rFonts w:ascii="Times New Roman" w:eastAsia="Times New Roman" w:hAnsi="Times New Roman"/>
          <w:b/>
        </w:rPr>
        <w:t>c</w:t>
      </w:r>
      <w:r w:rsidRPr="00E168A1">
        <w:rPr>
          <w:rFonts w:ascii="Times New Roman" w:hAnsi="Times New Roman"/>
          <w:b/>
        </w:rPr>
        <w:t>onflicts</w:t>
      </w:r>
      <w:r w:rsidR="00900061" w:rsidRPr="00E168A1">
        <w:rPr>
          <w:rFonts w:ascii="Times New Roman" w:hAnsi="Times New Roman"/>
          <w:b/>
        </w:rPr>
        <w:t xml:space="preserve"> </w:t>
      </w:r>
      <w:r w:rsidRPr="00E168A1">
        <w:rPr>
          <w:rFonts w:ascii="Times New Roman" w:hAnsi="Times New Roman"/>
          <w:b/>
        </w:rPr>
        <w:t>of</w:t>
      </w:r>
      <w:r w:rsidR="00900061" w:rsidRPr="00E168A1">
        <w:rPr>
          <w:rFonts w:ascii="Times New Roman" w:hAnsi="Times New Roman"/>
          <w:b/>
        </w:rPr>
        <w:t xml:space="preserve"> </w:t>
      </w:r>
      <w:r w:rsidRPr="00E168A1">
        <w:rPr>
          <w:rFonts w:ascii="Times New Roman" w:hAnsi="Times New Roman"/>
          <w:b/>
        </w:rPr>
        <w:t>interest</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b/>
        </w:rPr>
        <w:t>and</w:t>
      </w:r>
      <w:r w:rsidR="00900061" w:rsidRPr="00E168A1">
        <w:rPr>
          <w:rFonts w:ascii="Times New Roman" w:hAnsi="Times New Roman"/>
          <w:b/>
        </w:rPr>
        <w:t xml:space="preserve"> </w:t>
      </w:r>
      <w:r w:rsidRPr="00E168A1">
        <w:rPr>
          <w:rFonts w:ascii="Times New Roman" w:hAnsi="Times New Roman"/>
          <w:b/>
        </w:rPr>
        <w:t>a</w:t>
      </w:r>
      <w:r w:rsidR="00900061" w:rsidRPr="00E168A1">
        <w:rPr>
          <w:rFonts w:ascii="Times New Roman" w:hAnsi="Times New Roman"/>
          <w:b/>
        </w:rPr>
        <w:t xml:space="preserve"> </w:t>
      </w:r>
      <w:r w:rsidRPr="00E168A1">
        <w:rPr>
          <w:rFonts w:ascii="Times New Roman" w:hAnsi="Times New Roman"/>
          <w:b/>
        </w:rPr>
        <w:t>duty</w:t>
      </w:r>
      <w:r w:rsidR="00900061" w:rsidRPr="00E168A1">
        <w:rPr>
          <w:rFonts w:ascii="Times New Roman" w:hAnsi="Times New Roman"/>
          <w:b/>
        </w:rPr>
        <w:t xml:space="preserve"> </w:t>
      </w:r>
      <w:r w:rsidRPr="00E168A1">
        <w:rPr>
          <w:rFonts w:ascii="Times New Roman" w:hAnsi="Times New Roman"/>
          <w:b/>
        </w:rPr>
        <w:t>to</w:t>
      </w:r>
      <w:r w:rsidR="00900061" w:rsidRPr="00E168A1">
        <w:rPr>
          <w:rFonts w:ascii="Times New Roman" w:hAnsi="Times New Roman"/>
          <w:b/>
        </w:rPr>
        <w:t xml:space="preserve"> </w:t>
      </w:r>
      <w:r w:rsidRPr="00E168A1">
        <w:rPr>
          <w:rFonts w:ascii="Times New Roman" w:hAnsi="Times New Roman"/>
          <w:b/>
        </w:rPr>
        <w:t>report</w:t>
      </w:r>
      <w:r w:rsidR="00900061" w:rsidRPr="00E168A1">
        <w:rPr>
          <w:rFonts w:ascii="Times New Roman" w:hAnsi="Times New Roman"/>
          <w:b/>
        </w:rPr>
        <w:t xml:space="preserve"> </w:t>
      </w:r>
      <w:r w:rsidRPr="00E168A1">
        <w:rPr>
          <w:rFonts w:ascii="Times New Roman" w:hAnsi="Times New Roman"/>
          <w:b/>
        </w:rPr>
        <w:t>corruption.</w:t>
      </w:r>
    </w:p>
    <w:p w14:paraId="0AE62C49" w14:textId="1C0773CD" w:rsidR="00A17E70" w:rsidRPr="00E168A1" w:rsidRDefault="00B03657" w:rsidP="00EF0C6E">
      <w:pPr>
        <w:pStyle w:val="ListParagraph"/>
        <w:numPr>
          <w:ilvl w:val="0"/>
          <w:numId w:val="35"/>
        </w:numPr>
        <w:ind w:left="0" w:firstLine="0"/>
        <w:contextualSpacing w:val="0"/>
        <w:rPr>
          <w:rFonts w:ascii="Times New Roman" w:hAnsi="Times New Roman"/>
        </w:rPr>
      </w:pPr>
      <w:r w:rsidRPr="00E168A1">
        <w:rPr>
          <w:rFonts w:ascii="Times New Roman" w:hAnsi="Times New Roman"/>
          <w:b/>
        </w:rPr>
        <w:t>Whistle-blower</w:t>
      </w:r>
      <w:r w:rsidR="00900061" w:rsidRPr="00E168A1">
        <w:rPr>
          <w:rFonts w:ascii="Times New Roman" w:hAnsi="Times New Roman"/>
          <w:b/>
        </w:rPr>
        <w:t xml:space="preserve"> </w:t>
      </w:r>
      <w:r w:rsidRPr="00E168A1">
        <w:rPr>
          <w:rFonts w:ascii="Times New Roman" w:hAnsi="Times New Roman"/>
          <w:b/>
        </w:rPr>
        <w:t>protection.</w:t>
      </w:r>
      <w:r w:rsidR="00900061" w:rsidRPr="00E168A1">
        <w:rPr>
          <w:rFonts w:ascii="Times New Roman" w:hAnsi="Times New Roman"/>
          <w:b/>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measure</w:t>
      </w:r>
      <w:r w:rsidR="00900061" w:rsidRPr="00E168A1">
        <w:rPr>
          <w:rFonts w:ascii="Times New Roman" w:hAnsi="Times New Roman"/>
        </w:rPr>
        <w:t xml:space="preserve"> </w:t>
      </w:r>
      <w:r w:rsidRPr="00E168A1">
        <w:rPr>
          <w:rFonts w:ascii="Times New Roman" w:hAnsi="Times New Roman"/>
        </w:rPr>
        <w:t>introduces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right</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indemnification</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individuals</w:t>
      </w:r>
      <w:r w:rsidR="00900061" w:rsidRPr="00E168A1">
        <w:rPr>
          <w:rFonts w:ascii="Times New Roman" w:hAnsi="Times New Roman"/>
        </w:rPr>
        <w:t xml:space="preserve"> </w:t>
      </w:r>
      <w:r w:rsidRPr="00E168A1">
        <w:rPr>
          <w:rFonts w:ascii="Times New Roman" w:hAnsi="Times New Roman"/>
        </w:rPr>
        <w:t>who</w:t>
      </w:r>
      <w:r w:rsidR="00900061" w:rsidRPr="00E168A1">
        <w:rPr>
          <w:rFonts w:ascii="Times New Roman" w:hAnsi="Times New Roman"/>
        </w:rPr>
        <w:t xml:space="preserve"> </w:t>
      </w:r>
      <w:r w:rsidRPr="00E168A1">
        <w:rPr>
          <w:rFonts w:ascii="Times New Roman" w:hAnsi="Times New Roman"/>
        </w:rPr>
        <w:t>are</w:t>
      </w:r>
      <w:r w:rsidR="00900061" w:rsidRPr="00E168A1">
        <w:rPr>
          <w:rFonts w:ascii="Times New Roman" w:hAnsi="Times New Roman"/>
        </w:rPr>
        <w:t xml:space="preserve"> </w:t>
      </w:r>
      <w:r w:rsidRPr="00E168A1">
        <w:rPr>
          <w:rFonts w:ascii="Times New Roman" w:hAnsi="Times New Roman"/>
        </w:rPr>
        <w:t>sanctioned</w:t>
      </w:r>
      <w:r w:rsidR="00900061" w:rsidRPr="00E168A1">
        <w:rPr>
          <w:rFonts w:ascii="Times New Roman" w:hAnsi="Times New Roman"/>
        </w:rPr>
        <w:t xml:space="preserve"> </w:t>
      </w:r>
      <w:r w:rsidRPr="00E168A1">
        <w:rPr>
          <w:rFonts w:ascii="Times New Roman" w:hAnsi="Times New Roman"/>
        </w:rPr>
        <w:t>(</w:t>
      </w:r>
      <w:r w:rsidR="00234CF2" w:rsidRPr="00E168A1">
        <w:rPr>
          <w:rFonts w:ascii="Times New Roman" w:hAnsi="Times New Roman"/>
        </w:rPr>
        <w:t>for example,</w:t>
      </w:r>
      <w:r w:rsidR="00900061" w:rsidRPr="00E168A1">
        <w:rPr>
          <w:rFonts w:ascii="Times New Roman" w:hAnsi="Times New Roman"/>
        </w:rPr>
        <w:t xml:space="preserve"> </w:t>
      </w:r>
      <w:r w:rsidRPr="00E168A1">
        <w:rPr>
          <w:rFonts w:ascii="Times New Roman" w:hAnsi="Times New Roman"/>
        </w:rPr>
        <w:t>dismissed)</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result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reporting</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violation.</w:t>
      </w:r>
      <w:r w:rsidR="00900061" w:rsidRPr="00E168A1">
        <w:rPr>
          <w:rFonts w:ascii="Times New Roman" w:hAnsi="Times New Roman"/>
        </w:rPr>
        <w:t xml:space="preserve"> </w:t>
      </w:r>
    </w:p>
    <w:p w14:paraId="3B3D9C1A" w14:textId="77777777" w:rsidR="00A17E70" w:rsidRPr="00E168A1" w:rsidRDefault="00B03657" w:rsidP="00EF0C6E">
      <w:pPr>
        <w:pStyle w:val="ListParagraph"/>
        <w:numPr>
          <w:ilvl w:val="0"/>
          <w:numId w:val="35"/>
        </w:numPr>
        <w:ind w:left="0" w:firstLine="0"/>
        <w:contextualSpacing w:val="0"/>
        <w:rPr>
          <w:rFonts w:ascii="Times New Roman" w:eastAsia="Times New Roman" w:hAnsi="Times New Roman"/>
        </w:rPr>
      </w:pPr>
      <w:r w:rsidRPr="00E168A1">
        <w:rPr>
          <w:rFonts w:ascii="Times New Roman" w:eastAsia="Times New Roman" w:hAnsi="Times New Roman"/>
          <w:b/>
        </w:rPr>
        <w:t>Specific</w:t>
      </w:r>
      <w:r w:rsidR="00900061" w:rsidRPr="00E168A1">
        <w:rPr>
          <w:rFonts w:ascii="Times New Roman" w:eastAsia="Times New Roman" w:hAnsi="Times New Roman"/>
          <w:b/>
        </w:rPr>
        <w:t xml:space="preserve"> </w:t>
      </w:r>
      <w:r w:rsidRPr="00E168A1">
        <w:rPr>
          <w:rFonts w:ascii="Times New Roman" w:eastAsia="Times New Roman" w:hAnsi="Times New Roman"/>
          <w:b/>
        </w:rPr>
        <w:t>eligibility</w:t>
      </w:r>
      <w:r w:rsidR="00900061" w:rsidRPr="00E168A1">
        <w:rPr>
          <w:rFonts w:ascii="Times New Roman" w:eastAsia="Times New Roman" w:hAnsi="Times New Roman"/>
          <w:b/>
        </w:rPr>
        <w:t xml:space="preserve"> </w:t>
      </w:r>
      <w:r w:rsidRPr="00E168A1">
        <w:rPr>
          <w:rFonts w:ascii="Times New Roman" w:eastAsia="Times New Roman" w:hAnsi="Times New Roman"/>
          <w:b/>
        </w:rPr>
        <w:t>requirements.</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PPL</w:t>
      </w:r>
      <w:r w:rsidR="00900061" w:rsidRPr="00E168A1">
        <w:rPr>
          <w:rFonts w:ascii="Times New Roman" w:eastAsia="Times New Roman" w:hAnsi="Times New Roman"/>
        </w:rPr>
        <w:t xml:space="preserve"> </w:t>
      </w:r>
      <w:r w:rsidRPr="00E168A1">
        <w:rPr>
          <w:rFonts w:ascii="Times New Roman" w:eastAsia="Times New Roman" w:hAnsi="Times New Roman"/>
        </w:rPr>
        <w:t>provides,</w:t>
      </w:r>
      <w:r w:rsidR="00900061" w:rsidRPr="00E168A1">
        <w:rPr>
          <w:rFonts w:ascii="Times New Roman" w:eastAsia="Times New Roman" w:hAnsi="Times New Roman"/>
        </w:rPr>
        <w:t xml:space="preserve"> </w:t>
      </w:r>
      <w:r w:rsidRPr="00E168A1">
        <w:rPr>
          <w:rFonts w:ascii="Times New Roman" w:eastAsia="Times New Roman" w:hAnsi="Times New Roman"/>
        </w:rPr>
        <w:t>as</w:t>
      </w:r>
      <w:r w:rsidR="00900061" w:rsidRPr="00E168A1">
        <w:rPr>
          <w:rFonts w:ascii="Times New Roman" w:eastAsia="Times New Roman" w:hAnsi="Times New Roman"/>
        </w:rPr>
        <w:t xml:space="preserve"> </w:t>
      </w:r>
      <w:r w:rsidRPr="00E168A1">
        <w:rPr>
          <w:rFonts w:ascii="Times New Roman" w:eastAsia="Times New Roman" w:hAnsi="Times New Roman"/>
        </w:rPr>
        <w:t>a</w:t>
      </w:r>
      <w:r w:rsidR="00900061" w:rsidRPr="00E168A1">
        <w:rPr>
          <w:rFonts w:ascii="Times New Roman" w:eastAsia="Times New Roman" w:hAnsi="Times New Roman"/>
        </w:rPr>
        <w:t xml:space="preserve"> </w:t>
      </w:r>
      <w:r w:rsidRPr="00E168A1">
        <w:rPr>
          <w:rFonts w:ascii="Times New Roman" w:eastAsia="Times New Roman" w:hAnsi="Times New Roman"/>
        </w:rPr>
        <w:t>mandatory</w:t>
      </w:r>
      <w:r w:rsidR="00900061" w:rsidRPr="00E168A1">
        <w:rPr>
          <w:rFonts w:ascii="Times New Roman" w:eastAsia="Times New Roman" w:hAnsi="Times New Roman"/>
        </w:rPr>
        <w:t xml:space="preserve"> </w:t>
      </w:r>
      <w:r w:rsidRPr="00E168A1">
        <w:rPr>
          <w:rFonts w:ascii="Times New Roman" w:eastAsia="Times New Roman" w:hAnsi="Times New Roman"/>
        </w:rPr>
        <w:t>eligibility</w:t>
      </w:r>
      <w:r w:rsidR="00900061" w:rsidRPr="00E168A1">
        <w:rPr>
          <w:rFonts w:ascii="Times New Roman" w:eastAsia="Times New Roman" w:hAnsi="Times New Roman"/>
        </w:rPr>
        <w:t xml:space="preserve"> </w:t>
      </w:r>
      <w:r w:rsidRPr="00E168A1">
        <w:rPr>
          <w:rFonts w:ascii="Times New Roman" w:eastAsia="Times New Roman" w:hAnsi="Times New Roman"/>
        </w:rPr>
        <w:t>requirement,</w:t>
      </w:r>
      <w:r w:rsidR="00900061" w:rsidRPr="00E168A1">
        <w:rPr>
          <w:rFonts w:ascii="Times New Roman" w:eastAsia="Times New Roman" w:hAnsi="Times New Roman"/>
        </w:rPr>
        <w:t xml:space="preserve"> </w:t>
      </w:r>
      <w:r w:rsidRPr="00E168A1">
        <w:rPr>
          <w:rFonts w:ascii="Times New Roman" w:eastAsia="Times New Roman" w:hAnsi="Times New Roman"/>
        </w:rPr>
        <w:t>that</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bidder</w:t>
      </w:r>
      <w:r w:rsidR="00900061" w:rsidRPr="00E168A1">
        <w:rPr>
          <w:rFonts w:ascii="Times New Roman" w:eastAsia="Times New Roman" w:hAnsi="Times New Roman"/>
        </w:rPr>
        <w:t xml:space="preserve"> </w:t>
      </w:r>
      <w:r w:rsidRPr="00E168A1">
        <w:rPr>
          <w:rFonts w:ascii="Times New Roman" w:eastAsia="Times New Roman" w:hAnsi="Times New Roman"/>
        </w:rPr>
        <w:t>or</w:t>
      </w:r>
      <w:r w:rsidR="00900061" w:rsidRPr="00E168A1">
        <w:rPr>
          <w:rFonts w:ascii="Times New Roman" w:eastAsia="Times New Roman" w:hAnsi="Times New Roman"/>
        </w:rPr>
        <w:t xml:space="preserve"> </w:t>
      </w:r>
      <w:r w:rsidRPr="00E168A1">
        <w:rPr>
          <w:rFonts w:ascii="Times New Roman" w:eastAsia="Times New Roman" w:hAnsi="Times New Roman"/>
        </w:rPr>
        <w:t>its</w:t>
      </w:r>
      <w:r w:rsidR="00900061" w:rsidRPr="00E168A1">
        <w:rPr>
          <w:rFonts w:ascii="Times New Roman" w:eastAsia="Times New Roman" w:hAnsi="Times New Roman"/>
        </w:rPr>
        <w:t xml:space="preserve"> </w:t>
      </w:r>
      <w:r w:rsidRPr="00E168A1">
        <w:rPr>
          <w:rFonts w:ascii="Times New Roman" w:eastAsia="Times New Roman" w:hAnsi="Times New Roman"/>
        </w:rPr>
        <w:t>legal</w:t>
      </w:r>
      <w:r w:rsidR="00900061" w:rsidRPr="00E168A1">
        <w:rPr>
          <w:rFonts w:ascii="Times New Roman" w:eastAsia="Times New Roman" w:hAnsi="Times New Roman"/>
        </w:rPr>
        <w:t xml:space="preserve"> </w:t>
      </w:r>
      <w:r w:rsidRPr="00E168A1">
        <w:rPr>
          <w:rFonts w:ascii="Times New Roman" w:eastAsia="Times New Roman" w:hAnsi="Times New Roman"/>
        </w:rPr>
        <w:t>representative</w:t>
      </w:r>
      <w:r w:rsidR="00900061" w:rsidRPr="00E168A1">
        <w:rPr>
          <w:rFonts w:ascii="Times New Roman" w:eastAsia="Times New Roman" w:hAnsi="Times New Roman"/>
        </w:rPr>
        <w:t xml:space="preserve"> </w:t>
      </w:r>
      <w:r w:rsidRPr="00E168A1">
        <w:rPr>
          <w:rFonts w:ascii="Times New Roman" w:eastAsia="Times New Roman" w:hAnsi="Times New Roman"/>
        </w:rPr>
        <w:t>must</w:t>
      </w:r>
      <w:r w:rsidR="00900061" w:rsidRPr="00E168A1">
        <w:rPr>
          <w:rFonts w:ascii="Times New Roman" w:eastAsia="Times New Roman" w:hAnsi="Times New Roman"/>
        </w:rPr>
        <w:t xml:space="preserve"> </w:t>
      </w:r>
      <w:r w:rsidRPr="00E168A1">
        <w:rPr>
          <w:rFonts w:ascii="Times New Roman" w:eastAsia="Times New Roman" w:hAnsi="Times New Roman"/>
        </w:rPr>
        <w:t>not</w:t>
      </w:r>
      <w:r w:rsidR="00900061" w:rsidRPr="00E168A1">
        <w:rPr>
          <w:rFonts w:ascii="Times New Roman" w:eastAsia="Times New Roman" w:hAnsi="Times New Roman"/>
        </w:rPr>
        <w:t xml:space="preserve"> </w:t>
      </w:r>
      <w:r w:rsidRPr="00E168A1">
        <w:rPr>
          <w:rFonts w:ascii="Times New Roman" w:eastAsia="Times New Roman" w:hAnsi="Times New Roman"/>
        </w:rPr>
        <w:t>have</w:t>
      </w:r>
      <w:r w:rsidR="00900061" w:rsidRPr="00E168A1">
        <w:rPr>
          <w:rFonts w:ascii="Times New Roman" w:eastAsia="Times New Roman" w:hAnsi="Times New Roman"/>
        </w:rPr>
        <w:t xml:space="preserve"> </w:t>
      </w:r>
      <w:r w:rsidRPr="00E168A1">
        <w:rPr>
          <w:rFonts w:ascii="Times New Roman" w:eastAsia="Times New Roman" w:hAnsi="Times New Roman"/>
        </w:rPr>
        <w:t>been</w:t>
      </w:r>
      <w:r w:rsidR="00900061" w:rsidRPr="00E168A1">
        <w:rPr>
          <w:rFonts w:ascii="Times New Roman" w:eastAsia="Times New Roman" w:hAnsi="Times New Roman"/>
        </w:rPr>
        <w:t xml:space="preserve"> </w:t>
      </w:r>
      <w:r w:rsidRPr="00E168A1">
        <w:rPr>
          <w:rFonts w:ascii="Times New Roman" w:eastAsia="Times New Roman" w:hAnsi="Times New Roman"/>
        </w:rPr>
        <w:t>convicted</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any</w:t>
      </w:r>
      <w:r w:rsidR="00900061" w:rsidRPr="00E168A1">
        <w:rPr>
          <w:rFonts w:ascii="Times New Roman" w:eastAsia="Times New Roman" w:hAnsi="Times New Roman"/>
        </w:rPr>
        <w:t xml:space="preserve"> </w:t>
      </w:r>
      <w:r w:rsidRPr="00E168A1">
        <w:rPr>
          <w:rFonts w:ascii="Times New Roman" w:eastAsia="Times New Roman" w:hAnsi="Times New Roman"/>
        </w:rPr>
        <w:t>criminal</w:t>
      </w:r>
      <w:r w:rsidR="00900061" w:rsidRPr="00E168A1">
        <w:rPr>
          <w:rFonts w:ascii="Times New Roman" w:eastAsia="Times New Roman" w:hAnsi="Times New Roman"/>
        </w:rPr>
        <w:t xml:space="preserve"> </w:t>
      </w:r>
      <w:r w:rsidRPr="00E168A1">
        <w:rPr>
          <w:rFonts w:ascii="Times New Roman" w:eastAsia="Times New Roman" w:hAnsi="Times New Roman"/>
        </w:rPr>
        <w:t>act.</w:t>
      </w:r>
      <w:r w:rsidR="00900061" w:rsidRPr="00E168A1">
        <w:rPr>
          <w:rFonts w:ascii="Times New Roman" w:eastAsia="Times New Roman" w:hAnsi="Times New Roman"/>
        </w:rPr>
        <w:t xml:space="preserve"> </w:t>
      </w:r>
      <w:r w:rsidRPr="00E168A1">
        <w:rPr>
          <w:rFonts w:ascii="Times New Roman" w:eastAsia="Times New Roman" w:hAnsi="Times New Roman"/>
        </w:rPr>
        <w:t>Amendments</w:t>
      </w:r>
      <w:r w:rsidR="00900061" w:rsidRPr="00E168A1">
        <w:rPr>
          <w:rFonts w:ascii="Times New Roman" w:eastAsia="Times New Roman" w:hAnsi="Times New Roman"/>
        </w:rPr>
        <w:t xml:space="preserve"> </w:t>
      </w:r>
      <w:r w:rsidRPr="00E168A1">
        <w:rPr>
          <w:rFonts w:ascii="Times New Roman" w:eastAsia="Times New Roman" w:hAnsi="Times New Roman"/>
        </w:rPr>
        <w:t>to</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Criminal</w:t>
      </w:r>
      <w:r w:rsidR="00900061" w:rsidRPr="00E168A1">
        <w:rPr>
          <w:rFonts w:ascii="Times New Roman" w:eastAsia="Times New Roman" w:hAnsi="Times New Roman"/>
        </w:rPr>
        <w:t xml:space="preserve"> </w:t>
      </w:r>
      <w:r w:rsidRPr="00E168A1">
        <w:rPr>
          <w:rFonts w:ascii="Times New Roman" w:eastAsia="Times New Roman" w:hAnsi="Times New Roman"/>
        </w:rPr>
        <w:t>Code</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December</w:t>
      </w:r>
      <w:r w:rsidR="00900061" w:rsidRPr="00E168A1">
        <w:rPr>
          <w:rFonts w:ascii="Times New Roman" w:eastAsia="Times New Roman" w:hAnsi="Times New Roman"/>
        </w:rPr>
        <w:t xml:space="preserve"> </w:t>
      </w:r>
      <w:r w:rsidRPr="00E168A1">
        <w:rPr>
          <w:rFonts w:ascii="Times New Roman" w:eastAsia="Times New Roman" w:hAnsi="Times New Roman"/>
        </w:rPr>
        <w:t>2012</w:t>
      </w:r>
      <w:r w:rsidR="00900061" w:rsidRPr="00E168A1">
        <w:rPr>
          <w:rFonts w:ascii="Times New Roman" w:eastAsia="Times New Roman" w:hAnsi="Times New Roman"/>
        </w:rPr>
        <w:t xml:space="preserve"> </w:t>
      </w:r>
      <w:r w:rsidRPr="00E168A1">
        <w:rPr>
          <w:rFonts w:ascii="Times New Roman" w:eastAsia="Times New Roman" w:hAnsi="Times New Roman"/>
        </w:rPr>
        <w:t>introduced</w:t>
      </w:r>
      <w:r w:rsidR="00900061" w:rsidRPr="00E168A1">
        <w:rPr>
          <w:rFonts w:ascii="Times New Roman" w:eastAsia="Times New Roman" w:hAnsi="Times New Roman"/>
        </w:rPr>
        <w:t xml:space="preserve"> </w:t>
      </w:r>
      <w:r w:rsidRPr="00E168A1">
        <w:rPr>
          <w:rFonts w:ascii="Times New Roman" w:eastAsia="Times New Roman" w:hAnsi="Times New Roman"/>
        </w:rPr>
        <w:t>criminal</w:t>
      </w:r>
      <w:r w:rsidR="00900061" w:rsidRPr="00E168A1">
        <w:rPr>
          <w:rFonts w:ascii="Times New Roman" w:eastAsia="Times New Roman" w:hAnsi="Times New Roman"/>
        </w:rPr>
        <w:t xml:space="preserve"> </w:t>
      </w:r>
      <w:r w:rsidRPr="00E168A1">
        <w:rPr>
          <w:rFonts w:ascii="Times New Roman" w:eastAsia="Times New Roman" w:hAnsi="Times New Roman"/>
        </w:rPr>
        <w:t>responsibility</w:t>
      </w:r>
      <w:r w:rsidR="00900061" w:rsidRPr="00E168A1">
        <w:rPr>
          <w:rFonts w:ascii="Times New Roman" w:eastAsia="Times New Roman" w:hAnsi="Times New Roman"/>
        </w:rPr>
        <w:t xml:space="preserve"> </w:t>
      </w:r>
      <w:r w:rsidRPr="00E168A1">
        <w:rPr>
          <w:rFonts w:ascii="Times New Roman" w:eastAsia="Times New Roman" w:hAnsi="Times New Roman"/>
        </w:rPr>
        <w:t>for</w:t>
      </w:r>
      <w:r w:rsidR="00900061" w:rsidRPr="00E168A1">
        <w:rPr>
          <w:rFonts w:ascii="Times New Roman" w:eastAsia="Times New Roman" w:hAnsi="Times New Roman"/>
        </w:rPr>
        <w:t xml:space="preserve"> </w:t>
      </w:r>
      <w:r w:rsidRPr="00E168A1">
        <w:rPr>
          <w:rFonts w:ascii="Times New Roman" w:eastAsia="Times New Roman" w:hAnsi="Times New Roman"/>
        </w:rPr>
        <w:t>aggravated</w:t>
      </w:r>
      <w:r w:rsidR="00900061" w:rsidRPr="00E168A1">
        <w:rPr>
          <w:rFonts w:ascii="Times New Roman" w:eastAsia="Times New Roman" w:hAnsi="Times New Roman"/>
        </w:rPr>
        <w:t xml:space="preserve"> </w:t>
      </w:r>
      <w:r w:rsidRPr="00E168A1">
        <w:rPr>
          <w:rFonts w:ascii="Times New Roman" w:eastAsia="Times New Roman" w:hAnsi="Times New Roman"/>
        </w:rPr>
        <w:t>cases</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abuse</w:t>
      </w:r>
      <w:r w:rsidR="00900061" w:rsidRPr="00E168A1">
        <w:rPr>
          <w:rFonts w:ascii="Times New Roman" w:eastAsia="Times New Roman" w:hAnsi="Times New Roman"/>
        </w:rPr>
        <w:t xml:space="preserve"> </w:t>
      </w:r>
      <w:r w:rsidRPr="00E168A1">
        <w:rPr>
          <w:rFonts w:ascii="Times New Roman" w:eastAsia="Times New Roman" w:hAnsi="Times New Roman"/>
        </w:rPr>
        <w:t>in</w:t>
      </w:r>
      <w:r w:rsidR="00900061" w:rsidRPr="00E168A1">
        <w:rPr>
          <w:rFonts w:ascii="Times New Roman" w:eastAsia="Times New Roman" w:hAnsi="Times New Roman"/>
        </w:rPr>
        <w:t xml:space="preserve"> </w:t>
      </w:r>
      <w:r w:rsidRPr="00E168A1">
        <w:rPr>
          <w:rFonts w:ascii="Times New Roman" w:eastAsia="Times New Roman" w:hAnsi="Times New Roman"/>
        </w:rPr>
        <w:t>the</w:t>
      </w:r>
      <w:r w:rsidR="00900061" w:rsidRPr="00E168A1">
        <w:rPr>
          <w:rFonts w:ascii="Times New Roman" w:eastAsia="Times New Roman" w:hAnsi="Times New Roman"/>
        </w:rPr>
        <w:t xml:space="preserve"> </w:t>
      </w:r>
      <w:r w:rsidRPr="00E168A1">
        <w:rPr>
          <w:rFonts w:ascii="Times New Roman" w:eastAsia="Times New Roman" w:hAnsi="Times New Roman"/>
        </w:rPr>
        <w:t>domain</w:t>
      </w:r>
      <w:r w:rsidR="00900061" w:rsidRPr="00E168A1">
        <w:rPr>
          <w:rFonts w:ascii="Times New Roman" w:eastAsia="Times New Roman" w:hAnsi="Times New Roman"/>
        </w:rPr>
        <w:t xml:space="preserve"> </w:t>
      </w:r>
      <w:r w:rsidRPr="00E168A1">
        <w:rPr>
          <w:rFonts w:ascii="Times New Roman" w:eastAsia="Times New Roman" w:hAnsi="Times New Roman"/>
        </w:rPr>
        <w:t>of</w:t>
      </w:r>
      <w:r w:rsidR="00900061" w:rsidRPr="00E168A1">
        <w:rPr>
          <w:rFonts w:ascii="Times New Roman" w:eastAsia="Times New Roman" w:hAnsi="Times New Roman"/>
        </w:rPr>
        <w:t xml:space="preserve"> </w:t>
      </w:r>
      <w:r w:rsidRPr="00E168A1">
        <w:rPr>
          <w:rFonts w:ascii="Times New Roman" w:eastAsia="Times New Roman" w:hAnsi="Times New Roman"/>
        </w:rPr>
        <w:t>public</w:t>
      </w:r>
      <w:r w:rsidR="00900061" w:rsidRPr="00E168A1">
        <w:rPr>
          <w:rFonts w:ascii="Times New Roman" w:eastAsia="Times New Roman" w:hAnsi="Times New Roman"/>
        </w:rPr>
        <w:t xml:space="preserve"> </w:t>
      </w:r>
      <w:r w:rsidRPr="00E168A1">
        <w:rPr>
          <w:rFonts w:ascii="Times New Roman" w:eastAsia="Times New Roman" w:hAnsi="Times New Roman"/>
        </w:rPr>
        <w:t>procurement.</w:t>
      </w:r>
      <w:r w:rsidR="00900061" w:rsidRPr="00E168A1">
        <w:rPr>
          <w:rFonts w:ascii="Times New Roman" w:eastAsia="Times New Roman" w:hAnsi="Times New Roman"/>
        </w:rPr>
        <w:t xml:space="preserve"> </w:t>
      </w:r>
    </w:p>
    <w:p w14:paraId="459A5209" w14:textId="77777777" w:rsidR="00A17E70" w:rsidRPr="00E168A1" w:rsidRDefault="00A17E70" w:rsidP="00645878">
      <w:pPr>
        <w:pStyle w:val="ListParagraph"/>
        <w:numPr>
          <w:ilvl w:val="0"/>
          <w:numId w:val="35"/>
        </w:numPr>
        <w:contextualSpacing w:val="0"/>
        <w:rPr>
          <w:rFonts w:ascii="Times New Roman" w:hAnsi="Times New Roman"/>
        </w:rPr>
      </w:pPr>
      <w:r w:rsidRPr="00E168A1">
        <w:rPr>
          <w:rFonts w:ascii="Times New Roman" w:hAnsi="Times New Roman"/>
        </w:rPr>
        <w:br w:type="page"/>
      </w:r>
    </w:p>
    <w:p w14:paraId="4C49ECC6" w14:textId="33C1D74F" w:rsidR="00A17E70" w:rsidRPr="00E168A1" w:rsidRDefault="00D12248" w:rsidP="00EF0C6E">
      <w:pPr>
        <w:jc w:val="center"/>
        <w:outlineLvl w:val="0"/>
        <w:rPr>
          <w:rFonts w:ascii="Times New Roman" w:hAnsi="Times New Roman"/>
          <w:b/>
        </w:rPr>
      </w:pPr>
      <w:bookmarkStart w:id="58" w:name="_Toc305833869"/>
      <w:bookmarkStart w:id="59" w:name="_Toc442428978"/>
      <w:r w:rsidRPr="00E168A1">
        <w:rPr>
          <w:rFonts w:ascii="Times New Roman" w:hAnsi="Times New Roman"/>
          <w:b/>
        </w:rPr>
        <w:lastRenderedPageBreak/>
        <w:t>Annex</w:t>
      </w:r>
      <w:r w:rsidR="00900061" w:rsidRPr="00E168A1">
        <w:rPr>
          <w:rFonts w:ascii="Times New Roman" w:hAnsi="Times New Roman"/>
          <w:b/>
        </w:rPr>
        <w:t xml:space="preserve"> </w:t>
      </w:r>
      <w:r w:rsidRPr="00E168A1">
        <w:rPr>
          <w:rFonts w:ascii="Times New Roman" w:hAnsi="Times New Roman"/>
          <w:b/>
        </w:rPr>
        <w:t>2</w:t>
      </w:r>
      <w:r w:rsidR="00A17E70" w:rsidRPr="00E168A1">
        <w:rPr>
          <w:rFonts w:ascii="Times New Roman" w:hAnsi="Times New Roman"/>
          <w:b/>
        </w:rPr>
        <w:t>:</w:t>
      </w:r>
      <w:r w:rsidR="00900061" w:rsidRPr="00E168A1">
        <w:rPr>
          <w:rFonts w:ascii="Times New Roman" w:hAnsi="Times New Roman"/>
          <w:b/>
        </w:rPr>
        <w:t xml:space="preserve"> </w:t>
      </w:r>
      <w:r w:rsidR="00EF0C6E">
        <w:rPr>
          <w:rFonts w:ascii="Times New Roman" w:hAnsi="Times New Roman"/>
          <w:b/>
        </w:rPr>
        <w:t xml:space="preserve">Responsibilities of </w:t>
      </w:r>
      <w:r w:rsidR="00A17E70" w:rsidRPr="00E168A1">
        <w:rPr>
          <w:rFonts w:ascii="Times New Roman" w:hAnsi="Times New Roman"/>
          <w:b/>
        </w:rPr>
        <w:t>Key</w:t>
      </w:r>
      <w:r w:rsidR="00900061" w:rsidRPr="00E168A1">
        <w:rPr>
          <w:rFonts w:ascii="Times New Roman" w:hAnsi="Times New Roman"/>
          <w:b/>
        </w:rPr>
        <w:t xml:space="preserve"> </w:t>
      </w:r>
      <w:r w:rsidR="001C207D" w:rsidRPr="00E168A1">
        <w:rPr>
          <w:rFonts w:ascii="Times New Roman" w:hAnsi="Times New Roman"/>
          <w:b/>
        </w:rPr>
        <w:t>A</w:t>
      </w:r>
      <w:r w:rsidR="00A17E70" w:rsidRPr="00E168A1">
        <w:rPr>
          <w:rFonts w:ascii="Times New Roman" w:hAnsi="Times New Roman"/>
          <w:b/>
        </w:rPr>
        <w:t>ctors</w:t>
      </w:r>
      <w:r w:rsidR="00900061" w:rsidRPr="00E168A1">
        <w:rPr>
          <w:rFonts w:ascii="Times New Roman" w:hAnsi="Times New Roman"/>
          <w:b/>
        </w:rPr>
        <w:t xml:space="preserve"> </w:t>
      </w:r>
      <w:r w:rsidR="00A17E70" w:rsidRPr="00E168A1">
        <w:rPr>
          <w:rFonts w:ascii="Times New Roman" w:hAnsi="Times New Roman"/>
          <w:b/>
        </w:rPr>
        <w:t>in</w:t>
      </w:r>
      <w:r w:rsidR="00900061" w:rsidRPr="00E168A1">
        <w:rPr>
          <w:rFonts w:ascii="Times New Roman" w:hAnsi="Times New Roman"/>
          <w:b/>
        </w:rPr>
        <w:t xml:space="preserve"> </w:t>
      </w:r>
      <w:r w:rsidR="001C207D" w:rsidRPr="00E168A1">
        <w:rPr>
          <w:rFonts w:ascii="Times New Roman" w:hAnsi="Times New Roman"/>
          <w:b/>
        </w:rPr>
        <w:t>P</w:t>
      </w:r>
      <w:r w:rsidR="00A17E70" w:rsidRPr="00E168A1">
        <w:rPr>
          <w:rFonts w:ascii="Times New Roman" w:hAnsi="Times New Roman"/>
          <w:b/>
        </w:rPr>
        <w:t>ublic</w:t>
      </w:r>
      <w:r w:rsidR="00900061" w:rsidRPr="00E168A1">
        <w:rPr>
          <w:rFonts w:ascii="Times New Roman" w:hAnsi="Times New Roman"/>
          <w:b/>
        </w:rPr>
        <w:t xml:space="preserve"> </w:t>
      </w:r>
      <w:r w:rsidR="001C207D" w:rsidRPr="00E168A1">
        <w:rPr>
          <w:rFonts w:ascii="Times New Roman" w:hAnsi="Times New Roman"/>
          <w:b/>
        </w:rPr>
        <w:t>P</w:t>
      </w:r>
      <w:r w:rsidR="00A17E70" w:rsidRPr="00E168A1">
        <w:rPr>
          <w:rFonts w:ascii="Times New Roman" w:hAnsi="Times New Roman"/>
          <w:b/>
        </w:rPr>
        <w:t>rocurement</w:t>
      </w:r>
      <w:r w:rsidR="00900061" w:rsidRPr="00E168A1">
        <w:rPr>
          <w:rFonts w:ascii="Times New Roman" w:hAnsi="Times New Roman"/>
          <w:b/>
        </w:rPr>
        <w:t xml:space="preserve"> </w:t>
      </w:r>
      <w:r w:rsidR="00A17E70" w:rsidRPr="00E168A1">
        <w:rPr>
          <w:rFonts w:ascii="Times New Roman" w:hAnsi="Times New Roman"/>
          <w:b/>
        </w:rPr>
        <w:t>in</w:t>
      </w:r>
      <w:r w:rsidR="00900061" w:rsidRPr="00E168A1">
        <w:rPr>
          <w:rFonts w:ascii="Times New Roman" w:hAnsi="Times New Roman"/>
          <w:b/>
        </w:rPr>
        <w:t xml:space="preserve"> </w:t>
      </w:r>
      <w:r w:rsidR="00A17E70" w:rsidRPr="00E168A1">
        <w:rPr>
          <w:rFonts w:ascii="Times New Roman" w:hAnsi="Times New Roman"/>
          <w:b/>
        </w:rPr>
        <w:t>Serbia</w:t>
      </w:r>
      <w:bookmarkEnd w:id="58"/>
      <w:bookmarkEnd w:id="59"/>
    </w:p>
    <w:p w14:paraId="4B0D4909" w14:textId="1E5BBBA5" w:rsidR="00A17E70" w:rsidRPr="00E168A1" w:rsidRDefault="00B03657" w:rsidP="00645878">
      <w:pPr>
        <w:pStyle w:val="ListParagraph"/>
        <w:ind w:left="0"/>
        <w:contextualSpacing w:val="0"/>
        <w:rPr>
          <w:rFonts w:ascii="Times New Roman" w:hAnsi="Times New Roman"/>
          <w:bCs/>
        </w:rPr>
      </w:pPr>
      <w:r w:rsidRPr="00E168A1">
        <w:rPr>
          <w:rFonts w:ascii="Times New Roman" w:hAnsi="Times New Roman"/>
          <w:bCs/>
        </w:rPr>
        <w:t>The</w:t>
      </w:r>
      <w:r w:rsidR="00900061" w:rsidRPr="00E168A1">
        <w:rPr>
          <w:rFonts w:ascii="Times New Roman" w:hAnsi="Times New Roman"/>
          <w:bCs/>
        </w:rPr>
        <w:t xml:space="preserve"> </w:t>
      </w:r>
      <w:r w:rsidRPr="00E168A1">
        <w:rPr>
          <w:rFonts w:ascii="Times New Roman" w:hAnsi="Times New Roman"/>
          <w:bCs/>
        </w:rPr>
        <w:t>2014</w:t>
      </w:r>
      <w:r w:rsidR="001C207D" w:rsidRPr="00E168A1">
        <w:rPr>
          <w:rFonts w:ascii="Times New Roman" w:hAnsi="Times New Roman"/>
          <w:bCs/>
        </w:rPr>
        <w:t>–</w:t>
      </w:r>
      <w:r w:rsidRPr="00E168A1">
        <w:rPr>
          <w:rFonts w:ascii="Times New Roman" w:hAnsi="Times New Roman"/>
          <w:bCs/>
        </w:rPr>
        <w:t>2018</w:t>
      </w:r>
      <w:r w:rsidR="00900061" w:rsidRPr="00E168A1">
        <w:rPr>
          <w:rFonts w:ascii="Times New Roman" w:hAnsi="Times New Roman"/>
          <w:bCs/>
        </w:rPr>
        <w:t xml:space="preserve"> </w:t>
      </w:r>
      <w:r w:rsidRPr="00E168A1">
        <w:rPr>
          <w:rFonts w:ascii="Times New Roman" w:hAnsi="Times New Roman"/>
          <w:bCs/>
        </w:rPr>
        <w:t>Public</w:t>
      </w:r>
      <w:r w:rsidR="00900061" w:rsidRPr="00E168A1">
        <w:rPr>
          <w:rFonts w:ascii="Times New Roman" w:hAnsi="Times New Roman"/>
          <w:bCs/>
        </w:rPr>
        <w:t xml:space="preserve"> </w:t>
      </w:r>
      <w:r w:rsidRPr="00E168A1">
        <w:rPr>
          <w:rFonts w:ascii="Times New Roman" w:hAnsi="Times New Roman"/>
          <w:bCs/>
        </w:rPr>
        <w:t>Procurement</w:t>
      </w:r>
      <w:r w:rsidR="00900061" w:rsidRPr="00E168A1">
        <w:rPr>
          <w:rFonts w:ascii="Times New Roman" w:hAnsi="Times New Roman"/>
          <w:bCs/>
        </w:rPr>
        <w:t xml:space="preserve"> </w:t>
      </w:r>
      <w:r w:rsidRPr="00E168A1">
        <w:rPr>
          <w:rFonts w:ascii="Times New Roman" w:hAnsi="Times New Roman"/>
          <w:bCs/>
        </w:rPr>
        <w:t>Development</w:t>
      </w:r>
      <w:r w:rsidR="00900061" w:rsidRPr="00E168A1">
        <w:rPr>
          <w:rFonts w:ascii="Times New Roman" w:hAnsi="Times New Roman"/>
          <w:bCs/>
        </w:rPr>
        <w:t xml:space="preserve"> </w:t>
      </w:r>
      <w:r w:rsidRPr="00E168A1">
        <w:rPr>
          <w:rFonts w:ascii="Times New Roman" w:hAnsi="Times New Roman"/>
          <w:bCs/>
        </w:rPr>
        <w:t>Strategy</w:t>
      </w:r>
      <w:r w:rsidR="00900061" w:rsidRPr="00E168A1">
        <w:rPr>
          <w:rFonts w:ascii="Times New Roman" w:hAnsi="Times New Roman"/>
          <w:bCs/>
        </w:rPr>
        <w:t xml:space="preserve"> </w:t>
      </w:r>
      <w:r w:rsidRPr="00E168A1">
        <w:rPr>
          <w:rFonts w:ascii="Times New Roman" w:hAnsi="Times New Roman"/>
          <w:bCs/>
        </w:rPr>
        <w:t>lays</w:t>
      </w:r>
      <w:r w:rsidR="00900061" w:rsidRPr="00E168A1">
        <w:rPr>
          <w:rFonts w:ascii="Times New Roman" w:hAnsi="Times New Roman"/>
          <w:bCs/>
        </w:rPr>
        <w:t xml:space="preserve"> </w:t>
      </w:r>
      <w:r w:rsidRPr="00E168A1">
        <w:rPr>
          <w:rFonts w:ascii="Times New Roman" w:hAnsi="Times New Roman"/>
          <w:bCs/>
        </w:rPr>
        <w:t>out</w:t>
      </w:r>
      <w:r w:rsidR="00900061" w:rsidRPr="00E168A1">
        <w:rPr>
          <w:rFonts w:ascii="Times New Roman" w:hAnsi="Times New Roman"/>
          <w:bCs/>
        </w:rPr>
        <w:t xml:space="preserve"> </w:t>
      </w:r>
      <w:r w:rsidRPr="00E168A1">
        <w:rPr>
          <w:rFonts w:ascii="Times New Roman" w:hAnsi="Times New Roman"/>
          <w:bCs/>
        </w:rPr>
        <w:t>the</w:t>
      </w:r>
      <w:r w:rsidR="00900061" w:rsidRPr="00E168A1">
        <w:rPr>
          <w:rFonts w:ascii="Times New Roman" w:hAnsi="Times New Roman"/>
          <w:bCs/>
        </w:rPr>
        <w:t xml:space="preserve"> </w:t>
      </w:r>
      <w:r w:rsidRPr="00E168A1">
        <w:rPr>
          <w:rFonts w:ascii="Times New Roman" w:hAnsi="Times New Roman"/>
          <w:bCs/>
        </w:rPr>
        <w:t>following:</w:t>
      </w:r>
      <w:r w:rsidR="00900061" w:rsidRPr="00E168A1">
        <w:rPr>
          <w:rFonts w:ascii="Times New Roman" w:hAnsi="Times New Roman"/>
          <w:bCs/>
        </w:rPr>
        <w:t xml:space="preserve"> </w:t>
      </w:r>
    </w:p>
    <w:p w14:paraId="57B7C7B1" w14:textId="2964D465" w:rsidR="00A17E70" w:rsidRPr="00E168A1" w:rsidRDefault="00B03657" w:rsidP="00645878">
      <w:pPr>
        <w:pStyle w:val="ListParagraph"/>
        <w:numPr>
          <w:ilvl w:val="0"/>
          <w:numId w:val="29"/>
        </w:numPr>
        <w:ind w:left="0" w:firstLine="0"/>
        <w:contextualSpacing w:val="0"/>
        <w:rPr>
          <w:rFonts w:ascii="Times New Roman" w:hAnsi="Times New Roman"/>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Public</w:t>
      </w:r>
      <w:r w:rsidR="00900061" w:rsidRPr="00E168A1">
        <w:rPr>
          <w:rFonts w:ascii="Times New Roman" w:hAnsi="Times New Roman"/>
          <w:b/>
          <w:bCs/>
        </w:rPr>
        <w:t xml:space="preserve"> </w:t>
      </w:r>
      <w:r w:rsidRPr="00E168A1">
        <w:rPr>
          <w:rFonts w:ascii="Times New Roman" w:hAnsi="Times New Roman"/>
          <w:b/>
          <w:bCs/>
        </w:rPr>
        <w:t>Procurement</w:t>
      </w:r>
      <w:r w:rsidR="00900061" w:rsidRPr="00E168A1">
        <w:rPr>
          <w:rFonts w:ascii="Times New Roman" w:hAnsi="Times New Roman"/>
          <w:b/>
          <w:bCs/>
        </w:rPr>
        <w:t xml:space="preserve"> </w:t>
      </w:r>
      <w:r w:rsidRPr="00E168A1">
        <w:rPr>
          <w:rFonts w:ascii="Times New Roman" w:hAnsi="Times New Roman"/>
          <w:b/>
          <w:bCs/>
        </w:rPr>
        <w:t>Office</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w:t>
      </w:r>
      <w:r w:rsidR="00900061" w:rsidRPr="00E168A1">
        <w:rPr>
          <w:rFonts w:ascii="Times New Roman" w:hAnsi="Times New Roman"/>
        </w:rPr>
        <w:t xml:space="preserve"> </w:t>
      </w:r>
      <w:r w:rsidRPr="00E168A1">
        <w:rPr>
          <w:rFonts w:ascii="Times New Roman" w:hAnsi="Times New Roman"/>
        </w:rPr>
        <w:t>special</w:t>
      </w:r>
      <w:r w:rsidR="00900061" w:rsidRPr="00E168A1">
        <w:rPr>
          <w:rFonts w:ascii="Times New Roman" w:hAnsi="Times New Roman"/>
        </w:rPr>
        <w:t xml:space="preserve"> </w:t>
      </w:r>
      <w:r w:rsidRPr="00E168A1">
        <w:rPr>
          <w:rFonts w:ascii="Times New Roman" w:hAnsi="Times New Roman"/>
        </w:rPr>
        <w:t>organi</w:t>
      </w:r>
      <w:r w:rsidR="008D778D" w:rsidRPr="00E168A1">
        <w:rPr>
          <w:rFonts w:ascii="Times New Roman" w:hAnsi="Times New Roman"/>
        </w:rPr>
        <w:t>z</w:t>
      </w:r>
      <w:r w:rsidRPr="00E168A1">
        <w:rPr>
          <w:rFonts w:ascii="Times New Roman" w:hAnsi="Times New Roman"/>
        </w:rPr>
        <w:t>ation</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oversees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D330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participates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drafting</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regulations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passes</w:t>
      </w:r>
      <w:r w:rsidR="00900061" w:rsidRPr="00E168A1">
        <w:rPr>
          <w:rFonts w:ascii="Times New Roman" w:hAnsi="Times New Roman"/>
        </w:rPr>
        <w:t xml:space="preserve"> </w:t>
      </w:r>
      <w:r w:rsidRPr="00E168A1">
        <w:rPr>
          <w:rFonts w:ascii="Times New Roman" w:hAnsi="Times New Roman"/>
        </w:rPr>
        <w:t>secondary</w:t>
      </w:r>
      <w:r w:rsidR="00900061" w:rsidRPr="00E168A1">
        <w:rPr>
          <w:rFonts w:ascii="Times New Roman" w:hAnsi="Times New Roman"/>
        </w:rPr>
        <w:t xml:space="preserve"> </w:t>
      </w:r>
      <w:r w:rsidRPr="00E168A1">
        <w:rPr>
          <w:rFonts w:ascii="Times New Roman" w:hAnsi="Times New Roman"/>
        </w:rPr>
        <w:t>legislation</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provides</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services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oversees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conduct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controls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application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specific</w:t>
      </w:r>
      <w:r w:rsidR="00900061" w:rsidRPr="00E168A1">
        <w:rPr>
          <w:rFonts w:ascii="Times New Roman" w:hAnsi="Times New Roman"/>
        </w:rPr>
        <w:t xml:space="preserve"> </w:t>
      </w:r>
      <w:r w:rsidRPr="00E168A1">
        <w:rPr>
          <w:rFonts w:ascii="Times New Roman" w:hAnsi="Times New Roman"/>
        </w:rPr>
        <w:t>procedures</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manages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7537E8" w:rsidRPr="00E168A1">
        <w:rPr>
          <w:rFonts w:ascii="Times New Roman" w:hAnsi="Times New Roman"/>
        </w:rPr>
        <w:t>p</w:t>
      </w:r>
      <w:r w:rsidRPr="00E168A1">
        <w:rPr>
          <w:rFonts w:ascii="Times New Roman" w:hAnsi="Times New Roman"/>
        </w:rPr>
        <w:t>ublic</w:t>
      </w:r>
      <w:r w:rsidR="00900061" w:rsidRPr="00E168A1">
        <w:rPr>
          <w:rFonts w:ascii="Times New Roman" w:hAnsi="Times New Roman"/>
        </w:rPr>
        <w:t xml:space="preserve"> </w:t>
      </w:r>
      <w:r w:rsidR="007537E8" w:rsidRPr="00E168A1">
        <w:rPr>
          <w:rFonts w:ascii="Times New Roman" w:hAnsi="Times New Roman"/>
        </w:rPr>
        <w:t>p</w:t>
      </w:r>
      <w:r w:rsidRPr="00E168A1">
        <w:rPr>
          <w:rFonts w:ascii="Times New Roman" w:hAnsi="Times New Roman"/>
        </w:rPr>
        <w:t>rocurement</w:t>
      </w:r>
      <w:r w:rsidR="00900061" w:rsidRPr="00E168A1">
        <w:rPr>
          <w:rFonts w:ascii="Times New Roman" w:hAnsi="Times New Roman"/>
        </w:rPr>
        <w:t xml:space="preserve"> </w:t>
      </w:r>
      <w:r w:rsidR="007537E8" w:rsidRPr="00E168A1">
        <w:rPr>
          <w:rFonts w:ascii="Times New Roman" w:hAnsi="Times New Roman"/>
        </w:rPr>
        <w:t>p</w:t>
      </w:r>
      <w:r w:rsidRPr="00E168A1">
        <w:rPr>
          <w:rFonts w:ascii="Times New Roman" w:hAnsi="Times New Roman"/>
        </w:rPr>
        <w:t>ortal</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prepares</w:t>
      </w:r>
      <w:r w:rsidR="00900061" w:rsidRPr="00E168A1">
        <w:rPr>
          <w:rFonts w:ascii="Times New Roman" w:hAnsi="Times New Roman"/>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procurements</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proposes</w:t>
      </w:r>
      <w:r w:rsidR="00900061" w:rsidRPr="00E168A1">
        <w:rPr>
          <w:rFonts w:ascii="Times New Roman" w:hAnsi="Times New Roman"/>
        </w:rPr>
        <w:t xml:space="preserve"> </w:t>
      </w:r>
      <w:r w:rsidRPr="00E168A1">
        <w:rPr>
          <w:rFonts w:ascii="Times New Roman" w:hAnsi="Times New Roman"/>
        </w:rPr>
        <w:t>measures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improve</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system</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provides</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assistance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bidders</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facilitates</w:t>
      </w:r>
      <w:r w:rsidR="00900061" w:rsidRPr="00E168A1">
        <w:rPr>
          <w:rFonts w:ascii="Times New Roman" w:hAnsi="Times New Roman"/>
        </w:rPr>
        <w:t xml:space="preserve"> </w:t>
      </w:r>
      <w:r w:rsidRPr="00E168A1">
        <w:rPr>
          <w:rFonts w:ascii="Times New Roman" w:hAnsi="Times New Roman"/>
        </w:rPr>
        <w:t>cost-effective,</w:t>
      </w:r>
      <w:r w:rsidR="00900061" w:rsidRPr="00E168A1">
        <w:rPr>
          <w:rFonts w:ascii="Times New Roman" w:hAnsi="Times New Roman"/>
        </w:rPr>
        <w:t xml:space="preserve"> </w:t>
      </w:r>
      <w:r w:rsidRPr="00E168A1">
        <w:rPr>
          <w:rFonts w:ascii="Times New Roman" w:hAnsi="Times New Roman"/>
        </w:rPr>
        <w:t>efficient</w:t>
      </w:r>
      <w:r w:rsidR="005D5C5A"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transparent</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funds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authori</w:t>
      </w:r>
      <w:r w:rsidR="00B52DD3" w:rsidRPr="00E168A1">
        <w:rPr>
          <w:rFonts w:ascii="Times New Roman" w:hAnsi="Times New Roman"/>
        </w:rPr>
        <w:t>z</w:t>
      </w:r>
      <w:r w:rsidRPr="00E168A1">
        <w:rPr>
          <w:rFonts w:ascii="Times New Roman" w:hAnsi="Times New Roman"/>
        </w:rPr>
        <w:t>ed</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file</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launching</w:t>
      </w:r>
      <w:r w:rsidR="00900061" w:rsidRPr="00E168A1">
        <w:rPr>
          <w:rFonts w:ascii="Times New Roman" w:hAnsi="Times New Roman"/>
        </w:rPr>
        <w:t xml:space="preserve"> </w:t>
      </w:r>
      <w:r w:rsidRPr="00E168A1">
        <w:rPr>
          <w:rFonts w:ascii="Times New Roman" w:hAnsi="Times New Roman"/>
        </w:rPr>
        <w:t>misdemeanour</w:t>
      </w:r>
      <w:r w:rsidR="00900061" w:rsidRPr="00E168A1">
        <w:rPr>
          <w:rFonts w:ascii="Times New Roman" w:hAnsi="Times New Roman"/>
        </w:rPr>
        <w:t xml:space="preserve"> </w:t>
      </w:r>
      <w:r w:rsidRPr="00E168A1">
        <w:rPr>
          <w:rFonts w:ascii="Times New Roman" w:hAnsi="Times New Roman"/>
        </w:rPr>
        <w:t>procedures</w:t>
      </w:r>
      <w:r w:rsidR="001E4C49"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annulment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contracts.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5F3BAA" w:rsidRPr="00E168A1">
        <w:rPr>
          <w:rFonts w:ascii="Times New Roman" w:hAnsi="Times New Roman"/>
        </w:rPr>
        <w:t>PPO</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institution</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subject</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EB3365" w:rsidRPr="00E168A1">
        <w:rPr>
          <w:rFonts w:ascii="Times New Roman" w:hAnsi="Times New Roman"/>
        </w:rPr>
        <w:t>government</w:t>
      </w:r>
      <w:r w:rsidRPr="00E168A1">
        <w:rPr>
          <w:rFonts w:ascii="Times New Roman" w:hAnsi="Times New Roman"/>
        </w:rPr>
        <w:t>’s</w:t>
      </w:r>
      <w:r w:rsidR="00900061" w:rsidRPr="00E168A1">
        <w:rPr>
          <w:rFonts w:ascii="Times New Roman" w:hAnsi="Times New Roman"/>
        </w:rPr>
        <w:t xml:space="preserve"> </w:t>
      </w:r>
      <w:r w:rsidRPr="00E168A1">
        <w:rPr>
          <w:rFonts w:ascii="Times New Roman" w:hAnsi="Times New Roman"/>
        </w:rPr>
        <w:t>approval,</w:t>
      </w:r>
      <w:r w:rsidR="00900061" w:rsidRPr="00E168A1">
        <w:rPr>
          <w:rFonts w:ascii="Times New Roman" w:hAnsi="Times New Roman"/>
        </w:rPr>
        <w:t xml:space="preserve"> </w:t>
      </w:r>
      <w:r w:rsidRPr="00E168A1">
        <w:rPr>
          <w:rFonts w:ascii="Times New Roman" w:hAnsi="Times New Roman"/>
        </w:rPr>
        <w:t>conducts</w:t>
      </w:r>
      <w:r w:rsidR="00900061" w:rsidRPr="00E168A1">
        <w:rPr>
          <w:rFonts w:ascii="Times New Roman" w:hAnsi="Times New Roman"/>
        </w:rPr>
        <w:t xml:space="preserve"> </w:t>
      </w:r>
      <w:r w:rsidRPr="00E168A1">
        <w:rPr>
          <w:rFonts w:ascii="Times New Roman" w:hAnsi="Times New Roman"/>
        </w:rPr>
        <w:t>Serbia’s</w:t>
      </w:r>
      <w:r w:rsidR="00900061" w:rsidRPr="00E168A1">
        <w:rPr>
          <w:rFonts w:ascii="Times New Roman" w:hAnsi="Times New Roman"/>
        </w:rPr>
        <w:t xml:space="preserve"> </w:t>
      </w:r>
      <w:r w:rsidRPr="00E168A1">
        <w:rPr>
          <w:rFonts w:ascii="Times New Roman" w:hAnsi="Times New Roman"/>
        </w:rPr>
        <w:t>EU</w:t>
      </w:r>
      <w:r w:rsidR="00900061" w:rsidRPr="00E168A1">
        <w:rPr>
          <w:rFonts w:ascii="Times New Roman" w:hAnsi="Times New Roman"/>
        </w:rPr>
        <w:t xml:space="preserve"> </w:t>
      </w:r>
      <w:r w:rsidRPr="00E168A1">
        <w:rPr>
          <w:rFonts w:ascii="Times New Roman" w:hAnsi="Times New Roman"/>
        </w:rPr>
        <w:t>accession</w:t>
      </w:r>
      <w:r w:rsidR="00900061" w:rsidRPr="00E168A1">
        <w:rPr>
          <w:rFonts w:ascii="Times New Roman" w:hAnsi="Times New Roman"/>
        </w:rPr>
        <w:t xml:space="preserve"> </w:t>
      </w:r>
      <w:r w:rsidRPr="00E168A1">
        <w:rPr>
          <w:rFonts w:ascii="Times New Roman" w:hAnsi="Times New Roman"/>
        </w:rPr>
        <w:t>negotiations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prepares</w:t>
      </w:r>
      <w:r w:rsidR="00900061" w:rsidRPr="00E168A1">
        <w:rPr>
          <w:rFonts w:ascii="Times New Roman" w:hAnsi="Times New Roman"/>
        </w:rPr>
        <w:t xml:space="preserve"> </w:t>
      </w:r>
      <w:r w:rsidRPr="00E168A1">
        <w:rPr>
          <w:rFonts w:ascii="Times New Roman" w:hAnsi="Times New Roman"/>
        </w:rPr>
        <w:t>plans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regulatory</w:t>
      </w:r>
      <w:r w:rsidR="00900061" w:rsidRPr="00E168A1">
        <w:rPr>
          <w:rFonts w:ascii="Times New Roman" w:hAnsi="Times New Roman"/>
        </w:rPr>
        <w:t xml:space="preserve"> </w:t>
      </w:r>
      <w:r w:rsidRPr="00E168A1">
        <w:rPr>
          <w:rFonts w:ascii="Times New Roman" w:hAnsi="Times New Roman"/>
        </w:rPr>
        <w:t>instruments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connection</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p>
    <w:p w14:paraId="4074C0F2" w14:textId="65245293" w:rsidR="00A17E70" w:rsidRPr="00E168A1" w:rsidRDefault="00B03657" w:rsidP="00645878">
      <w:pPr>
        <w:pStyle w:val="ListParagraph"/>
        <w:numPr>
          <w:ilvl w:val="0"/>
          <w:numId w:val="29"/>
        </w:numPr>
        <w:ind w:left="0" w:firstLine="0"/>
        <w:contextualSpacing w:val="0"/>
        <w:rPr>
          <w:rFonts w:ascii="Times New Roman" w:hAnsi="Times New Roman"/>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Republic</w:t>
      </w:r>
      <w:r w:rsidR="00900061" w:rsidRPr="00E168A1">
        <w:rPr>
          <w:rFonts w:ascii="Times New Roman" w:hAnsi="Times New Roman"/>
          <w:b/>
          <w:bCs/>
        </w:rPr>
        <w:t xml:space="preserve"> </w:t>
      </w:r>
      <w:r w:rsidRPr="00E168A1">
        <w:rPr>
          <w:rFonts w:ascii="Times New Roman" w:hAnsi="Times New Roman"/>
          <w:b/>
          <w:bCs/>
        </w:rPr>
        <w:t>Commission</w:t>
      </w:r>
      <w:r w:rsidR="00900061" w:rsidRPr="00E168A1">
        <w:rPr>
          <w:rFonts w:ascii="Times New Roman" w:hAnsi="Times New Roman"/>
          <w:b/>
          <w:bCs/>
        </w:rPr>
        <w:t xml:space="preserve"> </w:t>
      </w:r>
      <w:r w:rsidRPr="00E168A1">
        <w:rPr>
          <w:rFonts w:ascii="Times New Roman" w:hAnsi="Times New Roman"/>
          <w:b/>
          <w:bCs/>
        </w:rPr>
        <w:t>for</w:t>
      </w:r>
      <w:r w:rsidR="00900061" w:rsidRPr="00E168A1">
        <w:rPr>
          <w:rFonts w:ascii="Times New Roman" w:hAnsi="Times New Roman"/>
          <w:b/>
          <w:bCs/>
        </w:rPr>
        <w:t xml:space="preserve"> </w:t>
      </w: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Protection</w:t>
      </w:r>
      <w:r w:rsidR="00900061" w:rsidRPr="00E168A1">
        <w:rPr>
          <w:rFonts w:ascii="Times New Roman" w:hAnsi="Times New Roman"/>
          <w:b/>
          <w:bCs/>
        </w:rPr>
        <w:t xml:space="preserve"> </w:t>
      </w:r>
      <w:r w:rsidRPr="00E168A1">
        <w:rPr>
          <w:rFonts w:ascii="Times New Roman" w:hAnsi="Times New Roman"/>
          <w:b/>
          <w:bCs/>
        </w:rPr>
        <w:t>of</w:t>
      </w:r>
      <w:r w:rsidR="00900061" w:rsidRPr="00E168A1">
        <w:rPr>
          <w:rFonts w:ascii="Times New Roman" w:hAnsi="Times New Roman"/>
          <w:b/>
          <w:bCs/>
        </w:rPr>
        <w:t xml:space="preserve"> </w:t>
      </w:r>
      <w:r w:rsidRPr="00E168A1">
        <w:rPr>
          <w:rFonts w:ascii="Times New Roman" w:hAnsi="Times New Roman"/>
          <w:b/>
          <w:bCs/>
        </w:rPr>
        <w:t>Rights</w:t>
      </w:r>
      <w:r w:rsidR="00900061" w:rsidRPr="00E168A1">
        <w:rPr>
          <w:rFonts w:ascii="Times New Roman" w:hAnsi="Times New Roman"/>
          <w:b/>
          <w:bCs/>
        </w:rPr>
        <w:t xml:space="preserve"> </w:t>
      </w:r>
      <w:r w:rsidRPr="00E168A1">
        <w:rPr>
          <w:rFonts w:ascii="Times New Roman" w:hAnsi="Times New Roman"/>
          <w:b/>
          <w:bCs/>
        </w:rPr>
        <w:t>in</w:t>
      </w:r>
      <w:r w:rsidR="00900061" w:rsidRPr="00E168A1">
        <w:rPr>
          <w:rFonts w:ascii="Times New Roman" w:hAnsi="Times New Roman"/>
          <w:b/>
          <w:bCs/>
        </w:rPr>
        <w:t xml:space="preserve"> </w:t>
      </w:r>
      <w:r w:rsidRPr="00E168A1">
        <w:rPr>
          <w:rFonts w:ascii="Times New Roman" w:hAnsi="Times New Roman"/>
          <w:b/>
          <w:bCs/>
        </w:rPr>
        <w:t>Public</w:t>
      </w:r>
      <w:r w:rsidR="00900061" w:rsidRPr="00E168A1">
        <w:rPr>
          <w:rFonts w:ascii="Times New Roman" w:hAnsi="Times New Roman"/>
          <w:b/>
          <w:bCs/>
        </w:rPr>
        <w:t xml:space="preserve"> </w:t>
      </w:r>
      <w:r w:rsidRPr="00E168A1">
        <w:rPr>
          <w:rFonts w:ascii="Times New Roman" w:hAnsi="Times New Roman"/>
          <w:b/>
          <w:bCs/>
        </w:rPr>
        <w:t>Procurement</w:t>
      </w:r>
      <w:r w:rsidR="00900061" w:rsidRPr="00E168A1">
        <w:rPr>
          <w:rFonts w:ascii="Times New Roman" w:hAnsi="Times New Roman"/>
          <w:b/>
          <w:bCs/>
        </w:rPr>
        <w:t xml:space="preserve"> </w:t>
      </w:r>
      <w:r w:rsidRPr="00E168A1">
        <w:rPr>
          <w:rFonts w:ascii="Times New Roman" w:hAnsi="Times New Roman"/>
          <w:b/>
          <w:bCs/>
        </w:rPr>
        <w:t>Procedures</w:t>
      </w:r>
      <w:r w:rsidR="00900061" w:rsidRPr="00E168A1">
        <w:rPr>
          <w:rFonts w:ascii="Times New Roman" w:hAnsi="Times New Roman"/>
          <w:b/>
          <w:bCs/>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autonomous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independent</w:t>
      </w:r>
      <w:r w:rsidR="00900061" w:rsidRPr="00E168A1">
        <w:rPr>
          <w:rFonts w:ascii="Times New Roman" w:hAnsi="Times New Roman"/>
        </w:rPr>
        <w:t xml:space="preserve"> </w:t>
      </w:r>
      <w:r w:rsidRPr="00E168A1">
        <w:rPr>
          <w:rFonts w:ascii="Times New Roman" w:hAnsi="Times New Roman"/>
        </w:rPr>
        <w:t>body</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Republic</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Serbia</w:t>
      </w:r>
      <w:r w:rsidR="00900061" w:rsidRPr="00E168A1">
        <w:rPr>
          <w:rFonts w:ascii="Times New Roman" w:hAnsi="Times New Roman"/>
        </w:rPr>
        <w:t xml:space="preserve"> </w:t>
      </w:r>
      <w:r w:rsidR="00B52DD3" w:rsidRPr="00E168A1">
        <w:rPr>
          <w:rFonts w:ascii="Times New Roman" w:hAnsi="Times New Roman"/>
        </w:rPr>
        <w:t xml:space="preserve">that </w:t>
      </w:r>
      <w:r w:rsidRPr="00E168A1">
        <w:rPr>
          <w:rFonts w:ascii="Times New Roman" w:hAnsi="Times New Roman"/>
        </w:rPr>
        <w:t>ensures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responsible</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FA5563" w:rsidRPr="00E168A1">
        <w:rPr>
          <w:rFonts w:ascii="Times New Roman" w:hAnsi="Times New Roman"/>
        </w:rPr>
        <w:t>p</w:t>
      </w:r>
      <w:r w:rsidRPr="00E168A1">
        <w:rPr>
          <w:rFonts w:ascii="Times New Roman" w:hAnsi="Times New Roman"/>
        </w:rPr>
        <w:t>arliament.</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part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its</w:t>
      </w:r>
      <w:r w:rsidR="00900061" w:rsidRPr="00E168A1">
        <w:rPr>
          <w:rFonts w:ascii="Times New Roman" w:hAnsi="Times New Roman"/>
        </w:rPr>
        <w:t xml:space="preserve"> </w:t>
      </w:r>
      <w:r w:rsidRPr="00E168A1">
        <w:rPr>
          <w:rFonts w:ascii="Times New Roman" w:hAnsi="Times New Roman"/>
        </w:rPr>
        <w:t>statutory</w:t>
      </w:r>
      <w:r w:rsidR="00900061" w:rsidRPr="00E168A1">
        <w:rPr>
          <w:rFonts w:ascii="Times New Roman" w:hAnsi="Times New Roman"/>
        </w:rPr>
        <w:t xml:space="preserve"> </w:t>
      </w:r>
      <w:r w:rsidRPr="00E168A1">
        <w:rPr>
          <w:rFonts w:ascii="Times New Roman" w:hAnsi="Times New Roman"/>
        </w:rPr>
        <w:t>powers,</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decides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procedures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oversees</w:t>
      </w:r>
      <w:r w:rsidR="00900061" w:rsidRPr="00E168A1">
        <w:rPr>
          <w:rFonts w:ascii="Times New Roman" w:hAnsi="Times New Roman"/>
        </w:rPr>
        <w:t xml:space="preserve"> </w:t>
      </w:r>
      <w:r w:rsidRPr="00E168A1">
        <w:rPr>
          <w:rFonts w:ascii="Times New Roman" w:hAnsi="Times New Roman"/>
        </w:rPr>
        <w:t>compliance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its</w:t>
      </w:r>
      <w:r w:rsidR="00900061" w:rsidRPr="00E168A1">
        <w:rPr>
          <w:rFonts w:ascii="Times New Roman" w:hAnsi="Times New Roman"/>
        </w:rPr>
        <w:t xml:space="preserve"> </w:t>
      </w:r>
      <w:r w:rsidRPr="00E168A1">
        <w:rPr>
          <w:rFonts w:ascii="Times New Roman" w:hAnsi="Times New Roman"/>
        </w:rPr>
        <w:t>decisions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annuls</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contracts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imposes</w:t>
      </w:r>
      <w:r w:rsidR="00900061" w:rsidRPr="00E168A1">
        <w:rPr>
          <w:rFonts w:ascii="Times New Roman" w:hAnsi="Times New Roman"/>
        </w:rPr>
        <w:t xml:space="preserve"> </w:t>
      </w:r>
      <w:r w:rsidRPr="00E168A1">
        <w:rPr>
          <w:rFonts w:ascii="Times New Roman" w:hAnsi="Times New Roman"/>
        </w:rPr>
        <w:t>fines</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responsible</w:t>
      </w:r>
      <w:r w:rsidR="00900061" w:rsidRPr="00E168A1">
        <w:rPr>
          <w:rFonts w:ascii="Times New Roman" w:hAnsi="Times New Roman"/>
        </w:rPr>
        <w:t xml:space="preserve"> </w:t>
      </w:r>
      <w:r w:rsidRPr="00E168A1">
        <w:rPr>
          <w:rFonts w:ascii="Times New Roman" w:hAnsi="Times New Roman"/>
        </w:rPr>
        <w:t>persons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submits</w:t>
      </w:r>
      <w:r w:rsidR="00900061" w:rsidRPr="00E168A1">
        <w:rPr>
          <w:rFonts w:ascii="Times New Roman" w:hAnsi="Times New Roman"/>
        </w:rPr>
        <w:t xml:space="preserve"> </w:t>
      </w:r>
      <w:r w:rsidRPr="00E168A1">
        <w:rPr>
          <w:rFonts w:ascii="Times New Roman" w:hAnsi="Times New Roman"/>
        </w:rPr>
        <w:t>proposals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dismissal</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managers</w:t>
      </w:r>
      <w:r w:rsidR="00900061" w:rsidRPr="00E168A1">
        <w:rPr>
          <w:rFonts w:ascii="Times New Roman" w:hAnsi="Times New Roman"/>
        </w:rPr>
        <w:t xml:space="preserve"> </w:t>
      </w:r>
      <w:r w:rsidRPr="00E168A1">
        <w:rPr>
          <w:rFonts w:ascii="Times New Roman" w:hAnsi="Times New Roman"/>
        </w:rPr>
        <w:t>or</w:t>
      </w:r>
      <w:r w:rsidR="00900061" w:rsidRPr="00E168A1">
        <w:rPr>
          <w:rFonts w:ascii="Times New Roman" w:hAnsi="Times New Roman"/>
        </w:rPr>
        <w:t xml:space="preserve"> </w:t>
      </w:r>
      <w:r w:rsidRPr="00E168A1">
        <w:rPr>
          <w:rFonts w:ascii="Times New Roman" w:hAnsi="Times New Roman"/>
        </w:rPr>
        <w:t>responsible</w:t>
      </w:r>
      <w:r w:rsidR="00900061" w:rsidRPr="00E168A1">
        <w:rPr>
          <w:rFonts w:ascii="Times New Roman" w:hAnsi="Times New Roman"/>
        </w:rPr>
        <w:t xml:space="preserve"> </w:t>
      </w:r>
      <w:r w:rsidRPr="00E168A1">
        <w:rPr>
          <w:rFonts w:ascii="Times New Roman" w:hAnsi="Times New Roman"/>
        </w:rPr>
        <w:t>persons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contracting</w:t>
      </w:r>
      <w:r w:rsidR="00900061" w:rsidRPr="00E168A1">
        <w:rPr>
          <w:rFonts w:ascii="Times New Roman" w:hAnsi="Times New Roman"/>
        </w:rPr>
        <w:t xml:space="preserve"> </w:t>
      </w:r>
      <w:r w:rsidRPr="00E168A1">
        <w:rPr>
          <w:rFonts w:ascii="Times New Roman" w:hAnsi="Times New Roman"/>
        </w:rPr>
        <w:t>authorities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fines</w:t>
      </w:r>
      <w:r w:rsidR="00900061" w:rsidRPr="00E168A1">
        <w:rPr>
          <w:rFonts w:ascii="Times New Roman" w:hAnsi="Times New Roman"/>
        </w:rPr>
        <w:t xml:space="preserve"> </w:t>
      </w:r>
      <w:r w:rsidRPr="00E168A1">
        <w:rPr>
          <w:rFonts w:ascii="Times New Roman" w:hAnsi="Times New Roman"/>
        </w:rPr>
        <w:t>applicants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case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abuse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requests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rights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conducts</w:t>
      </w:r>
      <w:r w:rsidR="00900061" w:rsidRPr="00E168A1">
        <w:rPr>
          <w:rFonts w:ascii="Times New Roman" w:hAnsi="Times New Roman"/>
        </w:rPr>
        <w:t xml:space="preserve"> </w:t>
      </w:r>
      <w:r w:rsidRPr="00E168A1">
        <w:rPr>
          <w:rFonts w:ascii="Times New Roman" w:hAnsi="Times New Roman"/>
        </w:rPr>
        <w:t>infringement</w:t>
      </w:r>
      <w:r w:rsidR="00900061" w:rsidRPr="00E168A1">
        <w:rPr>
          <w:rFonts w:ascii="Times New Roman" w:hAnsi="Times New Roman"/>
        </w:rPr>
        <w:t xml:space="preserve"> </w:t>
      </w:r>
      <w:r w:rsidRPr="00E168A1">
        <w:rPr>
          <w:rFonts w:ascii="Times New Roman" w:hAnsi="Times New Roman"/>
        </w:rPr>
        <w:t>proceedings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first</w:t>
      </w:r>
      <w:r w:rsidR="00900061" w:rsidRPr="00E168A1">
        <w:rPr>
          <w:rFonts w:ascii="Times New Roman" w:hAnsi="Times New Roman"/>
        </w:rPr>
        <w:t xml:space="preserve"> </w:t>
      </w:r>
      <w:r w:rsidRPr="00E168A1">
        <w:rPr>
          <w:rFonts w:ascii="Times New Roman" w:hAnsi="Times New Roman"/>
        </w:rPr>
        <w:t>instance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infringements</w:t>
      </w:r>
      <w:r w:rsidR="00900061" w:rsidRPr="00E168A1">
        <w:rPr>
          <w:rFonts w:ascii="Times New Roman" w:hAnsi="Times New Roman"/>
        </w:rPr>
        <w:t xml:space="preserve"> </w:t>
      </w:r>
      <w:r w:rsidRPr="00E168A1">
        <w:rPr>
          <w:rFonts w:ascii="Times New Roman" w:hAnsi="Times New Roman"/>
        </w:rPr>
        <w:t>specified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PPL</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initiates</w:t>
      </w:r>
      <w:r w:rsidR="00900061" w:rsidRPr="00E168A1">
        <w:rPr>
          <w:rFonts w:ascii="Times New Roman" w:hAnsi="Times New Roman"/>
        </w:rPr>
        <w:t xml:space="preserve"> </w:t>
      </w:r>
      <w:r w:rsidRPr="00E168A1">
        <w:rPr>
          <w:rFonts w:ascii="Times New Roman" w:hAnsi="Times New Roman"/>
        </w:rPr>
        <w:t>procedures</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annulment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contracts</w:t>
      </w:r>
      <w:r w:rsidR="00AF08EF"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performs</w:t>
      </w:r>
      <w:r w:rsidR="00900061" w:rsidRPr="00E168A1">
        <w:rPr>
          <w:rFonts w:ascii="Times New Roman" w:hAnsi="Times New Roman"/>
        </w:rPr>
        <w:t xml:space="preserve"> </w:t>
      </w:r>
      <w:r w:rsidRPr="00E168A1">
        <w:rPr>
          <w:rFonts w:ascii="Times New Roman" w:hAnsi="Times New Roman"/>
        </w:rPr>
        <w:t>other</w:t>
      </w:r>
      <w:r w:rsidR="00900061" w:rsidRPr="00E168A1">
        <w:rPr>
          <w:rFonts w:ascii="Times New Roman" w:hAnsi="Times New Roman"/>
        </w:rPr>
        <w:t xml:space="preserve"> </w:t>
      </w:r>
      <w:r w:rsidRPr="00E168A1">
        <w:rPr>
          <w:rFonts w:ascii="Times New Roman" w:hAnsi="Times New Roman"/>
        </w:rPr>
        <w:t>duties</w:t>
      </w:r>
      <w:r w:rsidR="00900061" w:rsidRPr="00E168A1">
        <w:rPr>
          <w:rFonts w:ascii="Times New Roman" w:hAnsi="Times New Roman"/>
        </w:rPr>
        <w:t xml:space="preserve"> </w:t>
      </w:r>
      <w:r w:rsidRPr="00E168A1">
        <w:rPr>
          <w:rFonts w:ascii="Times New Roman" w:hAnsi="Times New Roman"/>
        </w:rPr>
        <w:t>provided</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B52DD3" w:rsidRPr="00E168A1">
        <w:rPr>
          <w:rFonts w:ascii="Times New Roman" w:hAnsi="Times New Roman"/>
        </w:rPr>
        <w:t>l</w:t>
      </w:r>
      <w:r w:rsidRPr="00E168A1">
        <w:rPr>
          <w:rFonts w:ascii="Times New Roman" w:hAnsi="Times New Roman"/>
        </w:rPr>
        <w:t>aw.</w:t>
      </w:r>
    </w:p>
    <w:p w14:paraId="5A1AD01D" w14:textId="6C6D7330" w:rsidR="00A17E70" w:rsidRPr="00E168A1" w:rsidRDefault="00B03657" w:rsidP="00645878">
      <w:pPr>
        <w:pStyle w:val="ListParagraph"/>
        <w:numPr>
          <w:ilvl w:val="0"/>
          <w:numId w:val="29"/>
        </w:numPr>
        <w:ind w:left="0" w:firstLine="0"/>
        <w:contextualSpacing w:val="0"/>
        <w:rPr>
          <w:rFonts w:ascii="Times New Roman" w:hAnsi="Times New Roman"/>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State</w:t>
      </w:r>
      <w:r w:rsidR="00900061" w:rsidRPr="00E168A1">
        <w:rPr>
          <w:rFonts w:ascii="Times New Roman" w:hAnsi="Times New Roman"/>
          <w:b/>
          <w:bCs/>
        </w:rPr>
        <w:t xml:space="preserve"> </w:t>
      </w:r>
      <w:r w:rsidRPr="00E168A1">
        <w:rPr>
          <w:rFonts w:ascii="Times New Roman" w:hAnsi="Times New Roman"/>
          <w:b/>
          <w:bCs/>
        </w:rPr>
        <w:t>Audit</w:t>
      </w:r>
      <w:r w:rsidR="00900061" w:rsidRPr="00E168A1">
        <w:rPr>
          <w:rFonts w:ascii="Times New Roman" w:hAnsi="Times New Roman"/>
          <w:b/>
          <w:bCs/>
        </w:rPr>
        <w:t xml:space="preserve"> </w:t>
      </w:r>
      <w:r w:rsidRPr="00E168A1">
        <w:rPr>
          <w:rFonts w:ascii="Times New Roman" w:hAnsi="Times New Roman"/>
          <w:b/>
          <w:bCs/>
        </w:rPr>
        <w:t>Institution</w:t>
      </w:r>
      <w:r w:rsidR="00900061" w:rsidRPr="00E168A1">
        <w:rPr>
          <w:rFonts w:ascii="Times New Roman" w:hAnsi="Times New Roman"/>
          <w:b/>
          <w:bCs/>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supreme</w:t>
      </w:r>
      <w:r w:rsidR="00900061" w:rsidRPr="00E168A1">
        <w:rPr>
          <w:rFonts w:ascii="Times New Roman" w:hAnsi="Times New Roman"/>
        </w:rPr>
        <w:t xml:space="preserve"> </w:t>
      </w:r>
      <w:r w:rsidRPr="00E168A1">
        <w:rPr>
          <w:rFonts w:ascii="Times New Roman" w:hAnsi="Times New Roman"/>
        </w:rPr>
        <w:t>body</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charge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auditing</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funds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Republic</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Serbia.</w:t>
      </w:r>
      <w:r w:rsidR="003C78A1" w:rsidRPr="00E168A1">
        <w:rPr>
          <w:rFonts w:ascii="Times New Roman" w:hAnsi="Times New Roman"/>
        </w:rPr>
        <w:t xml:space="preserve"> </w:t>
      </w:r>
      <w:r w:rsidRPr="00E168A1">
        <w:rPr>
          <w:rFonts w:ascii="Times New Roman" w:hAnsi="Times New Roman"/>
          <w:color w:val="000000"/>
        </w:rPr>
        <w:t>It</w:t>
      </w:r>
      <w:r w:rsidR="00900061" w:rsidRPr="00E168A1">
        <w:rPr>
          <w:rFonts w:ascii="Times New Roman" w:hAnsi="Times New Roman"/>
          <w:color w:val="000000"/>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C78A1" w:rsidRPr="00E168A1">
        <w:rPr>
          <w:rFonts w:ascii="Times New Roman" w:hAnsi="Times New Roman"/>
        </w:rPr>
        <w:t>NA</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Republic</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Serbia</w:t>
      </w:r>
      <w:r w:rsidR="00900061" w:rsidRPr="00E168A1">
        <w:rPr>
          <w:rFonts w:ascii="Times New Roman" w:hAnsi="Times New Roman"/>
        </w:rPr>
        <w:t xml:space="preserve"> </w:t>
      </w:r>
      <w:r w:rsidRPr="00E168A1">
        <w:rPr>
          <w:rFonts w:ascii="Times New Roman" w:hAnsi="Times New Roman"/>
        </w:rPr>
        <w:t>about</w:t>
      </w:r>
      <w:r w:rsidR="00900061" w:rsidRPr="00E168A1">
        <w:rPr>
          <w:rFonts w:ascii="Times New Roman" w:hAnsi="Times New Roman"/>
        </w:rPr>
        <w:t xml:space="preserve"> </w:t>
      </w:r>
      <w:r w:rsidRPr="00E168A1">
        <w:rPr>
          <w:rFonts w:ascii="Times New Roman" w:hAnsi="Times New Roman"/>
        </w:rPr>
        <w:t>its</w:t>
      </w:r>
      <w:r w:rsidR="00900061" w:rsidRPr="00E168A1">
        <w:rPr>
          <w:rFonts w:ascii="Times New Roman" w:hAnsi="Times New Roman"/>
        </w:rPr>
        <w:t xml:space="preserve"> </w:t>
      </w:r>
      <w:r w:rsidRPr="00E168A1">
        <w:rPr>
          <w:rFonts w:ascii="Times New Roman" w:hAnsi="Times New Roman"/>
        </w:rPr>
        <w:t>activities</w:t>
      </w:r>
      <w:r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part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its</w:t>
      </w:r>
      <w:r w:rsidR="00900061" w:rsidRPr="00E168A1">
        <w:rPr>
          <w:rFonts w:ascii="Times New Roman" w:hAnsi="Times New Roman"/>
        </w:rPr>
        <w:t xml:space="preserve"> </w:t>
      </w:r>
      <w:r w:rsidRPr="00E168A1">
        <w:rPr>
          <w:rFonts w:ascii="Times New Roman" w:hAnsi="Times New Roman"/>
        </w:rPr>
        <w:t>statutory</w:t>
      </w:r>
      <w:r w:rsidR="00900061" w:rsidRPr="00E168A1">
        <w:rPr>
          <w:rFonts w:ascii="Times New Roman" w:hAnsi="Times New Roman"/>
        </w:rPr>
        <w:t xml:space="preserve"> </w:t>
      </w:r>
      <w:r w:rsidRPr="00E168A1">
        <w:rPr>
          <w:rFonts w:ascii="Times New Roman" w:hAnsi="Times New Roman"/>
        </w:rPr>
        <w:t>powers,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SAI</w:t>
      </w:r>
      <w:r w:rsidR="00900061" w:rsidRPr="00E168A1">
        <w:rPr>
          <w:rFonts w:ascii="Times New Roman" w:hAnsi="Times New Roman"/>
        </w:rPr>
        <w:t xml:space="preserve"> </w:t>
      </w:r>
      <w:r w:rsidRPr="00E168A1">
        <w:rPr>
          <w:rFonts w:ascii="Times New Roman" w:hAnsi="Times New Roman"/>
        </w:rPr>
        <w:t>audits</w:t>
      </w:r>
      <w:r w:rsidR="00900061" w:rsidRPr="00E168A1">
        <w:rPr>
          <w:rFonts w:ascii="Times New Roman" w:hAnsi="Times New Roman"/>
        </w:rPr>
        <w:t xml:space="preserve"> </w:t>
      </w:r>
      <w:r w:rsidRPr="00E168A1">
        <w:rPr>
          <w:rFonts w:ascii="Times New Roman" w:hAnsi="Times New Roman"/>
        </w:rPr>
        <w:t>financial</w:t>
      </w:r>
      <w:r w:rsidR="00900061" w:rsidRPr="00E168A1">
        <w:rPr>
          <w:rFonts w:ascii="Times New Roman" w:hAnsi="Times New Roman"/>
        </w:rPr>
        <w:t xml:space="preserve"> </w:t>
      </w:r>
      <w:r w:rsidRPr="00E168A1">
        <w:rPr>
          <w:rFonts w:ascii="Times New Roman" w:hAnsi="Times New Roman"/>
        </w:rPr>
        <w:t>statements,</w:t>
      </w:r>
      <w:r w:rsidR="00900061" w:rsidRPr="00E168A1">
        <w:rPr>
          <w:rFonts w:ascii="Times New Roman" w:hAnsi="Times New Roman"/>
        </w:rPr>
        <w:t xml:space="preserve"> </w:t>
      </w:r>
      <w:r w:rsidRPr="00E168A1">
        <w:rPr>
          <w:rFonts w:ascii="Times New Roman" w:hAnsi="Times New Roman"/>
        </w:rPr>
        <w:t>audits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lawfulness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operations</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includes</w:t>
      </w:r>
      <w:r w:rsidR="00900061" w:rsidRPr="00E168A1">
        <w:rPr>
          <w:rFonts w:ascii="Times New Roman" w:hAnsi="Times New Roman"/>
        </w:rPr>
        <w:t xml:space="preserve"> </w:t>
      </w:r>
      <w:r w:rsidRPr="00E168A1">
        <w:rPr>
          <w:rFonts w:ascii="Times New Roman" w:hAnsi="Times New Roman"/>
        </w:rPr>
        <w:t>reviews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financial</w:t>
      </w:r>
      <w:r w:rsidR="00900061" w:rsidRPr="00E168A1">
        <w:rPr>
          <w:rFonts w:ascii="Times New Roman" w:hAnsi="Times New Roman"/>
        </w:rPr>
        <w:t xml:space="preserve"> </w:t>
      </w:r>
      <w:r w:rsidRPr="00E168A1">
        <w:rPr>
          <w:rFonts w:ascii="Times New Roman" w:hAnsi="Times New Roman"/>
        </w:rPr>
        <w:t>transactions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decisions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audits</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purposefulness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operations,</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includes</w:t>
      </w:r>
      <w:r w:rsidR="00900061" w:rsidRPr="00E168A1">
        <w:rPr>
          <w:rFonts w:ascii="Times New Roman" w:hAnsi="Times New Roman"/>
        </w:rPr>
        <w:t xml:space="preserve"> </w:t>
      </w:r>
      <w:r w:rsidRPr="00E168A1">
        <w:rPr>
          <w:rFonts w:ascii="Times New Roman" w:hAnsi="Times New Roman"/>
        </w:rPr>
        <w:t>inspection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spending</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budget</w:t>
      </w:r>
      <w:r w:rsidR="00900061" w:rsidRPr="00E168A1">
        <w:rPr>
          <w:rFonts w:ascii="Times New Roman" w:hAnsi="Times New Roman"/>
        </w:rPr>
        <w:t xml:space="preserve"> </w:t>
      </w:r>
      <w:r w:rsidRPr="00E168A1">
        <w:rPr>
          <w:rFonts w:ascii="Times New Roman" w:hAnsi="Times New Roman"/>
        </w:rPr>
        <w:t>funds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other</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funds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report</w:t>
      </w:r>
      <w:r w:rsidR="00900061" w:rsidRPr="00E168A1">
        <w:rPr>
          <w:rFonts w:ascii="Times New Roman" w:hAnsi="Times New Roman"/>
        </w:rPr>
        <w:t xml:space="preserve"> </w:t>
      </w:r>
      <w:r w:rsidRPr="00E168A1">
        <w:rPr>
          <w:rFonts w:ascii="Times New Roman" w:hAnsi="Times New Roman"/>
        </w:rPr>
        <w:t>whether</w:t>
      </w:r>
      <w:r w:rsidR="00900061" w:rsidRPr="00E168A1">
        <w:rPr>
          <w:rFonts w:ascii="Times New Roman" w:hAnsi="Times New Roman"/>
        </w:rPr>
        <w:t xml:space="preserve"> </w:t>
      </w:r>
      <w:r w:rsidRPr="00E168A1">
        <w:rPr>
          <w:rFonts w:ascii="Times New Roman" w:hAnsi="Times New Roman"/>
        </w:rPr>
        <w:t>they</w:t>
      </w:r>
      <w:r w:rsidR="00900061" w:rsidRPr="00E168A1">
        <w:rPr>
          <w:rFonts w:ascii="Times New Roman" w:hAnsi="Times New Roman"/>
        </w:rPr>
        <w:t xml:space="preserve"> </w:t>
      </w:r>
      <w:r w:rsidRPr="00E168A1">
        <w:rPr>
          <w:rFonts w:ascii="Times New Roman" w:hAnsi="Times New Roman"/>
        </w:rPr>
        <w:t>have</w:t>
      </w:r>
      <w:r w:rsidR="00900061" w:rsidRPr="00E168A1">
        <w:rPr>
          <w:rFonts w:ascii="Times New Roman" w:hAnsi="Times New Roman"/>
        </w:rPr>
        <w:t xml:space="preserve"> </w:t>
      </w:r>
      <w:r w:rsidRPr="00E168A1">
        <w:rPr>
          <w:rFonts w:ascii="Times New Roman" w:hAnsi="Times New Roman"/>
        </w:rPr>
        <w:t>been</w:t>
      </w:r>
      <w:r w:rsidR="00900061" w:rsidRPr="00E168A1">
        <w:rPr>
          <w:rFonts w:ascii="Times New Roman" w:hAnsi="Times New Roman"/>
        </w:rPr>
        <w:t xml:space="preserve"> </w:t>
      </w:r>
      <w:r w:rsidRPr="00E168A1">
        <w:rPr>
          <w:rFonts w:ascii="Times New Roman" w:hAnsi="Times New Roman"/>
        </w:rPr>
        <w:t>used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principles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cost-effectiveness,</w:t>
      </w:r>
      <w:r w:rsidR="00900061" w:rsidRPr="00E168A1">
        <w:rPr>
          <w:rFonts w:ascii="Times New Roman" w:hAnsi="Times New Roman"/>
        </w:rPr>
        <w:t xml:space="preserve"> </w:t>
      </w:r>
      <w:r w:rsidRPr="00E168A1">
        <w:rPr>
          <w:rFonts w:ascii="Times New Roman" w:hAnsi="Times New Roman"/>
        </w:rPr>
        <w:t>efficiency</w:t>
      </w:r>
      <w:r w:rsidR="00B52DD3"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effectiveness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planned</w:t>
      </w:r>
      <w:r w:rsidR="00900061" w:rsidRPr="00E168A1">
        <w:rPr>
          <w:rFonts w:ascii="Times New Roman" w:hAnsi="Times New Roman"/>
        </w:rPr>
        <w:t xml:space="preserve"> </w:t>
      </w:r>
      <w:r w:rsidRPr="00E168A1">
        <w:rPr>
          <w:rFonts w:ascii="Times New Roman" w:hAnsi="Times New Roman"/>
        </w:rPr>
        <w:t>objectives.</w:t>
      </w:r>
    </w:p>
    <w:p w14:paraId="51AEDE52" w14:textId="2C06C187" w:rsidR="00A17E70" w:rsidRPr="00E168A1" w:rsidRDefault="00B03657" w:rsidP="00645878">
      <w:pPr>
        <w:pStyle w:val="ListParagraph"/>
        <w:numPr>
          <w:ilvl w:val="0"/>
          <w:numId w:val="29"/>
        </w:numPr>
        <w:ind w:left="0" w:firstLine="0"/>
        <w:contextualSpacing w:val="0"/>
        <w:rPr>
          <w:rFonts w:ascii="Times New Roman" w:hAnsi="Times New Roman"/>
          <w:color w:val="000000"/>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Ministry</w:t>
      </w:r>
      <w:r w:rsidR="00900061" w:rsidRPr="00E168A1">
        <w:rPr>
          <w:rFonts w:ascii="Times New Roman" w:hAnsi="Times New Roman"/>
          <w:b/>
          <w:bCs/>
        </w:rPr>
        <w:t xml:space="preserve"> </w:t>
      </w:r>
      <w:r w:rsidRPr="00E168A1">
        <w:rPr>
          <w:rFonts w:ascii="Times New Roman" w:hAnsi="Times New Roman"/>
          <w:b/>
          <w:bCs/>
        </w:rPr>
        <w:t>of</w:t>
      </w:r>
      <w:r w:rsidR="00900061" w:rsidRPr="00E168A1">
        <w:rPr>
          <w:rFonts w:ascii="Times New Roman" w:hAnsi="Times New Roman"/>
          <w:b/>
          <w:bCs/>
        </w:rPr>
        <w:t xml:space="preserve"> </w:t>
      </w:r>
      <w:r w:rsidRPr="00E168A1">
        <w:rPr>
          <w:rFonts w:ascii="Times New Roman" w:hAnsi="Times New Roman"/>
          <w:b/>
          <w:bCs/>
        </w:rPr>
        <w:t>Finance</w:t>
      </w:r>
      <w:r w:rsidR="00900061" w:rsidRPr="00E168A1">
        <w:rPr>
          <w:rFonts w:ascii="Times New Roman" w:hAnsi="Times New Roman"/>
          <w:b/>
          <w:bCs/>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Ministries</w:t>
      </w:r>
      <w:r w:rsidR="00900061" w:rsidRPr="00E168A1">
        <w:rPr>
          <w:rFonts w:ascii="Times New Roman" w:hAnsi="Times New Roman"/>
        </w:rPr>
        <w:t xml:space="preserve"> </w:t>
      </w:r>
      <w:r w:rsidRPr="00E168A1">
        <w:rPr>
          <w:rFonts w:ascii="Times New Roman" w:hAnsi="Times New Roman"/>
        </w:rPr>
        <w:t>(Official</w:t>
      </w:r>
      <w:r w:rsidR="00900061" w:rsidRPr="00E168A1">
        <w:rPr>
          <w:rFonts w:ascii="Times New Roman" w:hAnsi="Times New Roman"/>
        </w:rPr>
        <w:t xml:space="preserve"> </w:t>
      </w:r>
      <w:r w:rsidRPr="00E168A1">
        <w:rPr>
          <w:rFonts w:ascii="Times New Roman" w:hAnsi="Times New Roman"/>
        </w:rPr>
        <w:t>Gazette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RS</w:t>
      </w:r>
      <w:r w:rsidR="00900061" w:rsidRPr="00E168A1">
        <w:rPr>
          <w:rFonts w:ascii="Times New Roman" w:hAnsi="Times New Roman"/>
        </w:rPr>
        <w:t xml:space="preserve"> </w:t>
      </w:r>
      <w:r w:rsidRPr="00E168A1">
        <w:rPr>
          <w:rFonts w:ascii="Times New Roman" w:hAnsi="Times New Roman"/>
        </w:rPr>
        <w:t>No.</w:t>
      </w:r>
      <w:r w:rsidR="00900061" w:rsidRPr="00E168A1">
        <w:rPr>
          <w:rFonts w:ascii="Times New Roman" w:hAnsi="Times New Roman"/>
        </w:rPr>
        <w:t xml:space="preserve"> </w:t>
      </w:r>
      <w:r w:rsidRPr="00E168A1">
        <w:rPr>
          <w:rFonts w:ascii="Times New Roman" w:hAnsi="Times New Roman"/>
        </w:rPr>
        <w:t>44/14),</w:t>
      </w:r>
      <w:r w:rsidR="00900061" w:rsidRPr="00E168A1">
        <w:rPr>
          <w:rFonts w:ascii="Times New Roman" w:hAnsi="Times New Roman"/>
        </w:rPr>
        <w:t xml:space="preserve"> </w:t>
      </w:r>
      <w:r w:rsidRPr="00E168A1">
        <w:rPr>
          <w:rFonts w:ascii="Times New Roman" w:hAnsi="Times New Roman"/>
        </w:rPr>
        <w:t>vested</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administration</w:t>
      </w:r>
      <w:r w:rsidR="00900061" w:rsidRPr="00E168A1">
        <w:rPr>
          <w:rFonts w:ascii="Times New Roman" w:hAnsi="Times New Roman"/>
        </w:rPr>
        <w:t xml:space="preserve"> </w:t>
      </w:r>
      <w:r w:rsidRPr="00E168A1">
        <w:rPr>
          <w:rFonts w:ascii="Times New Roman" w:hAnsi="Times New Roman"/>
        </w:rPr>
        <w:t>duties</w:t>
      </w:r>
      <w:r w:rsidR="00900061" w:rsidRPr="00E168A1">
        <w:rPr>
          <w:rFonts w:ascii="Times New Roman" w:hAnsi="Times New Roman"/>
        </w:rPr>
        <w:t xml:space="preserve"> </w:t>
      </w:r>
      <w:r w:rsidRPr="00E168A1">
        <w:rPr>
          <w:rFonts w:ascii="Times New Roman" w:hAnsi="Times New Roman"/>
        </w:rPr>
        <w:t>which,</w:t>
      </w:r>
      <w:r w:rsidR="00900061" w:rsidRPr="00E168A1">
        <w:rPr>
          <w:rFonts w:ascii="Times New Roman" w:hAnsi="Times New Roman"/>
        </w:rPr>
        <w:t xml:space="preserve"> </w:t>
      </w:r>
      <w:r w:rsidRPr="00E168A1">
        <w:rPr>
          <w:rFonts w:ascii="Times New Roman" w:hAnsi="Times New Roman"/>
        </w:rPr>
        <w:t>among</w:t>
      </w:r>
      <w:r w:rsidR="00900061" w:rsidRPr="00E168A1">
        <w:rPr>
          <w:rFonts w:ascii="Times New Roman" w:hAnsi="Times New Roman"/>
        </w:rPr>
        <w:t xml:space="preserve"> </w:t>
      </w:r>
      <w:r w:rsidRPr="00E168A1">
        <w:rPr>
          <w:rFonts w:ascii="Times New Roman" w:hAnsi="Times New Roman"/>
        </w:rPr>
        <w:t>other</w:t>
      </w:r>
      <w:r w:rsidR="00900061" w:rsidRPr="00E168A1">
        <w:rPr>
          <w:rFonts w:ascii="Times New Roman" w:hAnsi="Times New Roman"/>
        </w:rPr>
        <w:t xml:space="preserve"> </w:t>
      </w:r>
      <w:r w:rsidRPr="00E168A1">
        <w:rPr>
          <w:rFonts w:ascii="Times New Roman" w:hAnsi="Times New Roman"/>
        </w:rPr>
        <w:t>things,</w:t>
      </w:r>
      <w:r w:rsidR="00900061" w:rsidRPr="00E168A1">
        <w:rPr>
          <w:rFonts w:ascii="Times New Roman" w:hAnsi="Times New Roman"/>
        </w:rPr>
        <w:t xml:space="preserve"> </w:t>
      </w:r>
      <w:r w:rsidRPr="00E168A1">
        <w:rPr>
          <w:rFonts w:ascii="Times New Roman" w:hAnsi="Times New Roman"/>
        </w:rPr>
        <w:t>include</w:t>
      </w:r>
      <w:r w:rsidR="00BA47F6" w:rsidRPr="00E168A1">
        <w:rPr>
          <w:rFonts w:ascii="Times New Roman" w:hAnsi="Times New Roman"/>
        </w:rPr>
        <w:t>s</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procurements.</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PPL,</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A77BC5" w:rsidRPr="00E168A1">
        <w:rPr>
          <w:rFonts w:ascii="Times New Roman" w:hAnsi="Times New Roman"/>
        </w:rPr>
        <w:t>MoF</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responsible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adopting</w:t>
      </w:r>
      <w:r w:rsidR="00900061" w:rsidRPr="00E168A1">
        <w:rPr>
          <w:rFonts w:ascii="Times New Roman" w:hAnsi="Times New Roman"/>
        </w:rPr>
        <w:t xml:space="preserve"> </w:t>
      </w:r>
      <w:r w:rsidRPr="00E168A1">
        <w:rPr>
          <w:rFonts w:ascii="Times New Roman" w:hAnsi="Times New Roman"/>
        </w:rPr>
        <w:t>certain</w:t>
      </w:r>
      <w:r w:rsidR="00900061" w:rsidRPr="00E168A1">
        <w:rPr>
          <w:rFonts w:ascii="Times New Roman" w:hAnsi="Times New Roman"/>
        </w:rPr>
        <w:t xml:space="preserve"> </w:t>
      </w:r>
      <w:r w:rsidRPr="00E168A1">
        <w:rPr>
          <w:rFonts w:ascii="Times New Roman" w:hAnsi="Times New Roman"/>
        </w:rPr>
        <w:t>implementing</w:t>
      </w:r>
      <w:r w:rsidR="00900061" w:rsidRPr="00E168A1">
        <w:rPr>
          <w:rFonts w:ascii="Times New Roman" w:hAnsi="Times New Roman"/>
        </w:rPr>
        <w:t xml:space="preserve"> </w:t>
      </w:r>
      <w:r w:rsidRPr="00E168A1">
        <w:rPr>
          <w:rFonts w:ascii="Times New Roman" w:hAnsi="Times New Roman"/>
        </w:rPr>
        <w:t>regulations</w:t>
      </w:r>
      <w:r w:rsidRPr="00E168A1">
        <w:rPr>
          <w:rFonts w:ascii="Times New Roman" w:hAnsi="Times New Roman"/>
          <w:color w:val="000000"/>
        </w:rPr>
        <w:t>.</w:t>
      </w:r>
      <w:r w:rsidR="00900061" w:rsidRPr="00E168A1">
        <w:rPr>
          <w:rFonts w:ascii="Times New Roman" w:hAnsi="Times New Roman"/>
          <w:color w:val="000000"/>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Budget</w:t>
      </w:r>
      <w:r w:rsidR="00900061" w:rsidRPr="00E168A1">
        <w:rPr>
          <w:rFonts w:ascii="Times New Roman" w:hAnsi="Times New Roman"/>
        </w:rPr>
        <w:t xml:space="preserve"> </w:t>
      </w:r>
      <w:r w:rsidRPr="00E168A1">
        <w:rPr>
          <w:rFonts w:ascii="Times New Roman" w:hAnsi="Times New Roman"/>
        </w:rPr>
        <w:t>Inspection</w:t>
      </w:r>
      <w:r w:rsidR="00900061" w:rsidRPr="00E168A1">
        <w:rPr>
          <w:rFonts w:ascii="Times New Roman" w:hAnsi="Times New Roman"/>
        </w:rPr>
        <w:t xml:space="preserve"> </w:t>
      </w:r>
      <w:r w:rsidRPr="00E168A1">
        <w:rPr>
          <w:rFonts w:ascii="Times New Roman" w:hAnsi="Times New Roman"/>
        </w:rPr>
        <w:t>Unit</w:t>
      </w:r>
      <w:r w:rsidR="00900061" w:rsidRPr="00E168A1">
        <w:rPr>
          <w:rFonts w:ascii="Times New Roman" w:hAnsi="Times New Roman"/>
        </w:rPr>
        <w:t xml:space="preserve"> </w:t>
      </w:r>
      <w:r w:rsidRPr="00E168A1">
        <w:rPr>
          <w:rFonts w:ascii="Times New Roman" w:hAnsi="Times New Roman"/>
        </w:rPr>
        <w:t>within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A77BC5" w:rsidRPr="00E168A1">
        <w:rPr>
          <w:rFonts w:ascii="Times New Roman" w:hAnsi="Times New Roman"/>
        </w:rPr>
        <w:t>MoF</w:t>
      </w:r>
      <w:r w:rsidR="00900061" w:rsidRPr="00E168A1">
        <w:rPr>
          <w:rFonts w:ascii="Times New Roman" w:hAnsi="Times New Roman"/>
        </w:rPr>
        <w:t xml:space="preserve"> </w:t>
      </w:r>
      <w:r w:rsidR="00B52DD3" w:rsidRPr="00E168A1">
        <w:rPr>
          <w:rFonts w:ascii="Times New Roman" w:hAnsi="Times New Roman"/>
        </w:rPr>
        <w:t>has</w:t>
      </w:r>
      <w:r w:rsidR="00900061" w:rsidRPr="00E168A1">
        <w:rPr>
          <w:rFonts w:ascii="Times New Roman" w:hAnsi="Times New Roman"/>
        </w:rPr>
        <w:t xml:space="preserve"> </w:t>
      </w:r>
      <w:r w:rsidRPr="00E168A1">
        <w:rPr>
          <w:rFonts w:ascii="Times New Roman" w:hAnsi="Times New Roman"/>
        </w:rPr>
        <w:t>responsib</w:t>
      </w:r>
      <w:r w:rsidR="00B52DD3" w:rsidRPr="00E168A1">
        <w:rPr>
          <w:rFonts w:ascii="Times New Roman" w:hAnsi="Times New Roman"/>
        </w:rPr>
        <w:t>ility</w:t>
      </w:r>
      <w:r w:rsidR="00900061" w:rsidRPr="00E168A1">
        <w:rPr>
          <w:rFonts w:ascii="Times New Roman" w:hAnsi="Times New Roman"/>
        </w:rPr>
        <w:t xml:space="preserve"> </w:t>
      </w:r>
      <w:r w:rsidRPr="00E168A1">
        <w:rPr>
          <w:rFonts w:ascii="Times New Roman" w:hAnsi="Times New Roman"/>
        </w:rPr>
        <w:t>related</w:t>
      </w:r>
      <w:r w:rsidR="00900061" w:rsidRPr="00E168A1">
        <w:rPr>
          <w:rFonts w:ascii="Times New Roman" w:hAnsi="Times New Roman"/>
        </w:rPr>
        <w:t xml:space="preserve"> </w:t>
      </w:r>
      <w:r w:rsidRPr="00E168A1">
        <w:rPr>
          <w:rFonts w:ascii="Times New Roman" w:hAnsi="Times New Roman"/>
        </w:rPr>
        <w:t>to</w:t>
      </w:r>
      <w:r w:rsidR="000C5A32" w:rsidRPr="00E168A1">
        <w:rPr>
          <w:rFonts w:ascii="Times New Roman" w:hAnsi="Times New Roman"/>
        </w:rPr>
        <w:t xml:space="preserve"> the</w:t>
      </w:r>
      <w:r w:rsidR="00900061" w:rsidRPr="00E168A1">
        <w:rPr>
          <w:rFonts w:ascii="Times New Roman" w:hAnsi="Times New Roman"/>
        </w:rPr>
        <w:t xml:space="preserve"> </w:t>
      </w:r>
      <w:r w:rsidRPr="00E168A1">
        <w:rPr>
          <w:rFonts w:ascii="Times New Roman" w:hAnsi="Times New Roman"/>
        </w:rPr>
        <w:t>control</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secondary</w:t>
      </w:r>
      <w:r w:rsidR="00900061" w:rsidRPr="00E168A1">
        <w:rPr>
          <w:rFonts w:ascii="Times New Roman" w:hAnsi="Times New Roman"/>
        </w:rPr>
        <w:t xml:space="preserve"> </w:t>
      </w:r>
      <w:r w:rsidRPr="00E168A1">
        <w:rPr>
          <w:rFonts w:ascii="Times New Roman" w:hAnsi="Times New Roman"/>
        </w:rPr>
        <w:t>legislation</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field</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financial</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material</w:t>
      </w:r>
      <w:r w:rsidR="00900061" w:rsidRPr="00E168A1">
        <w:rPr>
          <w:rFonts w:ascii="Times New Roman" w:hAnsi="Times New Roman"/>
        </w:rPr>
        <w:t xml:space="preserve"> </w:t>
      </w:r>
      <w:r w:rsidRPr="00E168A1">
        <w:rPr>
          <w:rFonts w:ascii="Times New Roman" w:hAnsi="Times New Roman"/>
        </w:rPr>
        <w:t>operations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appropriate</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lawful</w:t>
      </w:r>
      <w:r w:rsidR="00900061" w:rsidRPr="00E168A1">
        <w:rPr>
          <w:rFonts w:ascii="Times New Roman" w:hAnsi="Times New Roman"/>
        </w:rPr>
        <w:t xml:space="preserve"> </w:t>
      </w:r>
      <w:r w:rsidRPr="00E168A1">
        <w:rPr>
          <w:rFonts w:ascii="Times New Roman" w:hAnsi="Times New Roman"/>
        </w:rPr>
        <w:t>use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funds</w:t>
      </w:r>
      <w:r w:rsidR="00900061" w:rsidRPr="00E168A1">
        <w:rPr>
          <w:rFonts w:ascii="Times New Roman" w:hAnsi="Times New Roman"/>
        </w:rPr>
        <w:t xml:space="preserve"> </w:t>
      </w:r>
      <w:r w:rsidRPr="00E168A1">
        <w:rPr>
          <w:rFonts w:ascii="Times New Roman" w:hAnsi="Times New Roman"/>
        </w:rPr>
        <w:t>by</w:t>
      </w:r>
      <w:r w:rsidR="00900061" w:rsidRPr="00E168A1">
        <w:rPr>
          <w:rFonts w:ascii="Times New Roman" w:hAnsi="Times New Roman"/>
        </w:rPr>
        <w:t xml:space="preserve"> </w:t>
      </w:r>
      <w:r w:rsidRPr="00E168A1">
        <w:rPr>
          <w:rFonts w:ascii="Times New Roman" w:hAnsi="Times New Roman"/>
        </w:rPr>
        <w:t>all</w:t>
      </w:r>
      <w:r w:rsidR="00900061" w:rsidRPr="00E168A1">
        <w:rPr>
          <w:rFonts w:ascii="Times New Roman" w:hAnsi="Times New Roman"/>
        </w:rPr>
        <w:t xml:space="preserve"> </w:t>
      </w:r>
      <w:r w:rsidRPr="00E168A1">
        <w:rPr>
          <w:rFonts w:ascii="Times New Roman" w:hAnsi="Times New Roman"/>
        </w:rPr>
        <w:t>spending</w:t>
      </w:r>
      <w:r w:rsidR="00900061" w:rsidRPr="00E168A1">
        <w:rPr>
          <w:rFonts w:ascii="Times New Roman" w:hAnsi="Times New Roman"/>
        </w:rPr>
        <w:t xml:space="preserve"> </w:t>
      </w:r>
      <w:r w:rsidRPr="00E168A1">
        <w:rPr>
          <w:rFonts w:ascii="Times New Roman" w:hAnsi="Times New Roman"/>
        </w:rPr>
        <w:t>units</w:t>
      </w:r>
      <w:r w:rsidR="00900061" w:rsidRPr="00E168A1">
        <w:rPr>
          <w:rFonts w:ascii="Times New Roman" w:hAnsi="Times New Roman"/>
        </w:rPr>
        <w:t xml:space="preserve"> </w:t>
      </w:r>
      <w:r w:rsidRPr="00E168A1">
        <w:rPr>
          <w:rFonts w:ascii="Times New Roman" w:hAnsi="Times New Roman"/>
        </w:rPr>
        <w:t>listed</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B52DD3" w:rsidRPr="00E168A1">
        <w:rPr>
          <w:rFonts w:ascii="Times New Roman" w:hAnsi="Times New Roman"/>
        </w:rPr>
        <w:t>BSL</w:t>
      </w:r>
      <w:r w:rsidRPr="00E168A1">
        <w:rPr>
          <w:rFonts w:ascii="Times New Roman" w:hAnsi="Times New Roman"/>
          <w:color w:val="000000"/>
        </w:rPr>
        <w:t>.</w:t>
      </w:r>
    </w:p>
    <w:p w14:paraId="3C93DE4F" w14:textId="77777777" w:rsidR="00A17E70" w:rsidRPr="00E168A1" w:rsidRDefault="00B03657" w:rsidP="00645878">
      <w:pPr>
        <w:pStyle w:val="ListParagraph"/>
        <w:numPr>
          <w:ilvl w:val="0"/>
          <w:numId w:val="29"/>
        </w:numPr>
        <w:ind w:left="0" w:firstLine="0"/>
        <w:contextualSpacing w:val="0"/>
        <w:rPr>
          <w:rFonts w:ascii="Times New Roman" w:hAnsi="Times New Roman"/>
          <w:color w:val="000000"/>
        </w:rPr>
      </w:pPr>
      <w:r w:rsidRPr="00E168A1">
        <w:rPr>
          <w:rFonts w:ascii="Times New Roman" w:hAnsi="Times New Roman"/>
          <w:b/>
          <w:bCs/>
        </w:rPr>
        <w:lastRenderedPageBreak/>
        <w:t>The</w:t>
      </w:r>
      <w:r w:rsidR="00900061" w:rsidRPr="00E168A1">
        <w:rPr>
          <w:rFonts w:ascii="Times New Roman" w:hAnsi="Times New Roman"/>
          <w:b/>
          <w:bCs/>
        </w:rPr>
        <w:t xml:space="preserve"> </w:t>
      </w:r>
      <w:r w:rsidRPr="00E168A1">
        <w:rPr>
          <w:rFonts w:ascii="Times New Roman" w:hAnsi="Times New Roman"/>
          <w:b/>
          <w:bCs/>
        </w:rPr>
        <w:t>Ministry</w:t>
      </w:r>
      <w:r w:rsidR="00900061" w:rsidRPr="00E168A1">
        <w:rPr>
          <w:rFonts w:ascii="Times New Roman" w:hAnsi="Times New Roman"/>
          <w:b/>
          <w:bCs/>
        </w:rPr>
        <w:t xml:space="preserve"> </w:t>
      </w:r>
      <w:r w:rsidRPr="00E168A1">
        <w:rPr>
          <w:rFonts w:ascii="Times New Roman" w:hAnsi="Times New Roman"/>
          <w:b/>
          <w:bCs/>
        </w:rPr>
        <w:t>of</w:t>
      </w:r>
      <w:r w:rsidR="00900061" w:rsidRPr="00E168A1">
        <w:rPr>
          <w:rFonts w:ascii="Times New Roman" w:hAnsi="Times New Roman"/>
          <w:b/>
          <w:bCs/>
        </w:rPr>
        <w:t xml:space="preserve"> </w:t>
      </w:r>
      <w:r w:rsidRPr="00E168A1">
        <w:rPr>
          <w:rFonts w:ascii="Times New Roman" w:hAnsi="Times New Roman"/>
          <w:b/>
          <w:bCs/>
        </w:rPr>
        <w:t>Trade,</w:t>
      </w:r>
      <w:r w:rsidR="00900061" w:rsidRPr="00E168A1">
        <w:rPr>
          <w:rFonts w:ascii="Times New Roman" w:hAnsi="Times New Roman"/>
          <w:b/>
          <w:bCs/>
        </w:rPr>
        <w:t xml:space="preserve"> </w:t>
      </w:r>
      <w:r w:rsidRPr="00E168A1">
        <w:rPr>
          <w:rFonts w:ascii="Times New Roman" w:hAnsi="Times New Roman"/>
          <w:b/>
          <w:bCs/>
        </w:rPr>
        <w:t>Tourism</w:t>
      </w:r>
      <w:r w:rsidR="00EE23C3" w:rsidRPr="00E168A1">
        <w:rPr>
          <w:rFonts w:ascii="Times New Roman" w:hAnsi="Times New Roman"/>
          <w:b/>
          <w:bCs/>
        </w:rPr>
        <w:t>,</w:t>
      </w:r>
      <w:r w:rsidR="00900061" w:rsidRPr="00E168A1">
        <w:rPr>
          <w:rFonts w:ascii="Times New Roman" w:hAnsi="Times New Roman"/>
          <w:b/>
          <w:bCs/>
        </w:rPr>
        <w:t xml:space="preserve"> </w:t>
      </w:r>
      <w:r w:rsidRPr="00E168A1">
        <w:rPr>
          <w:rFonts w:ascii="Times New Roman" w:hAnsi="Times New Roman"/>
          <w:b/>
          <w:bCs/>
        </w:rPr>
        <w:t>and</w:t>
      </w:r>
      <w:r w:rsidR="00900061" w:rsidRPr="00E168A1">
        <w:rPr>
          <w:rFonts w:ascii="Times New Roman" w:hAnsi="Times New Roman"/>
          <w:b/>
          <w:bCs/>
        </w:rPr>
        <w:t xml:space="preserve"> </w:t>
      </w:r>
      <w:r w:rsidRPr="00E168A1">
        <w:rPr>
          <w:rFonts w:ascii="Times New Roman" w:hAnsi="Times New Roman"/>
          <w:b/>
          <w:bCs/>
        </w:rPr>
        <w:t>Telecommunications</w:t>
      </w:r>
      <w:r w:rsidR="00900061" w:rsidRPr="00E168A1">
        <w:rPr>
          <w:rFonts w:ascii="Times New Roman" w:hAnsi="Times New Roman"/>
          <w:b/>
          <w:bCs/>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Ministries,</w:t>
      </w:r>
      <w:r w:rsidR="00900061" w:rsidRPr="00E168A1">
        <w:rPr>
          <w:rFonts w:ascii="Times New Roman" w:hAnsi="Times New Roman"/>
        </w:rPr>
        <w:t xml:space="preserve"> </w:t>
      </w:r>
      <w:r w:rsidRPr="00E168A1">
        <w:rPr>
          <w:rFonts w:ascii="Times New Roman" w:hAnsi="Times New Roman"/>
        </w:rPr>
        <w:t>vested</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administration</w:t>
      </w:r>
      <w:r w:rsidR="00900061" w:rsidRPr="00E168A1">
        <w:rPr>
          <w:rFonts w:ascii="Times New Roman" w:hAnsi="Times New Roman"/>
        </w:rPr>
        <w:t xml:space="preserve"> </w:t>
      </w:r>
      <w:r w:rsidRPr="00E168A1">
        <w:rPr>
          <w:rFonts w:ascii="Times New Roman" w:hAnsi="Times New Roman"/>
        </w:rPr>
        <w:t>duties</w:t>
      </w:r>
      <w:r w:rsidR="00900061" w:rsidRPr="00E168A1">
        <w:rPr>
          <w:rFonts w:ascii="Times New Roman" w:hAnsi="Times New Roman"/>
        </w:rPr>
        <w:t xml:space="preserve"> </w:t>
      </w:r>
      <w:r w:rsidRPr="00E168A1">
        <w:rPr>
          <w:rFonts w:ascii="Times New Roman" w:hAnsi="Times New Roman"/>
        </w:rPr>
        <w:t>relating</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concessions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public-private</w:t>
      </w:r>
      <w:r w:rsidR="00900061" w:rsidRPr="00E168A1">
        <w:rPr>
          <w:rFonts w:ascii="Times New Roman" w:hAnsi="Times New Roman"/>
        </w:rPr>
        <w:t xml:space="preserve"> </w:t>
      </w:r>
      <w:r w:rsidRPr="00E168A1">
        <w:rPr>
          <w:rFonts w:ascii="Times New Roman" w:hAnsi="Times New Roman"/>
        </w:rPr>
        <w:t>partnerships.</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also</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charge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regulations</w:t>
      </w:r>
      <w:r w:rsidR="00900061" w:rsidRPr="00E168A1">
        <w:rPr>
          <w:rFonts w:ascii="Times New Roman" w:hAnsi="Times New Roman"/>
        </w:rPr>
        <w:t xml:space="preserve"> </w:t>
      </w:r>
      <w:r w:rsidRPr="00E168A1">
        <w:rPr>
          <w:rFonts w:ascii="Times New Roman" w:hAnsi="Times New Roman"/>
        </w:rPr>
        <w:t>pertaining</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e-procurement</w:t>
      </w:r>
      <w:r w:rsidRPr="00E168A1">
        <w:rPr>
          <w:rFonts w:ascii="Times New Roman" w:hAnsi="Times New Roman"/>
          <w:color w:val="000000"/>
        </w:rPr>
        <w:t>.</w:t>
      </w:r>
    </w:p>
    <w:p w14:paraId="0FC45378" w14:textId="6B1ACB75" w:rsidR="00A17E70" w:rsidRPr="00E168A1" w:rsidRDefault="00B03657" w:rsidP="00645878">
      <w:pPr>
        <w:pStyle w:val="ListParagraph"/>
        <w:numPr>
          <w:ilvl w:val="0"/>
          <w:numId w:val="29"/>
        </w:numPr>
        <w:ind w:left="0" w:firstLine="0"/>
        <w:contextualSpacing w:val="0"/>
        <w:rPr>
          <w:rFonts w:ascii="Times New Roman" w:hAnsi="Times New Roman"/>
          <w:color w:val="000000"/>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Commission</w:t>
      </w:r>
      <w:r w:rsidR="00900061" w:rsidRPr="00E168A1">
        <w:rPr>
          <w:rFonts w:ascii="Times New Roman" w:hAnsi="Times New Roman"/>
          <w:b/>
          <w:bCs/>
        </w:rPr>
        <w:t xml:space="preserve"> </w:t>
      </w:r>
      <w:r w:rsidRPr="00E168A1">
        <w:rPr>
          <w:rFonts w:ascii="Times New Roman" w:hAnsi="Times New Roman"/>
          <w:b/>
          <w:bCs/>
        </w:rPr>
        <w:t>for</w:t>
      </w:r>
      <w:r w:rsidR="00900061" w:rsidRPr="00E168A1">
        <w:rPr>
          <w:rFonts w:ascii="Times New Roman" w:hAnsi="Times New Roman"/>
          <w:b/>
          <w:bCs/>
        </w:rPr>
        <w:t xml:space="preserve"> </w:t>
      </w:r>
      <w:r w:rsidRPr="00E168A1">
        <w:rPr>
          <w:rFonts w:ascii="Times New Roman" w:hAnsi="Times New Roman"/>
          <w:b/>
          <w:bCs/>
        </w:rPr>
        <w:t>Public-Private</w:t>
      </w:r>
      <w:r w:rsidR="00900061" w:rsidRPr="00E168A1">
        <w:rPr>
          <w:rFonts w:ascii="Times New Roman" w:hAnsi="Times New Roman"/>
          <w:b/>
          <w:bCs/>
        </w:rPr>
        <w:t xml:space="preserve"> </w:t>
      </w:r>
      <w:r w:rsidRPr="00E168A1">
        <w:rPr>
          <w:rFonts w:ascii="Times New Roman" w:hAnsi="Times New Roman"/>
          <w:b/>
          <w:bCs/>
        </w:rPr>
        <w:t>Partnership</w:t>
      </w:r>
      <w:r w:rsidR="00B17EB7">
        <w:rPr>
          <w:rFonts w:ascii="Times New Roman" w:hAnsi="Times New Roman"/>
          <w:b/>
          <w:bCs/>
        </w:rPr>
        <w:t xml:space="preserve"> (CPPP)</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accordance</w:t>
      </w:r>
      <w:r w:rsidR="00900061" w:rsidRPr="00E168A1">
        <w:rPr>
          <w:rFonts w:ascii="Times New Roman" w:hAnsi="Times New Roman"/>
        </w:rPr>
        <w:t xml:space="preserve"> </w:t>
      </w:r>
      <w:r w:rsidRPr="00E168A1">
        <w:rPr>
          <w:rFonts w:ascii="Times New Roman" w:hAnsi="Times New Roman"/>
        </w:rPr>
        <w:t>with</w:t>
      </w:r>
      <w:r w:rsidR="00900061" w:rsidRPr="00E168A1">
        <w:rPr>
          <w:rFonts w:ascii="Times New Roman" w:hAnsi="Times New Roman"/>
        </w:rPr>
        <w:t xml:space="preserve"> </w:t>
      </w:r>
      <w:r w:rsidR="00B52DD3" w:rsidRPr="00E168A1">
        <w:rPr>
          <w:rFonts w:ascii="Times New Roman" w:hAnsi="Times New Roman"/>
        </w:rPr>
        <w:t>the</w:t>
      </w:r>
      <w:r w:rsidR="00B17EB7">
        <w:rPr>
          <w:rFonts w:ascii="Times New Roman" w:hAnsi="Times New Roman"/>
        </w:rPr>
        <w:t xml:space="preserve"> law, the C</w:t>
      </w:r>
      <w:r w:rsidRPr="00E168A1">
        <w:rPr>
          <w:rFonts w:ascii="Times New Roman" w:hAnsi="Times New Roman"/>
        </w:rPr>
        <w:t>PP</w:t>
      </w:r>
      <w:r w:rsidR="00B17EB7">
        <w:rPr>
          <w:rFonts w:ascii="Times New Roman" w:hAnsi="Times New Roman"/>
        </w:rPr>
        <w:t>P</w:t>
      </w:r>
      <w:r w:rsidRPr="00E168A1">
        <w:rPr>
          <w:rFonts w:ascii="Times New Roman" w:hAnsi="Times New Roman"/>
        </w:rPr>
        <w:t>,</w:t>
      </w:r>
      <w:r w:rsidR="00900061" w:rsidRPr="00A90FD9">
        <w:rPr>
          <w:rFonts w:ascii="Times New Roman" w:hAnsi="Times New Roman"/>
        </w:rPr>
        <w:t xml:space="preserve"> </w:t>
      </w:r>
      <w:r w:rsidRPr="00E168A1">
        <w:rPr>
          <w:rFonts w:ascii="Times New Roman" w:hAnsi="Times New Roman"/>
        </w:rPr>
        <w:t>provides</w:t>
      </w:r>
      <w:r w:rsidR="00900061" w:rsidRPr="00E168A1">
        <w:rPr>
          <w:rFonts w:ascii="Times New Roman" w:hAnsi="Times New Roman"/>
        </w:rPr>
        <w:t xml:space="preserve"> </w:t>
      </w:r>
      <w:r w:rsidRPr="00E168A1">
        <w:rPr>
          <w:rFonts w:ascii="Times New Roman" w:hAnsi="Times New Roman"/>
        </w:rPr>
        <w:t>technical</w:t>
      </w:r>
      <w:r w:rsidR="00900061" w:rsidRPr="00E168A1">
        <w:rPr>
          <w:rFonts w:ascii="Times New Roman" w:hAnsi="Times New Roman"/>
        </w:rPr>
        <w:t xml:space="preserve"> </w:t>
      </w:r>
      <w:r w:rsidRPr="00E168A1">
        <w:rPr>
          <w:rFonts w:ascii="Times New Roman" w:hAnsi="Times New Roman"/>
        </w:rPr>
        <w:t>assistance</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implementation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public-private</w:t>
      </w:r>
      <w:r w:rsidR="00900061" w:rsidRPr="00E168A1">
        <w:rPr>
          <w:rFonts w:ascii="Times New Roman" w:hAnsi="Times New Roman"/>
        </w:rPr>
        <w:t xml:space="preserve"> </w:t>
      </w:r>
      <w:r w:rsidRPr="00E168A1">
        <w:rPr>
          <w:rFonts w:ascii="Times New Roman" w:hAnsi="Times New Roman"/>
        </w:rPr>
        <w:t>partnership</w:t>
      </w:r>
      <w:r w:rsidR="00900061" w:rsidRPr="00E168A1">
        <w:rPr>
          <w:rFonts w:ascii="Times New Roman" w:hAnsi="Times New Roman"/>
        </w:rPr>
        <w:t xml:space="preserve"> </w:t>
      </w:r>
      <w:r w:rsidRPr="00E168A1">
        <w:rPr>
          <w:rFonts w:ascii="Times New Roman" w:hAnsi="Times New Roman"/>
        </w:rPr>
        <w:t>projects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concessions,</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independent</w:t>
      </w:r>
      <w:r w:rsidR="00900061" w:rsidRPr="00E168A1">
        <w:rPr>
          <w:rFonts w:ascii="Times New Roman" w:hAnsi="Times New Roman"/>
        </w:rPr>
        <w:t xml:space="preserve"> </w:t>
      </w:r>
      <w:r w:rsidRPr="00E168A1">
        <w:rPr>
          <w:rFonts w:ascii="Times New Roman" w:hAnsi="Times New Roman"/>
        </w:rPr>
        <w:t>interdepartmental</w:t>
      </w:r>
      <w:r w:rsidR="00900061" w:rsidRPr="00E168A1">
        <w:rPr>
          <w:rFonts w:ascii="Times New Roman" w:hAnsi="Times New Roman"/>
        </w:rPr>
        <w:t xml:space="preserve"> </w:t>
      </w:r>
      <w:r w:rsidRPr="00E168A1">
        <w:rPr>
          <w:rFonts w:ascii="Times New Roman" w:hAnsi="Times New Roman"/>
        </w:rPr>
        <w:t>public</w:t>
      </w:r>
      <w:r w:rsidR="00900061" w:rsidRPr="00E168A1">
        <w:rPr>
          <w:rFonts w:ascii="Times New Roman" w:hAnsi="Times New Roman"/>
        </w:rPr>
        <w:t xml:space="preserve"> </w:t>
      </w:r>
      <w:r w:rsidRPr="00E168A1">
        <w:rPr>
          <w:rFonts w:ascii="Times New Roman" w:hAnsi="Times New Roman"/>
        </w:rPr>
        <w:t>body</w:t>
      </w:r>
      <w:r w:rsidRPr="00E168A1">
        <w:rPr>
          <w:rFonts w:ascii="Times New Roman" w:hAnsi="Times New Roman"/>
          <w:color w:val="000000"/>
        </w:rPr>
        <w:t>.</w:t>
      </w:r>
      <w:r w:rsidR="00900061" w:rsidRPr="00E168A1">
        <w:rPr>
          <w:rFonts w:ascii="Times New Roman" w:hAnsi="Times New Roman"/>
          <w:color w:val="000000"/>
        </w:rPr>
        <w:t xml:space="preserve"> </w:t>
      </w:r>
    </w:p>
    <w:p w14:paraId="79C2E31B" w14:textId="4AF7B697" w:rsidR="00A17E70" w:rsidRPr="00E168A1" w:rsidRDefault="00B03657" w:rsidP="00645878">
      <w:pPr>
        <w:pStyle w:val="ListParagraph"/>
        <w:numPr>
          <w:ilvl w:val="0"/>
          <w:numId w:val="29"/>
        </w:numPr>
        <w:ind w:left="0" w:firstLine="0"/>
        <w:contextualSpacing w:val="0"/>
        <w:rPr>
          <w:rFonts w:ascii="Times New Roman" w:hAnsi="Times New Roman"/>
          <w:kern w:val="1"/>
        </w:rPr>
      </w:pPr>
      <w:r w:rsidRPr="00E168A1">
        <w:rPr>
          <w:rFonts w:ascii="Times New Roman" w:hAnsi="Times New Roman"/>
          <w:b/>
          <w:bCs/>
          <w:kern w:val="1"/>
        </w:rPr>
        <w:t>The</w:t>
      </w:r>
      <w:r w:rsidR="00900061" w:rsidRPr="00E168A1">
        <w:rPr>
          <w:rFonts w:ascii="Times New Roman" w:hAnsi="Times New Roman"/>
          <w:b/>
          <w:bCs/>
          <w:kern w:val="1"/>
        </w:rPr>
        <w:t xml:space="preserve"> </w:t>
      </w:r>
      <w:r w:rsidRPr="00E168A1">
        <w:rPr>
          <w:rFonts w:ascii="Times New Roman" w:hAnsi="Times New Roman"/>
          <w:b/>
          <w:bCs/>
          <w:kern w:val="1"/>
        </w:rPr>
        <w:t>Anti</w:t>
      </w:r>
      <w:r w:rsidR="00B52DD3" w:rsidRPr="00E168A1">
        <w:rPr>
          <w:rFonts w:ascii="Times New Roman" w:hAnsi="Times New Roman"/>
          <w:b/>
          <w:bCs/>
          <w:kern w:val="1"/>
        </w:rPr>
        <w:t>c</w:t>
      </w:r>
      <w:r w:rsidRPr="00E168A1">
        <w:rPr>
          <w:rFonts w:ascii="Times New Roman" w:hAnsi="Times New Roman"/>
          <w:b/>
          <w:bCs/>
          <w:kern w:val="1"/>
        </w:rPr>
        <w:t>orruption</w:t>
      </w:r>
      <w:r w:rsidR="00900061" w:rsidRPr="00E168A1">
        <w:rPr>
          <w:rFonts w:ascii="Times New Roman" w:hAnsi="Times New Roman"/>
          <w:b/>
          <w:bCs/>
          <w:kern w:val="1"/>
        </w:rPr>
        <w:t xml:space="preserve"> </w:t>
      </w:r>
      <w:r w:rsidRPr="00E168A1">
        <w:rPr>
          <w:rFonts w:ascii="Times New Roman" w:hAnsi="Times New Roman"/>
          <w:b/>
          <w:bCs/>
          <w:kern w:val="1"/>
        </w:rPr>
        <w:t>Agency</w:t>
      </w:r>
      <w:r w:rsidR="00900061" w:rsidRPr="00E168A1">
        <w:rPr>
          <w:rFonts w:ascii="Times New Roman" w:hAnsi="Times New Roman"/>
          <w:kern w:val="1"/>
        </w:rPr>
        <w:t xml:space="preserve"> </w:t>
      </w:r>
      <w:r w:rsidRPr="00E168A1">
        <w:rPr>
          <w:rFonts w:ascii="Times New Roman" w:hAnsi="Times New Roman"/>
          <w:kern w:val="1"/>
        </w:rPr>
        <w:t>is</w:t>
      </w:r>
      <w:r w:rsidR="00900061" w:rsidRPr="00E168A1">
        <w:rPr>
          <w:rFonts w:ascii="Times New Roman" w:hAnsi="Times New Roman"/>
          <w:kern w:val="1"/>
        </w:rPr>
        <w:t xml:space="preserve"> </w:t>
      </w:r>
      <w:r w:rsidRPr="00E168A1">
        <w:rPr>
          <w:rFonts w:ascii="Times New Roman" w:hAnsi="Times New Roman"/>
          <w:kern w:val="1"/>
        </w:rPr>
        <w:t>an</w:t>
      </w:r>
      <w:r w:rsidR="00900061" w:rsidRPr="00E168A1">
        <w:rPr>
          <w:rFonts w:ascii="Times New Roman" w:hAnsi="Times New Roman"/>
          <w:kern w:val="1"/>
        </w:rPr>
        <w:t xml:space="preserve"> </w:t>
      </w:r>
      <w:r w:rsidRPr="00E168A1">
        <w:rPr>
          <w:rFonts w:ascii="Times New Roman" w:hAnsi="Times New Roman"/>
          <w:kern w:val="1"/>
        </w:rPr>
        <w:t>autonomous</w:t>
      </w:r>
      <w:r w:rsidR="00900061" w:rsidRPr="00E168A1">
        <w:rPr>
          <w:rFonts w:ascii="Times New Roman" w:hAnsi="Times New Roman"/>
          <w:kern w:val="1"/>
        </w:rPr>
        <w:t xml:space="preserve"> </w:t>
      </w:r>
      <w:r w:rsidRPr="00E168A1">
        <w:rPr>
          <w:rFonts w:ascii="Times New Roman" w:hAnsi="Times New Roman"/>
          <w:kern w:val="1"/>
        </w:rPr>
        <w:t>and</w:t>
      </w:r>
      <w:r w:rsidR="00900061" w:rsidRPr="00E168A1">
        <w:rPr>
          <w:rFonts w:ascii="Times New Roman" w:hAnsi="Times New Roman"/>
          <w:kern w:val="1"/>
        </w:rPr>
        <w:t xml:space="preserve"> </w:t>
      </w:r>
      <w:r w:rsidRPr="00E168A1">
        <w:rPr>
          <w:rFonts w:ascii="Times New Roman" w:hAnsi="Times New Roman"/>
          <w:kern w:val="1"/>
        </w:rPr>
        <w:t>independent</w:t>
      </w:r>
      <w:r w:rsidR="00900061" w:rsidRPr="00E168A1">
        <w:rPr>
          <w:rFonts w:ascii="Times New Roman" w:hAnsi="Times New Roman"/>
          <w:kern w:val="1"/>
        </w:rPr>
        <w:t xml:space="preserve"> </w:t>
      </w:r>
      <w:r w:rsidRPr="00E168A1">
        <w:rPr>
          <w:rFonts w:ascii="Times New Roman" w:hAnsi="Times New Roman"/>
          <w:kern w:val="1"/>
        </w:rPr>
        <w:t>public</w:t>
      </w:r>
      <w:r w:rsidR="00900061" w:rsidRPr="00E168A1">
        <w:rPr>
          <w:rFonts w:ascii="Times New Roman" w:hAnsi="Times New Roman"/>
          <w:kern w:val="1"/>
        </w:rPr>
        <w:t xml:space="preserve"> </w:t>
      </w:r>
      <w:r w:rsidRPr="00E168A1">
        <w:rPr>
          <w:rFonts w:ascii="Times New Roman" w:hAnsi="Times New Roman"/>
          <w:kern w:val="1"/>
        </w:rPr>
        <w:t>authority.</w:t>
      </w:r>
      <w:r w:rsidR="00900061" w:rsidRPr="00E168A1">
        <w:rPr>
          <w:rFonts w:ascii="Times New Roman" w:hAnsi="Times New Roman"/>
          <w:kern w:val="1"/>
        </w:rPr>
        <w:t xml:space="preserve"> </w:t>
      </w:r>
      <w:r w:rsidRPr="00E168A1">
        <w:rPr>
          <w:rFonts w:ascii="Times New Roman" w:hAnsi="Times New Roman"/>
          <w:kern w:val="1"/>
        </w:rPr>
        <w:t>It</w:t>
      </w:r>
      <w:r w:rsidR="00900061" w:rsidRPr="00E168A1">
        <w:rPr>
          <w:rFonts w:ascii="Times New Roman" w:hAnsi="Times New Roman"/>
          <w:kern w:val="1"/>
        </w:rPr>
        <w:t xml:space="preserve"> </w:t>
      </w:r>
      <w:r w:rsidRPr="00E168A1">
        <w:rPr>
          <w:rFonts w:ascii="Times New Roman" w:hAnsi="Times New Roman"/>
          <w:kern w:val="1"/>
        </w:rPr>
        <w:t>reports</w:t>
      </w:r>
      <w:r w:rsidR="00900061" w:rsidRPr="00E168A1">
        <w:rPr>
          <w:rFonts w:ascii="Times New Roman" w:hAnsi="Times New Roman"/>
          <w:kern w:val="1"/>
        </w:rPr>
        <w:t xml:space="preserve"> </w:t>
      </w:r>
      <w:r w:rsidRPr="00E168A1">
        <w:rPr>
          <w:rFonts w:ascii="Times New Roman" w:hAnsi="Times New Roman"/>
          <w:kern w:val="1"/>
        </w:rPr>
        <w:t>to</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003C78A1" w:rsidRPr="00E168A1">
        <w:rPr>
          <w:rFonts w:ascii="Times New Roman" w:hAnsi="Times New Roman"/>
          <w:kern w:val="1"/>
        </w:rPr>
        <w:t>NA</w:t>
      </w:r>
      <w:r w:rsidRPr="00E168A1">
        <w:rPr>
          <w:rFonts w:ascii="Times New Roman" w:hAnsi="Times New Roman"/>
          <w:kern w:val="1"/>
        </w:rPr>
        <w:t>.</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00B52DD3" w:rsidRPr="00E168A1">
        <w:rPr>
          <w:rFonts w:ascii="Times New Roman" w:hAnsi="Times New Roman"/>
          <w:kern w:val="1"/>
        </w:rPr>
        <w:t>a</w:t>
      </w:r>
      <w:r w:rsidRPr="00E168A1">
        <w:rPr>
          <w:rFonts w:ascii="Times New Roman" w:hAnsi="Times New Roman"/>
          <w:kern w:val="1"/>
        </w:rPr>
        <w:t>gency’s</w:t>
      </w:r>
      <w:r w:rsidR="00900061" w:rsidRPr="00E168A1">
        <w:rPr>
          <w:rFonts w:ascii="Times New Roman" w:hAnsi="Times New Roman"/>
          <w:kern w:val="1"/>
        </w:rPr>
        <w:t xml:space="preserve"> </w:t>
      </w:r>
      <w:r w:rsidRPr="00E168A1">
        <w:rPr>
          <w:rFonts w:ascii="Times New Roman" w:hAnsi="Times New Roman"/>
          <w:kern w:val="1"/>
        </w:rPr>
        <w:t>statutory</w:t>
      </w:r>
      <w:r w:rsidR="00900061" w:rsidRPr="00E168A1">
        <w:rPr>
          <w:rFonts w:ascii="Times New Roman" w:hAnsi="Times New Roman"/>
          <w:kern w:val="1"/>
        </w:rPr>
        <w:t xml:space="preserve"> </w:t>
      </w:r>
      <w:r w:rsidRPr="00E168A1">
        <w:rPr>
          <w:rFonts w:ascii="Times New Roman" w:hAnsi="Times New Roman"/>
          <w:kern w:val="1"/>
        </w:rPr>
        <w:t>powers</w:t>
      </w:r>
      <w:r w:rsidR="00900061" w:rsidRPr="00E168A1">
        <w:rPr>
          <w:rFonts w:ascii="Times New Roman" w:hAnsi="Times New Roman"/>
          <w:kern w:val="1"/>
        </w:rPr>
        <w:t xml:space="preserve"> </w:t>
      </w:r>
      <w:r w:rsidRPr="00E168A1">
        <w:rPr>
          <w:rFonts w:ascii="Times New Roman" w:hAnsi="Times New Roman"/>
          <w:kern w:val="1"/>
        </w:rPr>
        <w:t>include</w:t>
      </w:r>
      <w:r w:rsidR="00900061" w:rsidRPr="00E168A1">
        <w:rPr>
          <w:rFonts w:ascii="Times New Roman" w:hAnsi="Times New Roman"/>
          <w:kern w:val="1"/>
        </w:rPr>
        <w:t xml:space="preserve"> </w:t>
      </w:r>
      <w:r w:rsidRPr="00E168A1">
        <w:rPr>
          <w:rFonts w:ascii="Times New Roman" w:hAnsi="Times New Roman"/>
          <w:kern w:val="1"/>
        </w:rPr>
        <w:t>overseeing</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Pr="00E168A1">
        <w:rPr>
          <w:rFonts w:ascii="Times New Roman" w:hAnsi="Times New Roman"/>
          <w:kern w:val="1"/>
        </w:rPr>
        <w:t>implementation</w:t>
      </w:r>
      <w:r w:rsidR="00900061" w:rsidRPr="00E168A1">
        <w:rPr>
          <w:rFonts w:ascii="Times New Roman" w:hAnsi="Times New Roman"/>
          <w:kern w:val="1"/>
        </w:rPr>
        <w:t xml:space="preserve"> </w:t>
      </w:r>
      <w:r w:rsidRPr="00E168A1">
        <w:rPr>
          <w:rFonts w:ascii="Times New Roman" w:hAnsi="Times New Roman"/>
          <w:kern w:val="1"/>
        </w:rPr>
        <w:t>of</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Pr="00E168A1">
        <w:rPr>
          <w:rFonts w:ascii="Times New Roman" w:hAnsi="Times New Roman"/>
          <w:kern w:val="1"/>
        </w:rPr>
        <w:t>National</w:t>
      </w:r>
      <w:r w:rsidR="00900061" w:rsidRPr="00E168A1">
        <w:rPr>
          <w:rFonts w:ascii="Times New Roman" w:hAnsi="Times New Roman"/>
          <w:kern w:val="1"/>
        </w:rPr>
        <w:t xml:space="preserve"> </w:t>
      </w:r>
      <w:r w:rsidRPr="00E168A1">
        <w:rPr>
          <w:rFonts w:ascii="Times New Roman" w:hAnsi="Times New Roman"/>
          <w:kern w:val="1"/>
        </w:rPr>
        <w:t>Anti</w:t>
      </w:r>
      <w:r w:rsidR="00E53C45" w:rsidRPr="00E168A1">
        <w:rPr>
          <w:rFonts w:ascii="Times New Roman" w:hAnsi="Times New Roman"/>
          <w:kern w:val="1"/>
        </w:rPr>
        <w:t>c</w:t>
      </w:r>
      <w:r w:rsidRPr="00E168A1">
        <w:rPr>
          <w:rFonts w:ascii="Times New Roman" w:hAnsi="Times New Roman"/>
          <w:kern w:val="1"/>
        </w:rPr>
        <w:t>orruption</w:t>
      </w:r>
      <w:r w:rsidR="00900061" w:rsidRPr="00E168A1">
        <w:rPr>
          <w:rFonts w:ascii="Times New Roman" w:hAnsi="Times New Roman"/>
          <w:kern w:val="1"/>
        </w:rPr>
        <w:t xml:space="preserve"> </w:t>
      </w:r>
      <w:r w:rsidRPr="00E168A1">
        <w:rPr>
          <w:rFonts w:ascii="Times New Roman" w:hAnsi="Times New Roman"/>
          <w:kern w:val="1"/>
        </w:rPr>
        <w:t>Strategy</w:t>
      </w:r>
      <w:r w:rsidR="00900061" w:rsidRPr="00E168A1">
        <w:rPr>
          <w:rFonts w:ascii="Times New Roman" w:hAnsi="Times New Roman"/>
          <w:kern w:val="1"/>
        </w:rPr>
        <w:t xml:space="preserve"> </w:t>
      </w:r>
      <w:r w:rsidRPr="00E168A1">
        <w:rPr>
          <w:rFonts w:ascii="Times New Roman" w:hAnsi="Times New Roman"/>
          <w:kern w:val="1"/>
        </w:rPr>
        <w:t>and</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Pr="00E168A1">
        <w:rPr>
          <w:rFonts w:ascii="Times New Roman" w:hAnsi="Times New Roman"/>
          <w:kern w:val="1"/>
        </w:rPr>
        <w:t>Action</w:t>
      </w:r>
      <w:r w:rsidR="00900061" w:rsidRPr="00E168A1">
        <w:rPr>
          <w:rFonts w:ascii="Times New Roman" w:hAnsi="Times New Roman"/>
          <w:kern w:val="1"/>
        </w:rPr>
        <w:t xml:space="preserve"> </w:t>
      </w:r>
      <w:r w:rsidRPr="00E168A1">
        <w:rPr>
          <w:rFonts w:ascii="Times New Roman" w:hAnsi="Times New Roman"/>
          <w:kern w:val="1"/>
        </w:rPr>
        <w:t>Plan</w:t>
      </w:r>
      <w:r w:rsidR="00900061" w:rsidRPr="00E168A1">
        <w:rPr>
          <w:rFonts w:ascii="Times New Roman" w:hAnsi="Times New Roman"/>
          <w:kern w:val="1"/>
        </w:rPr>
        <w:t xml:space="preserve"> </w:t>
      </w:r>
      <w:r w:rsidRPr="00E168A1">
        <w:rPr>
          <w:rFonts w:ascii="Times New Roman" w:hAnsi="Times New Roman"/>
          <w:kern w:val="1"/>
        </w:rPr>
        <w:t>on</w:t>
      </w:r>
      <w:r w:rsidR="00900061" w:rsidRPr="00E168A1">
        <w:rPr>
          <w:rFonts w:ascii="Times New Roman" w:hAnsi="Times New Roman"/>
          <w:kern w:val="1"/>
        </w:rPr>
        <w:t xml:space="preserve"> </w:t>
      </w:r>
      <w:r w:rsidRPr="00E168A1">
        <w:rPr>
          <w:rFonts w:ascii="Times New Roman" w:hAnsi="Times New Roman"/>
          <w:kern w:val="1"/>
        </w:rPr>
        <w:t>implementation</w:t>
      </w:r>
      <w:r w:rsidR="00900061" w:rsidRPr="00E168A1">
        <w:rPr>
          <w:rFonts w:ascii="Times New Roman" w:hAnsi="Times New Roman"/>
          <w:kern w:val="1"/>
        </w:rPr>
        <w:t xml:space="preserve"> </w:t>
      </w:r>
      <w:r w:rsidRPr="00E168A1">
        <w:rPr>
          <w:rFonts w:ascii="Times New Roman" w:hAnsi="Times New Roman"/>
          <w:kern w:val="1"/>
        </w:rPr>
        <w:t>of</w:t>
      </w:r>
      <w:r w:rsidR="00900061" w:rsidRPr="00E168A1">
        <w:rPr>
          <w:rFonts w:ascii="Times New Roman" w:hAnsi="Times New Roman"/>
          <w:kern w:val="1"/>
        </w:rPr>
        <w:t xml:space="preserve"> </w:t>
      </w:r>
      <w:r w:rsidRPr="00E168A1">
        <w:rPr>
          <w:rFonts w:ascii="Times New Roman" w:hAnsi="Times New Roman"/>
          <w:kern w:val="1"/>
        </w:rPr>
        <w:t>the</w:t>
      </w:r>
      <w:r w:rsidR="00900061" w:rsidRPr="00E168A1">
        <w:rPr>
          <w:rFonts w:ascii="Times New Roman" w:hAnsi="Times New Roman"/>
          <w:kern w:val="1"/>
        </w:rPr>
        <w:t xml:space="preserve"> </w:t>
      </w:r>
      <w:r w:rsidRPr="00E168A1">
        <w:rPr>
          <w:rFonts w:ascii="Times New Roman" w:hAnsi="Times New Roman"/>
          <w:kern w:val="1"/>
        </w:rPr>
        <w:t>National</w:t>
      </w:r>
      <w:r w:rsidR="00900061" w:rsidRPr="00E168A1">
        <w:rPr>
          <w:rFonts w:ascii="Times New Roman" w:hAnsi="Times New Roman"/>
          <w:kern w:val="1"/>
        </w:rPr>
        <w:t xml:space="preserve"> </w:t>
      </w:r>
      <w:r w:rsidRPr="00E168A1">
        <w:rPr>
          <w:rFonts w:ascii="Times New Roman" w:hAnsi="Times New Roman"/>
          <w:kern w:val="1"/>
        </w:rPr>
        <w:t>Strategy,</w:t>
      </w:r>
      <w:r w:rsidR="00900061" w:rsidRPr="00E168A1">
        <w:rPr>
          <w:rFonts w:ascii="Times New Roman" w:hAnsi="Times New Roman"/>
          <w:kern w:val="1"/>
        </w:rPr>
        <w:t xml:space="preserve"> </w:t>
      </w:r>
      <w:r w:rsidRPr="00E168A1">
        <w:rPr>
          <w:rFonts w:ascii="Times New Roman" w:hAnsi="Times New Roman"/>
          <w:kern w:val="1"/>
        </w:rPr>
        <w:t>which</w:t>
      </w:r>
      <w:r w:rsidR="00900061" w:rsidRPr="00E168A1">
        <w:rPr>
          <w:rFonts w:ascii="Times New Roman" w:hAnsi="Times New Roman"/>
          <w:kern w:val="1"/>
        </w:rPr>
        <w:t xml:space="preserve"> </w:t>
      </w:r>
      <w:r w:rsidRPr="00E168A1">
        <w:rPr>
          <w:rFonts w:ascii="Times New Roman" w:hAnsi="Times New Roman"/>
          <w:kern w:val="1"/>
        </w:rPr>
        <w:t>includes</w:t>
      </w:r>
      <w:r w:rsidR="00900061" w:rsidRPr="00E168A1">
        <w:rPr>
          <w:rFonts w:ascii="Times New Roman" w:hAnsi="Times New Roman"/>
          <w:kern w:val="1"/>
        </w:rPr>
        <w:t xml:space="preserve"> </w:t>
      </w:r>
      <w:r w:rsidRPr="00E168A1">
        <w:rPr>
          <w:rFonts w:ascii="Times New Roman" w:hAnsi="Times New Roman"/>
          <w:kern w:val="1"/>
        </w:rPr>
        <w:t>a</w:t>
      </w:r>
      <w:r w:rsidR="00900061" w:rsidRPr="00E168A1">
        <w:rPr>
          <w:rFonts w:ascii="Times New Roman" w:hAnsi="Times New Roman"/>
          <w:kern w:val="1"/>
        </w:rPr>
        <w:t xml:space="preserve"> </w:t>
      </w:r>
      <w:r w:rsidRPr="00E168A1">
        <w:rPr>
          <w:rFonts w:ascii="Times New Roman" w:hAnsi="Times New Roman"/>
          <w:kern w:val="1"/>
        </w:rPr>
        <w:t>chapter</w:t>
      </w:r>
      <w:r w:rsidR="00900061" w:rsidRPr="00E168A1">
        <w:rPr>
          <w:rFonts w:ascii="Times New Roman" w:hAnsi="Times New Roman"/>
          <w:kern w:val="1"/>
        </w:rPr>
        <w:t xml:space="preserve"> </w:t>
      </w:r>
      <w:r w:rsidRPr="00E168A1">
        <w:rPr>
          <w:rFonts w:ascii="Times New Roman" w:hAnsi="Times New Roman"/>
          <w:kern w:val="1"/>
        </w:rPr>
        <w:t>dealing</w:t>
      </w:r>
      <w:r w:rsidR="00900061" w:rsidRPr="00E168A1">
        <w:rPr>
          <w:rFonts w:ascii="Times New Roman" w:hAnsi="Times New Roman"/>
          <w:kern w:val="1"/>
        </w:rPr>
        <w:t xml:space="preserve"> </w:t>
      </w:r>
      <w:r w:rsidRPr="00E168A1">
        <w:rPr>
          <w:rFonts w:ascii="Times New Roman" w:hAnsi="Times New Roman"/>
          <w:kern w:val="1"/>
        </w:rPr>
        <w:t>with</w:t>
      </w:r>
      <w:r w:rsidR="00900061" w:rsidRPr="00E168A1">
        <w:rPr>
          <w:rFonts w:ascii="Times New Roman" w:hAnsi="Times New Roman"/>
          <w:kern w:val="1"/>
        </w:rPr>
        <w:t xml:space="preserve"> </w:t>
      </w:r>
      <w:r w:rsidRPr="00E168A1">
        <w:rPr>
          <w:rFonts w:ascii="Times New Roman" w:hAnsi="Times New Roman"/>
          <w:kern w:val="1"/>
        </w:rPr>
        <w:t>public</w:t>
      </w:r>
      <w:r w:rsidR="00900061" w:rsidRPr="00E168A1">
        <w:rPr>
          <w:rFonts w:ascii="Times New Roman" w:hAnsi="Times New Roman"/>
          <w:kern w:val="1"/>
        </w:rPr>
        <w:t xml:space="preserve"> </w:t>
      </w:r>
      <w:r w:rsidRPr="00E168A1">
        <w:rPr>
          <w:rFonts w:ascii="Times New Roman" w:hAnsi="Times New Roman"/>
          <w:kern w:val="1"/>
        </w:rPr>
        <w:t>procurement</w:t>
      </w:r>
      <w:r w:rsidR="00DF75C7" w:rsidRPr="00E168A1">
        <w:rPr>
          <w:rFonts w:ascii="Times New Roman" w:hAnsi="Times New Roman"/>
          <w:kern w:val="1"/>
        </w:rPr>
        <w:t>.</w:t>
      </w:r>
    </w:p>
    <w:p w14:paraId="448F6BB5" w14:textId="0111AF2C" w:rsidR="00A17E70" w:rsidRPr="00E168A1" w:rsidRDefault="00B03657" w:rsidP="00645878">
      <w:pPr>
        <w:pStyle w:val="ListParagraph"/>
        <w:numPr>
          <w:ilvl w:val="0"/>
          <w:numId w:val="29"/>
        </w:numPr>
        <w:ind w:left="0" w:firstLine="0"/>
        <w:contextualSpacing w:val="0"/>
        <w:rPr>
          <w:rFonts w:ascii="Times New Roman" w:hAnsi="Times New Roman"/>
          <w:color w:val="000000"/>
        </w:rPr>
      </w:pP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Commission</w:t>
      </w:r>
      <w:r w:rsidR="00900061" w:rsidRPr="00E168A1">
        <w:rPr>
          <w:rFonts w:ascii="Times New Roman" w:hAnsi="Times New Roman"/>
          <w:b/>
          <w:bCs/>
        </w:rPr>
        <w:t xml:space="preserve"> </w:t>
      </w:r>
      <w:r w:rsidRPr="00E168A1">
        <w:rPr>
          <w:rFonts w:ascii="Times New Roman" w:hAnsi="Times New Roman"/>
          <w:b/>
          <w:bCs/>
        </w:rPr>
        <w:t>for</w:t>
      </w:r>
      <w:r w:rsidR="00900061" w:rsidRPr="00E168A1">
        <w:rPr>
          <w:rFonts w:ascii="Times New Roman" w:hAnsi="Times New Roman"/>
          <w:b/>
          <w:bCs/>
        </w:rPr>
        <w:t xml:space="preserve"> </w:t>
      </w:r>
      <w:r w:rsidRPr="00E168A1">
        <w:rPr>
          <w:rFonts w:ascii="Times New Roman" w:hAnsi="Times New Roman"/>
          <w:b/>
          <w:bCs/>
        </w:rPr>
        <w:t>the</w:t>
      </w:r>
      <w:r w:rsidR="00900061" w:rsidRPr="00E168A1">
        <w:rPr>
          <w:rFonts w:ascii="Times New Roman" w:hAnsi="Times New Roman"/>
          <w:b/>
          <w:bCs/>
        </w:rPr>
        <w:t xml:space="preserve"> </w:t>
      </w:r>
      <w:r w:rsidRPr="00E168A1">
        <w:rPr>
          <w:rFonts w:ascii="Times New Roman" w:hAnsi="Times New Roman"/>
          <w:b/>
          <w:bCs/>
        </w:rPr>
        <w:t>Protection</w:t>
      </w:r>
      <w:r w:rsidR="00900061" w:rsidRPr="00E168A1">
        <w:rPr>
          <w:rFonts w:ascii="Times New Roman" w:hAnsi="Times New Roman"/>
          <w:b/>
          <w:bCs/>
        </w:rPr>
        <w:t xml:space="preserve"> </w:t>
      </w:r>
      <w:r w:rsidRPr="00E168A1">
        <w:rPr>
          <w:rFonts w:ascii="Times New Roman" w:hAnsi="Times New Roman"/>
          <w:b/>
          <w:bCs/>
        </w:rPr>
        <w:t>of</w:t>
      </w:r>
      <w:r w:rsidR="00900061" w:rsidRPr="00E168A1">
        <w:rPr>
          <w:rFonts w:ascii="Times New Roman" w:hAnsi="Times New Roman"/>
          <w:b/>
          <w:bCs/>
        </w:rPr>
        <w:t xml:space="preserve"> </w:t>
      </w:r>
      <w:r w:rsidRPr="00E168A1">
        <w:rPr>
          <w:rFonts w:ascii="Times New Roman" w:hAnsi="Times New Roman"/>
          <w:b/>
          <w:bCs/>
        </w:rPr>
        <w:t>Competition</w:t>
      </w:r>
      <w:r w:rsidR="00900061" w:rsidRPr="00E168A1">
        <w:rPr>
          <w:rFonts w:ascii="Times New Roman" w:hAnsi="Times New Roman"/>
          <w:b/>
          <w:bCs/>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an</w:t>
      </w:r>
      <w:r w:rsidR="00900061" w:rsidRPr="00E168A1">
        <w:rPr>
          <w:rFonts w:ascii="Times New Roman" w:hAnsi="Times New Roman"/>
        </w:rPr>
        <w:t xml:space="preserve"> </w:t>
      </w:r>
      <w:r w:rsidRPr="00E168A1">
        <w:rPr>
          <w:rFonts w:ascii="Times New Roman" w:hAnsi="Times New Roman"/>
        </w:rPr>
        <w:t>autonomous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independent</w:t>
      </w:r>
      <w:r w:rsidR="00900061" w:rsidRPr="00E168A1">
        <w:rPr>
          <w:rFonts w:ascii="Times New Roman" w:hAnsi="Times New Roman"/>
        </w:rPr>
        <w:t xml:space="preserve"> </w:t>
      </w:r>
      <w:r w:rsidRPr="00E168A1">
        <w:rPr>
          <w:rFonts w:ascii="Times New Roman" w:hAnsi="Times New Roman"/>
        </w:rPr>
        <w:t>organi</w:t>
      </w:r>
      <w:r w:rsidR="008D778D" w:rsidRPr="00E168A1">
        <w:rPr>
          <w:rFonts w:ascii="Times New Roman" w:hAnsi="Times New Roman"/>
        </w:rPr>
        <w:t>z</w:t>
      </w:r>
      <w:r w:rsidRPr="00E168A1">
        <w:rPr>
          <w:rFonts w:ascii="Times New Roman" w:hAnsi="Times New Roman"/>
        </w:rPr>
        <w:t>ation</w:t>
      </w:r>
      <w:r w:rsidR="00900061" w:rsidRPr="00E168A1">
        <w:rPr>
          <w:rFonts w:ascii="Times New Roman" w:hAnsi="Times New Roman"/>
        </w:rPr>
        <w:t xml:space="preserve"> </w:t>
      </w:r>
      <w:r w:rsidRPr="00E168A1">
        <w:rPr>
          <w:rFonts w:ascii="Times New Roman" w:hAnsi="Times New Roman"/>
        </w:rPr>
        <w:t>formed</w:t>
      </w:r>
      <w:r w:rsidR="00900061" w:rsidRPr="00E168A1">
        <w:rPr>
          <w:rFonts w:ascii="Times New Roman" w:hAnsi="Times New Roman"/>
        </w:rPr>
        <w:t xml:space="preserve"> </w:t>
      </w:r>
      <w:r w:rsidRPr="00E168A1">
        <w:rPr>
          <w:rFonts w:ascii="Times New Roman" w:hAnsi="Times New Roman"/>
        </w:rPr>
        <w:t>under</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Law</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Protection</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Competition.</w:t>
      </w:r>
      <w:r w:rsidR="00900061" w:rsidRPr="00E168A1">
        <w:rPr>
          <w:rFonts w:ascii="Times New Roman" w:hAnsi="Times New Roman"/>
        </w:rPr>
        <w:t xml:space="preserve"> </w:t>
      </w:r>
      <w:r w:rsidRPr="00E168A1">
        <w:rPr>
          <w:rFonts w:ascii="Times New Roman" w:hAnsi="Times New Roman"/>
        </w:rPr>
        <w:t>It</w:t>
      </w:r>
      <w:r w:rsidR="00900061" w:rsidRPr="00E168A1">
        <w:rPr>
          <w:rFonts w:ascii="Times New Roman" w:hAnsi="Times New Roman"/>
        </w:rPr>
        <w:t xml:space="preserve"> </w:t>
      </w:r>
      <w:r w:rsidRPr="00E168A1">
        <w:rPr>
          <w:rFonts w:ascii="Times New Roman" w:hAnsi="Times New Roman"/>
        </w:rPr>
        <w:t>reports</w:t>
      </w:r>
      <w:r w:rsidR="00900061" w:rsidRPr="00E168A1">
        <w:rPr>
          <w:rFonts w:ascii="Times New Roman" w:hAnsi="Times New Roman"/>
        </w:rPr>
        <w:t xml:space="preserve"> </w:t>
      </w:r>
      <w:r w:rsidRPr="00E168A1">
        <w:rPr>
          <w:rFonts w:ascii="Times New Roman" w:hAnsi="Times New Roman"/>
        </w:rPr>
        <w:t>to</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3C78A1" w:rsidRPr="00E168A1">
        <w:rPr>
          <w:rFonts w:ascii="Times New Roman" w:hAnsi="Times New Roman"/>
        </w:rPr>
        <w:t>NA</w:t>
      </w:r>
      <w:r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00004472" w:rsidRPr="00E168A1">
        <w:rPr>
          <w:rFonts w:ascii="Times New Roman" w:hAnsi="Times New Roman"/>
        </w:rPr>
        <w:t>c</w:t>
      </w:r>
      <w:r w:rsidRPr="00E168A1">
        <w:rPr>
          <w:rFonts w:ascii="Times New Roman" w:hAnsi="Times New Roman"/>
        </w:rPr>
        <w:t>ommission</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responsible</w:t>
      </w:r>
      <w:r w:rsidR="00900061" w:rsidRPr="00E168A1">
        <w:rPr>
          <w:rFonts w:ascii="Times New Roman" w:hAnsi="Times New Roman"/>
        </w:rPr>
        <w:t xml:space="preserve"> </w:t>
      </w:r>
      <w:r w:rsidRPr="00E168A1">
        <w:rPr>
          <w:rFonts w:ascii="Times New Roman" w:hAnsi="Times New Roman"/>
        </w:rPr>
        <w:t>for</w:t>
      </w:r>
      <w:r w:rsidR="00900061" w:rsidRPr="00E168A1">
        <w:rPr>
          <w:rFonts w:ascii="Times New Roman" w:hAnsi="Times New Roman"/>
        </w:rPr>
        <w:t xml:space="preserve"> </w:t>
      </w:r>
      <w:r w:rsidRPr="00E168A1">
        <w:rPr>
          <w:rFonts w:ascii="Times New Roman" w:hAnsi="Times New Roman"/>
        </w:rPr>
        <w:t>deciding</w:t>
      </w:r>
      <w:r w:rsidR="00900061" w:rsidRPr="00E168A1">
        <w:rPr>
          <w:rFonts w:ascii="Times New Roman" w:hAnsi="Times New Roman"/>
        </w:rPr>
        <w:t xml:space="preserve"> </w:t>
      </w:r>
      <w:r w:rsidRPr="00E168A1">
        <w:rPr>
          <w:rFonts w:ascii="Times New Roman" w:hAnsi="Times New Roman"/>
        </w:rPr>
        <w:t>on</w:t>
      </w:r>
      <w:r w:rsidR="00900061" w:rsidRPr="00E168A1">
        <w:rPr>
          <w:rFonts w:ascii="Times New Roman" w:hAnsi="Times New Roman"/>
        </w:rPr>
        <w:t xml:space="preserve"> </w:t>
      </w:r>
      <w:r w:rsidRPr="00E168A1">
        <w:rPr>
          <w:rFonts w:ascii="Times New Roman" w:hAnsi="Times New Roman"/>
        </w:rPr>
        <w:t>the</w:t>
      </w:r>
      <w:r w:rsidR="00900061" w:rsidRPr="00E168A1">
        <w:rPr>
          <w:rFonts w:ascii="Times New Roman" w:hAnsi="Times New Roman"/>
        </w:rPr>
        <w:t xml:space="preserve"> </w:t>
      </w:r>
      <w:r w:rsidRPr="00E168A1">
        <w:rPr>
          <w:rFonts w:ascii="Times New Roman" w:hAnsi="Times New Roman"/>
        </w:rPr>
        <w:t>rights</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responsibilities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market</w:t>
      </w:r>
      <w:r w:rsidR="00900061" w:rsidRPr="00E168A1">
        <w:rPr>
          <w:rFonts w:ascii="Times New Roman" w:hAnsi="Times New Roman"/>
        </w:rPr>
        <w:t xml:space="preserve"> </w:t>
      </w:r>
      <w:r w:rsidRPr="00E168A1">
        <w:rPr>
          <w:rFonts w:ascii="Times New Roman" w:hAnsi="Times New Roman"/>
        </w:rPr>
        <w:t>participants.</w:t>
      </w:r>
      <w:r w:rsidR="00900061" w:rsidRPr="00E168A1">
        <w:rPr>
          <w:rFonts w:ascii="Times New Roman" w:hAnsi="Times New Roman"/>
        </w:rPr>
        <w:t xml:space="preserve"> </w:t>
      </w:r>
      <w:r w:rsidRPr="00E168A1">
        <w:rPr>
          <w:rFonts w:ascii="Times New Roman" w:hAnsi="Times New Roman"/>
        </w:rPr>
        <w:t>As</w:t>
      </w:r>
      <w:r w:rsidR="00900061" w:rsidRPr="00E168A1">
        <w:rPr>
          <w:rFonts w:ascii="Times New Roman" w:hAnsi="Times New Roman"/>
        </w:rPr>
        <w:t xml:space="preserve"> </w:t>
      </w:r>
      <w:r w:rsidRPr="00E168A1">
        <w:rPr>
          <w:rFonts w:ascii="Times New Roman" w:hAnsi="Times New Roman"/>
        </w:rPr>
        <w:t>part</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this</w:t>
      </w:r>
      <w:r w:rsidR="00900061" w:rsidRPr="00E168A1">
        <w:rPr>
          <w:rFonts w:ascii="Times New Roman" w:hAnsi="Times New Roman"/>
        </w:rPr>
        <w:t xml:space="preserve"> </w:t>
      </w:r>
      <w:r w:rsidRPr="00E168A1">
        <w:rPr>
          <w:rFonts w:ascii="Times New Roman" w:hAnsi="Times New Roman"/>
        </w:rPr>
        <w:t>responsibility,</w:t>
      </w:r>
      <w:r w:rsidR="00900061" w:rsidRPr="00E168A1">
        <w:rPr>
          <w:rFonts w:ascii="Times New Roman" w:hAnsi="Times New Roman"/>
        </w:rPr>
        <w:t xml:space="preserve"> </w:t>
      </w:r>
      <w:r w:rsidRPr="00A90FD9">
        <w:rPr>
          <w:rFonts w:ascii="Times New Roman" w:hAnsi="Times New Roman"/>
        </w:rPr>
        <w:t>the</w:t>
      </w:r>
      <w:r w:rsidR="00900061" w:rsidRPr="00A90FD9">
        <w:rPr>
          <w:rFonts w:ascii="Times New Roman" w:hAnsi="Times New Roman"/>
        </w:rPr>
        <w:t xml:space="preserve"> </w:t>
      </w:r>
      <w:r w:rsidR="00004472" w:rsidRPr="00E168A1">
        <w:rPr>
          <w:rFonts w:ascii="Times New Roman" w:hAnsi="Times New Roman"/>
        </w:rPr>
        <w:t>c</w:t>
      </w:r>
      <w:r w:rsidRPr="00E168A1">
        <w:rPr>
          <w:rFonts w:ascii="Times New Roman" w:hAnsi="Times New Roman"/>
        </w:rPr>
        <w:t>ommission</w:t>
      </w:r>
      <w:r w:rsidR="00900061" w:rsidRPr="00E168A1">
        <w:rPr>
          <w:rFonts w:ascii="Times New Roman" w:hAnsi="Times New Roman"/>
        </w:rPr>
        <w:t xml:space="preserve"> </w:t>
      </w:r>
      <w:r w:rsidRPr="00E168A1">
        <w:rPr>
          <w:rFonts w:ascii="Times New Roman" w:hAnsi="Times New Roman"/>
        </w:rPr>
        <w:t>is</w:t>
      </w:r>
      <w:r w:rsidR="00900061" w:rsidRPr="00E168A1">
        <w:rPr>
          <w:rFonts w:ascii="Times New Roman" w:hAnsi="Times New Roman"/>
        </w:rPr>
        <w:t xml:space="preserve"> </w:t>
      </w:r>
      <w:r w:rsidRPr="00E168A1">
        <w:rPr>
          <w:rFonts w:ascii="Times New Roman" w:hAnsi="Times New Roman"/>
        </w:rPr>
        <w:t>in</w:t>
      </w:r>
      <w:r w:rsidR="00900061" w:rsidRPr="00E168A1">
        <w:rPr>
          <w:rFonts w:ascii="Times New Roman" w:hAnsi="Times New Roman"/>
        </w:rPr>
        <w:t xml:space="preserve"> </w:t>
      </w:r>
      <w:r w:rsidRPr="00E168A1">
        <w:rPr>
          <w:rFonts w:ascii="Times New Roman" w:hAnsi="Times New Roman"/>
        </w:rPr>
        <w:t>charge</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identifying</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breaches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competition,</w:t>
      </w:r>
      <w:r w:rsidR="00900061" w:rsidRPr="00E168A1">
        <w:rPr>
          <w:rFonts w:ascii="Times New Roman" w:hAnsi="Times New Roman"/>
        </w:rPr>
        <w:t xml:space="preserve"> </w:t>
      </w:r>
      <w:r w:rsidRPr="00E168A1">
        <w:rPr>
          <w:rFonts w:ascii="Times New Roman" w:hAnsi="Times New Roman"/>
        </w:rPr>
        <w:t>punishing</w:t>
      </w:r>
      <w:r w:rsidR="00900061" w:rsidRPr="00E168A1">
        <w:rPr>
          <w:rFonts w:ascii="Times New Roman" w:hAnsi="Times New Roman"/>
        </w:rPr>
        <w:t xml:space="preserve"> </w:t>
      </w:r>
      <w:r w:rsidRPr="00E168A1">
        <w:rPr>
          <w:rFonts w:ascii="Times New Roman" w:hAnsi="Times New Roman"/>
        </w:rPr>
        <w:t>them</w:t>
      </w:r>
      <w:r w:rsidR="00004472" w:rsidRPr="00E168A1">
        <w:rPr>
          <w:rFonts w:ascii="Times New Roman" w:hAnsi="Times New Roman"/>
        </w:rPr>
        <w:t>,</w:t>
      </w:r>
      <w:r w:rsidR="00900061" w:rsidRPr="00E168A1">
        <w:rPr>
          <w:rFonts w:ascii="Times New Roman" w:hAnsi="Times New Roman"/>
        </w:rPr>
        <w:t xml:space="preserve"> </w:t>
      </w:r>
      <w:r w:rsidRPr="00E168A1">
        <w:rPr>
          <w:rFonts w:ascii="Times New Roman" w:hAnsi="Times New Roman"/>
        </w:rPr>
        <w:t>and</w:t>
      </w:r>
      <w:r w:rsidR="00900061" w:rsidRPr="00E168A1">
        <w:rPr>
          <w:rFonts w:ascii="Times New Roman" w:hAnsi="Times New Roman"/>
        </w:rPr>
        <w:t xml:space="preserve"> </w:t>
      </w:r>
      <w:r w:rsidRPr="00E168A1">
        <w:rPr>
          <w:rFonts w:ascii="Times New Roman" w:hAnsi="Times New Roman"/>
        </w:rPr>
        <w:t>eliminating</w:t>
      </w:r>
      <w:r w:rsidR="00900061" w:rsidRPr="00E168A1">
        <w:rPr>
          <w:rFonts w:ascii="Times New Roman" w:hAnsi="Times New Roman"/>
        </w:rPr>
        <w:t xml:space="preserve"> </w:t>
      </w:r>
      <w:r w:rsidRPr="00E168A1">
        <w:rPr>
          <w:rFonts w:ascii="Times New Roman" w:hAnsi="Times New Roman"/>
        </w:rPr>
        <w:t>any</w:t>
      </w:r>
      <w:r w:rsidR="00900061" w:rsidRPr="00E168A1">
        <w:rPr>
          <w:rFonts w:ascii="Times New Roman" w:hAnsi="Times New Roman"/>
        </w:rPr>
        <w:t xml:space="preserve"> </w:t>
      </w:r>
      <w:r w:rsidRPr="00E168A1">
        <w:rPr>
          <w:rFonts w:ascii="Times New Roman" w:hAnsi="Times New Roman"/>
        </w:rPr>
        <w:t>consequences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such</w:t>
      </w:r>
      <w:r w:rsidR="00900061" w:rsidRPr="00E168A1">
        <w:rPr>
          <w:rFonts w:ascii="Times New Roman" w:hAnsi="Times New Roman"/>
        </w:rPr>
        <w:t xml:space="preserve"> </w:t>
      </w:r>
      <w:r w:rsidRPr="00E168A1">
        <w:rPr>
          <w:rFonts w:ascii="Times New Roman" w:hAnsi="Times New Roman"/>
        </w:rPr>
        <w:t>breaches</w:t>
      </w:r>
      <w:r w:rsidR="00900061" w:rsidRPr="00E168A1">
        <w:rPr>
          <w:rFonts w:ascii="Times New Roman" w:hAnsi="Times New Roman"/>
        </w:rPr>
        <w:t xml:space="preserve"> </w:t>
      </w:r>
      <w:r w:rsidRPr="00E168A1">
        <w:rPr>
          <w:rFonts w:ascii="Times New Roman" w:hAnsi="Times New Roman"/>
        </w:rPr>
        <w:t>of</w:t>
      </w:r>
      <w:r w:rsidR="00900061" w:rsidRPr="00E168A1">
        <w:rPr>
          <w:rFonts w:ascii="Times New Roman" w:hAnsi="Times New Roman"/>
        </w:rPr>
        <w:t xml:space="preserve"> </w:t>
      </w:r>
      <w:r w:rsidRPr="00E168A1">
        <w:rPr>
          <w:rFonts w:ascii="Times New Roman" w:hAnsi="Times New Roman"/>
        </w:rPr>
        <w:t>competition</w:t>
      </w:r>
      <w:r w:rsidRPr="00E168A1">
        <w:rPr>
          <w:rFonts w:ascii="Times New Roman" w:hAnsi="Times New Roman"/>
          <w:color w:val="000000"/>
        </w:rPr>
        <w:t>.</w:t>
      </w:r>
    </w:p>
    <w:p w14:paraId="4D23E3FB" w14:textId="2A987788" w:rsidR="00A17E70" w:rsidRPr="00E168A1" w:rsidRDefault="00B03657" w:rsidP="00645878">
      <w:pPr>
        <w:pStyle w:val="ListParagraph"/>
        <w:numPr>
          <w:ilvl w:val="0"/>
          <w:numId w:val="29"/>
        </w:numPr>
        <w:ind w:left="0" w:firstLine="0"/>
        <w:contextualSpacing w:val="0"/>
        <w:rPr>
          <w:rFonts w:ascii="Times New Roman" w:hAnsi="Times New Roman"/>
          <w:color w:val="000000"/>
        </w:rPr>
      </w:pPr>
      <w:r w:rsidRPr="00E168A1">
        <w:rPr>
          <w:rFonts w:ascii="Times New Roman" w:hAnsi="Times New Roman"/>
          <w:b/>
          <w:bCs/>
          <w:color w:val="000000"/>
        </w:rPr>
        <w:t>The</w:t>
      </w:r>
      <w:r w:rsidR="00900061" w:rsidRPr="00E168A1">
        <w:rPr>
          <w:rFonts w:ascii="Times New Roman" w:hAnsi="Times New Roman"/>
          <w:b/>
          <w:bCs/>
          <w:color w:val="000000"/>
        </w:rPr>
        <w:t xml:space="preserve"> </w:t>
      </w:r>
      <w:r w:rsidRPr="00E168A1">
        <w:rPr>
          <w:rFonts w:ascii="Times New Roman" w:hAnsi="Times New Roman"/>
          <w:b/>
          <w:bCs/>
          <w:color w:val="000000"/>
        </w:rPr>
        <w:t>Administrative</w:t>
      </w:r>
      <w:r w:rsidR="00900061" w:rsidRPr="00E168A1">
        <w:rPr>
          <w:rFonts w:ascii="Times New Roman" w:hAnsi="Times New Roman"/>
          <w:b/>
          <w:bCs/>
          <w:color w:val="000000"/>
        </w:rPr>
        <w:t xml:space="preserve"> </w:t>
      </w:r>
      <w:r w:rsidRPr="00E168A1">
        <w:rPr>
          <w:rFonts w:ascii="Times New Roman" w:hAnsi="Times New Roman"/>
          <w:b/>
          <w:bCs/>
          <w:color w:val="000000"/>
        </w:rPr>
        <w:t>Court</w:t>
      </w:r>
      <w:r w:rsidR="00900061" w:rsidRPr="00E168A1">
        <w:rPr>
          <w:rFonts w:ascii="Times New Roman" w:hAnsi="Times New Roman"/>
          <w:b/>
          <w:bCs/>
          <w:color w:val="000000"/>
        </w:rPr>
        <w:t xml:space="preserve"> </w:t>
      </w:r>
      <w:r w:rsidRPr="00E168A1">
        <w:rPr>
          <w:rFonts w:ascii="Times New Roman" w:hAnsi="Times New Roman"/>
          <w:color w:val="000000"/>
        </w:rPr>
        <w:t>is</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A90FD9">
        <w:rPr>
          <w:rFonts w:ascii="Times New Roman" w:hAnsi="Times New Roman"/>
          <w:color w:val="000000"/>
        </w:rPr>
        <w:t xml:space="preserve"> </w:t>
      </w:r>
      <w:r w:rsidRPr="00A90FD9">
        <w:rPr>
          <w:rFonts w:ascii="Times New Roman" w:hAnsi="Times New Roman"/>
          <w:color w:val="000000"/>
        </w:rPr>
        <w:t>court</w:t>
      </w:r>
      <w:r w:rsidR="00900061" w:rsidRPr="00A90FD9">
        <w:rPr>
          <w:rFonts w:ascii="Times New Roman" w:hAnsi="Times New Roman"/>
          <w:color w:val="000000"/>
        </w:rPr>
        <w:t xml:space="preserve"> </w:t>
      </w:r>
      <w:r w:rsidRPr="00A90FD9">
        <w:rPr>
          <w:rFonts w:ascii="Times New Roman" w:hAnsi="Times New Roman"/>
          <w:color w:val="000000"/>
        </w:rPr>
        <w:t>with</w:t>
      </w:r>
      <w:r w:rsidR="00900061" w:rsidRPr="00E67C6B">
        <w:rPr>
          <w:rFonts w:ascii="Times New Roman" w:hAnsi="Times New Roman"/>
          <w:color w:val="000000"/>
        </w:rPr>
        <w:t xml:space="preserve"> </w:t>
      </w:r>
      <w:r w:rsidRPr="005769EE">
        <w:rPr>
          <w:rFonts w:ascii="Times New Roman" w:hAnsi="Times New Roman"/>
          <w:color w:val="000000"/>
        </w:rPr>
        <w:t>special</w:t>
      </w:r>
      <w:r w:rsidR="00900061" w:rsidRPr="00E168A1">
        <w:rPr>
          <w:rFonts w:ascii="Times New Roman" w:hAnsi="Times New Roman"/>
          <w:color w:val="000000"/>
        </w:rPr>
        <w:t xml:space="preserve"> </w:t>
      </w:r>
      <w:r w:rsidRPr="00E168A1">
        <w:rPr>
          <w:rFonts w:ascii="Times New Roman" w:hAnsi="Times New Roman"/>
          <w:color w:val="000000"/>
        </w:rPr>
        <w:t>jurisdiction</w:t>
      </w:r>
      <w:r w:rsidR="00900061" w:rsidRPr="00E168A1">
        <w:rPr>
          <w:rFonts w:ascii="Times New Roman" w:hAnsi="Times New Roman"/>
          <w:color w:val="000000"/>
        </w:rPr>
        <w:t xml:space="preserve"> </w:t>
      </w:r>
      <w:r w:rsidRPr="00E168A1">
        <w:rPr>
          <w:rFonts w:ascii="Times New Roman" w:hAnsi="Times New Roman"/>
          <w:color w:val="000000"/>
        </w:rPr>
        <w:t>which</w:t>
      </w:r>
      <w:r w:rsidR="00900061" w:rsidRPr="00E168A1">
        <w:rPr>
          <w:rFonts w:ascii="Times New Roman" w:hAnsi="Times New Roman"/>
          <w:color w:val="000000"/>
        </w:rPr>
        <w:t xml:space="preserve"> </w:t>
      </w:r>
      <w:r w:rsidRPr="00E168A1">
        <w:rPr>
          <w:rFonts w:ascii="Times New Roman" w:hAnsi="Times New Roman"/>
          <w:color w:val="000000"/>
        </w:rPr>
        <w:t>adjudicates</w:t>
      </w:r>
      <w:r w:rsidR="00900061" w:rsidRPr="00E168A1">
        <w:rPr>
          <w:rFonts w:ascii="Times New Roman" w:hAnsi="Times New Roman"/>
          <w:color w:val="000000"/>
        </w:rPr>
        <w:t xml:space="preserve"> </w:t>
      </w:r>
      <w:r w:rsidRPr="00E168A1">
        <w:rPr>
          <w:rFonts w:ascii="Times New Roman" w:hAnsi="Times New Roman"/>
          <w:color w:val="000000"/>
        </w:rPr>
        <w:t>administrative</w:t>
      </w:r>
      <w:r w:rsidR="00900061" w:rsidRPr="00E168A1">
        <w:rPr>
          <w:rFonts w:ascii="Times New Roman" w:hAnsi="Times New Roman"/>
          <w:color w:val="000000"/>
        </w:rPr>
        <w:t xml:space="preserve"> </w:t>
      </w:r>
      <w:r w:rsidRPr="00E168A1">
        <w:rPr>
          <w:rFonts w:ascii="Times New Roman" w:hAnsi="Times New Roman"/>
          <w:color w:val="000000"/>
        </w:rPr>
        <w:t>disputes</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rules</w:t>
      </w:r>
      <w:r w:rsidR="00900061" w:rsidRPr="00E168A1">
        <w:rPr>
          <w:rFonts w:ascii="Times New Roman" w:hAnsi="Times New Roman"/>
          <w:color w:val="000000"/>
        </w:rPr>
        <w:t xml:space="preserve"> </w:t>
      </w:r>
      <w:r w:rsidRPr="00E168A1">
        <w:rPr>
          <w:rFonts w:ascii="Times New Roman" w:hAnsi="Times New Roman"/>
          <w:color w:val="000000"/>
        </w:rPr>
        <w:t>on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lawfulness</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final</w:t>
      </w:r>
      <w:r w:rsidR="00900061" w:rsidRPr="00E168A1">
        <w:rPr>
          <w:rFonts w:ascii="Times New Roman" w:hAnsi="Times New Roman"/>
          <w:color w:val="000000"/>
        </w:rPr>
        <w:t xml:space="preserve"> </w:t>
      </w:r>
      <w:r w:rsidRPr="00E168A1">
        <w:rPr>
          <w:rFonts w:ascii="Times New Roman" w:hAnsi="Times New Roman"/>
          <w:color w:val="000000"/>
        </w:rPr>
        <w:t>administrative</w:t>
      </w:r>
      <w:r w:rsidR="00900061" w:rsidRPr="00E168A1">
        <w:rPr>
          <w:rFonts w:ascii="Times New Roman" w:hAnsi="Times New Roman"/>
          <w:color w:val="000000"/>
        </w:rPr>
        <w:t xml:space="preserve"> </w:t>
      </w:r>
      <w:r w:rsidRPr="00E168A1">
        <w:rPr>
          <w:rFonts w:ascii="Times New Roman" w:hAnsi="Times New Roman"/>
          <w:color w:val="000000"/>
        </w:rPr>
        <w:t>enactments</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administrative</w:t>
      </w:r>
      <w:r w:rsidR="00900061" w:rsidRPr="00E168A1">
        <w:rPr>
          <w:rFonts w:ascii="Times New Roman" w:hAnsi="Times New Roman"/>
          <w:color w:val="000000"/>
        </w:rPr>
        <w:t xml:space="preserve"> </w:t>
      </w:r>
      <w:r w:rsidRPr="00E168A1">
        <w:rPr>
          <w:rFonts w:ascii="Times New Roman" w:hAnsi="Times New Roman"/>
          <w:color w:val="000000"/>
        </w:rPr>
        <w:t>disputes.</w:t>
      </w:r>
      <w:r w:rsidR="00900061" w:rsidRPr="00E168A1">
        <w:rPr>
          <w:rFonts w:ascii="Times New Roman" w:hAnsi="Times New Roman"/>
          <w:color w:val="000000"/>
        </w:rPr>
        <w:t xml:space="preserve"> </w:t>
      </w:r>
      <w:r w:rsidRPr="00E168A1">
        <w:rPr>
          <w:rFonts w:ascii="Times New Roman" w:hAnsi="Times New Roman"/>
          <w:color w:val="000000"/>
        </w:rPr>
        <w:t>Under</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PPL,</w:t>
      </w:r>
      <w:r w:rsidR="00900061" w:rsidRPr="00E168A1">
        <w:rPr>
          <w:rFonts w:ascii="Times New Roman" w:hAnsi="Times New Roman"/>
          <w:color w:val="000000"/>
        </w:rPr>
        <w:t xml:space="preserve"> </w:t>
      </w:r>
      <w:r w:rsidRPr="00E168A1">
        <w:rPr>
          <w:rFonts w:ascii="Times New Roman" w:hAnsi="Times New Roman"/>
          <w:color w:val="000000"/>
        </w:rPr>
        <w:t>decisions</w:t>
      </w:r>
      <w:r w:rsidR="00900061" w:rsidRPr="00E168A1">
        <w:rPr>
          <w:rFonts w:ascii="Times New Roman" w:hAnsi="Times New Roman"/>
          <w:color w:val="000000"/>
        </w:rPr>
        <w:t xml:space="preserve"> </w:t>
      </w:r>
      <w:r w:rsidRPr="00E168A1">
        <w:rPr>
          <w:rFonts w:ascii="Times New Roman" w:hAnsi="Times New Roman"/>
          <w:color w:val="000000"/>
        </w:rPr>
        <w:t>of</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783FFD" w:rsidRPr="00E168A1">
        <w:rPr>
          <w:rFonts w:ascii="Times New Roman" w:hAnsi="Times New Roman"/>
          <w:color w:val="000000"/>
        </w:rPr>
        <w:t>RC</w:t>
      </w:r>
      <w:r w:rsidR="00900061" w:rsidRPr="00E168A1">
        <w:rPr>
          <w:rFonts w:ascii="Times New Roman" w:hAnsi="Times New Roman"/>
          <w:color w:val="000000"/>
        </w:rPr>
        <w:t xml:space="preserve"> </w:t>
      </w:r>
      <w:r w:rsidRPr="00E168A1">
        <w:rPr>
          <w:rFonts w:ascii="Times New Roman" w:hAnsi="Times New Roman"/>
          <w:color w:val="000000"/>
        </w:rPr>
        <w:t>are</w:t>
      </w:r>
      <w:r w:rsidR="00900061" w:rsidRPr="00E168A1">
        <w:rPr>
          <w:rFonts w:ascii="Times New Roman" w:hAnsi="Times New Roman"/>
          <w:color w:val="000000"/>
        </w:rPr>
        <w:t xml:space="preserve"> </w:t>
      </w:r>
      <w:r w:rsidRPr="00E168A1">
        <w:rPr>
          <w:rFonts w:ascii="Times New Roman" w:hAnsi="Times New Roman"/>
          <w:color w:val="000000"/>
        </w:rPr>
        <w:t>not</w:t>
      </w:r>
      <w:r w:rsidR="00900061" w:rsidRPr="00E168A1">
        <w:rPr>
          <w:rFonts w:ascii="Times New Roman" w:hAnsi="Times New Roman"/>
          <w:color w:val="000000"/>
        </w:rPr>
        <w:t xml:space="preserve"> </w:t>
      </w:r>
      <w:r w:rsidRPr="00E168A1">
        <w:rPr>
          <w:rFonts w:ascii="Times New Roman" w:hAnsi="Times New Roman"/>
          <w:color w:val="000000"/>
        </w:rPr>
        <w:t>subject</w:t>
      </w:r>
      <w:r w:rsidR="00900061" w:rsidRPr="00E168A1">
        <w:rPr>
          <w:rFonts w:ascii="Times New Roman" w:hAnsi="Times New Roman"/>
          <w:color w:val="000000"/>
        </w:rPr>
        <w:t xml:space="preserve"> </w:t>
      </w:r>
      <w:r w:rsidRPr="00E168A1">
        <w:rPr>
          <w:rFonts w:ascii="Times New Roman" w:hAnsi="Times New Roman"/>
          <w:color w:val="000000"/>
        </w:rPr>
        <w:t>to</w:t>
      </w:r>
      <w:r w:rsidR="00900061" w:rsidRPr="00E168A1">
        <w:rPr>
          <w:rFonts w:ascii="Times New Roman" w:hAnsi="Times New Roman"/>
          <w:color w:val="000000"/>
        </w:rPr>
        <w:t xml:space="preserve"> </w:t>
      </w:r>
      <w:r w:rsidRPr="00E168A1">
        <w:rPr>
          <w:rFonts w:ascii="Times New Roman" w:hAnsi="Times New Roman"/>
          <w:color w:val="000000"/>
        </w:rPr>
        <w:t>appeal</w:t>
      </w:r>
      <w:r w:rsidR="00900061" w:rsidRPr="00E168A1">
        <w:rPr>
          <w:rFonts w:ascii="Times New Roman" w:hAnsi="Times New Roman"/>
          <w:color w:val="000000"/>
        </w:rPr>
        <w:t xml:space="preserve"> </w:t>
      </w:r>
      <w:r w:rsidRPr="00E168A1">
        <w:rPr>
          <w:rFonts w:ascii="Times New Roman" w:hAnsi="Times New Roman"/>
          <w:color w:val="000000"/>
        </w:rPr>
        <w:t>but</w:t>
      </w:r>
      <w:r w:rsidR="00900061" w:rsidRPr="00E168A1">
        <w:rPr>
          <w:rFonts w:ascii="Times New Roman" w:hAnsi="Times New Roman"/>
          <w:color w:val="000000"/>
        </w:rPr>
        <w:t xml:space="preserve"> </w:t>
      </w:r>
      <w:r w:rsidRPr="00E168A1">
        <w:rPr>
          <w:rFonts w:ascii="Times New Roman" w:hAnsi="Times New Roman"/>
          <w:color w:val="000000"/>
        </w:rPr>
        <w:t>may</w:t>
      </w:r>
      <w:r w:rsidR="00900061" w:rsidRPr="00E168A1">
        <w:rPr>
          <w:rFonts w:ascii="Times New Roman" w:hAnsi="Times New Roman"/>
          <w:color w:val="000000"/>
        </w:rPr>
        <w:t xml:space="preserve"> </w:t>
      </w:r>
      <w:r w:rsidRPr="00E168A1">
        <w:rPr>
          <w:rFonts w:ascii="Times New Roman" w:hAnsi="Times New Roman"/>
          <w:color w:val="000000"/>
        </w:rPr>
        <w:t>be</w:t>
      </w:r>
      <w:r w:rsidR="00900061" w:rsidRPr="00E168A1">
        <w:rPr>
          <w:rFonts w:ascii="Times New Roman" w:hAnsi="Times New Roman"/>
          <w:color w:val="000000"/>
        </w:rPr>
        <w:t xml:space="preserve"> </w:t>
      </w:r>
      <w:r w:rsidRPr="00E168A1">
        <w:rPr>
          <w:rFonts w:ascii="Times New Roman" w:hAnsi="Times New Roman"/>
          <w:color w:val="000000"/>
        </w:rPr>
        <w:t>challenged</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an</w:t>
      </w:r>
      <w:r w:rsidR="00900061" w:rsidRPr="00E168A1">
        <w:rPr>
          <w:rFonts w:ascii="Times New Roman" w:hAnsi="Times New Roman"/>
          <w:color w:val="000000"/>
        </w:rPr>
        <w:t xml:space="preserve"> </w:t>
      </w:r>
      <w:r w:rsidRPr="00E168A1">
        <w:rPr>
          <w:rFonts w:ascii="Times New Roman" w:hAnsi="Times New Roman"/>
          <w:color w:val="000000"/>
        </w:rPr>
        <w:t>administrative</w:t>
      </w:r>
      <w:r w:rsidR="00900061" w:rsidRPr="00E168A1">
        <w:rPr>
          <w:rFonts w:ascii="Times New Roman" w:hAnsi="Times New Roman"/>
          <w:color w:val="000000"/>
        </w:rPr>
        <w:t xml:space="preserve"> </w:t>
      </w:r>
      <w:r w:rsidRPr="00E168A1">
        <w:rPr>
          <w:rFonts w:ascii="Times New Roman" w:hAnsi="Times New Roman"/>
          <w:color w:val="000000"/>
        </w:rPr>
        <w:t>dispute</w:t>
      </w:r>
      <w:r w:rsidR="00900061" w:rsidRPr="00E168A1">
        <w:rPr>
          <w:rFonts w:ascii="Times New Roman" w:hAnsi="Times New Roman"/>
          <w:color w:val="000000"/>
        </w:rPr>
        <w:t xml:space="preserve"> </w:t>
      </w:r>
      <w:r w:rsidRPr="00E168A1">
        <w:rPr>
          <w:rFonts w:ascii="Times New Roman" w:hAnsi="Times New Roman"/>
          <w:color w:val="000000"/>
        </w:rPr>
        <w:t>within</w:t>
      </w:r>
      <w:r w:rsidR="00900061" w:rsidRPr="00E168A1">
        <w:rPr>
          <w:rFonts w:ascii="Times New Roman" w:hAnsi="Times New Roman"/>
          <w:color w:val="000000"/>
        </w:rPr>
        <w:t xml:space="preserve"> </w:t>
      </w:r>
      <w:r w:rsidRPr="00E168A1">
        <w:rPr>
          <w:rFonts w:ascii="Times New Roman" w:hAnsi="Times New Roman"/>
          <w:color w:val="000000"/>
        </w:rPr>
        <w:t>30</w:t>
      </w:r>
      <w:r w:rsidR="00900061" w:rsidRPr="00E168A1">
        <w:rPr>
          <w:rFonts w:ascii="Times New Roman" w:hAnsi="Times New Roman"/>
          <w:color w:val="000000"/>
        </w:rPr>
        <w:t xml:space="preserve"> </w:t>
      </w:r>
      <w:r w:rsidRPr="00E168A1">
        <w:rPr>
          <w:rFonts w:ascii="Times New Roman" w:hAnsi="Times New Roman"/>
          <w:color w:val="000000"/>
        </w:rPr>
        <w:t>days</w:t>
      </w:r>
      <w:r w:rsidR="00900061" w:rsidRPr="00E168A1">
        <w:rPr>
          <w:rFonts w:ascii="Times New Roman" w:hAnsi="Times New Roman"/>
          <w:color w:val="000000"/>
        </w:rPr>
        <w:t xml:space="preserve"> </w:t>
      </w:r>
      <w:r w:rsidRPr="00E168A1">
        <w:rPr>
          <w:rFonts w:ascii="Times New Roman" w:hAnsi="Times New Roman"/>
          <w:color w:val="000000"/>
        </w:rPr>
        <w:t>after</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was</w:t>
      </w:r>
      <w:r w:rsidR="00900061" w:rsidRPr="00E168A1">
        <w:rPr>
          <w:rFonts w:ascii="Times New Roman" w:hAnsi="Times New Roman"/>
          <w:color w:val="000000"/>
        </w:rPr>
        <w:t xml:space="preserve"> </w:t>
      </w:r>
      <w:r w:rsidRPr="00E168A1">
        <w:rPr>
          <w:rFonts w:ascii="Times New Roman" w:hAnsi="Times New Roman"/>
          <w:color w:val="000000"/>
        </w:rPr>
        <w:t>received</w:t>
      </w:r>
      <w:r w:rsidR="00900061" w:rsidRPr="00E168A1">
        <w:rPr>
          <w:rFonts w:ascii="Times New Roman" w:hAnsi="Times New Roman"/>
          <w:color w:val="000000"/>
        </w:rPr>
        <w:t xml:space="preserve"> </w:t>
      </w:r>
      <w:r w:rsidRPr="00E168A1">
        <w:rPr>
          <w:rFonts w:ascii="Times New Roman" w:hAnsi="Times New Roman"/>
          <w:color w:val="000000"/>
        </w:rPr>
        <w:t>or</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cases</w:t>
      </w:r>
      <w:r w:rsidR="00900061" w:rsidRPr="00E168A1">
        <w:rPr>
          <w:rFonts w:ascii="Times New Roman" w:hAnsi="Times New Roman"/>
          <w:color w:val="000000"/>
        </w:rPr>
        <w:t xml:space="preserve"> </w:t>
      </w:r>
      <w:r w:rsidRPr="00E168A1">
        <w:rPr>
          <w:rFonts w:ascii="Times New Roman" w:hAnsi="Times New Roman"/>
          <w:color w:val="000000"/>
        </w:rPr>
        <w:t>where</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00F94F93" w:rsidRPr="00E168A1">
        <w:rPr>
          <w:rFonts w:ascii="Times New Roman" w:hAnsi="Times New Roman"/>
          <w:color w:val="000000"/>
        </w:rPr>
        <w:t>RC</w:t>
      </w:r>
      <w:r w:rsidR="00900061" w:rsidRPr="00E168A1">
        <w:rPr>
          <w:rFonts w:ascii="Times New Roman" w:hAnsi="Times New Roman"/>
          <w:color w:val="000000"/>
        </w:rPr>
        <w:t xml:space="preserve"> </w:t>
      </w:r>
      <w:r w:rsidRPr="00E168A1">
        <w:rPr>
          <w:rFonts w:ascii="Times New Roman" w:hAnsi="Times New Roman"/>
          <w:color w:val="000000"/>
        </w:rPr>
        <w:t>has</w:t>
      </w:r>
      <w:r w:rsidR="00900061" w:rsidRPr="00E168A1">
        <w:rPr>
          <w:rFonts w:ascii="Times New Roman" w:hAnsi="Times New Roman"/>
          <w:color w:val="000000"/>
        </w:rPr>
        <w:t xml:space="preserve"> </w:t>
      </w:r>
      <w:r w:rsidRPr="00E168A1">
        <w:rPr>
          <w:rFonts w:ascii="Times New Roman" w:hAnsi="Times New Roman"/>
          <w:color w:val="000000"/>
        </w:rPr>
        <w:t>not</w:t>
      </w:r>
      <w:r w:rsidR="00900061" w:rsidRPr="00E168A1">
        <w:rPr>
          <w:rFonts w:ascii="Times New Roman" w:hAnsi="Times New Roman"/>
          <w:color w:val="000000"/>
        </w:rPr>
        <w:t xml:space="preserve"> </w:t>
      </w:r>
      <w:r w:rsidRPr="00E168A1">
        <w:rPr>
          <w:rFonts w:ascii="Times New Roman" w:hAnsi="Times New Roman"/>
          <w:color w:val="000000"/>
        </w:rPr>
        <w:t>adopted</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delivered</w:t>
      </w:r>
      <w:r w:rsidR="00900061" w:rsidRPr="00E168A1">
        <w:rPr>
          <w:rFonts w:ascii="Times New Roman" w:hAnsi="Times New Roman"/>
          <w:color w:val="000000"/>
        </w:rPr>
        <w:t xml:space="preserve"> </w:t>
      </w:r>
      <w:r w:rsidRPr="00E168A1">
        <w:rPr>
          <w:rFonts w:ascii="Times New Roman" w:hAnsi="Times New Roman"/>
          <w:color w:val="000000"/>
        </w:rPr>
        <w:t>and</w:t>
      </w:r>
      <w:r w:rsidR="00900061" w:rsidRPr="00E168A1">
        <w:rPr>
          <w:rFonts w:ascii="Times New Roman" w:hAnsi="Times New Roman"/>
          <w:color w:val="000000"/>
        </w:rPr>
        <w:t xml:space="preserve"> </w:t>
      </w:r>
      <w:r w:rsidRPr="00E168A1">
        <w:rPr>
          <w:rFonts w:ascii="Times New Roman" w:hAnsi="Times New Roman"/>
          <w:color w:val="000000"/>
        </w:rPr>
        <w:t>a</w:t>
      </w:r>
      <w:r w:rsidR="00900061" w:rsidRPr="00E168A1">
        <w:rPr>
          <w:rFonts w:ascii="Times New Roman" w:hAnsi="Times New Roman"/>
          <w:color w:val="000000"/>
        </w:rPr>
        <w:t xml:space="preserve"> </w:t>
      </w:r>
      <w:r w:rsidRPr="00E168A1">
        <w:rPr>
          <w:rFonts w:ascii="Times New Roman" w:hAnsi="Times New Roman"/>
          <w:color w:val="000000"/>
        </w:rPr>
        <w:t>decision</w:t>
      </w:r>
      <w:r w:rsidR="00900061" w:rsidRPr="00E168A1">
        <w:rPr>
          <w:rFonts w:ascii="Times New Roman" w:hAnsi="Times New Roman"/>
          <w:color w:val="000000"/>
        </w:rPr>
        <w:t xml:space="preserve"> </w:t>
      </w:r>
      <w:r w:rsidRPr="00E168A1">
        <w:rPr>
          <w:rFonts w:ascii="Times New Roman" w:hAnsi="Times New Roman"/>
          <w:color w:val="000000"/>
        </w:rPr>
        <w:t>within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time</w:t>
      </w:r>
      <w:r w:rsidR="00900061" w:rsidRPr="00E168A1">
        <w:rPr>
          <w:rFonts w:ascii="Times New Roman" w:hAnsi="Times New Roman"/>
          <w:color w:val="000000"/>
        </w:rPr>
        <w:t xml:space="preserve"> </w:t>
      </w:r>
      <w:r w:rsidRPr="00E168A1">
        <w:rPr>
          <w:rFonts w:ascii="Times New Roman" w:hAnsi="Times New Roman"/>
          <w:color w:val="000000"/>
        </w:rPr>
        <w:t>limits</w:t>
      </w:r>
      <w:r w:rsidR="00900061" w:rsidRPr="00E168A1">
        <w:rPr>
          <w:rFonts w:ascii="Times New Roman" w:hAnsi="Times New Roman"/>
          <w:color w:val="000000"/>
        </w:rPr>
        <w:t xml:space="preserve"> </w:t>
      </w:r>
      <w:r w:rsidRPr="00E168A1">
        <w:rPr>
          <w:rFonts w:ascii="Times New Roman" w:hAnsi="Times New Roman"/>
          <w:color w:val="000000"/>
        </w:rPr>
        <w:t>set</w:t>
      </w:r>
      <w:r w:rsidR="00900061" w:rsidRPr="00E168A1">
        <w:rPr>
          <w:rFonts w:ascii="Times New Roman" w:hAnsi="Times New Roman"/>
          <w:color w:val="000000"/>
        </w:rPr>
        <w:t xml:space="preserve"> </w:t>
      </w:r>
      <w:r w:rsidRPr="00E168A1">
        <w:rPr>
          <w:rFonts w:ascii="Times New Roman" w:hAnsi="Times New Roman"/>
          <w:color w:val="000000"/>
        </w:rPr>
        <w:t>out</w:t>
      </w:r>
      <w:r w:rsidR="00900061" w:rsidRPr="00E168A1">
        <w:rPr>
          <w:rFonts w:ascii="Times New Roman" w:hAnsi="Times New Roman"/>
          <w:color w:val="000000"/>
        </w:rPr>
        <w:t xml:space="preserve"> </w:t>
      </w:r>
      <w:r w:rsidRPr="00E168A1">
        <w:rPr>
          <w:rFonts w:ascii="Times New Roman" w:hAnsi="Times New Roman"/>
          <w:color w:val="000000"/>
        </w:rPr>
        <w:t>in</w:t>
      </w:r>
      <w:r w:rsidR="00900061" w:rsidRPr="00E168A1">
        <w:rPr>
          <w:rFonts w:ascii="Times New Roman" w:hAnsi="Times New Roman"/>
          <w:color w:val="000000"/>
        </w:rPr>
        <w:t xml:space="preserve"> </w:t>
      </w:r>
      <w:r w:rsidRPr="00E168A1">
        <w:rPr>
          <w:rFonts w:ascii="Times New Roman" w:hAnsi="Times New Roman"/>
          <w:color w:val="000000"/>
        </w:rPr>
        <w:t>the</w:t>
      </w:r>
      <w:r w:rsidR="00900061" w:rsidRPr="00E168A1">
        <w:rPr>
          <w:rFonts w:ascii="Times New Roman" w:hAnsi="Times New Roman"/>
          <w:color w:val="000000"/>
        </w:rPr>
        <w:t xml:space="preserve"> </w:t>
      </w:r>
      <w:r w:rsidRPr="00E168A1">
        <w:rPr>
          <w:rFonts w:ascii="Times New Roman" w:hAnsi="Times New Roman"/>
          <w:color w:val="000000"/>
        </w:rPr>
        <w:t>PPL.</w:t>
      </w:r>
      <w:r w:rsidR="00900061" w:rsidRPr="00E168A1">
        <w:rPr>
          <w:rFonts w:ascii="Times New Roman" w:hAnsi="Times New Roman"/>
          <w:color w:val="000000"/>
        </w:rPr>
        <w:t xml:space="preserve"> </w:t>
      </w:r>
    </w:p>
    <w:p w14:paraId="74EDFD3B" w14:textId="0E763425" w:rsidR="00A17E70" w:rsidRPr="00A90FD9" w:rsidRDefault="00B03657" w:rsidP="00645878">
      <w:pPr>
        <w:pStyle w:val="ListParagraph"/>
        <w:numPr>
          <w:ilvl w:val="0"/>
          <w:numId w:val="29"/>
        </w:numPr>
        <w:ind w:left="0" w:firstLine="0"/>
        <w:contextualSpacing w:val="0"/>
        <w:rPr>
          <w:rFonts w:ascii="Times New Roman" w:hAnsi="Times New Roman"/>
          <w:color w:val="000000"/>
          <w:lang w:eastAsia="sr-Latn-CS"/>
        </w:rPr>
      </w:pPr>
      <w:r w:rsidRPr="00E168A1">
        <w:rPr>
          <w:rFonts w:ascii="Times New Roman" w:hAnsi="Times New Roman"/>
          <w:b/>
          <w:bCs/>
          <w:color w:val="000000"/>
          <w:lang w:eastAsia="sr-Latn-CS"/>
        </w:rPr>
        <w:t>The</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Administration</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for</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Joint</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Services</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of</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Republic</w:t>
      </w:r>
      <w:r w:rsidR="00900061" w:rsidRPr="00E168A1">
        <w:rPr>
          <w:rFonts w:ascii="Times New Roman" w:hAnsi="Times New Roman"/>
          <w:b/>
          <w:bCs/>
          <w:color w:val="000000"/>
          <w:lang w:eastAsia="sr-Latn-CS"/>
        </w:rPr>
        <w:t xml:space="preserve"> </w:t>
      </w:r>
      <w:r w:rsidRPr="00E168A1">
        <w:rPr>
          <w:rFonts w:ascii="Times New Roman" w:hAnsi="Times New Roman"/>
          <w:b/>
          <w:bCs/>
          <w:color w:val="000000"/>
          <w:lang w:eastAsia="sr-Latn-CS"/>
        </w:rPr>
        <w:t>Bodies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is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the</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body</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in</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charge</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of</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centrali</w:t>
      </w:r>
      <w:r w:rsidR="00225146" w:rsidRPr="00E168A1">
        <w:rPr>
          <w:rFonts w:ascii="Times New Roman" w:hAnsi="Times New Roman"/>
          <w:color w:val="000000"/>
          <w:lang w:eastAsia="sr-Latn-CS"/>
        </w:rPr>
        <w:t>z</w:t>
      </w:r>
      <w:r w:rsidRPr="00E168A1">
        <w:rPr>
          <w:rFonts w:ascii="Times New Roman" w:hAnsi="Times New Roman"/>
          <w:color w:val="000000"/>
          <w:lang w:eastAsia="sr-Latn-CS"/>
        </w:rPr>
        <w:t>ed</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public</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procurement</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for</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national</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authorities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and</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organi</w:t>
      </w:r>
      <w:r w:rsidR="008D778D" w:rsidRPr="00E168A1">
        <w:rPr>
          <w:rFonts w:ascii="Times New Roman" w:hAnsi="Times New Roman"/>
          <w:color w:val="000000"/>
          <w:lang w:eastAsia="sr-Latn-CS"/>
        </w:rPr>
        <w:t>z</w:t>
      </w:r>
      <w:r w:rsidRPr="00E168A1">
        <w:rPr>
          <w:rFonts w:ascii="Times New Roman" w:hAnsi="Times New Roman"/>
          <w:color w:val="000000"/>
          <w:lang w:eastAsia="sr-Latn-CS"/>
        </w:rPr>
        <w:t>ations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including</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judicial</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authorities.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The</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conditions</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for</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and</w:t>
      </w:r>
      <w:r w:rsidR="00900061" w:rsidRPr="00E168A1">
        <w:rPr>
          <w:rFonts w:ascii="Times New Roman" w:hAnsi="Times New Roman"/>
          <w:color w:val="000000"/>
          <w:lang w:eastAsia="sr-Latn-CS"/>
        </w:rPr>
        <w:t xml:space="preserve"> </w:t>
      </w:r>
      <w:r w:rsidRPr="00A90FD9">
        <w:rPr>
          <w:rFonts w:ascii="Times New Roman" w:hAnsi="Times New Roman"/>
          <w:color w:val="000000"/>
          <w:lang w:eastAsia="sr-Latn-CS"/>
        </w:rPr>
        <w:t>manner</w:t>
      </w:r>
      <w:r w:rsidR="00900061" w:rsidRPr="00A90FD9">
        <w:rPr>
          <w:rFonts w:ascii="Times New Roman" w:hAnsi="Times New Roman"/>
          <w:color w:val="000000"/>
          <w:lang w:eastAsia="sr-Latn-CS"/>
        </w:rPr>
        <w:t xml:space="preserve"> </w:t>
      </w:r>
      <w:r w:rsidRPr="00A90FD9">
        <w:rPr>
          <w:rFonts w:ascii="Times New Roman" w:hAnsi="Times New Roman"/>
          <w:color w:val="000000"/>
          <w:lang w:eastAsia="sr-Latn-CS"/>
        </w:rPr>
        <w:t>of</w:t>
      </w:r>
      <w:r w:rsidR="00900061" w:rsidRPr="00A90FD9">
        <w:rPr>
          <w:rFonts w:ascii="Times New Roman" w:hAnsi="Times New Roman"/>
          <w:color w:val="000000"/>
          <w:lang w:eastAsia="sr-Latn-CS"/>
        </w:rPr>
        <w:t xml:space="preserve"> </w:t>
      </w:r>
      <w:r w:rsidRPr="00A90FD9">
        <w:rPr>
          <w:rFonts w:ascii="Times New Roman" w:hAnsi="Times New Roman"/>
          <w:color w:val="000000"/>
          <w:lang w:eastAsia="sr-Latn-CS"/>
        </w:rPr>
        <w:t>conducting</w:t>
      </w:r>
      <w:r w:rsidR="00900061" w:rsidRPr="00E67C6B">
        <w:rPr>
          <w:rFonts w:ascii="Times New Roman" w:hAnsi="Times New Roman"/>
          <w:color w:val="000000"/>
          <w:lang w:eastAsia="sr-Latn-CS"/>
        </w:rPr>
        <w:t xml:space="preserve"> </w:t>
      </w:r>
      <w:r w:rsidRPr="005769EE">
        <w:rPr>
          <w:rFonts w:ascii="Times New Roman" w:hAnsi="Times New Roman"/>
          <w:color w:val="000000"/>
          <w:lang w:eastAsia="sr-Latn-CS"/>
        </w:rPr>
        <w:t>public</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procurement</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by</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the</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Administration</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for</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Joint</w:t>
      </w:r>
      <w:r w:rsidR="00900061" w:rsidRPr="00E168A1">
        <w:rPr>
          <w:rFonts w:ascii="Times New Roman" w:hAnsi="Times New Roman"/>
          <w:color w:val="000000"/>
          <w:lang w:eastAsia="sr-Latn-CS"/>
        </w:rPr>
        <w:t xml:space="preserve"> </w:t>
      </w:r>
      <w:r w:rsidRPr="00E168A1">
        <w:rPr>
          <w:rFonts w:ascii="Times New Roman" w:hAnsi="Times New Roman"/>
          <w:color w:val="000000"/>
          <w:lang w:eastAsia="sr-Latn-CS"/>
        </w:rPr>
        <w:t>Services,</w:t>
      </w:r>
      <w:r w:rsidR="00900061" w:rsidRPr="00E168A1">
        <w:rPr>
          <w:rFonts w:ascii="Times New Roman" w:hAnsi="Times New Roman"/>
          <w:color w:val="000000"/>
          <w:lang w:eastAsia="sr-Latn-CS"/>
        </w:rPr>
        <w:t xml:space="preserve"> </w:t>
      </w:r>
      <w:r w:rsidR="00A17E70" w:rsidRPr="00E168A1">
        <w:rPr>
          <w:rFonts w:ascii="Times New Roman" w:eastAsia="Times New Roman" w:hAnsi="Times New Roman"/>
          <w:lang w:eastAsia="sr-Latn-CS"/>
        </w:rPr>
        <w:t>the</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list</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of</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contracting</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authorities</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for</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which</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centrali</w:t>
      </w:r>
      <w:r w:rsidR="00225146" w:rsidRPr="00E168A1">
        <w:rPr>
          <w:rFonts w:ascii="Times New Roman" w:hAnsi="Times New Roman"/>
          <w:color w:val="000000"/>
          <w:lang w:eastAsia="sr-Latn-CS"/>
        </w:rPr>
        <w:t>z</w:t>
      </w:r>
      <w:r w:rsidR="00A17E70" w:rsidRPr="00E168A1">
        <w:rPr>
          <w:rFonts w:ascii="Times New Roman" w:hAnsi="Times New Roman"/>
          <w:color w:val="000000"/>
          <w:lang w:eastAsia="sr-Latn-CS"/>
        </w:rPr>
        <w:t>ed</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procurement</w:t>
      </w:r>
      <w:r w:rsidR="00900061" w:rsidRPr="00E168A1">
        <w:rPr>
          <w:rFonts w:ascii="Times New Roman" w:hAnsi="Times New Roman"/>
          <w:color w:val="000000"/>
          <w:lang w:eastAsia="sr-Latn-CS"/>
        </w:rPr>
        <w:t xml:space="preserve"> </w:t>
      </w:r>
      <w:r w:rsidR="00225146" w:rsidRPr="00E168A1">
        <w:rPr>
          <w:rFonts w:ascii="Times New Roman" w:hAnsi="Times New Roman"/>
          <w:color w:val="000000"/>
          <w:lang w:eastAsia="sr-Latn-CS"/>
        </w:rPr>
        <w:t>is</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conducted</w:t>
      </w:r>
      <w:r w:rsidR="00225146" w:rsidRPr="00E168A1">
        <w:rPr>
          <w:rFonts w:ascii="Times New Roman" w:hAnsi="Times New Roman"/>
          <w:color w:val="000000"/>
          <w:lang w:eastAsia="sr-Latn-CS"/>
        </w:rPr>
        <w:t>,</w:t>
      </w:r>
      <w:r w:rsidR="00900061" w:rsidRPr="00E168A1">
        <w:rPr>
          <w:rFonts w:ascii="Times New Roman" w:hAnsi="Times New Roman"/>
          <w:color w:val="000000"/>
          <w:lang w:eastAsia="sr-Latn-CS"/>
        </w:rPr>
        <w:t xml:space="preserve"> </w:t>
      </w:r>
      <w:r w:rsidR="00225146" w:rsidRPr="00E168A1">
        <w:rPr>
          <w:rFonts w:ascii="Times New Roman" w:hAnsi="Times New Roman"/>
          <w:color w:val="000000"/>
          <w:lang w:eastAsia="sr-Latn-CS"/>
        </w:rPr>
        <w:t>and</w:t>
      </w:r>
      <w:r w:rsidR="00900061" w:rsidRPr="00E168A1">
        <w:rPr>
          <w:rFonts w:ascii="Times New Roman" w:hAnsi="Times New Roman"/>
          <w:color w:val="000000"/>
          <w:lang w:eastAsia="sr-Latn-CS"/>
        </w:rPr>
        <w:t xml:space="preserve"> </w:t>
      </w:r>
      <w:r w:rsidR="00A17E70" w:rsidRPr="00E168A1">
        <w:rPr>
          <w:rFonts w:ascii="Times New Roman" w:eastAsia="Times New Roman" w:hAnsi="Times New Roman"/>
          <w:lang w:eastAsia="sr-Latn-CS"/>
        </w:rPr>
        <w:t>the</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list</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of</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procurement</w:t>
      </w:r>
      <w:r w:rsidR="00900061" w:rsidRPr="00E168A1">
        <w:rPr>
          <w:rFonts w:ascii="Times New Roman" w:hAnsi="Times New Roman"/>
          <w:color w:val="000000"/>
          <w:lang w:eastAsia="sr-Latn-CS"/>
        </w:rPr>
        <w:t xml:space="preserve"> </w:t>
      </w:r>
      <w:r w:rsidR="00A17E70" w:rsidRPr="00E168A1">
        <w:rPr>
          <w:rFonts w:ascii="Times New Roman" w:eastAsia="Times New Roman" w:hAnsi="Times New Roman"/>
          <w:lang w:eastAsia="sr-Latn-CS"/>
        </w:rPr>
        <w:t>items</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subject</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to</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centrali</w:t>
      </w:r>
      <w:r w:rsidR="00225146" w:rsidRPr="00E168A1">
        <w:rPr>
          <w:rFonts w:ascii="Times New Roman" w:hAnsi="Times New Roman"/>
          <w:color w:val="000000"/>
          <w:lang w:eastAsia="sr-Latn-CS"/>
        </w:rPr>
        <w:t>z</w:t>
      </w:r>
      <w:r w:rsidR="00A17E70" w:rsidRPr="00E168A1">
        <w:rPr>
          <w:rFonts w:ascii="Times New Roman" w:hAnsi="Times New Roman"/>
          <w:color w:val="000000"/>
          <w:lang w:eastAsia="sr-Latn-CS"/>
        </w:rPr>
        <w:t>ation</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shall</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be</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defined</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in</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detail</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by</w:t>
      </w:r>
      <w:r w:rsidR="00900061" w:rsidRPr="00E168A1">
        <w:rPr>
          <w:rFonts w:ascii="Times New Roman" w:hAnsi="Times New Roman"/>
          <w:color w:val="000000"/>
          <w:lang w:eastAsia="sr-Latn-CS"/>
        </w:rPr>
        <w:t xml:space="preserve"> </w:t>
      </w:r>
      <w:r w:rsidR="00A17E70" w:rsidRPr="00E168A1">
        <w:rPr>
          <w:rFonts w:ascii="Times New Roman" w:hAnsi="Times New Roman"/>
          <w:color w:val="000000"/>
          <w:lang w:eastAsia="sr-Latn-CS"/>
        </w:rPr>
        <w:t>the</w:t>
      </w:r>
      <w:r w:rsidR="00900061" w:rsidRPr="00E168A1">
        <w:rPr>
          <w:rFonts w:ascii="Times New Roman" w:hAnsi="Times New Roman"/>
          <w:color w:val="000000"/>
          <w:lang w:eastAsia="sr-Latn-CS"/>
        </w:rPr>
        <w:t xml:space="preserve"> </w:t>
      </w:r>
      <w:r w:rsidR="00EB3365" w:rsidRPr="00A90FD9">
        <w:rPr>
          <w:rFonts w:ascii="Times New Roman" w:hAnsi="Times New Roman"/>
        </w:rPr>
        <w:t>government</w:t>
      </w:r>
      <w:r w:rsidR="00A17E70" w:rsidRPr="00A90FD9">
        <w:rPr>
          <w:rFonts w:ascii="Times New Roman" w:hAnsi="Times New Roman"/>
          <w:color w:val="000000"/>
          <w:lang w:eastAsia="sr-Latn-CS"/>
        </w:rPr>
        <w:t>.</w:t>
      </w:r>
    </w:p>
    <w:p w14:paraId="6918B399" w14:textId="77777777" w:rsidR="00A17E70" w:rsidRPr="00E168A1" w:rsidRDefault="00A17E70" w:rsidP="00645878">
      <w:pPr>
        <w:rPr>
          <w:rFonts w:ascii="Times New Roman" w:hAnsi="Times New Roman"/>
        </w:rPr>
      </w:pPr>
    </w:p>
    <w:p w14:paraId="73AED576" w14:textId="77777777" w:rsidR="00A17E70" w:rsidRPr="00E168A1" w:rsidRDefault="00A17E70" w:rsidP="00645878">
      <w:pPr>
        <w:rPr>
          <w:rFonts w:ascii="Times New Roman" w:hAnsi="Times New Roman"/>
        </w:rPr>
        <w:sectPr w:rsidR="00A17E70" w:rsidRPr="00E168A1" w:rsidSect="00FF4790">
          <w:pgSz w:w="12240" w:h="15840"/>
          <w:pgMar w:top="1440" w:right="1440" w:bottom="1440" w:left="1440" w:header="720" w:footer="720" w:gutter="0"/>
          <w:cols w:space="720"/>
          <w:docGrid w:linePitch="360"/>
        </w:sectPr>
      </w:pPr>
    </w:p>
    <w:p w14:paraId="15400AC1" w14:textId="77777777" w:rsidR="00B2228A" w:rsidRPr="00E168A1" w:rsidRDefault="00B03657" w:rsidP="004B1A62">
      <w:pPr>
        <w:outlineLvl w:val="0"/>
        <w:rPr>
          <w:rFonts w:ascii="Times New Roman" w:hAnsi="Times New Roman"/>
          <w:b/>
        </w:rPr>
      </w:pPr>
      <w:bookmarkStart w:id="60" w:name="_Toc442428979"/>
      <w:r w:rsidRPr="00E168A1">
        <w:rPr>
          <w:rFonts w:ascii="Times New Roman" w:hAnsi="Times New Roman"/>
          <w:b/>
        </w:rPr>
        <w:lastRenderedPageBreak/>
        <w:t>Annex</w:t>
      </w:r>
      <w:r w:rsidR="00900061" w:rsidRPr="00E168A1">
        <w:rPr>
          <w:rFonts w:ascii="Times New Roman" w:hAnsi="Times New Roman"/>
          <w:b/>
        </w:rPr>
        <w:t xml:space="preserve"> </w:t>
      </w:r>
      <w:r w:rsidRPr="00E168A1">
        <w:rPr>
          <w:rFonts w:ascii="Times New Roman" w:hAnsi="Times New Roman"/>
          <w:b/>
        </w:rPr>
        <w:t>3:</w:t>
      </w:r>
      <w:r w:rsidR="00900061" w:rsidRPr="00E168A1">
        <w:rPr>
          <w:rFonts w:ascii="Times New Roman" w:hAnsi="Times New Roman"/>
          <w:b/>
        </w:rPr>
        <w:t xml:space="preserve"> </w:t>
      </w:r>
      <w:r w:rsidRPr="00E168A1">
        <w:rPr>
          <w:rFonts w:ascii="Times New Roman" w:hAnsi="Times New Roman"/>
          <w:b/>
        </w:rPr>
        <w:t>Program</w:t>
      </w:r>
      <w:r w:rsidR="00900061" w:rsidRPr="00E168A1">
        <w:rPr>
          <w:rFonts w:ascii="Times New Roman" w:hAnsi="Times New Roman"/>
          <w:b/>
        </w:rPr>
        <w:t xml:space="preserve"> </w:t>
      </w:r>
      <w:r w:rsidRPr="00E168A1">
        <w:rPr>
          <w:rFonts w:ascii="Times New Roman" w:hAnsi="Times New Roman"/>
          <w:b/>
        </w:rPr>
        <w:t>Action</w:t>
      </w:r>
      <w:r w:rsidR="00900061" w:rsidRPr="00E168A1">
        <w:rPr>
          <w:rFonts w:ascii="Times New Roman" w:hAnsi="Times New Roman"/>
          <w:b/>
        </w:rPr>
        <w:t xml:space="preserve"> </w:t>
      </w:r>
      <w:r w:rsidRPr="00E168A1">
        <w:rPr>
          <w:rFonts w:ascii="Times New Roman" w:hAnsi="Times New Roman"/>
          <w:b/>
        </w:rPr>
        <w:t>Plan</w:t>
      </w:r>
      <w:bookmarkEnd w:id="60"/>
    </w:p>
    <w:tbl>
      <w:tblPr>
        <w:tblStyle w:val="TableGrid"/>
        <w:tblpPr w:leftFromText="180" w:rightFromText="180" w:horzAnchor="margin" w:tblpXSpec="center" w:tblpY="615"/>
        <w:tblW w:w="0" w:type="auto"/>
        <w:tblCellMar>
          <w:left w:w="43" w:type="dxa"/>
          <w:right w:w="43" w:type="dxa"/>
        </w:tblCellMar>
        <w:tblLook w:val="04A0" w:firstRow="1" w:lastRow="0" w:firstColumn="1" w:lastColumn="0" w:noHBand="0" w:noVBand="1"/>
      </w:tblPr>
      <w:tblGrid>
        <w:gridCol w:w="3783"/>
        <w:gridCol w:w="512"/>
        <w:gridCol w:w="980"/>
        <w:gridCol w:w="1291"/>
        <w:gridCol w:w="2069"/>
        <w:gridCol w:w="4315"/>
      </w:tblGrid>
      <w:tr w:rsidR="00213359" w:rsidRPr="00E168A1" w14:paraId="76CE177D" w14:textId="77777777" w:rsidTr="00EF0C6E">
        <w:trPr>
          <w:trHeight w:val="257"/>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93D64" w14:textId="77777777" w:rsidR="00EC635B" w:rsidRPr="00E168A1" w:rsidRDefault="00EC635B" w:rsidP="00AE6922">
            <w:pPr>
              <w:rPr>
                <w:rFonts w:ascii="Times New Roman" w:hAnsi="Times New Roman"/>
                <w:b/>
                <w:sz w:val="20"/>
                <w:szCs w:val="20"/>
              </w:rPr>
            </w:pPr>
            <w:r w:rsidRPr="00E168A1">
              <w:rPr>
                <w:rFonts w:ascii="Times New Roman" w:hAnsi="Times New Roman"/>
                <w:b/>
                <w:sz w:val="20"/>
                <w:szCs w:val="20"/>
              </w:rPr>
              <w:t>Action</w:t>
            </w:r>
            <w:r w:rsidR="00900061" w:rsidRPr="00E168A1">
              <w:rPr>
                <w:rFonts w:ascii="Times New Roman" w:hAnsi="Times New Roman"/>
                <w:b/>
                <w:sz w:val="20"/>
                <w:szCs w:val="20"/>
              </w:rPr>
              <w:t xml:space="preserve"> </w:t>
            </w:r>
            <w:r w:rsidRPr="00E168A1">
              <w:rPr>
                <w:rFonts w:ascii="Times New Roman" w:hAnsi="Times New Roman"/>
                <w:b/>
                <w:sz w:val="20"/>
                <w:szCs w:val="20"/>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516C6" w14:textId="67BB1BCC" w:rsidR="00EC635B" w:rsidRPr="00E168A1" w:rsidRDefault="00EC635B" w:rsidP="00AE6922">
            <w:pPr>
              <w:ind w:left="70"/>
              <w:rPr>
                <w:rFonts w:ascii="Times New Roman" w:hAnsi="Times New Roman"/>
                <w:b/>
                <w:sz w:val="20"/>
                <w:szCs w:val="20"/>
              </w:rPr>
            </w:pPr>
            <w:r w:rsidRPr="00E168A1">
              <w:rPr>
                <w:rFonts w:ascii="Times New Roman" w:hAnsi="Times New Roman"/>
                <w:b/>
                <w:sz w:val="20"/>
                <w:szCs w:val="20"/>
              </w:rPr>
              <w:t>DLI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75D8D" w14:textId="10264F55" w:rsidR="00EC635B" w:rsidRPr="00E168A1" w:rsidRDefault="00EC635B" w:rsidP="00B17EB7">
            <w:pPr>
              <w:ind w:left="71"/>
              <w:rPr>
                <w:rFonts w:ascii="Times New Roman" w:hAnsi="Times New Roman"/>
                <w:b/>
                <w:sz w:val="20"/>
                <w:szCs w:val="20"/>
              </w:rPr>
            </w:pPr>
            <w:r w:rsidRPr="00E168A1">
              <w:rPr>
                <w:rFonts w:ascii="Times New Roman" w:hAnsi="Times New Roman"/>
                <w:b/>
                <w:sz w:val="20"/>
                <w:szCs w:val="20"/>
              </w:rPr>
              <w:t>Covenant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CF032" w14:textId="77777777" w:rsidR="00EC635B" w:rsidRPr="00E168A1" w:rsidRDefault="00EC635B" w:rsidP="00AE6922">
            <w:pPr>
              <w:ind w:left="72"/>
              <w:rPr>
                <w:rFonts w:ascii="Times New Roman" w:hAnsi="Times New Roman"/>
                <w:b/>
                <w:sz w:val="20"/>
                <w:szCs w:val="20"/>
              </w:rPr>
            </w:pPr>
            <w:r w:rsidRPr="00E168A1">
              <w:rPr>
                <w:rFonts w:ascii="Times New Roman" w:hAnsi="Times New Roman"/>
                <w:b/>
                <w:sz w:val="20"/>
                <w:szCs w:val="20"/>
              </w:rPr>
              <w:t>Due</w:t>
            </w:r>
            <w:r w:rsidR="00900061" w:rsidRPr="00E168A1">
              <w:rPr>
                <w:rFonts w:ascii="Times New Roman" w:hAnsi="Times New Roman"/>
                <w:b/>
                <w:sz w:val="20"/>
                <w:szCs w:val="20"/>
              </w:rPr>
              <w:t xml:space="preserve"> </w:t>
            </w:r>
            <w:r w:rsidRPr="00E168A1">
              <w:rPr>
                <w:rFonts w:ascii="Times New Roman" w:hAnsi="Times New Roman"/>
                <w:b/>
                <w:sz w:val="20"/>
                <w:szCs w:val="20"/>
              </w:rPr>
              <w:t>Date</w:t>
            </w:r>
          </w:p>
        </w:tc>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77F4F" w14:textId="77777777" w:rsidR="00EC635B" w:rsidRPr="00E168A1" w:rsidRDefault="00EC635B" w:rsidP="00AE6922">
            <w:pPr>
              <w:rPr>
                <w:rFonts w:ascii="Times New Roman" w:hAnsi="Times New Roman"/>
                <w:b/>
                <w:sz w:val="20"/>
                <w:szCs w:val="20"/>
              </w:rPr>
            </w:pPr>
            <w:r w:rsidRPr="00E168A1">
              <w:rPr>
                <w:rFonts w:ascii="Times New Roman" w:hAnsi="Times New Roman"/>
                <w:b/>
                <w:sz w:val="20"/>
                <w:szCs w:val="20"/>
              </w:rPr>
              <w:t>Responsible</w:t>
            </w:r>
            <w:r w:rsidR="00900061" w:rsidRPr="00E168A1">
              <w:rPr>
                <w:rFonts w:ascii="Times New Roman" w:hAnsi="Times New Roman"/>
                <w:b/>
                <w:sz w:val="20"/>
                <w:szCs w:val="20"/>
              </w:rPr>
              <w:t xml:space="preserve"> </w:t>
            </w:r>
            <w:r w:rsidRPr="00E168A1">
              <w:rPr>
                <w:rFonts w:ascii="Times New Roman" w:hAnsi="Times New Roman"/>
                <w:b/>
                <w:sz w:val="20"/>
                <w:szCs w:val="20"/>
              </w:rPr>
              <w:t>Party</w:t>
            </w:r>
          </w:p>
        </w:tc>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BEF09" w14:textId="227BBEEE" w:rsidR="00EC635B" w:rsidRPr="00E168A1" w:rsidRDefault="00EC635B" w:rsidP="00AE6922">
            <w:pPr>
              <w:rPr>
                <w:rFonts w:ascii="Times New Roman" w:hAnsi="Times New Roman"/>
                <w:b/>
                <w:sz w:val="20"/>
                <w:szCs w:val="20"/>
              </w:rPr>
            </w:pPr>
            <w:r w:rsidRPr="00E168A1">
              <w:rPr>
                <w:rFonts w:ascii="Times New Roman" w:hAnsi="Times New Roman"/>
                <w:b/>
                <w:sz w:val="20"/>
                <w:szCs w:val="20"/>
              </w:rPr>
              <w:t>Completion</w:t>
            </w:r>
            <w:r w:rsidR="00900061" w:rsidRPr="00E168A1">
              <w:rPr>
                <w:rFonts w:ascii="Times New Roman" w:hAnsi="Times New Roman"/>
                <w:b/>
                <w:sz w:val="20"/>
                <w:szCs w:val="20"/>
              </w:rPr>
              <w:t xml:space="preserve"> </w:t>
            </w:r>
            <w:r w:rsidRPr="00E168A1">
              <w:rPr>
                <w:rFonts w:ascii="Times New Roman" w:hAnsi="Times New Roman"/>
                <w:b/>
                <w:sz w:val="20"/>
                <w:szCs w:val="20"/>
              </w:rPr>
              <w:t>Measurement</w:t>
            </w:r>
          </w:p>
        </w:tc>
      </w:tr>
      <w:tr w:rsidR="00EC635B" w:rsidRPr="00E168A1" w14:paraId="42CDFBA4" w14:textId="77777777" w:rsidTr="00EF0C6E">
        <w:tc>
          <w:tcPr>
            <w:tcW w:w="0" w:type="auto"/>
            <w:gridSpan w:val="6"/>
            <w:tcBorders>
              <w:top w:val="single" w:sz="4" w:space="0" w:color="auto"/>
              <w:left w:val="single" w:sz="4" w:space="0" w:color="auto"/>
              <w:bottom w:val="single" w:sz="4" w:space="0" w:color="auto"/>
              <w:right w:val="single" w:sz="4" w:space="0" w:color="auto"/>
            </w:tcBorders>
            <w:vAlign w:val="center"/>
          </w:tcPr>
          <w:p w14:paraId="5B6813D7" w14:textId="77777777" w:rsidR="00EC635B" w:rsidRPr="00A90FD9" w:rsidRDefault="00EC635B" w:rsidP="00AE6922">
            <w:pPr>
              <w:rPr>
                <w:rFonts w:ascii="Times New Roman" w:hAnsi="Times New Roman"/>
                <w:b/>
                <w:sz w:val="20"/>
                <w:szCs w:val="20"/>
              </w:rPr>
            </w:pPr>
            <w:r w:rsidRPr="00E168A1">
              <w:rPr>
                <w:rFonts w:ascii="Times New Roman" w:hAnsi="Times New Roman"/>
                <w:b/>
                <w:sz w:val="20"/>
                <w:szCs w:val="20"/>
              </w:rPr>
              <w:t>Fiduciary</w:t>
            </w:r>
            <w:r w:rsidR="00900061" w:rsidRPr="00A90FD9">
              <w:rPr>
                <w:rFonts w:ascii="Times New Roman" w:hAnsi="Times New Roman"/>
                <w:b/>
                <w:sz w:val="20"/>
                <w:szCs w:val="20"/>
              </w:rPr>
              <w:t xml:space="preserve"> </w:t>
            </w:r>
            <w:r w:rsidRPr="00A90FD9">
              <w:rPr>
                <w:rFonts w:ascii="Times New Roman" w:hAnsi="Times New Roman"/>
                <w:b/>
                <w:sz w:val="20"/>
                <w:szCs w:val="20"/>
              </w:rPr>
              <w:t>Assessment</w:t>
            </w:r>
          </w:p>
        </w:tc>
      </w:tr>
      <w:tr w:rsidR="00213359" w:rsidRPr="00E168A1" w14:paraId="4B39183F" w14:textId="77777777" w:rsidTr="00EF0C6E">
        <w:tc>
          <w:tcPr>
            <w:tcW w:w="0" w:type="auto"/>
            <w:tcBorders>
              <w:top w:val="single" w:sz="4" w:space="0" w:color="auto"/>
              <w:left w:val="single" w:sz="4" w:space="0" w:color="auto"/>
              <w:bottom w:val="single" w:sz="4" w:space="0" w:color="auto"/>
              <w:right w:val="single" w:sz="4" w:space="0" w:color="auto"/>
            </w:tcBorders>
          </w:tcPr>
          <w:p w14:paraId="733BA8ED" w14:textId="59BF7260" w:rsidR="00EC635B" w:rsidRPr="00E168A1" w:rsidRDefault="00EC635B" w:rsidP="00AB6D15">
            <w:pPr>
              <w:rPr>
                <w:rFonts w:ascii="Times New Roman" w:hAnsi="Times New Roman"/>
                <w:sz w:val="20"/>
                <w:szCs w:val="20"/>
              </w:rPr>
            </w:pPr>
            <w:r w:rsidRPr="00E168A1">
              <w:rPr>
                <w:rFonts w:ascii="Times New Roman" w:hAnsi="Times New Roman"/>
                <w:sz w:val="20"/>
                <w:szCs w:val="20"/>
              </w:rPr>
              <w:t>Increased</w:t>
            </w:r>
            <w:r w:rsidR="00900061" w:rsidRPr="00A90FD9">
              <w:rPr>
                <w:rFonts w:ascii="Times New Roman" w:hAnsi="Times New Roman"/>
                <w:sz w:val="20"/>
                <w:szCs w:val="20"/>
              </w:rPr>
              <w:t xml:space="preserve"> </w:t>
            </w:r>
            <w:r w:rsidRPr="00A90FD9">
              <w:rPr>
                <w:rFonts w:ascii="Times New Roman" w:hAnsi="Times New Roman"/>
                <w:sz w:val="20"/>
                <w:szCs w:val="20"/>
              </w:rPr>
              <w:t>involvement</w:t>
            </w:r>
            <w:r w:rsidR="00900061" w:rsidRPr="005769EE">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budget</w:t>
            </w:r>
            <w:r w:rsidR="00900061" w:rsidRPr="00E168A1">
              <w:rPr>
                <w:rFonts w:ascii="Times New Roman" w:hAnsi="Times New Roman"/>
                <w:sz w:val="20"/>
                <w:szCs w:val="20"/>
              </w:rPr>
              <w:t xml:space="preserve"> </w:t>
            </w:r>
            <w:r w:rsidRPr="00E168A1">
              <w:rPr>
                <w:rFonts w:ascii="Times New Roman" w:hAnsi="Times New Roman"/>
                <w:sz w:val="20"/>
                <w:szCs w:val="20"/>
              </w:rPr>
              <w:t>beneficiaries</w:t>
            </w:r>
            <w:r w:rsidR="00900061" w:rsidRPr="00E168A1">
              <w:rPr>
                <w:rFonts w:ascii="Times New Roman" w:hAnsi="Times New Roman"/>
                <w:sz w:val="20"/>
                <w:szCs w:val="20"/>
              </w:rPr>
              <w:t xml:space="preserve"> </w:t>
            </w:r>
            <w:r w:rsidRPr="00E168A1">
              <w:rPr>
                <w:rFonts w:ascii="Times New Roman" w:hAnsi="Times New Roman"/>
                <w:sz w:val="20"/>
                <w:szCs w:val="20"/>
              </w:rPr>
              <w:t>establishing</w:t>
            </w:r>
            <w:r w:rsidR="00900061" w:rsidRPr="00E168A1">
              <w:rPr>
                <w:rFonts w:ascii="Times New Roman" w:hAnsi="Times New Roman"/>
                <w:sz w:val="20"/>
                <w:szCs w:val="20"/>
              </w:rPr>
              <w:t xml:space="preserve"> </w:t>
            </w:r>
            <w:r w:rsidR="00AE6922" w:rsidRPr="00E168A1">
              <w:rPr>
                <w:rFonts w:ascii="Times New Roman" w:hAnsi="Times New Roman"/>
                <w:sz w:val="20"/>
                <w:szCs w:val="20"/>
              </w:rPr>
              <w:t xml:space="preserve">the </w:t>
            </w:r>
            <w:r w:rsidRPr="00E168A1">
              <w:rPr>
                <w:rFonts w:ascii="Times New Roman" w:hAnsi="Times New Roman"/>
                <w:sz w:val="20"/>
                <w:szCs w:val="20"/>
              </w:rPr>
              <w:t>budgetary</w:t>
            </w:r>
            <w:r w:rsidR="00900061" w:rsidRPr="00E168A1">
              <w:rPr>
                <w:rFonts w:ascii="Times New Roman" w:hAnsi="Times New Roman"/>
                <w:sz w:val="20"/>
                <w:szCs w:val="20"/>
              </w:rPr>
              <w:t xml:space="preserve"> </w:t>
            </w:r>
            <w:r w:rsidRPr="00E168A1">
              <w:rPr>
                <w:rFonts w:ascii="Times New Roman" w:hAnsi="Times New Roman"/>
                <w:sz w:val="20"/>
                <w:szCs w:val="20"/>
              </w:rPr>
              <w:t>allocations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multiyear</w:t>
            </w:r>
            <w:r w:rsidR="00900061" w:rsidRPr="00E168A1">
              <w:rPr>
                <w:rFonts w:ascii="Times New Roman" w:hAnsi="Times New Roman"/>
                <w:sz w:val="20"/>
                <w:szCs w:val="20"/>
              </w:rPr>
              <w:t xml:space="preserve"> </w:t>
            </w:r>
            <w:r w:rsidRPr="00E168A1">
              <w:rPr>
                <w:rFonts w:ascii="Times New Roman" w:hAnsi="Times New Roman"/>
                <w:sz w:val="20"/>
                <w:szCs w:val="20"/>
              </w:rPr>
              <w:t>budget</w:t>
            </w:r>
            <w:r w:rsidR="00900061" w:rsidRPr="00E168A1">
              <w:rPr>
                <w:rFonts w:ascii="Times New Roman" w:hAnsi="Times New Roman"/>
                <w:sz w:val="20"/>
                <w:szCs w:val="20"/>
              </w:rPr>
              <w:t xml:space="preserve"> </w:t>
            </w:r>
            <w:r w:rsidRPr="00E168A1">
              <w:rPr>
                <w:rFonts w:ascii="Times New Roman" w:hAnsi="Times New Roman"/>
                <w:sz w:val="20"/>
                <w:szCs w:val="20"/>
              </w:rPr>
              <w:t>requirements</w:t>
            </w:r>
          </w:p>
        </w:tc>
        <w:tc>
          <w:tcPr>
            <w:tcW w:w="0" w:type="auto"/>
            <w:tcBorders>
              <w:top w:val="single" w:sz="4" w:space="0" w:color="auto"/>
              <w:left w:val="single" w:sz="4" w:space="0" w:color="auto"/>
              <w:bottom w:val="single" w:sz="4" w:space="0" w:color="auto"/>
              <w:right w:val="single" w:sz="4" w:space="0" w:color="auto"/>
            </w:tcBorders>
          </w:tcPr>
          <w:p w14:paraId="52CC90F2" w14:textId="77777777" w:rsidR="00EC635B" w:rsidRPr="00E168A1"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CE16FB4" w14:textId="77777777" w:rsidR="00EC635B" w:rsidRPr="00E168A1" w:rsidRDefault="00EC635B" w:rsidP="00AB6D15">
            <w:pPr>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136C" w14:textId="0BD79B1B"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w:t>
            </w:r>
            <w:r w:rsidR="007C68FC">
              <w:rPr>
                <w:rFonts w:ascii="Times New Roman" w:hAnsi="Times New Roman"/>
                <w:sz w:val="20"/>
                <w:szCs w:val="20"/>
              </w:rPr>
              <w:t>7</w:t>
            </w:r>
          </w:p>
          <w:p w14:paraId="3C00F791"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0C264DA5" w14:textId="20A12CA6" w:rsidR="00EC635B" w:rsidRPr="00E168A1" w:rsidRDefault="00A77BC5" w:rsidP="00AB6D15">
            <w:pPr>
              <w:rPr>
                <w:rFonts w:ascii="Times New Roman" w:hAnsi="Times New Roman"/>
                <w:sz w:val="20"/>
                <w:szCs w:val="20"/>
              </w:rPr>
            </w:pPr>
            <w:r w:rsidRPr="00E168A1">
              <w:rPr>
                <w:rFonts w:ascii="Times New Roman" w:hAnsi="Times New Roman"/>
                <w:sz w:val="20"/>
                <w:szCs w:val="20"/>
              </w:rPr>
              <w:t>MoF</w:t>
            </w:r>
            <w:r w:rsidR="00900061" w:rsidRPr="00E168A1">
              <w:rPr>
                <w:rFonts w:ascii="Times New Roman" w:hAnsi="Times New Roman"/>
                <w:sz w:val="20"/>
                <w:szCs w:val="20"/>
              </w:rPr>
              <w:t xml:space="preserve"> </w:t>
            </w:r>
          </w:p>
        </w:tc>
        <w:tc>
          <w:tcPr>
            <w:tcW w:w="4315" w:type="dxa"/>
            <w:tcBorders>
              <w:top w:val="single" w:sz="4" w:space="0" w:color="auto"/>
              <w:left w:val="single" w:sz="4" w:space="0" w:color="auto"/>
              <w:bottom w:val="single" w:sz="4" w:space="0" w:color="auto"/>
              <w:right w:val="single" w:sz="4" w:space="0" w:color="auto"/>
            </w:tcBorders>
          </w:tcPr>
          <w:p w14:paraId="347D6FDC" w14:textId="77777777" w:rsidR="00EC635B" w:rsidRPr="00E168A1" w:rsidRDefault="00EC635B" w:rsidP="00AB6D15">
            <w:pPr>
              <w:rPr>
                <w:rFonts w:ascii="Times New Roman" w:hAnsi="Times New Roman"/>
                <w:sz w:val="20"/>
                <w:szCs w:val="20"/>
              </w:rPr>
            </w:pPr>
            <w:r w:rsidRPr="00E168A1">
              <w:rPr>
                <w:rFonts w:ascii="Times New Roman" w:hAnsi="Times New Roman"/>
                <w:sz w:val="20"/>
                <w:szCs w:val="20"/>
              </w:rPr>
              <w:t>Adherence</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budget</w:t>
            </w:r>
            <w:r w:rsidR="00900061" w:rsidRPr="00E168A1">
              <w:rPr>
                <w:rFonts w:ascii="Times New Roman" w:hAnsi="Times New Roman"/>
                <w:sz w:val="20"/>
                <w:szCs w:val="20"/>
              </w:rPr>
              <w:t xml:space="preserve"> </w:t>
            </w:r>
            <w:r w:rsidRPr="00E168A1">
              <w:rPr>
                <w:rFonts w:ascii="Times New Roman" w:hAnsi="Times New Roman"/>
                <w:sz w:val="20"/>
                <w:szCs w:val="20"/>
              </w:rPr>
              <w:t>calendar</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evidence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effective</w:t>
            </w:r>
            <w:r w:rsidR="00900061" w:rsidRPr="00E168A1">
              <w:rPr>
                <w:rFonts w:ascii="Times New Roman" w:hAnsi="Times New Roman"/>
                <w:sz w:val="20"/>
                <w:szCs w:val="20"/>
              </w:rPr>
              <w:t xml:space="preserve"> </w:t>
            </w:r>
            <w:r w:rsidRPr="00E168A1">
              <w:rPr>
                <w:rFonts w:ascii="Times New Roman" w:hAnsi="Times New Roman"/>
                <w:sz w:val="20"/>
                <w:szCs w:val="20"/>
              </w:rPr>
              <w:t>two-way</w:t>
            </w:r>
            <w:r w:rsidR="00900061" w:rsidRPr="00E168A1">
              <w:rPr>
                <w:rFonts w:ascii="Times New Roman" w:hAnsi="Times New Roman"/>
                <w:sz w:val="20"/>
                <w:szCs w:val="20"/>
              </w:rPr>
              <w:t xml:space="preserve"> </w:t>
            </w:r>
            <w:r w:rsidRPr="00E168A1">
              <w:rPr>
                <w:rFonts w:ascii="Times New Roman" w:hAnsi="Times New Roman"/>
                <w:sz w:val="20"/>
                <w:szCs w:val="20"/>
              </w:rPr>
              <w:t>process</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budget</w:t>
            </w:r>
            <w:r w:rsidR="00900061" w:rsidRPr="00E168A1">
              <w:rPr>
                <w:rFonts w:ascii="Times New Roman" w:hAnsi="Times New Roman"/>
                <w:sz w:val="20"/>
                <w:szCs w:val="20"/>
              </w:rPr>
              <w:t xml:space="preserve"> </w:t>
            </w:r>
            <w:r w:rsidRPr="00E168A1">
              <w:rPr>
                <w:rFonts w:ascii="Times New Roman" w:hAnsi="Times New Roman"/>
                <w:sz w:val="20"/>
                <w:szCs w:val="20"/>
              </w:rPr>
              <w:t>preparation</w:t>
            </w:r>
          </w:p>
        </w:tc>
      </w:tr>
      <w:tr w:rsidR="00213359" w:rsidRPr="00E168A1" w14:paraId="6276ECB6" w14:textId="77777777" w:rsidTr="00EF0C6E">
        <w:tc>
          <w:tcPr>
            <w:tcW w:w="0" w:type="auto"/>
            <w:tcBorders>
              <w:top w:val="single" w:sz="4" w:space="0" w:color="auto"/>
              <w:left w:val="single" w:sz="4" w:space="0" w:color="auto"/>
              <w:bottom w:val="single" w:sz="4" w:space="0" w:color="auto"/>
              <w:right w:val="single" w:sz="4" w:space="0" w:color="auto"/>
            </w:tcBorders>
          </w:tcPr>
          <w:p w14:paraId="6864141B" w14:textId="623AA6A2" w:rsidR="00EC635B" w:rsidRPr="00E168A1" w:rsidRDefault="00EC635B" w:rsidP="00AB6D15">
            <w:pPr>
              <w:rPr>
                <w:rFonts w:ascii="Times New Roman" w:hAnsi="Times New Roman"/>
                <w:sz w:val="20"/>
                <w:szCs w:val="20"/>
              </w:rPr>
            </w:pPr>
            <w:r w:rsidRPr="00E168A1">
              <w:rPr>
                <w:rFonts w:ascii="Times New Roman" w:hAnsi="Times New Roman"/>
                <w:sz w:val="20"/>
                <w:szCs w:val="20"/>
              </w:rPr>
              <w:t>Regular</w:t>
            </w:r>
            <w:r w:rsidR="00900061" w:rsidRPr="00A90FD9">
              <w:rPr>
                <w:rFonts w:ascii="Times New Roman" w:hAnsi="Times New Roman"/>
                <w:sz w:val="20"/>
                <w:szCs w:val="20"/>
              </w:rPr>
              <w:t xml:space="preserve"> </w:t>
            </w:r>
            <w:r w:rsidRPr="00A90FD9">
              <w:rPr>
                <w:rFonts w:ascii="Times New Roman" w:hAnsi="Times New Roman"/>
                <w:sz w:val="20"/>
                <w:szCs w:val="20"/>
              </w:rPr>
              <w:t>periodic</w:t>
            </w:r>
            <w:r w:rsidR="00900061" w:rsidRPr="005769EE">
              <w:rPr>
                <w:rFonts w:ascii="Times New Roman" w:hAnsi="Times New Roman"/>
                <w:sz w:val="20"/>
                <w:szCs w:val="20"/>
              </w:rPr>
              <w:t xml:space="preserve"> </w:t>
            </w:r>
            <w:r w:rsidRPr="00E168A1">
              <w:rPr>
                <w:rFonts w:ascii="Times New Roman" w:hAnsi="Times New Roman"/>
                <w:sz w:val="20"/>
                <w:szCs w:val="20"/>
              </w:rPr>
              <w:t>reporting</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comprehensive</w:t>
            </w:r>
            <w:r w:rsidR="00900061" w:rsidRPr="00E168A1">
              <w:rPr>
                <w:rFonts w:ascii="Times New Roman" w:hAnsi="Times New Roman"/>
                <w:sz w:val="20"/>
                <w:szCs w:val="20"/>
              </w:rPr>
              <w:t xml:space="preserve"> </w:t>
            </w:r>
            <w:r w:rsidRPr="00E168A1">
              <w:rPr>
                <w:rFonts w:ascii="Times New Roman" w:hAnsi="Times New Roman"/>
                <w:sz w:val="20"/>
                <w:szCs w:val="20"/>
              </w:rPr>
              <w:t>data</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arrears</w:t>
            </w:r>
          </w:p>
        </w:tc>
        <w:tc>
          <w:tcPr>
            <w:tcW w:w="0" w:type="auto"/>
            <w:tcBorders>
              <w:top w:val="single" w:sz="4" w:space="0" w:color="auto"/>
              <w:left w:val="single" w:sz="4" w:space="0" w:color="auto"/>
              <w:bottom w:val="single" w:sz="4" w:space="0" w:color="auto"/>
              <w:right w:val="single" w:sz="4" w:space="0" w:color="auto"/>
            </w:tcBorders>
          </w:tcPr>
          <w:p w14:paraId="62644D3D" w14:textId="77777777" w:rsidR="00EC635B" w:rsidRPr="00E168A1"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CF3F98C" w14:textId="77777777" w:rsidR="00EC635B" w:rsidRPr="00E168A1" w:rsidRDefault="00EC635B" w:rsidP="00AB6D15">
            <w:pPr>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B94846" w14:textId="5169D880"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2016</w:t>
            </w:r>
          </w:p>
          <w:p w14:paraId="3D168C28"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250BB592" w14:textId="77777777" w:rsidR="00EC635B" w:rsidRPr="00E168A1" w:rsidRDefault="00EC635B" w:rsidP="00AB6D15">
            <w:pPr>
              <w:rPr>
                <w:rFonts w:ascii="Times New Roman" w:hAnsi="Times New Roman"/>
                <w:sz w:val="20"/>
                <w:szCs w:val="20"/>
              </w:rPr>
            </w:pPr>
            <w:r w:rsidRPr="00E168A1">
              <w:rPr>
                <w:rFonts w:ascii="Times New Roman" w:hAnsi="Times New Roman"/>
                <w:sz w:val="20"/>
                <w:szCs w:val="20"/>
              </w:rPr>
              <w:t>Beneficiaries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public</w:t>
            </w:r>
            <w:r w:rsidR="00900061" w:rsidRPr="00E168A1">
              <w:rPr>
                <w:rFonts w:ascii="Times New Roman" w:hAnsi="Times New Roman"/>
                <w:sz w:val="20"/>
                <w:szCs w:val="20"/>
              </w:rPr>
              <w:t xml:space="preserve"> </w:t>
            </w:r>
            <w:r w:rsidRPr="00E168A1">
              <w:rPr>
                <w:rFonts w:ascii="Times New Roman" w:hAnsi="Times New Roman"/>
                <w:sz w:val="20"/>
                <w:szCs w:val="20"/>
              </w:rPr>
              <w:t>funds</w:t>
            </w:r>
          </w:p>
        </w:tc>
        <w:tc>
          <w:tcPr>
            <w:tcW w:w="4315" w:type="dxa"/>
            <w:tcBorders>
              <w:top w:val="single" w:sz="4" w:space="0" w:color="auto"/>
              <w:left w:val="single" w:sz="4" w:space="0" w:color="auto"/>
              <w:bottom w:val="single" w:sz="4" w:space="0" w:color="auto"/>
              <w:right w:val="single" w:sz="4" w:space="0" w:color="auto"/>
            </w:tcBorders>
          </w:tcPr>
          <w:p w14:paraId="4D41701D" w14:textId="77777777" w:rsidR="00EC635B" w:rsidRPr="00E168A1" w:rsidRDefault="00EC635B" w:rsidP="00AB6D15">
            <w:pPr>
              <w:rPr>
                <w:rFonts w:ascii="Times New Roman" w:hAnsi="Times New Roman"/>
                <w:sz w:val="20"/>
                <w:szCs w:val="20"/>
              </w:rPr>
            </w:pPr>
            <w:r w:rsidRPr="00E168A1">
              <w:rPr>
                <w:rFonts w:ascii="Times New Roman" w:hAnsi="Times New Roman"/>
                <w:sz w:val="20"/>
                <w:szCs w:val="20"/>
              </w:rPr>
              <w:t>Evidence</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regular</w:t>
            </w:r>
            <w:r w:rsidR="00900061" w:rsidRPr="00E168A1">
              <w:rPr>
                <w:rFonts w:ascii="Times New Roman" w:hAnsi="Times New Roman"/>
                <w:sz w:val="20"/>
                <w:szCs w:val="20"/>
              </w:rPr>
              <w:t xml:space="preserve"> </w:t>
            </w:r>
            <w:r w:rsidRPr="00E168A1">
              <w:rPr>
                <w:rFonts w:ascii="Times New Roman" w:hAnsi="Times New Roman"/>
                <w:sz w:val="20"/>
                <w:szCs w:val="20"/>
              </w:rPr>
              <w:t>reports</w:t>
            </w:r>
            <w:r w:rsidR="00900061" w:rsidRPr="00E168A1">
              <w:rPr>
                <w:rFonts w:ascii="Times New Roman" w:hAnsi="Times New Roman"/>
                <w:sz w:val="20"/>
                <w:szCs w:val="20"/>
              </w:rPr>
              <w:t xml:space="preserve"> </w:t>
            </w:r>
            <w:r w:rsidRPr="00E168A1">
              <w:rPr>
                <w:rFonts w:ascii="Times New Roman" w:hAnsi="Times New Roman"/>
                <w:sz w:val="20"/>
                <w:szCs w:val="20"/>
              </w:rPr>
              <w:t>on</w:t>
            </w:r>
            <w:r w:rsidR="00900061" w:rsidRPr="00E168A1">
              <w:rPr>
                <w:rFonts w:ascii="Times New Roman" w:hAnsi="Times New Roman"/>
                <w:sz w:val="20"/>
                <w:szCs w:val="20"/>
              </w:rPr>
              <w:t xml:space="preserve"> </w:t>
            </w:r>
            <w:r w:rsidRPr="00E168A1">
              <w:rPr>
                <w:rFonts w:ascii="Times New Roman" w:hAnsi="Times New Roman"/>
                <w:sz w:val="20"/>
                <w:szCs w:val="20"/>
              </w:rPr>
              <w:t>ar</w:t>
            </w:r>
            <w:r w:rsidR="00AE6922" w:rsidRPr="00E168A1">
              <w:rPr>
                <w:rFonts w:ascii="Times New Roman" w:hAnsi="Times New Roman"/>
                <w:sz w:val="20"/>
                <w:szCs w:val="20"/>
              </w:rPr>
              <w:t>r</w:t>
            </w:r>
            <w:r w:rsidRPr="00E168A1">
              <w:rPr>
                <w:rFonts w:ascii="Times New Roman" w:hAnsi="Times New Roman"/>
                <w:sz w:val="20"/>
                <w:szCs w:val="20"/>
              </w:rPr>
              <w:t>ears</w:t>
            </w:r>
          </w:p>
        </w:tc>
      </w:tr>
      <w:tr w:rsidR="00213359" w:rsidRPr="00E168A1" w14:paraId="232EFA9E" w14:textId="77777777" w:rsidTr="00EF0C6E">
        <w:tc>
          <w:tcPr>
            <w:tcW w:w="0" w:type="auto"/>
            <w:tcBorders>
              <w:top w:val="single" w:sz="4" w:space="0" w:color="auto"/>
              <w:left w:val="single" w:sz="4" w:space="0" w:color="auto"/>
              <w:bottom w:val="single" w:sz="4" w:space="0" w:color="auto"/>
              <w:right w:val="single" w:sz="4" w:space="0" w:color="auto"/>
            </w:tcBorders>
          </w:tcPr>
          <w:p w14:paraId="15D0EE88" w14:textId="77777777"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Improved</w:t>
            </w:r>
            <w:r w:rsidR="00900061" w:rsidRPr="00A90FD9">
              <w:rPr>
                <w:rFonts w:ascii="Times New Roman" w:hAnsi="Times New Roman"/>
                <w:sz w:val="20"/>
                <w:szCs w:val="20"/>
              </w:rPr>
              <w:t xml:space="preserve"> </w:t>
            </w:r>
            <w:r w:rsidRPr="00A90FD9">
              <w:rPr>
                <w:rFonts w:ascii="Times New Roman" w:hAnsi="Times New Roman"/>
                <w:sz w:val="20"/>
                <w:szCs w:val="20"/>
              </w:rPr>
              <w:t>medium-term</w:t>
            </w:r>
            <w:r w:rsidR="00900061" w:rsidRPr="005769EE">
              <w:rPr>
                <w:rFonts w:ascii="Times New Roman" w:hAnsi="Times New Roman"/>
                <w:sz w:val="20"/>
                <w:szCs w:val="20"/>
              </w:rPr>
              <w:t xml:space="preserve"> </w:t>
            </w:r>
            <w:r w:rsidRPr="00E168A1">
              <w:rPr>
                <w:rFonts w:ascii="Times New Roman" w:hAnsi="Times New Roman"/>
                <w:sz w:val="20"/>
                <w:szCs w:val="20"/>
              </w:rPr>
              <w:t>planning</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consideration</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medium-term</w:t>
            </w:r>
            <w:r w:rsidR="00900061" w:rsidRPr="00E168A1">
              <w:rPr>
                <w:rFonts w:ascii="Times New Roman" w:hAnsi="Times New Roman"/>
                <w:sz w:val="20"/>
                <w:szCs w:val="20"/>
              </w:rPr>
              <w:t xml:space="preserve"> </w:t>
            </w:r>
            <w:r w:rsidRPr="00E168A1">
              <w:rPr>
                <w:rFonts w:ascii="Times New Roman" w:hAnsi="Times New Roman"/>
                <w:sz w:val="20"/>
                <w:szCs w:val="20"/>
              </w:rPr>
              <w:t>targets</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preparation</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respective</w:t>
            </w:r>
            <w:r w:rsidR="00900061" w:rsidRPr="00E168A1">
              <w:rPr>
                <w:rFonts w:ascii="Times New Roman" w:hAnsi="Times New Roman"/>
                <w:sz w:val="20"/>
                <w:szCs w:val="20"/>
              </w:rPr>
              <w:t xml:space="preserve"> </w:t>
            </w: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budgets</w:t>
            </w:r>
          </w:p>
        </w:tc>
        <w:tc>
          <w:tcPr>
            <w:tcW w:w="0" w:type="auto"/>
            <w:tcBorders>
              <w:top w:val="single" w:sz="4" w:space="0" w:color="auto"/>
              <w:left w:val="single" w:sz="4" w:space="0" w:color="auto"/>
              <w:bottom w:val="single" w:sz="4" w:space="0" w:color="auto"/>
              <w:right w:val="single" w:sz="4" w:space="0" w:color="auto"/>
            </w:tcBorders>
          </w:tcPr>
          <w:p w14:paraId="0B5B81F8" w14:textId="77777777" w:rsidR="00EC635B" w:rsidRPr="00E168A1" w:rsidDel="00097AF6"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95C12A" w14:textId="77777777" w:rsidR="00EC635B" w:rsidRPr="00E168A1" w:rsidDel="00097AF6" w:rsidRDefault="00EC635B" w:rsidP="00AB6D15">
            <w:pPr>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C203955" w14:textId="6648DAAE"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2016</w:t>
            </w:r>
          </w:p>
          <w:p w14:paraId="1B4439E3"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315FE5F0" w14:textId="709AC0E0" w:rsidR="00EC635B" w:rsidRPr="00E168A1" w:rsidRDefault="00EC635B" w:rsidP="00AB6D15">
            <w:pPr>
              <w:rPr>
                <w:rFonts w:ascii="Times New Roman" w:hAnsi="Times New Roman"/>
                <w:sz w:val="20"/>
                <w:szCs w:val="20"/>
              </w:rPr>
            </w:pPr>
            <w:r w:rsidRPr="00E168A1">
              <w:rPr>
                <w:rFonts w:ascii="Times New Roman" w:hAnsi="Times New Roman"/>
                <w:sz w:val="20"/>
                <w:szCs w:val="20"/>
              </w:rPr>
              <w:t>Beneficiaries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public</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AE6922" w:rsidRPr="00E168A1">
              <w:rPr>
                <w:rFonts w:ascii="Times New Roman" w:hAnsi="Times New Roman"/>
                <w:sz w:val="20"/>
                <w:szCs w:val="20"/>
              </w:rPr>
              <w:t xml:space="preserve">; </w:t>
            </w:r>
            <w:r w:rsidR="00A77BC5" w:rsidRPr="00E168A1">
              <w:rPr>
                <w:rFonts w:ascii="Times New Roman" w:hAnsi="Times New Roman"/>
                <w:sz w:val="20"/>
                <w:szCs w:val="20"/>
              </w:rPr>
              <w:t>MoF</w:t>
            </w:r>
          </w:p>
        </w:tc>
        <w:tc>
          <w:tcPr>
            <w:tcW w:w="4315" w:type="dxa"/>
            <w:tcBorders>
              <w:top w:val="single" w:sz="4" w:space="0" w:color="auto"/>
              <w:left w:val="single" w:sz="4" w:space="0" w:color="auto"/>
              <w:bottom w:val="single" w:sz="4" w:space="0" w:color="auto"/>
              <w:right w:val="single" w:sz="4" w:space="0" w:color="auto"/>
            </w:tcBorders>
          </w:tcPr>
          <w:p w14:paraId="4704EE18" w14:textId="77777777"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Assessment</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annual</w:t>
            </w:r>
            <w:r w:rsidR="00900061" w:rsidRPr="00E168A1">
              <w:rPr>
                <w:rFonts w:ascii="Times New Roman" w:hAnsi="Times New Roman"/>
                <w:sz w:val="20"/>
                <w:szCs w:val="20"/>
              </w:rPr>
              <w:t xml:space="preserve"> </w:t>
            </w:r>
            <w:r w:rsidRPr="00E168A1">
              <w:rPr>
                <w:rFonts w:ascii="Times New Roman" w:hAnsi="Times New Roman"/>
                <w:sz w:val="20"/>
                <w:szCs w:val="20"/>
              </w:rPr>
              <w:t>budgets</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medium-term</w:t>
            </w:r>
            <w:r w:rsidR="00900061" w:rsidRPr="00E168A1">
              <w:rPr>
                <w:rFonts w:ascii="Times New Roman" w:hAnsi="Times New Roman"/>
                <w:sz w:val="20"/>
                <w:szCs w:val="20"/>
              </w:rPr>
              <w:t xml:space="preserve"> </w:t>
            </w:r>
            <w:r w:rsidRPr="00E168A1">
              <w:rPr>
                <w:rFonts w:ascii="Times New Roman" w:hAnsi="Times New Roman"/>
                <w:sz w:val="20"/>
                <w:szCs w:val="20"/>
              </w:rPr>
              <w:t>plans</w:t>
            </w:r>
          </w:p>
        </w:tc>
      </w:tr>
      <w:tr w:rsidR="00213359" w:rsidRPr="00E168A1" w14:paraId="749FCEE9" w14:textId="77777777" w:rsidTr="00EF0C6E">
        <w:tc>
          <w:tcPr>
            <w:tcW w:w="0" w:type="auto"/>
            <w:tcBorders>
              <w:top w:val="single" w:sz="4" w:space="0" w:color="auto"/>
              <w:left w:val="single" w:sz="4" w:space="0" w:color="auto"/>
              <w:bottom w:val="single" w:sz="4" w:space="0" w:color="auto"/>
              <w:right w:val="single" w:sz="4" w:space="0" w:color="auto"/>
            </w:tcBorders>
          </w:tcPr>
          <w:p w14:paraId="5C514874" w14:textId="7BE64EE0"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Instituting</w:t>
            </w:r>
            <w:r w:rsidR="00900061" w:rsidRPr="00A90FD9">
              <w:rPr>
                <w:rFonts w:ascii="Times New Roman" w:hAnsi="Times New Roman"/>
                <w:sz w:val="20"/>
                <w:szCs w:val="20"/>
              </w:rPr>
              <w:t xml:space="preserve"> </w:t>
            </w:r>
            <w:r w:rsidRPr="00A90FD9">
              <w:rPr>
                <w:rFonts w:ascii="Times New Roman" w:hAnsi="Times New Roman"/>
                <w:sz w:val="20"/>
                <w:szCs w:val="20"/>
              </w:rPr>
              <w:t>ex</w:t>
            </w:r>
            <w:r w:rsidR="00AE6922" w:rsidRPr="005769EE">
              <w:rPr>
                <w:rFonts w:ascii="Times New Roman" w:hAnsi="Times New Roman"/>
                <w:sz w:val="20"/>
                <w:szCs w:val="20"/>
              </w:rPr>
              <w:t xml:space="preserve"> </w:t>
            </w:r>
            <w:r w:rsidRPr="00E168A1">
              <w:rPr>
                <w:rFonts w:ascii="Times New Roman" w:hAnsi="Times New Roman"/>
                <w:sz w:val="20"/>
                <w:szCs w:val="20"/>
              </w:rPr>
              <w:t>ante</w:t>
            </w:r>
            <w:r w:rsidR="00900061" w:rsidRPr="00E168A1">
              <w:rPr>
                <w:rFonts w:ascii="Times New Roman" w:hAnsi="Times New Roman"/>
                <w:sz w:val="20"/>
                <w:szCs w:val="20"/>
              </w:rPr>
              <w:t xml:space="preserve"> </w:t>
            </w:r>
            <w:r w:rsidRPr="00E168A1">
              <w:rPr>
                <w:rFonts w:ascii="Times New Roman" w:hAnsi="Times New Roman"/>
                <w:sz w:val="20"/>
                <w:szCs w:val="20"/>
              </w:rPr>
              <w:t>controls</w:t>
            </w:r>
            <w:r w:rsidR="00900061" w:rsidRPr="00E168A1">
              <w:rPr>
                <w:rFonts w:ascii="Times New Roman" w:hAnsi="Times New Roman"/>
                <w:sz w:val="20"/>
                <w:szCs w:val="20"/>
              </w:rPr>
              <w:t xml:space="preserve"> </w:t>
            </w:r>
            <w:r w:rsidRPr="00E168A1">
              <w:rPr>
                <w:rFonts w:ascii="Times New Roman" w:hAnsi="Times New Roman"/>
                <w:sz w:val="20"/>
                <w:szCs w:val="20"/>
              </w:rPr>
              <w:t>for</w:t>
            </w:r>
            <w:r w:rsidR="00900061" w:rsidRPr="00E168A1">
              <w:rPr>
                <w:rFonts w:ascii="Times New Roman" w:hAnsi="Times New Roman"/>
                <w:sz w:val="20"/>
                <w:szCs w:val="20"/>
              </w:rPr>
              <w:t xml:space="preserve"> </w:t>
            </w:r>
            <w:r w:rsidRPr="00E168A1">
              <w:rPr>
                <w:rFonts w:ascii="Times New Roman" w:hAnsi="Times New Roman"/>
                <w:sz w:val="20"/>
                <w:szCs w:val="20"/>
              </w:rPr>
              <w:t>contractual</w:t>
            </w:r>
            <w:r w:rsidR="00900061" w:rsidRPr="00E168A1">
              <w:rPr>
                <w:rFonts w:ascii="Times New Roman" w:hAnsi="Times New Roman"/>
                <w:sz w:val="20"/>
                <w:szCs w:val="20"/>
              </w:rPr>
              <w:t xml:space="preserve"> </w:t>
            </w:r>
            <w:r w:rsidRPr="00E168A1">
              <w:rPr>
                <w:rFonts w:ascii="Times New Roman" w:hAnsi="Times New Roman"/>
                <w:sz w:val="20"/>
                <w:szCs w:val="20"/>
              </w:rPr>
              <w:t>commitments</w:t>
            </w:r>
          </w:p>
        </w:tc>
        <w:tc>
          <w:tcPr>
            <w:tcW w:w="0" w:type="auto"/>
            <w:tcBorders>
              <w:top w:val="single" w:sz="4" w:space="0" w:color="auto"/>
              <w:left w:val="single" w:sz="4" w:space="0" w:color="auto"/>
              <w:bottom w:val="single" w:sz="4" w:space="0" w:color="auto"/>
              <w:right w:val="single" w:sz="4" w:space="0" w:color="auto"/>
            </w:tcBorders>
          </w:tcPr>
          <w:p w14:paraId="355567CD" w14:textId="77777777" w:rsidR="00EC635B" w:rsidRPr="00E168A1" w:rsidDel="00097AF6"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87BFF43" w14:textId="77777777" w:rsidR="00EC635B" w:rsidRPr="00E168A1" w:rsidDel="00097AF6" w:rsidRDefault="00EC635B" w:rsidP="00AB6D15">
            <w:pPr>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7FC745F" w14:textId="55F275F4"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2016</w:t>
            </w:r>
          </w:p>
          <w:p w14:paraId="6B0941D7"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14F81CDC" w14:textId="07880FE1" w:rsidR="008268AE" w:rsidRPr="00E168A1" w:rsidRDefault="00A77BC5" w:rsidP="00AB6D15">
            <w:pPr>
              <w:rPr>
                <w:rFonts w:ascii="Times New Roman" w:hAnsi="Times New Roman"/>
                <w:sz w:val="20"/>
                <w:szCs w:val="20"/>
              </w:rPr>
            </w:pPr>
            <w:r w:rsidRPr="00E168A1">
              <w:rPr>
                <w:rFonts w:ascii="Times New Roman" w:hAnsi="Times New Roman"/>
                <w:sz w:val="20"/>
                <w:szCs w:val="20"/>
              </w:rPr>
              <w:t>MoF</w:t>
            </w:r>
            <w:r w:rsidR="00AE6922" w:rsidRPr="00E168A1">
              <w:rPr>
                <w:rFonts w:ascii="Times New Roman" w:hAnsi="Times New Roman"/>
                <w:sz w:val="20"/>
                <w:szCs w:val="20"/>
              </w:rPr>
              <w:t xml:space="preserve">; </w:t>
            </w:r>
            <w:r w:rsidR="00EC635B" w:rsidRPr="00E168A1">
              <w:rPr>
                <w:rFonts w:ascii="Times New Roman" w:hAnsi="Times New Roman"/>
                <w:sz w:val="20"/>
                <w:szCs w:val="20"/>
              </w:rPr>
              <w:t>Beneficiaries</w:t>
            </w:r>
            <w:r w:rsidR="00900061" w:rsidRPr="00E168A1">
              <w:rPr>
                <w:rFonts w:ascii="Times New Roman" w:hAnsi="Times New Roman"/>
                <w:sz w:val="20"/>
                <w:szCs w:val="20"/>
              </w:rPr>
              <w:t xml:space="preserve"> </w:t>
            </w:r>
            <w:r w:rsidR="00EC635B" w:rsidRPr="00E168A1">
              <w:rPr>
                <w:rFonts w:ascii="Times New Roman" w:hAnsi="Times New Roman"/>
                <w:sz w:val="20"/>
                <w:szCs w:val="20"/>
              </w:rPr>
              <w:t>of</w:t>
            </w:r>
            <w:r w:rsidR="00900061" w:rsidRPr="00E168A1">
              <w:rPr>
                <w:rFonts w:ascii="Times New Roman" w:hAnsi="Times New Roman"/>
                <w:sz w:val="20"/>
                <w:szCs w:val="20"/>
              </w:rPr>
              <w:t xml:space="preserve"> </w:t>
            </w:r>
            <w:r w:rsidR="00EC635B" w:rsidRPr="00E168A1">
              <w:rPr>
                <w:rFonts w:ascii="Times New Roman" w:hAnsi="Times New Roman"/>
                <w:sz w:val="20"/>
                <w:szCs w:val="20"/>
              </w:rPr>
              <w:t>Public</w:t>
            </w:r>
            <w:r w:rsidR="00900061" w:rsidRPr="00E168A1">
              <w:rPr>
                <w:rFonts w:ascii="Times New Roman" w:hAnsi="Times New Roman"/>
                <w:sz w:val="20"/>
                <w:szCs w:val="20"/>
              </w:rPr>
              <w:t xml:space="preserve"> </w:t>
            </w:r>
            <w:r w:rsidR="00EC635B" w:rsidRPr="00E168A1">
              <w:rPr>
                <w:rFonts w:ascii="Times New Roman" w:hAnsi="Times New Roman"/>
                <w:sz w:val="20"/>
                <w:szCs w:val="20"/>
              </w:rPr>
              <w:t>Funds</w:t>
            </w:r>
            <w:r w:rsidR="00AE6922" w:rsidRPr="00E168A1">
              <w:rPr>
                <w:rFonts w:ascii="Times New Roman" w:hAnsi="Times New Roman"/>
                <w:sz w:val="20"/>
                <w:szCs w:val="20"/>
              </w:rPr>
              <w:t xml:space="preserve">; </w:t>
            </w:r>
          </w:p>
          <w:p w14:paraId="0D77D561" w14:textId="696609F0" w:rsidR="00EC635B" w:rsidRPr="00E168A1" w:rsidRDefault="00EC635B" w:rsidP="00AB6D15">
            <w:pPr>
              <w:rPr>
                <w:rFonts w:ascii="Times New Roman" w:hAnsi="Times New Roman"/>
                <w:sz w:val="20"/>
                <w:szCs w:val="20"/>
              </w:rPr>
            </w:pPr>
          </w:p>
        </w:tc>
        <w:tc>
          <w:tcPr>
            <w:tcW w:w="4315" w:type="dxa"/>
            <w:tcBorders>
              <w:top w:val="single" w:sz="4" w:space="0" w:color="auto"/>
              <w:left w:val="single" w:sz="4" w:space="0" w:color="auto"/>
              <w:bottom w:val="single" w:sz="4" w:space="0" w:color="auto"/>
              <w:right w:val="single" w:sz="4" w:space="0" w:color="auto"/>
            </w:tcBorders>
          </w:tcPr>
          <w:p w14:paraId="49419938" w14:textId="1AA57D2C"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Instituted</w:t>
            </w:r>
            <w:r w:rsidR="00900061" w:rsidRPr="00E168A1">
              <w:rPr>
                <w:rFonts w:ascii="Times New Roman" w:hAnsi="Times New Roman"/>
                <w:sz w:val="20"/>
                <w:szCs w:val="20"/>
              </w:rPr>
              <w:t xml:space="preserve"> </w:t>
            </w:r>
            <w:r w:rsidRPr="00E168A1">
              <w:rPr>
                <w:rFonts w:ascii="Times New Roman" w:hAnsi="Times New Roman"/>
                <w:sz w:val="20"/>
                <w:szCs w:val="20"/>
              </w:rPr>
              <w:t>mechanism</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controls</w:t>
            </w:r>
            <w:r w:rsidR="00900061" w:rsidRPr="00E168A1">
              <w:rPr>
                <w:rFonts w:ascii="Times New Roman" w:hAnsi="Times New Roman"/>
                <w:sz w:val="20"/>
                <w:szCs w:val="20"/>
              </w:rPr>
              <w:t xml:space="preserve"> </w:t>
            </w:r>
            <w:r w:rsidRPr="00E168A1">
              <w:rPr>
                <w:rFonts w:ascii="Times New Roman" w:hAnsi="Times New Roman"/>
                <w:sz w:val="20"/>
                <w:szCs w:val="20"/>
              </w:rPr>
              <w:t>over</w:t>
            </w:r>
            <w:r w:rsidR="00900061" w:rsidRPr="00E168A1">
              <w:rPr>
                <w:rFonts w:ascii="Times New Roman" w:hAnsi="Times New Roman"/>
                <w:sz w:val="20"/>
                <w:szCs w:val="20"/>
              </w:rPr>
              <w:t xml:space="preserve"> </w:t>
            </w:r>
            <w:r w:rsidRPr="00E168A1">
              <w:rPr>
                <w:rFonts w:ascii="Times New Roman" w:hAnsi="Times New Roman"/>
                <w:sz w:val="20"/>
                <w:szCs w:val="20"/>
              </w:rPr>
              <w:t>contractual</w:t>
            </w:r>
            <w:r w:rsidR="00900061" w:rsidRPr="00E168A1">
              <w:rPr>
                <w:rFonts w:ascii="Times New Roman" w:hAnsi="Times New Roman"/>
                <w:sz w:val="20"/>
                <w:szCs w:val="20"/>
              </w:rPr>
              <w:t xml:space="preserve"> </w:t>
            </w:r>
            <w:r w:rsidRPr="00E168A1">
              <w:rPr>
                <w:rFonts w:ascii="Times New Roman" w:hAnsi="Times New Roman"/>
                <w:sz w:val="20"/>
                <w:szCs w:val="20"/>
              </w:rPr>
              <w:t>commitments</w:t>
            </w:r>
            <w:r w:rsidR="00900061" w:rsidRPr="00E168A1">
              <w:rPr>
                <w:rFonts w:ascii="Times New Roman" w:hAnsi="Times New Roman"/>
                <w:sz w:val="20"/>
                <w:szCs w:val="20"/>
              </w:rPr>
              <w:t xml:space="preserve"> </w:t>
            </w:r>
            <w:r w:rsidR="00AE6922" w:rsidRPr="00E168A1">
              <w:rPr>
                <w:rFonts w:ascii="Times New Roman" w:hAnsi="Times New Roman"/>
                <w:sz w:val="20"/>
                <w:szCs w:val="20"/>
              </w:rPr>
              <w:t>before</w:t>
            </w:r>
            <w:r w:rsidR="00900061" w:rsidRPr="00E168A1">
              <w:rPr>
                <w:rFonts w:ascii="Times New Roman" w:hAnsi="Times New Roman"/>
                <w:sz w:val="20"/>
                <w:szCs w:val="20"/>
              </w:rPr>
              <w:t xml:space="preserve"> </w:t>
            </w:r>
            <w:r w:rsidRPr="00E168A1">
              <w:rPr>
                <w:rFonts w:ascii="Times New Roman" w:hAnsi="Times New Roman"/>
                <w:sz w:val="20"/>
                <w:szCs w:val="20"/>
              </w:rPr>
              <w:t>assuming</w:t>
            </w:r>
            <w:r w:rsidR="00900061" w:rsidRPr="00E168A1">
              <w:rPr>
                <w:rFonts w:ascii="Times New Roman" w:hAnsi="Times New Roman"/>
                <w:sz w:val="20"/>
                <w:szCs w:val="20"/>
              </w:rPr>
              <w:t xml:space="preserve"> </w:t>
            </w:r>
            <w:r w:rsidRPr="00E168A1">
              <w:rPr>
                <w:rFonts w:ascii="Times New Roman" w:hAnsi="Times New Roman"/>
                <w:sz w:val="20"/>
                <w:szCs w:val="20"/>
              </w:rPr>
              <w:t>them</w:t>
            </w:r>
          </w:p>
        </w:tc>
      </w:tr>
      <w:tr w:rsidR="00213359" w:rsidRPr="00E168A1" w14:paraId="2FAEE261" w14:textId="77777777" w:rsidTr="00EF0C6E">
        <w:tc>
          <w:tcPr>
            <w:tcW w:w="0" w:type="auto"/>
            <w:tcBorders>
              <w:top w:val="single" w:sz="4" w:space="0" w:color="auto"/>
              <w:left w:val="single" w:sz="4" w:space="0" w:color="auto"/>
              <w:bottom w:val="single" w:sz="4" w:space="0" w:color="auto"/>
              <w:right w:val="single" w:sz="4" w:space="0" w:color="auto"/>
            </w:tcBorders>
          </w:tcPr>
          <w:p w14:paraId="31D1AB1E" w14:textId="59BFC252"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Improved</w:t>
            </w:r>
            <w:r w:rsidR="00900061" w:rsidRPr="00A90FD9">
              <w:rPr>
                <w:rFonts w:ascii="Times New Roman" w:hAnsi="Times New Roman"/>
                <w:sz w:val="20"/>
                <w:szCs w:val="20"/>
              </w:rPr>
              <w:t xml:space="preserve"> </w:t>
            </w:r>
            <w:r w:rsidRPr="00A90FD9">
              <w:rPr>
                <w:rFonts w:ascii="Times New Roman" w:hAnsi="Times New Roman"/>
                <w:sz w:val="20"/>
                <w:szCs w:val="20"/>
              </w:rPr>
              <w:t>control</w:t>
            </w:r>
            <w:r w:rsidR="00900061" w:rsidRPr="005769EE">
              <w:rPr>
                <w:rFonts w:ascii="Times New Roman" w:hAnsi="Times New Roman"/>
                <w:sz w:val="20"/>
                <w:szCs w:val="20"/>
              </w:rPr>
              <w:t xml:space="preserve"> </w:t>
            </w:r>
            <w:r w:rsidRPr="00E168A1">
              <w:rPr>
                <w:rFonts w:ascii="Times New Roman" w:hAnsi="Times New Roman"/>
                <w:sz w:val="20"/>
                <w:szCs w:val="20"/>
              </w:rPr>
              <w:t>over</w:t>
            </w:r>
            <w:r w:rsidR="00900061" w:rsidRPr="00E168A1">
              <w:rPr>
                <w:rFonts w:ascii="Times New Roman" w:hAnsi="Times New Roman"/>
                <w:sz w:val="20"/>
                <w:szCs w:val="20"/>
              </w:rPr>
              <w:t xml:space="preserve"> </w:t>
            </w:r>
            <w:r w:rsidRPr="00E168A1">
              <w:rPr>
                <w:rFonts w:ascii="Times New Roman" w:hAnsi="Times New Roman"/>
                <w:sz w:val="20"/>
                <w:szCs w:val="20"/>
              </w:rPr>
              <w:t>multiannual</w:t>
            </w:r>
            <w:r w:rsidR="00900061" w:rsidRPr="00E168A1">
              <w:rPr>
                <w:rFonts w:ascii="Times New Roman" w:hAnsi="Times New Roman"/>
                <w:sz w:val="20"/>
                <w:szCs w:val="20"/>
              </w:rPr>
              <w:t xml:space="preserve"> </w:t>
            </w:r>
            <w:r w:rsidRPr="00E168A1">
              <w:rPr>
                <w:rFonts w:ascii="Times New Roman" w:hAnsi="Times New Roman"/>
                <w:sz w:val="20"/>
                <w:szCs w:val="20"/>
              </w:rPr>
              <w:t>contractual</w:t>
            </w:r>
            <w:r w:rsidR="00900061" w:rsidRPr="00E168A1">
              <w:rPr>
                <w:rFonts w:ascii="Times New Roman" w:hAnsi="Times New Roman"/>
                <w:sz w:val="20"/>
                <w:szCs w:val="20"/>
              </w:rPr>
              <w:t xml:space="preserve"> </w:t>
            </w:r>
            <w:r w:rsidRPr="00E168A1">
              <w:rPr>
                <w:rFonts w:ascii="Times New Roman" w:hAnsi="Times New Roman"/>
                <w:sz w:val="20"/>
                <w:szCs w:val="20"/>
              </w:rPr>
              <w:t>commitments</w:t>
            </w:r>
          </w:p>
        </w:tc>
        <w:tc>
          <w:tcPr>
            <w:tcW w:w="0" w:type="auto"/>
            <w:tcBorders>
              <w:top w:val="single" w:sz="4" w:space="0" w:color="auto"/>
              <w:left w:val="single" w:sz="4" w:space="0" w:color="auto"/>
              <w:bottom w:val="single" w:sz="4" w:space="0" w:color="auto"/>
              <w:right w:val="single" w:sz="4" w:space="0" w:color="auto"/>
            </w:tcBorders>
          </w:tcPr>
          <w:p w14:paraId="539E7C15" w14:textId="77777777" w:rsidR="00EC635B" w:rsidRPr="00E168A1" w:rsidDel="00097AF6"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20B17D6" w14:textId="77777777" w:rsidR="00EC635B" w:rsidRPr="00E168A1" w:rsidDel="00097AF6" w:rsidRDefault="00EC635B" w:rsidP="00AB6D15">
            <w:pPr>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9E16EC" w14:textId="034FE76C"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2016</w:t>
            </w:r>
          </w:p>
          <w:p w14:paraId="11E2660F"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3571FD7B" w14:textId="0718B70A" w:rsidR="00EC635B" w:rsidRPr="00E168A1" w:rsidRDefault="00EC635B" w:rsidP="00AB6D15">
            <w:pPr>
              <w:rPr>
                <w:rFonts w:ascii="Times New Roman" w:hAnsi="Times New Roman"/>
                <w:sz w:val="20"/>
                <w:szCs w:val="20"/>
              </w:rPr>
            </w:pPr>
            <w:r w:rsidRPr="00E168A1">
              <w:rPr>
                <w:rFonts w:ascii="Times New Roman" w:hAnsi="Times New Roman"/>
                <w:sz w:val="20"/>
                <w:szCs w:val="20"/>
              </w:rPr>
              <w:t>MoF</w:t>
            </w:r>
            <w:r w:rsidR="00213359" w:rsidRPr="00E168A1">
              <w:rPr>
                <w:rFonts w:ascii="Times New Roman" w:hAnsi="Times New Roman"/>
                <w:sz w:val="20"/>
                <w:szCs w:val="20"/>
              </w:rPr>
              <w:t>;</w:t>
            </w:r>
          </w:p>
          <w:p w14:paraId="71161BB7" w14:textId="77777777" w:rsidR="008268AE" w:rsidRPr="00E168A1" w:rsidRDefault="008268AE" w:rsidP="00AB6D15">
            <w:pPr>
              <w:rPr>
                <w:rFonts w:ascii="Times New Roman" w:hAnsi="Times New Roman"/>
                <w:sz w:val="20"/>
                <w:szCs w:val="20"/>
              </w:rPr>
            </w:pPr>
          </w:p>
          <w:p w14:paraId="783238FB" w14:textId="77777777" w:rsidR="00EC635B" w:rsidRPr="00E168A1" w:rsidRDefault="00EC635B" w:rsidP="00AB6D15">
            <w:pPr>
              <w:rPr>
                <w:rFonts w:ascii="Times New Roman" w:hAnsi="Times New Roman"/>
                <w:sz w:val="20"/>
                <w:szCs w:val="20"/>
              </w:rPr>
            </w:pPr>
            <w:r w:rsidRPr="00E168A1">
              <w:rPr>
                <w:rFonts w:ascii="Times New Roman" w:hAnsi="Times New Roman"/>
                <w:sz w:val="20"/>
                <w:szCs w:val="20"/>
              </w:rPr>
              <w:t>Beneficiaries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Public</w:t>
            </w:r>
            <w:r w:rsidR="00900061" w:rsidRPr="00E168A1">
              <w:rPr>
                <w:rFonts w:ascii="Times New Roman" w:hAnsi="Times New Roman"/>
                <w:sz w:val="20"/>
                <w:szCs w:val="20"/>
              </w:rPr>
              <w:t xml:space="preserve"> </w:t>
            </w:r>
            <w:r w:rsidRPr="00E168A1">
              <w:rPr>
                <w:rFonts w:ascii="Times New Roman" w:hAnsi="Times New Roman"/>
                <w:sz w:val="20"/>
                <w:szCs w:val="20"/>
              </w:rPr>
              <w:t>Funds</w:t>
            </w:r>
            <w:r w:rsidR="00213359" w:rsidRPr="00E168A1">
              <w:rPr>
                <w:rFonts w:ascii="Times New Roman" w:hAnsi="Times New Roman"/>
                <w:sz w:val="20"/>
                <w:szCs w:val="20"/>
              </w:rPr>
              <w:t>;</w:t>
            </w:r>
          </w:p>
          <w:p w14:paraId="39C0FEFA" w14:textId="77777777" w:rsidR="008268AE" w:rsidRPr="00E168A1" w:rsidRDefault="008268AE" w:rsidP="00AB6D15">
            <w:pPr>
              <w:rPr>
                <w:rFonts w:ascii="Times New Roman" w:hAnsi="Times New Roman"/>
                <w:sz w:val="20"/>
                <w:szCs w:val="20"/>
              </w:rPr>
            </w:pPr>
          </w:p>
          <w:p w14:paraId="3C029829" w14:textId="0A981FB2" w:rsidR="00EC635B" w:rsidRPr="00E168A1" w:rsidRDefault="00EC635B" w:rsidP="00AB6D15">
            <w:pPr>
              <w:rPr>
                <w:rFonts w:ascii="Times New Roman" w:hAnsi="Times New Roman"/>
                <w:sz w:val="20"/>
                <w:szCs w:val="20"/>
              </w:rPr>
            </w:pPr>
          </w:p>
        </w:tc>
        <w:tc>
          <w:tcPr>
            <w:tcW w:w="4315" w:type="dxa"/>
            <w:tcBorders>
              <w:top w:val="single" w:sz="4" w:space="0" w:color="auto"/>
              <w:left w:val="single" w:sz="4" w:space="0" w:color="auto"/>
              <w:bottom w:val="single" w:sz="4" w:space="0" w:color="auto"/>
              <w:right w:val="single" w:sz="4" w:space="0" w:color="auto"/>
            </w:tcBorders>
          </w:tcPr>
          <w:p w14:paraId="4A94207B" w14:textId="1B3B5B4B" w:rsidR="00EC635B" w:rsidRPr="00E168A1" w:rsidDel="00097AF6" w:rsidRDefault="00EC635B" w:rsidP="00AB6D15">
            <w:pPr>
              <w:rPr>
                <w:rFonts w:ascii="Times New Roman" w:hAnsi="Times New Roman"/>
                <w:sz w:val="20"/>
                <w:szCs w:val="20"/>
              </w:rPr>
            </w:pPr>
            <w:r w:rsidRPr="00E168A1">
              <w:rPr>
                <w:rFonts w:ascii="Times New Roman" w:hAnsi="Times New Roman"/>
                <w:sz w:val="20"/>
                <w:szCs w:val="20"/>
              </w:rPr>
              <w:t>Implementing</w:t>
            </w:r>
            <w:r w:rsidR="00900061" w:rsidRPr="00E168A1">
              <w:rPr>
                <w:rFonts w:ascii="Times New Roman" w:hAnsi="Times New Roman"/>
                <w:sz w:val="20"/>
                <w:szCs w:val="20"/>
              </w:rPr>
              <w:t xml:space="preserve"> </w:t>
            </w:r>
            <w:r w:rsidRPr="00E168A1">
              <w:rPr>
                <w:rFonts w:ascii="Times New Roman" w:hAnsi="Times New Roman"/>
                <w:sz w:val="20"/>
                <w:szCs w:val="20"/>
              </w:rPr>
              <w:t>a</w:t>
            </w:r>
            <w:r w:rsidR="00900061" w:rsidRPr="00E168A1">
              <w:rPr>
                <w:rFonts w:ascii="Times New Roman" w:hAnsi="Times New Roman"/>
                <w:sz w:val="20"/>
                <w:szCs w:val="20"/>
              </w:rPr>
              <w:t xml:space="preserve"> </w:t>
            </w:r>
            <w:r w:rsidRPr="00E168A1">
              <w:rPr>
                <w:rFonts w:ascii="Times New Roman" w:hAnsi="Times New Roman"/>
                <w:sz w:val="20"/>
                <w:szCs w:val="20"/>
              </w:rPr>
              <w:t>systematic</w:t>
            </w:r>
            <w:r w:rsidR="00900061" w:rsidRPr="00E168A1">
              <w:rPr>
                <w:rFonts w:ascii="Times New Roman" w:hAnsi="Times New Roman"/>
                <w:sz w:val="20"/>
                <w:szCs w:val="20"/>
              </w:rPr>
              <w:t xml:space="preserve"> </w:t>
            </w:r>
            <w:r w:rsidRPr="00E168A1">
              <w:rPr>
                <w:rFonts w:ascii="Times New Roman" w:hAnsi="Times New Roman"/>
                <w:sz w:val="20"/>
                <w:szCs w:val="20"/>
              </w:rPr>
              <w:t>approach</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approve,</w:t>
            </w:r>
            <w:r w:rsidR="00900061" w:rsidRPr="00E168A1">
              <w:rPr>
                <w:rFonts w:ascii="Times New Roman" w:hAnsi="Times New Roman"/>
                <w:sz w:val="20"/>
                <w:szCs w:val="20"/>
              </w:rPr>
              <w:t xml:space="preserve"> </w:t>
            </w:r>
            <w:r w:rsidRPr="00E168A1">
              <w:rPr>
                <w:rFonts w:ascii="Times New Roman" w:hAnsi="Times New Roman"/>
                <w:sz w:val="20"/>
                <w:szCs w:val="20"/>
              </w:rPr>
              <w:t>record</w:t>
            </w:r>
            <w:r w:rsidR="00213359" w:rsidRPr="00E168A1">
              <w:rPr>
                <w:rFonts w:ascii="Times New Roman" w:hAnsi="Times New Roman"/>
                <w:sz w:val="20"/>
                <w:szCs w:val="20"/>
              </w:rPr>
              <w:t>,</w:t>
            </w:r>
            <w:r w:rsidR="00900061" w:rsidRPr="00E168A1">
              <w:rPr>
                <w:rFonts w:ascii="Times New Roman" w:hAnsi="Times New Roman"/>
                <w:sz w:val="20"/>
                <w:szCs w:val="20"/>
              </w:rPr>
              <w:t xml:space="preserve"> </w:t>
            </w:r>
            <w:r w:rsidRPr="00E168A1">
              <w:rPr>
                <w:rFonts w:ascii="Times New Roman" w:hAnsi="Times New Roman"/>
                <w:sz w:val="20"/>
                <w:szCs w:val="20"/>
              </w:rPr>
              <w:t>and</w:t>
            </w:r>
            <w:r w:rsidR="00900061" w:rsidRPr="00E168A1">
              <w:rPr>
                <w:rFonts w:ascii="Times New Roman" w:hAnsi="Times New Roman"/>
                <w:sz w:val="20"/>
                <w:szCs w:val="20"/>
              </w:rPr>
              <w:t xml:space="preserve"> </w:t>
            </w:r>
            <w:r w:rsidRPr="00E168A1">
              <w:rPr>
                <w:rFonts w:ascii="Times New Roman" w:hAnsi="Times New Roman"/>
                <w:sz w:val="20"/>
                <w:szCs w:val="20"/>
              </w:rPr>
              <w:t>monitor</w:t>
            </w:r>
            <w:r w:rsidR="00900061" w:rsidRPr="00E168A1">
              <w:rPr>
                <w:rFonts w:ascii="Times New Roman" w:hAnsi="Times New Roman"/>
                <w:sz w:val="20"/>
                <w:szCs w:val="20"/>
              </w:rPr>
              <w:t xml:space="preserve"> </w:t>
            </w:r>
            <w:r w:rsidRPr="00E168A1">
              <w:rPr>
                <w:rFonts w:ascii="Times New Roman" w:hAnsi="Times New Roman"/>
                <w:sz w:val="20"/>
                <w:szCs w:val="20"/>
              </w:rPr>
              <w:t>multiannual</w:t>
            </w:r>
            <w:r w:rsidR="00900061" w:rsidRPr="00E168A1">
              <w:rPr>
                <w:rFonts w:ascii="Times New Roman" w:hAnsi="Times New Roman"/>
                <w:sz w:val="20"/>
                <w:szCs w:val="20"/>
              </w:rPr>
              <w:t xml:space="preserve"> </w:t>
            </w:r>
            <w:r w:rsidRPr="00E168A1">
              <w:rPr>
                <w:rFonts w:ascii="Times New Roman" w:hAnsi="Times New Roman"/>
                <w:sz w:val="20"/>
                <w:szCs w:val="20"/>
              </w:rPr>
              <w:t>contractual</w:t>
            </w:r>
            <w:r w:rsidR="00900061" w:rsidRPr="00E168A1">
              <w:rPr>
                <w:rFonts w:ascii="Times New Roman" w:hAnsi="Times New Roman"/>
                <w:sz w:val="20"/>
                <w:szCs w:val="20"/>
              </w:rPr>
              <w:t xml:space="preserve"> </w:t>
            </w:r>
            <w:r w:rsidRPr="00E168A1">
              <w:rPr>
                <w:rFonts w:ascii="Times New Roman" w:hAnsi="Times New Roman"/>
                <w:sz w:val="20"/>
                <w:szCs w:val="20"/>
              </w:rPr>
              <w:t>commitments</w:t>
            </w:r>
          </w:p>
        </w:tc>
      </w:tr>
      <w:tr w:rsidR="00213359" w:rsidRPr="00E168A1" w14:paraId="42107547" w14:textId="77777777" w:rsidTr="00EF0C6E">
        <w:tc>
          <w:tcPr>
            <w:tcW w:w="0" w:type="auto"/>
            <w:tcBorders>
              <w:top w:val="single" w:sz="4" w:space="0" w:color="auto"/>
              <w:left w:val="single" w:sz="4" w:space="0" w:color="auto"/>
              <w:bottom w:val="single" w:sz="4" w:space="0" w:color="auto"/>
              <w:right w:val="single" w:sz="4" w:space="0" w:color="auto"/>
            </w:tcBorders>
          </w:tcPr>
          <w:p w14:paraId="632F78F4" w14:textId="0904AB89" w:rsidR="00EC635B" w:rsidRPr="00E168A1" w:rsidRDefault="00EC635B" w:rsidP="00AB6D15">
            <w:pPr>
              <w:rPr>
                <w:rFonts w:ascii="Times New Roman" w:hAnsi="Times New Roman"/>
                <w:sz w:val="20"/>
                <w:szCs w:val="20"/>
              </w:rPr>
            </w:pPr>
            <w:r w:rsidRPr="00E168A1">
              <w:rPr>
                <w:rFonts w:ascii="Times New Roman" w:hAnsi="Times New Roman"/>
                <w:sz w:val="20"/>
                <w:szCs w:val="20"/>
              </w:rPr>
              <w:t>The</w:t>
            </w:r>
            <w:r w:rsidR="00900061" w:rsidRPr="00A90FD9">
              <w:rPr>
                <w:rFonts w:ascii="Times New Roman" w:hAnsi="Times New Roman"/>
                <w:sz w:val="20"/>
                <w:szCs w:val="20"/>
              </w:rPr>
              <w:t xml:space="preserve"> </w:t>
            </w:r>
            <w:r w:rsidR="007C68FC">
              <w:rPr>
                <w:rFonts w:ascii="Times New Roman" w:hAnsi="Times New Roman"/>
                <w:sz w:val="20"/>
                <w:szCs w:val="20"/>
              </w:rPr>
              <w:t>G</w:t>
            </w:r>
            <w:r w:rsidRPr="005769EE">
              <w:rPr>
                <w:rFonts w:ascii="Times New Roman" w:hAnsi="Times New Roman"/>
                <w:sz w:val="20"/>
                <w:szCs w:val="20"/>
              </w:rPr>
              <w:t>overnment</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strengthen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complaint</w:t>
            </w:r>
            <w:r w:rsidR="00900061" w:rsidRPr="00E168A1">
              <w:rPr>
                <w:rFonts w:ascii="Times New Roman" w:hAnsi="Times New Roman"/>
                <w:sz w:val="20"/>
                <w:szCs w:val="20"/>
              </w:rPr>
              <w:t xml:space="preserve"> </w:t>
            </w:r>
            <w:r w:rsidRPr="00E168A1">
              <w:rPr>
                <w:rFonts w:ascii="Times New Roman" w:hAnsi="Times New Roman"/>
                <w:sz w:val="20"/>
                <w:szCs w:val="20"/>
              </w:rPr>
              <w:t>handling</w:t>
            </w:r>
            <w:r w:rsidR="00900061" w:rsidRPr="00E168A1">
              <w:rPr>
                <w:rFonts w:ascii="Times New Roman" w:hAnsi="Times New Roman"/>
                <w:sz w:val="20"/>
                <w:szCs w:val="20"/>
              </w:rPr>
              <w:t xml:space="preserve"> </w:t>
            </w:r>
            <w:r w:rsidRPr="00E168A1">
              <w:rPr>
                <w:rFonts w:ascii="Times New Roman" w:hAnsi="Times New Roman"/>
                <w:sz w:val="20"/>
                <w:szCs w:val="20"/>
              </w:rPr>
              <w:t>mechanism</w:t>
            </w:r>
            <w:r w:rsidR="00900061" w:rsidRPr="00E168A1">
              <w:rPr>
                <w:rFonts w:ascii="Times New Roman" w:hAnsi="Times New Roman"/>
                <w:sz w:val="20"/>
                <w:szCs w:val="20"/>
              </w:rPr>
              <w:t xml:space="preserve"> </w:t>
            </w:r>
            <w:r w:rsidRPr="00E168A1">
              <w:rPr>
                <w:rFonts w:ascii="Times New Roman" w:hAnsi="Times New Roman"/>
                <w:sz w:val="20"/>
                <w:szCs w:val="20"/>
              </w:rPr>
              <w:t>to</w:t>
            </w:r>
            <w:r w:rsidR="00900061" w:rsidRPr="00E168A1">
              <w:rPr>
                <w:rFonts w:ascii="Times New Roman" w:hAnsi="Times New Roman"/>
                <w:sz w:val="20"/>
                <w:szCs w:val="20"/>
              </w:rPr>
              <w:t xml:space="preserve"> </w:t>
            </w:r>
            <w:r w:rsidRPr="00E168A1">
              <w:rPr>
                <w:rFonts w:ascii="Times New Roman" w:hAnsi="Times New Roman"/>
                <w:sz w:val="20"/>
                <w:szCs w:val="20"/>
              </w:rPr>
              <w:t>improve</w:t>
            </w:r>
            <w:r w:rsidR="00900061" w:rsidRPr="00E168A1">
              <w:rPr>
                <w:rFonts w:ascii="Times New Roman" w:hAnsi="Times New Roman"/>
                <w:sz w:val="20"/>
                <w:szCs w:val="20"/>
              </w:rPr>
              <w:t xml:space="preserve"> </w:t>
            </w:r>
            <w:r w:rsidRPr="00E168A1">
              <w:rPr>
                <w:rFonts w:ascii="Times New Roman" w:hAnsi="Times New Roman"/>
                <w:sz w:val="20"/>
                <w:szCs w:val="20"/>
              </w:rPr>
              <w:t>its</w:t>
            </w:r>
            <w:r w:rsidR="00900061" w:rsidRPr="00E168A1">
              <w:rPr>
                <w:rFonts w:ascii="Times New Roman" w:hAnsi="Times New Roman"/>
                <w:sz w:val="20"/>
                <w:szCs w:val="20"/>
              </w:rPr>
              <w:t xml:space="preserve"> </w:t>
            </w:r>
            <w:r w:rsidRPr="00E168A1">
              <w:rPr>
                <w:rFonts w:ascii="Times New Roman" w:hAnsi="Times New Roman"/>
                <w:sz w:val="20"/>
                <w:szCs w:val="20"/>
              </w:rPr>
              <w:t>effectiveness</w:t>
            </w:r>
            <w:r w:rsidR="00900061" w:rsidRPr="00E168A1">
              <w:rPr>
                <w:rFonts w:ascii="Times New Roman" w:hAnsi="Times New Roman"/>
                <w:sz w:val="20"/>
                <w:szCs w:val="20"/>
              </w:rPr>
              <w:t xml:space="preserve"> </w:t>
            </w:r>
            <w:r w:rsidRPr="00E168A1">
              <w:rPr>
                <w:rFonts w:ascii="Times New Roman" w:hAnsi="Times New Roman"/>
                <w:sz w:val="20"/>
                <w:szCs w:val="20"/>
              </w:rPr>
              <w:t>efficiency</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handling</w:t>
            </w:r>
            <w:r w:rsidR="00900061" w:rsidRPr="00E168A1">
              <w:rPr>
                <w:rFonts w:ascii="Times New Roman" w:hAnsi="Times New Roman"/>
                <w:sz w:val="20"/>
                <w:szCs w:val="20"/>
              </w:rPr>
              <w:t xml:space="preserve"> </w:t>
            </w:r>
            <w:r w:rsidRPr="00E168A1">
              <w:rPr>
                <w:rFonts w:ascii="Times New Roman" w:hAnsi="Times New Roman"/>
                <w:sz w:val="20"/>
                <w:szCs w:val="20"/>
              </w:rPr>
              <w:t>complaints</w:t>
            </w:r>
            <w:r w:rsidR="00900061" w:rsidRPr="00E168A1">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2F40210D" w14:textId="77777777" w:rsidR="00EC635B" w:rsidRPr="00E168A1" w:rsidRDefault="00EC635B" w:rsidP="00AB6D15">
            <w:pPr>
              <w:ind w:left="7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40C597" w14:textId="77777777" w:rsidR="00EC635B" w:rsidRPr="00E168A1" w:rsidRDefault="00EC635B" w:rsidP="00AB6D15">
            <w:pPr>
              <w:tabs>
                <w:tab w:val="left" w:pos="1005"/>
              </w:tabs>
              <w:ind w:left="71"/>
              <w:rPr>
                <w:rFonts w:ascii="Times New Roman" w:hAnsi="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E911D7" w14:textId="496ADC2B" w:rsidR="00EC635B" w:rsidRPr="00E168A1" w:rsidRDefault="00FE046A" w:rsidP="00AB6D15">
            <w:pPr>
              <w:rPr>
                <w:rFonts w:ascii="Times New Roman" w:hAnsi="Times New Roman"/>
                <w:sz w:val="20"/>
                <w:szCs w:val="20"/>
              </w:rPr>
            </w:pPr>
            <w:r>
              <w:rPr>
                <w:rFonts w:ascii="Times New Roman" w:hAnsi="Times New Roman"/>
                <w:sz w:val="20"/>
                <w:szCs w:val="20"/>
              </w:rPr>
              <w:t>December 31</w:t>
            </w:r>
            <w:r w:rsidR="00EC635B" w:rsidRPr="00E168A1">
              <w:rPr>
                <w:rFonts w:ascii="Times New Roman" w:hAnsi="Times New Roman"/>
                <w:sz w:val="20"/>
                <w:szCs w:val="20"/>
              </w:rPr>
              <w:t>,</w:t>
            </w:r>
            <w:r w:rsidR="00900061" w:rsidRPr="00E168A1">
              <w:rPr>
                <w:rFonts w:ascii="Times New Roman" w:hAnsi="Times New Roman"/>
                <w:sz w:val="20"/>
                <w:szCs w:val="20"/>
              </w:rPr>
              <w:t xml:space="preserve"> </w:t>
            </w:r>
            <w:r w:rsidR="00EC635B" w:rsidRPr="00E168A1">
              <w:rPr>
                <w:rFonts w:ascii="Times New Roman" w:hAnsi="Times New Roman"/>
                <w:sz w:val="20"/>
                <w:szCs w:val="20"/>
              </w:rPr>
              <w:t>2016</w:t>
            </w:r>
          </w:p>
          <w:p w14:paraId="555E32BB" w14:textId="77777777" w:rsidR="00EC635B" w:rsidRPr="00E168A1" w:rsidRDefault="00EC635B" w:rsidP="00AB6D15">
            <w:pPr>
              <w:rPr>
                <w:rFonts w:ascii="Times New Roman" w:hAnsi="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14:paraId="19CD10AB" w14:textId="7AE9034C" w:rsidR="00EC635B" w:rsidRPr="00E168A1" w:rsidRDefault="00EC635B" w:rsidP="00AB6D15">
            <w:pPr>
              <w:rPr>
                <w:rFonts w:ascii="Times New Roman" w:hAnsi="Times New Roman"/>
                <w:sz w:val="20"/>
                <w:szCs w:val="20"/>
              </w:rPr>
            </w:pPr>
            <w:r w:rsidRPr="00E168A1">
              <w:rPr>
                <w:rFonts w:ascii="Times New Roman" w:hAnsi="Times New Roman"/>
                <w:sz w:val="20"/>
                <w:szCs w:val="20"/>
              </w:rPr>
              <w:t>PPO/RC</w:t>
            </w:r>
          </w:p>
        </w:tc>
        <w:tc>
          <w:tcPr>
            <w:tcW w:w="4315" w:type="dxa"/>
            <w:tcBorders>
              <w:top w:val="single" w:sz="4" w:space="0" w:color="auto"/>
              <w:left w:val="single" w:sz="4" w:space="0" w:color="auto"/>
              <w:bottom w:val="single" w:sz="4" w:space="0" w:color="auto"/>
              <w:right w:val="single" w:sz="4" w:space="0" w:color="auto"/>
            </w:tcBorders>
          </w:tcPr>
          <w:p w14:paraId="6B0536B4" w14:textId="77777777" w:rsidR="00EC635B" w:rsidRPr="00E168A1" w:rsidRDefault="00EC635B" w:rsidP="00AB6D15">
            <w:pPr>
              <w:rPr>
                <w:rFonts w:ascii="Times New Roman" w:hAnsi="Times New Roman"/>
                <w:sz w:val="20"/>
                <w:szCs w:val="20"/>
              </w:rPr>
            </w:pPr>
            <w:r w:rsidRPr="00E168A1">
              <w:rPr>
                <w:rFonts w:ascii="Times New Roman" w:hAnsi="Times New Roman"/>
                <w:sz w:val="20"/>
                <w:szCs w:val="20"/>
              </w:rPr>
              <w:t>Reports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Pr="00E168A1">
              <w:rPr>
                <w:rFonts w:ascii="Times New Roman" w:hAnsi="Times New Roman"/>
                <w:sz w:val="20"/>
                <w:szCs w:val="20"/>
              </w:rPr>
              <w:t>activities</w:t>
            </w:r>
            <w:r w:rsidR="00900061" w:rsidRPr="00E168A1">
              <w:rPr>
                <w:rFonts w:ascii="Times New Roman" w:hAnsi="Times New Roman"/>
                <w:sz w:val="20"/>
                <w:szCs w:val="20"/>
              </w:rPr>
              <w:t xml:space="preserve"> </w:t>
            </w:r>
            <w:r w:rsidRPr="00E168A1">
              <w:rPr>
                <w:rFonts w:ascii="Times New Roman" w:hAnsi="Times New Roman"/>
                <w:sz w:val="20"/>
                <w:szCs w:val="20"/>
              </w:rPr>
              <w:t>in</w:t>
            </w:r>
            <w:r w:rsidR="00900061" w:rsidRPr="00E168A1">
              <w:rPr>
                <w:rFonts w:ascii="Times New Roman" w:hAnsi="Times New Roman"/>
                <w:sz w:val="20"/>
                <w:szCs w:val="20"/>
              </w:rPr>
              <w:t xml:space="preserve"> </w:t>
            </w:r>
            <w:r w:rsidRPr="00E168A1">
              <w:rPr>
                <w:rFonts w:ascii="Times New Roman" w:hAnsi="Times New Roman"/>
                <w:sz w:val="20"/>
                <w:szCs w:val="20"/>
              </w:rPr>
              <w:t>the</w:t>
            </w:r>
            <w:r w:rsidR="00900061" w:rsidRPr="00E168A1">
              <w:rPr>
                <w:rFonts w:ascii="Times New Roman" w:hAnsi="Times New Roman"/>
                <w:sz w:val="20"/>
                <w:szCs w:val="20"/>
              </w:rPr>
              <w:t xml:space="preserve"> </w:t>
            </w:r>
            <w:r w:rsidRPr="00E168A1">
              <w:rPr>
                <w:rFonts w:ascii="Times New Roman" w:hAnsi="Times New Roman"/>
                <w:sz w:val="20"/>
                <w:szCs w:val="20"/>
              </w:rPr>
              <w:t>first</w:t>
            </w:r>
            <w:r w:rsidR="00900061" w:rsidRPr="00E168A1">
              <w:rPr>
                <w:rFonts w:ascii="Times New Roman" w:hAnsi="Times New Roman"/>
                <w:sz w:val="20"/>
                <w:szCs w:val="20"/>
              </w:rPr>
              <w:t xml:space="preserve"> </w:t>
            </w:r>
            <w:r w:rsidRPr="00E168A1">
              <w:rPr>
                <w:rFonts w:ascii="Times New Roman" w:hAnsi="Times New Roman"/>
                <w:sz w:val="20"/>
                <w:szCs w:val="20"/>
              </w:rPr>
              <w:t>six</w:t>
            </w:r>
            <w:r w:rsidR="00900061" w:rsidRPr="00E168A1">
              <w:rPr>
                <w:rFonts w:ascii="Times New Roman" w:hAnsi="Times New Roman"/>
                <w:sz w:val="20"/>
                <w:szCs w:val="20"/>
              </w:rPr>
              <w:t xml:space="preserve"> </w:t>
            </w:r>
            <w:r w:rsidRPr="00E168A1">
              <w:rPr>
                <w:rFonts w:ascii="Times New Roman" w:hAnsi="Times New Roman"/>
                <w:sz w:val="20"/>
                <w:szCs w:val="20"/>
              </w:rPr>
              <w:t>months</w:t>
            </w:r>
            <w:r w:rsidR="00900061" w:rsidRPr="00E168A1">
              <w:rPr>
                <w:rFonts w:ascii="Times New Roman" w:hAnsi="Times New Roman"/>
                <w:sz w:val="20"/>
                <w:szCs w:val="20"/>
              </w:rPr>
              <w:t xml:space="preserve"> </w:t>
            </w:r>
            <w:r w:rsidRPr="00E168A1">
              <w:rPr>
                <w:rFonts w:ascii="Times New Roman" w:hAnsi="Times New Roman"/>
                <w:sz w:val="20"/>
                <w:szCs w:val="20"/>
              </w:rPr>
              <w:t>of</w:t>
            </w:r>
            <w:r w:rsidR="00900061" w:rsidRPr="00E168A1">
              <w:rPr>
                <w:rFonts w:ascii="Times New Roman" w:hAnsi="Times New Roman"/>
                <w:sz w:val="20"/>
                <w:szCs w:val="20"/>
              </w:rPr>
              <w:t xml:space="preserve"> </w:t>
            </w:r>
            <w:r w:rsidR="001B78A4" w:rsidRPr="00E168A1">
              <w:rPr>
                <w:rFonts w:ascii="Times New Roman" w:hAnsi="Times New Roman"/>
                <w:sz w:val="20"/>
                <w:szCs w:val="20"/>
              </w:rPr>
              <w:t xml:space="preserve">Program </w:t>
            </w:r>
            <w:r w:rsidRPr="00E168A1">
              <w:rPr>
                <w:rFonts w:ascii="Times New Roman" w:hAnsi="Times New Roman"/>
                <w:sz w:val="20"/>
                <w:szCs w:val="20"/>
              </w:rPr>
              <w:t>effectiveness</w:t>
            </w:r>
          </w:p>
        </w:tc>
      </w:tr>
    </w:tbl>
    <w:p w14:paraId="3D550DC6" w14:textId="77777777" w:rsidR="00DB677B" w:rsidRPr="00E168A1" w:rsidRDefault="00DB677B" w:rsidP="005017E6">
      <w:pPr>
        <w:rPr>
          <w:rFonts w:ascii="Times New Roman" w:hAnsi="Times New Roman"/>
          <w:sz w:val="20"/>
          <w:szCs w:val="20"/>
        </w:rPr>
      </w:pPr>
    </w:p>
    <w:sectPr w:rsidR="00DB677B" w:rsidRPr="00E168A1" w:rsidSect="00310A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6B727" w14:textId="77777777" w:rsidR="00364177" w:rsidRDefault="00364177" w:rsidP="00294C15">
      <w:r>
        <w:separator/>
      </w:r>
    </w:p>
  </w:endnote>
  <w:endnote w:type="continuationSeparator" w:id="0">
    <w:p w14:paraId="2DEF8B0F" w14:textId="77777777" w:rsidR="00364177" w:rsidRDefault="00364177" w:rsidP="00294C15">
      <w:r>
        <w:continuationSeparator/>
      </w:r>
    </w:p>
  </w:endnote>
  <w:endnote w:type="continuationNotice" w:id="1">
    <w:p w14:paraId="490F0DD2" w14:textId="77777777" w:rsidR="00364177" w:rsidRDefault="00364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noProof w:val="0"/>
      </w:rPr>
      <w:id w:val="-1990390036"/>
      <w:docPartObj>
        <w:docPartGallery w:val="Page Numbers (Bottom of Page)"/>
        <w:docPartUnique/>
      </w:docPartObj>
    </w:sdtPr>
    <w:sdtEndPr>
      <w:rPr>
        <w:noProof/>
      </w:rPr>
    </w:sdtEndPr>
    <w:sdtContent>
      <w:p w14:paraId="25A2848D" w14:textId="77777777" w:rsidR="00364177" w:rsidRPr="001D4FB8" w:rsidRDefault="00364177" w:rsidP="00862B64">
        <w:pPr>
          <w:pStyle w:val="Footer"/>
          <w:jc w:val="center"/>
          <w:rPr>
            <w:rFonts w:ascii="Times New Roman" w:hAnsi="Times New Roman"/>
          </w:rPr>
        </w:pPr>
        <w:r w:rsidRPr="001D4FB8">
          <w:rPr>
            <w:rFonts w:ascii="Times New Roman" w:hAnsi="Times New Roman"/>
          </w:rPr>
          <w:fldChar w:fldCharType="begin"/>
        </w:r>
        <w:r w:rsidRPr="001D4FB8">
          <w:rPr>
            <w:rFonts w:ascii="Times New Roman" w:hAnsi="Times New Roman"/>
          </w:rPr>
          <w:instrText xml:space="preserve"> PAGE   \* MERGEFORMAT </w:instrText>
        </w:r>
        <w:r w:rsidRPr="001D4FB8">
          <w:rPr>
            <w:rFonts w:ascii="Times New Roman" w:hAnsi="Times New Roman"/>
          </w:rPr>
          <w:fldChar w:fldCharType="separate"/>
        </w:r>
        <w:r>
          <w:rPr>
            <w:rFonts w:ascii="Times New Roman" w:hAnsi="Times New Roman"/>
          </w:rPr>
          <w:t xml:space="preserve"> </w:t>
        </w:r>
        <w:r w:rsidRPr="001D4FB8">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73203537"/>
      <w:docPartObj>
        <w:docPartGallery w:val="Page Numbers (Bottom of Page)"/>
        <w:docPartUnique/>
      </w:docPartObj>
    </w:sdtPr>
    <w:sdtEndPr>
      <w:rPr>
        <w:rFonts w:ascii="Times New Roman" w:hAnsi="Times New Roman"/>
        <w:noProof/>
      </w:rPr>
    </w:sdtEndPr>
    <w:sdtContent>
      <w:p w14:paraId="6BF18335" w14:textId="77777777" w:rsidR="00364177" w:rsidRPr="00FF4790" w:rsidRDefault="00364177" w:rsidP="00FF4790">
        <w:pPr>
          <w:pStyle w:val="Footer"/>
          <w:jc w:val="center"/>
          <w:rPr>
            <w:rFonts w:ascii="Times New Roman" w:hAnsi="Times New Roman"/>
          </w:rPr>
        </w:pPr>
        <w:r w:rsidRPr="00FF4790">
          <w:rPr>
            <w:rFonts w:ascii="Times New Roman" w:hAnsi="Times New Roman"/>
            <w:noProof w:val="0"/>
          </w:rPr>
          <w:fldChar w:fldCharType="begin"/>
        </w:r>
        <w:r w:rsidRPr="00FF4790">
          <w:rPr>
            <w:rFonts w:ascii="Times New Roman" w:hAnsi="Times New Roman"/>
          </w:rPr>
          <w:instrText xml:space="preserve"> PAGE   \* MERGEFORMAT </w:instrText>
        </w:r>
        <w:r w:rsidRPr="00FF4790">
          <w:rPr>
            <w:rFonts w:ascii="Times New Roman" w:hAnsi="Times New Roman"/>
            <w:noProof w:val="0"/>
          </w:rPr>
          <w:fldChar w:fldCharType="separate"/>
        </w:r>
        <w:r w:rsidR="00854431">
          <w:rPr>
            <w:rFonts w:ascii="Times New Roman" w:hAnsi="Times New Roman"/>
          </w:rPr>
          <w:t>16</w:t>
        </w:r>
        <w:r w:rsidRPr="00FF4790">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noProof w:val="0"/>
      </w:rPr>
      <w:id w:val="231516461"/>
      <w:docPartObj>
        <w:docPartGallery w:val="Page Numbers (Bottom of Page)"/>
        <w:docPartUnique/>
      </w:docPartObj>
    </w:sdtPr>
    <w:sdtEndPr>
      <w:rPr>
        <w:noProof/>
      </w:rPr>
    </w:sdtEndPr>
    <w:sdtContent>
      <w:p w14:paraId="56C5AC0A" w14:textId="77777777" w:rsidR="00364177" w:rsidRPr="001D4FB8" w:rsidRDefault="00364177" w:rsidP="00862B64">
        <w:pPr>
          <w:pStyle w:val="Footer"/>
          <w:jc w:val="center"/>
          <w:rPr>
            <w:rFonts w:ascii="Times New Roman" w:hAnsi="Times New Roman"/>
          </w:rPr>
        </w:pPr>
        <w:r w:rsidRPr="001D4FB8">
          <w:rPr>
            <w:rFonts w:ascii="Times New Roman" w:hAnsi="Times New Roman"/>
          </w:rPr>
          <w:fldChar w:fldCharType="begin"/>
        </w:r>
        <w:r w:rsidRPr="001D4FB8">
          <w:rPr>
            <w:rFonts w:ascii="Times New Roman" w:hAnsi="Times New Roman"/>
          </w:rPr>
          <w:instrText xml:space="preserve"> PAGE   \* MERGEFORMAT </w:instrText>
        </w:r>
        <w:r w:rsidRPr="001D4FB8">
          <w:rPr>
            <w:rFonts w:ascii="Times New Roman" w:hAnsi="Times New Roman"/>
          </w:rPr>
          <w:fldChar w:fldCharType="separate"/>
        </w:r>
        <w:r>
          <w:rPr>
            <w:rFonts w:ascii="Times New Roman" w:hAnsi="Times New Roman"/>
          </w:rPr>
          <w:t>33</w:t>
        </w:r>
        <w:r w:rsidRPr="001D4FB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73B5" w14:textId="77777777" w:rsidR="00364177" w:rsidRDefault="00364177" w:rsidP="00F228DA">
      <w:pPr>
        <w:spacing w:after="0"/>
      </w:pPr>
      <w:r>
        <w:separator/>
      </w:r>
    </w:p>
  </w:footnote>
  <w:footnote w:type="continuationSeparator" w:id="0">
    <w:p w14:paraId="42C2A582" w14:textId="77777777" w:rsidR="00364177" w:rsidRDefault="00364177" w:rsidP="00294C15">
      <w:r>
        <w:continuationSeparator/>
      </w:r>
    </w:p>
  </w:footnote>
  <w:footnote w:type="continuationNotice" w:id="1">
    <w:p w14:paraId="7C58A89C" w14:textId="77777777" w:rsidR="00364177" w:rsidRDefault="00364177"/>
  </w:footnote>
  <w:footnote w:id="2">
    <w:p w14:paraId="0EFC494A" w14:textId="2C848E52" w:rsidR="00364177" w:rsidRPr="004F5154" w:rsidRDefault="00364177" w:rsidP="004F5154">
      <w:pPr>
        <w:pStyle w:val="FootnoteText"/>
        <w:spacing w:after="0"/>
      </w:pPr>
      <w:r w:rsidRPr="004F5154">
        <w:rPr>
          <w:rStyle w:val="FootnoteReference"/>
        </w:rPr>
        <w:footnoteRef/>
      </w:r>
      <w:r w:rsidRPr="004F5154">
        <w:t xml:space="preserve"> Beneficiaries of the Budget of the Republic of Serbia are classified into DBBs and IBBs. The TA maintains a publicly available registry of all DBBs and IBBs.</w:t>
      </w:r>
    </w:p>
  </w:footnote>
  <w:footnote w:id="3">
    <w:p w14:paraId="7F94635C"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Official Gazette 124/2012.</w:t>
      </w:r>
    </w:p>
  </w:footnote>
  <w:footnote w:id="4">
    <w:p w14:paraId="7AB4CB8F"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Official Gazette 116/2008. </w:t>
      </w:r>
      <w:hyperlink r:id="rId1" w:history="1">
        <w:r w:rsidRPr="004F5154">
          <w:rPr>
            <w:rStyle w:val="Hyperlink"/>
            <w:rFonts w:ascii="Times New Roman" w:hAnsi="Times New Roman" w:cs="Times New Roman"/>
            <w:sz w:val="20"/>
            <w:szCs w:val="20"/>
          </w:rPr>
          <w:t>http://www.lexology.com/library/detail.aspx?g=f188efa0-0f2b-4324-b299-9ce1e2b97369</w:t>
        </w:r>
      </w:hyperlink>
    </w:p>
  </w:footnote>
  <w:footnote w:id="5">
    <w:p w14:paraId="04F238FE" w14:textId="7014B629"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 xml:space="preserve">Bertelsmann Foundation. 2014. </w:t>
      </w:r>
      <w:r w:rsidRPr="004F5154">
        <w:rPr>
          <w:rFonts w:ascii="Times New Roman" w:hAnsi="Times New Roman" w:cs="Times New Roman"/>
          <w:bCs/>
          <w:i/>
          <w:sz w:val="20"/>
          <w:szCs w:val="20"/>
        </w:rPr>
        <w:t>Serbia Country Report</w:t>
      </w:r>
      <w:r w:rsidRPr="004F5154">
        <w:rPr>
          <w:rFonts w:ascii="Times New Roman" w:hAnsi="Times New Roman" w:cs="Times New Roman"/>
          <w:bCs/>
          <w:sz w:val="20"/>
          <w:szCs w:val="20"/>
        </w:rPr>
        <w:t>. Bertelsmann Transformation Index.</w:t>
      </w:r>
    </w:p>
  </w:footnote>
  <w:footnote w:id="6">
    <w:p w14:paraId="5B812E7B"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 October 2014.</w:t>
      </w:r>
    </w:p>
  </w:footnote>
  <w:footnote w:id="7">
    <w:p w14:paraId="05E10618" w14:textId="659D2E1D"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Available at </w:t>
      </w:r>
      <w:hyperlink r:id="rId2" w:history="1">
        <w:r w:rsidRPr="004F5154">
          <w:rPr>
            <w:rStyle w:val="Hyperlink"/>
            <w:noProof w:val="0"/>
            <w:lang w:val="en-US"/>
          </w:rPr>
          <w:t>www.ujn.gov.rs</w:t>
        </w:r>
      </w:hyperlink>
      <w:r w:rsidRPr="004F5154">
        <w:rPr>
          <w:rStyle w:val="Hyperlink"/>
          <w:noProof w:val="0"/>
          <w:lang w:val="en-US"/>
        </w:rPr>
        <w:t>.</w:t>
      </w:r>
    </w:p>
  </w:footnote>
  <w:footnote w:id="8">
    <w:p w14:paraId="24B37F4B" w14:textId="77777777" w:rsidR="00364177" w:rsidRPr="004F5154" w:rsidRDefault="00364177" w:rsidP="004F5154">
      <w:pPr>
        <w:pStyle w:val="FootnoteText"/>
        <w:spacing w:after="0"/>
        <w:rPr>
          <w:i/>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 April 2014.</w:t>
      </w:r>
    </w:p>
  </w:footnote>
  <w:footnote w:id="9">
    <w:p w14:paraId="1527190B" w14:textId="59FF0C0A"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For more information on the legal reform in Serbia, see </w:t>
      </w:r>
      <w:hyperlink r:id="rId3" w:history="1">
        <w:r w:rsidRPr="004F5154">
          <w:rPr>
            <w:rStyle w:val="Hyperlink"/>
            <w:rFonts w:ascii="Times New Roman" w:hAnsi="Times New Roman" w:cs="Times New Roman"/>
            <w:sz w:val="20"/>
            <w:szCs w:val="20"/>
          </w:rPr>
          <w:t>http://www.ebrd.com/legal-reform-in-serbia.html</w:t>
        </w:r>
      </w:hyperlink>
      <w:r w:rsidRPr="004F5154">
        <w:rPr>
          <w:rFonts w:ascii="Times New Roman" w:hAnsi="Times New Roman" w:cs="Times New Roman"/>
          <w:sz w:val="20"/>
          <w:szCs w:val="20"/>
        </w:rPr>
        <w:t xml:space="preserve">. </w:t>
      </w:r>
    </w:p>
  </w:footnote>
  <w:footnote w:id="10">
    <w:p w14:paraId="17F888B3" w14:textId="7B14C434"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 xml:space="preserve">World Bank Group and IFC. 2013. </w:t>
      </w:r>
      <w:r w:rsidRPr="004F5154">
        <w:rPr>
          <w:rFonts w:ascii="Times New Roman" w:hAnsi="Times New Roman" w:cs="Times New Roman"/>
          <w:bCs/>
          <w:i/>
          <w:sz w:val="20"/>
          <w:szCs w:val="20"/>
        </w:rPr>
        <w:t>Serbia Country Profile</w:t>
      </w:r>
      <w:r w:rsidRPr="004F5154">
        <w:rPr>
          <w:rFonts w:ascii="Times New Roman" w:hAnsi="Times New Roman" w:cs="Times New Roman"/>
          <w:bCs/>
          <w:sz w:val="20"/>
          <w:szCs w:val="20"/>
        </w:rPr>
        <w:t>. Enterprise Surveys.</w:t>
      </w:r>
    </w:p>
  </w:footnote>
  <w:footnote w:id="11">
    <w:p w14:paraId="34A0FC5E" w14:textId="77777777" w:rsidR="00364177" w:rsidRPr="004F5154" w:rsidRDefault="00364177" w:rsidP="004F5154">
      <w:pPr>
        <w:pStyle w:val="NoSpacing"/>
        <w:rPr>
          <w:rFonts w:ascii="Times New Roman" w:hAnsi="Times New Roman" w:cs="Times New Roman"/>
          <w:bCs/>
          <w:sz w:val="20"/>
          <w:szCs w:val="20"/>
        </w:rPr>
      </w:pPr>
      <w:r w:rsidRPr="004F5154">
        <w:rPr>
          <w:rFonts w:ascii="Times New Roman" w:hAnsi="Times New Roman" w:cs="Times New Roman"/>
          <w:bCs/>
          <w:sz w:val="20"/>
          <w:szCs w:val="20"/>
          <w:vertAlign w:val="superscript"/>
        </w:rPr>
        <w:footnoteRef/>
      </w:r>
      <w:r w:rsidRPr="004F5154">
        <w:rPr>
          <w:rFonts w:ascii="Times New Roman" w:hAnsi="Times New Roman" w:cs="Times New Roman"/>
          <w:bCs/>
          <w:sz w:val="20"/>
          <w:szCs w:val="20"/>
        </w:rPr>
        <w:t xml:space="preserve"> World Bank. </w:t>
      </w:r>
      <w:r w:rsidRPr="004F5154">
        <w:rPr>
          <w:rFonts w:ascii="Times New Roman" w:hAnsi="Times New Roman" w:cs="Times New Roman"/>
          <w:bCs/>
          <w:i/>
          <w:sz w:val="20"/>
          <w:szCs w:val="20"/>
        </w:rPr>
        <w:t>Public Expenditure and Financial Accountability (PEFA) Performance Report Serbia</w:t>
      </w:r>
      <w:r w:rsidRPr="004F5154">
        <w:rPr>
          <w:rFonts w:ascii="Times New Roman" w:hAnsi="Times New Roman" w:cs="Times New Roman"/>
          <w:bCs/>
          <w:sz w:val="20"/>
          <w:szCs w:val="20"/>
        </w:rPr>
        <w:t xml:space="preserve">, </w:t>
      </w:r>
      <w:r w:rsidRPr="004F5154">
        <w:rPr>
          <w:rFonts w:ascii="Times New Roman" w:hAnsi="Times New Roman" w:cs="Times New Roman"/>
          <w:bCs/>
          <w:i/>
          <w:sz w:val="20"/>
          <w:szCs w:val="20"/>
        </w:rPr>
        <w:t>March 2015</w:t>
      </w:r>
      <w:r w:rsidRPr="004F5154">
        <w:rPr>
          <w:rFonts w:ascii="Times New Roman" w:hAnsi="Times New Roman" w:cs="Times New Roman"/>
          <w:bCs/>
          <w:sz w:val="20"/>
          <w:szCs w:val="20"/>
        </w:rPr>
        <w:t>.</w:t>
      </w:r>
    </w:p>
  </w:footnote>
  <w:footnote w:id="12">
    <w:p w14:paraId="1EFE649D" w14:textId="77777777" w:rsidR="00364177" w:rsidRPr="004F5154" w:rsidRDefault="00364177" w:rsidP="004F5154">
      <w:pPr>
        <w:pStyle w:val="NoSpacing"/>
        <w:rPr>
          <w:rFonts w:ascii="Times New Roman" w:hAnsi="Times New Roman" w:cs="Times New Roman"/>
          <w:sz w:val="20"/>
          <w:szCs w:val="20"/>
        </w:rPr>
      </w:pPr>
      <w:r w:rsidRPr="004F5154">
        <w:rPr>
          <w:rFonts w:ascii="Times New Roman" w:hAnsi="Times New Roman" w:cs="Times New Roman"/>
          <w:bCs/>
          <w:sz w:val="20"/>
          <w:szCs w:val="20"/>
          <w:vertAlign w:val="superscript"/>
        </w:rPr>
        <w:footnoteRef/>
      </w:r>
      <w:r w:rsidRPr="004F5154">
        <w:rPr>
          <w:rFonts w:ascii="Times New Roman" w:hAnsi="Times New Roman" w:cs="Times New Roman"/>
          <w:bCs/>
          <w:sz w:val="20"/>
          <w:szCs w:val="20"/>
        </w:rPr>
        <w:t xml:space="preserve"> Ibid.</w:t>
      </w:r>
    </w:p>
  </w:footnote>
  <w:footnote w:id="13">
    <w:p w14:paraId="206692EF"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 April 2014</w:t>
      </w:r>
      <w:r w:rsidRPr="004F5154">
        <w:rPr>
          <w:noProof w:val="0"/>
          <w:lang w:val="en-US" w:eastAsia="fr-FR"/>
        </w:rPr>
        <w:t>.</w:t>
      </w:r>
    </w:p>
  </w:footnote>
  <w:footnote w:id="14">
    <w:p w14:paraId="1A1FA1A2" w14:textId="37FF18B7" w:rsidR="00364177" w:rsidRPr="004F5154" w:rsidRDefault="00364177" w:rsidP="004F5154">
      <w:pPr>
        <w:pStyle w:val="NoSpacing"/>
        <w:rPr>
          <w:rFonts w:ascii="Times New Roman" w:hAnsi="Times New Roman" w:cs="Times New Roman"/>
          <w:bCs/>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 xml:space="preserve">Bertelsmann Foundation. 2014. </w:t>
      </w:r>
      <w:r w:rsidRPr="004F5154">
        <w:rPr>
          <w:rFonts w:ascii="Times New Roman" w:hAnsi="Times New Roman" w:cs="Times New Roman"/>
          <w:bCs/>
          <w:i/>
          <w:sz w:val="20"/>
          <w:szCs w:val="20"/>
        </w:rPr>
        <w:t>Serbia Country Report</w:t>
      </w:r>
      <w:r w:rsidRPr="004F5154">
        <w:rPr>
          <w:rFonts w:ascii="Times New Roman" w:hAnsi="Times New Roman" w:cs="Times New Roman"/>
          <w:bCs/>
          <w:sz w:val="20"/>
          <w:szCs w:val="20"/>
        </w:rPr>
        <w:t>. Bertelsmann Transformation Index.</w:t>
      </w:r>
    </w:p>
  </w:footnote>
  <w:footnote w:id="15">
    <w:p w14:paraId="4A889047" w14:textId="5063FD58"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PPO data.</w:t>
      </w:r>
    </w:p>
  </w:footnote>
  <w:footnote w:id="16">
    <w:p w14:paraId="7413D81E" w14:textId="06B464AF"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Most EU advertised tenders receive between 4 and 6 bids, with an average of 5.4 bids: EU Public Procurement Legislation: </w:t>
      </w:r>
      <w:r w:rsidRPr="004F5154">
        <w:rPr>
          <w:i/>
          <w:noProof w:val="0"/>
          <w:spacing w:val="-1"/>
          <w:lang w:val="en-US"/>
        </w:rPr>
        <w:t>Delivering</w:t>
      </w:r>
      <w:r w:rsidRPr="004F5154">
        <w:rPr>
          <w:i/>
          <w:noProof w:val="0"/>
          <w:spacing w:val="2"/>
          <w:lang w:val="en-US"/>
        </w:rPr>
        <w:t xml:space="preserve"> </w:t>
      </w:r>
      <w:r w:rsidRPr="004F5154">
        <w:rPr>
          <w:i/>
          <w:noProof w:val="0"/>
          <w:spacing w:val="-1"/>
          <w:lang w:val="en-US"/>
        </w:rPr>
        <w:t>Results</w:t>
      </w:r>
      <w:r w:rsidRPr="004F5154">
        <w:rPr>
          <w:i/>
          <w:noProof w:val="0"/>
          <w:spacing w:val="2"/>
          <w:lang w:val="en-US"/>
        </w:rPr>
        <w:t xml:space="preserve"> </w:t>
      </w:r>
      <w:r w:rsidRPr="004F5154">
        <w:rPr>
          <w:i/>
          <w:noProof w:val="0"/>
          <w:lang w:val="en-US"/>
        </w:rPr>
        <w:t>-</w:t>
      </w:r>
      <w:r w:rsidRPr="004F5154">
        <w:rPr>
          <w:i/>
          <w:noProof w:val="0"/>
          <w:spacing w:val="3"/>
          <w:lang w:val="en-US"/>
        </w:rPr>
        <w:t xml:space="preserve"> </w:t>
      </w:r>
      <w:r w:rsidRPr="004F5154">
        <w:rPr>
          <w:i/>
          <w:noProof w:val="0"/>
          <w:lang w:val="en-US"/>
        </w:rPr>
        <w:t>Summary</w:t>
      </w:r>
      <w:r w:rsidRPr="004F5154">
        <w:rPr>
          <w:i/>
          <w:noProof w:val="0"/>
          <w:spacing w:val="3"/>
          <w:lang w:val="en-US"/>
        </w:rPr>
        <w:t xml:space="preserve"> </w:t>
      </w:r>
      <w:r w:rsidRPr="004F5154">
        <w:rPr>
          <w:i/>
          <w:noProof w:val="0"/>
          <w:lang w:val="en-US"/>
        </w:rPr>
        <w:t>of</w:t>
      </w:r>
      <w:r w:rsidRPr="004F5154">
        <w:rPr>
          <w:i/>
          <w:noProof w:val="0"/>
          <w:spacing w:val="3"/>
          <w:lang w:val="en-US"/>
        </w:rPr>
        <w:t xml:space="preserve"> </w:t>
      </w:r>
      <w:r w:rsidRPr="004F5154">
        <w:rPr>
          <w:i/>
          <w:noProof w:val="0"/>
          <w:spacing w:val="-1"/>
          <w:lang w:val="en-US"/>
        </w:rPr>
        <w:t>Evaluation</w:t>
      </w:r>
      <w:r w:rsidRPr="004F5154">
        <w:rPr>
          <w:i/>
          <w:noProof w:val="0"/>
          <w:spacing w:val="1"/>
          <w:lang w:val="en-US"/>
        </w:rPr>
        <w:t xml:space="preserve"> </w:t>
      </w:r>
      <w:r w:rsidRPr="004F5154">
        <w:rPr>
          <w:i/>
          <w:noProof w:val="0"/>
          <w:spacing w:val="-1"/>
          <w:lang w:val="en-US"/>
        </w:rPr>
        <w:t>Report</w:t>
      </w:r>
      <w:r w:rsidRPr="004F5154">
        <w:rPr>
          <w:noProof w:val="0"/>
          <w:spacing w:val="-1"/>
          <w:lang w:val="en-US"/>
        </w:rPr>
        <w:t>,</w:t>
      </w:r>
      <w:r w:rsidRPr="004F5154">
        <w:rPr>
          <w:noProof w:val="0"/>
          <w:spacing w:val="3"/>
          <w:lang w:val="en-US"/>
        </w:rPr>
        <w:t xml:space="preserve"> </w:t>
      </w:r>
      <w:r w:rsidRPr="004F5154">
        <w:rPr>
          <w:noProof w:val="0"/>
          <w:spacing w:val="-1"/>
          <w:lang w:val="en-US"/>
        </w:rPr>
        <w:t>European</w:t>
      </w:r>
      <w:r w:rsidRPr="004F5154">
        <w:rPr>
          <w:noProof w:val="0"/>
          <w:spacing w:val="4"/>
          <w:lang w:val="en-US"/>
        </w:rPr>
        <w:t xml:space="preserve"> </w:t>
      </w:r>
      <w:r w:rsidRPr="004F5154">
        <w:rPr>
          <w:noProof w:val="0"/>
          <w:spacing w:val="-1"/>
          <w:lang w:val="en-US"/>
        </w:rPr>
        <w:t>Commission,</w:t>
      </w:r>
      <w:r w:rsidRPr="004F5154">
        <w:rPr>
          <w:noProof w:val="0"/>
          <w:spacing w:val="3"/>
          <w:lang w:val="en-US"/>
        </w:rPr>
        <w:t xml:space="preserve"> </w:t>
      </w:r>
      <w:r w:rsidRPr="004F5154">
        <w:rPr>
          <w:noProof w:val="0"/>
          <w:spacing w:val="-1"/>
          <w:lang w:val="en-US"/>
        </w:rPr>
        <w:t>Internal</w:t>
      </w:r>
      <w:r w:rsidRPr="004F5154">
        <w:rPr>
          <w:noProof w:val="0"/>
          <w:spacing w:val="2"/>
          <w:lang w:val="en-US"/>
        </w:rPr>
        <w:t xml:space="preserve"> </w:t>
      </w:r>
      <w:r w:rsidRPr="004F5154">
        <w:rPr>
          <w:noProof w:val="0"/>
          <w:lang w:val="en-US"/>
        </w:rPr>
        <w:t>Market</w:t>
      </w:r>
      <w:r w:rsidRPr="004F5154">
        <w:rPr>
          <w:noProof w:val="0"/>
          <w:spacing w:val="2"/>
          <w:lang w:val="en-US"/>
        </w:rPr>
        <w:t xml:space="preserve"> </w:t>
      </w:r>
      <w:r w:rsidRPr="004F5154">
        <w:rPr>
          <w:noProof w:val="0"/>
          <w:spacing w:val="-1"/>
          <w:lang w:val="en-US"/>
        </w:rPr>
        <w:t>and</w:t>
      </w:r>
      <w:r w:rsidRPr="004F5154">
        <w:rPr>
          <w:noProof w:val="0"/>
          <w:spacing w:val="1"/>
          <w:lang w:val="en-US"/>
        </w:rPr>
        <w:t xml:space="preserve"> </w:t>
      </w:r>
      <w:r w:rsidRPr="004F5154">
        <w:rPr>
          <w:noProof w:val="0"/>
          <w:spacing w:val="-1"/>
          <w:lang w:val="en-US"/>
        </w:rPr>
        <w:t>Services,</w:t>
      </w:r>
      <w:r w:rsidRPr="004F5154">
        <w:rPr>
          <w:noProof w:val="0"/>
          <w:spacing w:val="3"/>
          <w:lang w:val="en-US"/>
        </w:rPr>
        <w:t xml:space="preserve"> </w:t>
      </w:r>
      <w:r w:rsidRPr="004F5154">
        <w:rPr>
          <w:noProof w:val="0"/>
          <w:spacing w:val="-1"/>
          <w:lang w:val="en-US"/>
        </w:rPr>
        <w:t>p.</w:t>
      </w:r>
      <w:r w:rsidRPr="004F5154">
        <w:rPr>
          <w:noProof w:val="0"/>
          <w:spacing w:val="2"/>
          <w:lang w:val="en-US"/>
        </w:rPr>
        <w:t xml:space="preserve"> </w:t>
      </w:r>
      <w:r w:rsidRPr="004F5154">
        <w:rPr>
          <w:noProof w:val="0"/>
          <w:lang w:val="en-US"/>
        </w:rPr>
        <w:t xml:space="preserve">13. </w:t>
      </w:r>
      <w:hyperlink r:id="rId4">
        <w:r w:rsidRPr="004F5154">
          <w:rPr>
            <w:noProof w:val="0"/>
            <w:color w:val="0000FF"/>
            <w:spacing w:val="-1"/>
            <w:u w:val="single" w:color="0000FF"/>
            <w:lang w:val="en-US"/>
          </w:rPr>
          <w:t>http://ec.europa.eu/internal_market/publicprocurement/docs/modernising_rules/executive-summary_en.pdf.</w:t>
        </w:r>
      </w:hyperlink>
    </w:p>
  </w:footnote>
  <w:footnote w:id="17">
    <w:p w14:paraId="3856FF6B"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The PPO must decide whether to permit the requested procedure and respond to this effect within 10 days in cases of negotiated procedure without invitation to bid and within 15 days in cases of competitive dialogue. </w:t>
      </w:r>
    </w:p>
  </w:footnote>
  <w:footnote w:id="18">
    <w:p w14:paraId="7C9183E9"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w:t>
      </w:r>
      <w:r w:rsidRPr="004F5154">
        <w:rPr>
          <w:noProof w:val="0"/>
          <w:lang w:val="en-US" w:eastAsia="fr-FR"/>
        </w:rPr>
        <w:t xml:space="preserve">, </w:t>
      </w:r>
      <w:r w:rsidRPr="004F5154">
        <w:rPr>
          <w:i/>
          <w:noProof w:val="0"/>
          <w:lang w:val="en-US" w:eastAsia="fr-FR"/>
        </w:rPr>
        <w:t>October 2014</w:t>
      </w:r>
      <w:r w:rsidRPr="004F5154">
        <w:rPr>
          <w:noProof w:val="0"/>
          <w:lang w:val="en-US" w:eastAsia="fr-FR"/>
        </w:rPr>
        <w:t>.</w:t>
      </w:r>
    </w:p>
  </w:footnote>
  <w:footnote w:id="19">
    <w:p w14:paraId="757E6BE4" w14:textId="51873091"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PPO 2013 Annual Report, p. 9.</w:t>
      </w:r>
    </w:p>
  </w:footnote>
  <w:footnote w:id="20">
    <w:p w14:paraId="0DFDF98D" w14:textId="4A5EFDD9" w:rsidR="00364177" w:rsidRPr="004F5154" w:rsidRDefault="00364177" w:rsidP="004F5154">
      <w:pPr>
        <w:pStyle w:val="NoSpacing"/>
        <w:rPr>
          <w:rFonts w:ascii="Times New Roman" w:hAnsi="Times New Roman" w:cs="Times New Roman"/>
          <w:color w:val="000000" w:themeColor="text1"/>
          <w:spacing w:val="-2"/>
          <w:w w:val="103"/>
          <w:kern w:val="14"/>
          <w:sz w:val="20"/>
          <w:szCs w:val="20"/>
        </w:rPr>
      </w:pPr>
      <w:r w:rsidRPr="004F5154">
        <w:rPr>
          <w:rStyle w:val="FootnoteReference"/>
          <w:rFonts w:ascii="Times New Roman" w:hAnsi="Times New Roman" w:cs="Times New Roman"/>
          <w:color w:val="000000" w:themeColor="text1"/>
          <w:sz w:val="20"/>
          <w:szCs w:val="20"/>
        </w:rPr>
        <w:footnoteRef/>
      </w:r>
      <w:r w:rsidRPr="004F5154">
        <w:rPr>
          <w:rFonts w:ascii="Times New Roman" w:hAnsi="Times New Roman" w:cs="Times New Roman"/>
          <w:color w:val="000000" w:themeColor="text1"/>
          <w:sz w:val="20"/>
          <w:szCs w:val="20"/>
        </w:rPr>
        <w:t xml:space="preserve"> </w:t>
      </w:r>
      <w:r w:rsidRPr="004F5154">
        <w:rPr>
          <w:rFonts w:ascii="Times New Roman" w:eastAsia="Times New Roman" w:hAnsi="Times New Roman" w:cs="Times New Roman"/>
          <w:color w:val="000000" w:themeColor="text1"/>
          <w:sz w:val="20"/>
          <w:szCs w:val="20"/>
          <w:lang w:eastAsia="fr-FR"/>
        </w:rPr>
        <w:t>UNDP (</w:t>
      </w:r>
      <w:r w:rsidRPr="004F5154">
        <w:rPr>
          <w:rFonts w:ascii="Times New Roman" w:eastAsiaTheme="minorHAnsi" w:hAnsi="Times New Roman" w:cs="Times New Roman"/>
          <w:sz w:val="20"/>
          <w:szCs w:val="20"/>
        </w:rPr>
        <w:t>United Nations Development Programme)</w:t>
      </w:r>
      <w:r w:rsidRPr="004F5154">
        <w:rPr>
          <w:rFonts w:ascii="Times New Roman" w:eastAsia="Times New Roman" w:hAnsi="Times New Roman" w:cs="Times New Roman"/>
          <w:color w:val="000000" w:themeColor="text1"/>
          <w:sz w:val="20"/>
          <w:szCs w:val="20"/>
          <w:lang w:eastAsia="fr-FR"/>
        </w:rPr>
        <w:t xml:space="preserve">. </w:t>
      </w:r>
      <w:r w:rsidRPr="004F5154">
        <w:rPr>
          <w:rFonts w:ascii="Times New Roman" w:hAnsi="Times New Roman" w:cs="Times New Roman"/>
          <w:i/>
          <w:color w:val="000000" w:themeColor="text1"/>
          <w:spacing w:val="-2"/>
          <w:w w:val="103"/>
          <w:kern w:val="14"/>
          <w:sz w:val="20"/>
          <w:szCs w:val="20"/>
        </w:rPr>
        <w:t>Draft country programme document for Serbia (2016–2020)</w:t>
      </w:r>
      <w:r w:rsidRPr="004F5154">
        <w:rPr>
          <w:rFonts w:ascii="Times New Roman" w:hAnsi="Times New Roman" w:cs="Times New Roman"/>
          <w:color w:val="000000" w:themeColor="text1"/>
          <w:spacing w:val="-2"/>
          <w:w w:val="103"/>
          <w:kern w:val="14"/>
          <w:sz w:val="20"/>
          <w:szCs w:val="20"/>
        </w:rPr>
        <w:t xml:space="preserve">. June 2015. DP/DCP/SRB2. </w:t>
      </w:r>
    </w:p>
  </w:footnote>
  <w:footnote w:id="21">
    <w:p w14:paraId="635B431A"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w:t>
      </w:r>
      <w:r w:rsidRPr="004F5154">
        <w:rPr>
          <w:noProof w:val="0"/>
          <w:lang w:val="en-US" w:eastAsia="fr-FR"/>
        </w:rPr>
        <w:t xml:space="preserve">, </w:t>
      </w:r>
      <w:r w:rsidRPr="004F5154">
        <w:rPr>
          <w:i/>
          <w:noProof w:val="0"/>
          <w:lang w:val="en-US" w:eastAsia="fr-FR"/>
        </w:rPr>
        <w:t>October 2014</w:t>
      </w:r>
      <w:r w:rsidRPr="004F5154">
        <w:rPr>
          <w:noProof w:val="0"/>
          <w:lang w:val="en-US" w:eastAsia="fr-FR"/>
        </w:rPr>
        <w:t>.</w:t>
      </w:r>
    </w:p>
  </w:footnote>
  <w:footnote w:id="22">
    <w:p w14:paraId="3F2A3515" w14:textId="77777777" w:rsidR="00364177" w:rsidRPr="004F5154" w:rsidRDefault="00364177" w:rsidP="004F5154">
      <w:pPr>
        <w:pStyle w:val="NoSpacing"/>
        <w:rPr>
          <w:rFonts w:ascii="Times New Roman" w:hAnsi="Times New Roman" w:cs="Times New Roman"/>
          <w:bCs/>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 xml:space="preserve">World Bank. </w:t>
      </w:r>
      <w:r w:rsidRPr="004F5154">
        <w:rPr>
          <w:rFonts w:ascii="Times New Roman" w:hAnsi="Times New Roman" w:cs="Times New Roman"/>
          <w:bCs/>
          <w:i/>
          <w:sz w:val="20"/>
          <w:szCs w:val="20"/>
        </w:rPr>
        <w:t>Public Expenditure and Financial Accountability (PEFA) Performance Report Serbia, March 2015</w:t>
      </w:r>
      <w:r w:rsidRPr="004F5154">
        <w:rPr>
          <w:rFonts w:ascii="Times New Roman" w:hAnsi="Times New Roman" w:cs="Times New Roman"/>
          <w:bCs/>
          <w:sz w:val="20"/>
          <w:szCs w:val="20"/>
        </w:rPr>
        <w:t>.</w:t>
      </w:r>
    </w:p>
  </w:footnote>
  <w:footnote w:id="23">
    <w:p w14:paraId="51432B0A"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w:t>
      </w:r>
      <w:r w:rsidRPr="004F5154">
        <w:rPr>
          <w:noProof w:val="0"/>
          <w:lang w:val="en-US" w:eastAsia="fr-FR"/>
        </w:rPr>
        <w:t xml:space="preserve">, </w:t>
      </w:r>
      <w:r w:rsidRPr="004F5154">
        <w:rPr>
          <w:i/>
          <w:noProof w:val="0"/>
          <w:lang w:val="en-US" w:eastAsia="fr-FR"/>
        </w:rPr>
        <w:t>April 2014</w:t>
      </w:r>
      <w:r w:rsidRPr="004F5154">
        <w:rPr>
          <w:noProof w:val="0"/>
          <w:lang w:val="en-US" w:eastAsia="fr-FR"/>
        </w:rPr>
        <w:t>.</w:t>
      </w:r>
    </w:p>
  </w:footnote>
  <w:footnote w:id="24">
    <w:p w14:paraId="18D6F241" w14:textId="7CC5BC3E"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PPO 2013 Annual Report, table 3, p. 7.</w:t>
      </w:r>
    </w:p>
  </w:footnote>
  <w:footnote w:id="25">
    <w:p w14:paraId="0918765E" w14:textId="4F69556E"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Republic of Serbia. 2014. </w:t>
      </w:r>
      <w:r w:rsidRPr="004F5154">
        <w:rPr>
          <w:rFonts w:ascii="Times New Roman" w:hAnsi="Times New Roman" w:cs="Times New Roman"/>
          <w:i/>
          <w:sz w:val="20"/>
          <w:szCs w:val="20"/>
        </w:rPr>
        <w:t xml:space="preserve">Action Plan for Implementation of OGP Initiative in the Republic of Serbia for 2014 and 2015. </w:t>
      </w:r>
      <w:hyperlink r:id="rId5" w:history="1">
        <w:r w:rsidRPr="004F5154">
          <w:rPr>
            <w:rStyle w:val="Hyperlink"/>
            <w:rFonts w:ascii="Times New Roman" w:hAnsi="Times New Roman" w:cs="Times New Roman"/>
            <w:sz w:val="20"/>
            <w:szCs w:val="20"/>
          </w:rPr>
          <w:t>htp://www.opengovpartnership.org/country/serbia</w:t>
        </w:r>
      </w:hyperlink>
      <w:r w:rsidRPr="004F5154">
        <w:rPr>
          <w:rStyle w:val="Hyperlink"/>
          <w:rFonts w:ascii="Times New Roman" w:hAnsi="Times New Roman" w:cs="Times New Roman"/>
          <w:sz w:val="20"/>
          <w:szCs w:val="20"/>
        </w:rPr>
        <w:t>.</w:t>
      </w:r>
    </w:p>
  </w:footnote>
  <w:footnote w:id="26">
    <w:p w14:paraId="0A81A3F5"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 April 2014</w:t>
      </w:r>
      <w:r w:rsidRPr="004F5154">
        <w:rPr>
          <w:noProof w:val="0"/>
          <w:lang w:val="en-US" w:eastAsia="fr-FR"/>
        </w:rPr>
        <w:t>.</w:t>
      </w:r>
    </w:p>
  </w:footnote>
  <w:footnote w:id="27">
    <w:p w14:paraId="2A7B9D23" w14:textId="16FF3A06"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Public Procurement Development Strategy of the Republic of Serbia for the period 2014–2018.</w:t>
      </w:r>
    </w:p>
  </w:footnote>
  <w:footnote w:id="28">
    <w:p w14:paraId="634804DB" w14:textId="2AE0B3EE"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UNDP Article 2015, “</w:t>
      </w:r>
      <w:r w:rsidRPr="004F5154">
        <w:rPr>
          <w:rFonts w:ascii="Times New Roman" w:hAnsi="Times New Roman" w:cs="Times New Roman"/>
          <w:bCs/>
          <w:sz w:val="20"/>
          <w:szCs w:val="20"/>
        </w:rPr>
        <w:t>Strengthening the Serbian public procurement system.” (June).</w:t>
      </w:r>
    </w:p>
  </w:footnote>
  <w:footnote w:id="29">
    <w:p w14:paraId="5DD64F3E" w14:textId="77777777" w:rsidR="00364177" w:rsidRPr="004F5154" w:rsidRDefault="00364177" w:rsidP="004F5154">
      <w:pPr>
        <w:pStyle w:val="NoSpacing"/>
        <w:rPr>
          <w:rFonts w:ascii="Times New Roman" w:hAnsi="Times New Roman" w:cs="Times New Roman"/>
          <w:bCs/>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 xml:space="preserve">World Bank. </w:t>
      </w:r>
      <w:r w:rsidRPr="004F5154">
        <w:rPr>
          <w:rFonts w:ascii="Times New Roman" w:hAnsi="Times New Roman" w:cs="Times New Roman"/>
          <w:bCs/>
          <w:i/>
          <w:sz w:val="20"/>
          <w:szCs w:val="20"/>
        </w:rPr>
        <w:t>Public Expenditure and Financial Accountability (PEFA) Performance Report Serbia</w:t>
      </w:r>
      <w:r w:rsidRPr="004F5154">
        <w:rPr>
          <w:rFonts w:ascii="Times New Roman" w:hAnsi="Times New Roman" w:cs="Times New Roman"/>
          <w:bCs/>
          <w:sz w:val="20"/>
          <w:szCs w:val="20"/>
        </w:rPr>
        <w:t xml:space="preserve">, </w:t>
      </w:r>
      <w:r w:rsidRPr="004F5154">
        <w:rPr>
          <w:rFonts w:ascii="Times New Roman" w:hAnsi="Times New Roman" w:cs="Times New Roman"/>
          <w:bCs/>
          <w:i/>
          <w:sz w:val="20"/>
          <w:szCs w:val="20"/>
        </w:rPr>
        <w:t>March 2015</w:t>
      </w:r>
      <w:r w:rsidRPr="004F5154">
        <w:rPr>
          <w:rFonts w:ascii="Times New Roman" w:hAnsi="Times New Roman" w:cs="Times New Roman"/>
          <w:bCs/>
          <w:sz w:val="20"/>
          <w:szCs w:val="20"/>
        </w:rPr>
        <w:t>.</w:t>
      </w:r>
    </w:p>
  </w:footnote>
  <w:footnote w:id="30">
    <w:p w14:paraId="01AAD5B8" w14:textId="77777777" w:rsidR="00364177" w:rsidRPr="004F5154" w:rsidRDefault="00364177" w:rsidP="004F5154">
      <w:pPr>
        <w:pStyle w:val="NoSpacing"/>
        <w:rPr>
          <w:rFonts w:ascii="Times New Roman" w:hAnsi="Times New Roman" w:cs="Times New Roman"/>
          <w:bCs/>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r w:rsidRPr="004F5154">
        <w:rPr>
          <w:rFonts w:ascii="Times New Roman" w:hAnsi="Times New Roman" w:cs="Times New Roman"/>
          <w:bCs/>
          <w:sz w:val="20"/>
          <w:szCs w:val="20"/>
        </w:rPr>
        <w:t>Ibid.</w:t>
      </w:r>
    </w:p>
  </w:footnote>
  <w:footnote w:id="31">
    <w:p w14:paraId="11D59F4E"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w:t>
      </w:r>
      <w:r w:rsidRPr="004F5154">
        <w:rPr>
          <w:noProof w:val="0"/>
          <w:lang w:val="en-US" w:eastAsia="fr-FR"/>
        </w:rPr>
        <w:t xml:space="preserve">, </w:t>
      </w:r>
      <w:r w:rsidRPr="004F5154">
        <w:rPr>
          <w:i/>
          <w:noProof w:val="0"/>
          <w:lang w:val="en-US" w:eastAsia="fr-FR"/>
        </w:rPr>
        <w:t>April 2014</w:t>
      </w:r>
      <w:r w:rsidRPr="004F5154">
        <w:rPr>
          <w:noProof w:val="0"/>
          <w:lang w:val="en-US" w:eastAsia="fr-FR"/>
        </w:rPr>
        <w:t>.</w:t>
      </w:r>
    </w:p>
  </w:footnote>
  <w:footnote w:id="32">
    <w:p w14:paraId="4B4D344D" w14:textId="51E14AE9"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Reports by the Republic Commission for the periods April 1, 2013–June 30, 2013, p. 5 and July 1, 2013–December 31, 2013, p. 7.</w:t>
      </w:r>
    </w:p>
  </w:footnote>
  <w:footnote w:id="33">
    <w:p w14:paraId="6BDC4AF5" w14:textId="0684F11D"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Reports by the Republic Commission for the periods April 1, 2013–June 30, 2013, p. 93 and July 1, 2013–December 31, 2013, p. 238.</w:t>
      </w:r>
    </w:p>
  </w:footnote>
  <w:footnote w:id="34">
    <w:p w14:paraId="7D3482CD" w14:textId="39FB5995"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Reports by the Republic Commission for the periods April 1, 2013–June 30, 2013, p. 108 and July 1, 2013–December 31, 2013, p. 261.</w:t>
      </w:r>
    </w:p>
  </w:footnote>
  <w:footnote w:id="35">
    <w:p w14:paraId="628ADE98"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w:t>
      </w:r>
      <w:r w:rsidRPr="004F5154">
        <w:rPr>
          <w:noProof w:val="0"/>
          <w:lang w:val="en-US" w:eastAsia="fr-FR"/>
        </w:rPr>
        <w:t xml:space="preserve">, </w:t>
      </w:r>
      <w:r w:rsidRPr="004F5154">
        <w:rPr>
          <w:i/>
          <w:noProof w:val="0"/>
          <w:lang w:val="en-US" w:eastAsia="fr-FR"/>
        </w:rPr>
        <w:t>October 2014</w:t>
      </w:r>
      <w:r w:rsidRPr="004F5154">
        <w:rPr>
          <w:noProof w:val="0"/>
          <w:lang w:val="en-US" w:eastAsia="fr-FR"/>
        </w:rPr>
        <w:t>.</w:t>
      </w:r>
    </w:p>
  </w:footnote>
  <w:footnote w:id="36">
    <w:p w14:paraId="048A4B42" w14:textId="7AA87361"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January 1, 2014–June 30, 2014, p. 7.</w:t>
      </w:r>
    </w:p>
  </w:footnote>
  <w:footnote w:id="37">
    <w:p w14:paraId="4875D4E1" w14:textId="46362003"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January 1, 2014–June 30, 2014, 252–255.</w:t>
      </w:r>
    </w:p>
  </w:footnote>
  <w:footnote w:id="38">
    <w:p w14:paraId="6B749487" w14:textId="2576DA33"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January 1, 2014–June 30, 2014, p. 291.</w:t>
      </w:r>
    </w:p>
  </w:footnote>
  <w:footnote w:id="39">
    <w:p w14:paraId="7272E23F"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Ibid.</w:t>
      </w:r>
    </w:p>
  </w:footnote>
  <w:footnote w:id="40">
    <w:p w14:paraId="3C5E779C" w14:textId="5B9DAF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July 1, 2013–December 31, 2013, p. 265.</w:t>
      </w:r>
    </w:p>
  </w:footnote>
  <w:footnote w:id="41">
    <w:p w14:paraId="0F1F64BB" w14:textId="4B61595F"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January 1, 2014–June 30, 2013, p. 293.</w:t>
      </w:r>
    </w:p>
  </w:footnote>
  <w:footnote w:id="42">
    <w:p w14:paraId="4268113B" w14:textId="54F6213A"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Reports by the Republic Commission for the periods April 1, 2013–June 30, 2013, p. 107 and July 1, 2013–December 31, 2013, p. 261.</w:t>
      </w:r>
    </w:p>
  </w:footnote>
  <w:footnote w:id="43">
    <w:p w14:paraId="2D69E039" w14:textId="01657F72"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Report by the Republic Commission for the period January 1, 2014–June 30, 2014, p. 288.</w:t>
      </w:r>
    </w:p>
  </w:footnote>
  <w:footnote w:id="44">
    <w:p w14:paraId="51CBB1BD"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w:t>
      </w:r>
      <w:r w:rsidRPr="004F5154">
        <w:rPr>
          <w:noProof w:val="0"/>
          <w:lang w:val="en-US" w:eastAsia="fr-FR"/>
        </w:rPr>
        <w:t xml:space="preserve">, </w:t>
      </w:r>
      <w:r w:rsidRPr="004F5154">
        <w:rPr>
          <w:i/>
          <w:noProof w:val="0"/>
          <w:lang w:val="en-US" w:eastAsia="fr-FR"/>
        </w:rPr>
        <w:t>October 2014</w:t>
      </w:r>
      <w:r w:rsidRPr="004F5154">
        <w:rPr>
          <w:noProof w:val="0"/>
          <w:lang w:val="en-US" w:eastAsia="fr-FR"/>
        </w:rPr>
        <w:t>.</w:t>
      </w:r>
    </w:p>
  </w:footnote>
  <w:footnote w:id="45">
    <w:p w14:paraId="0E6E80FF" w14:textId="77777777" w:rsidR="00364177" w:rsidRPr="004F5154" w:rsidRDefault="00364177" w:rsidP="004F5154">
      <w:pPr>
        <w:spacing w:after="0"/>
        <w:rPr>
          <w:rFonts w:ascii="Times New Roman" w:hAnsi="Times New Roman"/>
          <w:noProof w:val="0"/>
          <w:sz w:val="20"/>
          <w:szCs w:val="20"/>
        </w:rPr>
      </w:pPr>
      <w:r w:rsidRPr="004F5154">
        <w:rPr>
          <w:rStyle w:val="FootnoteReference"/>
          <w:rFonts w:ascii="Times New Roman" w:hAnsi="Times New Roman"/>
          <w:noProof w:val="0"/>
          <w:sz w:val="20"/>
          <w:szCs w:val="20"/>
        </w:rPr>
        <w:footnoteRef/>
      </w:r>
      <w:r w:rsidRPr="004F5154">
        <w:rPr>
          <w:rFonts w:ascii="Times New Roman" w:hAnsi="Times New Roman"/>
          <w:noProof w:val="0"/>
          <w:sz w:val="20"/>
          <w:szCs w:val="20"/>
        </w:rPr>
        <w:t xml:space="preserve"> http://www.worldbank.org/content/dam/Worldbank/document/eca/georgia/11-procurement/Serbia_ENG.pdf.</w:t>
      </w:r>
    </w:p>
  </w:footnote>
  <w:footnote w:id="46">
    <w:p w14:paraId="4057683D" w14:textId="77777777" w:rsidR="00364177" w:rsidRPr="004F5154" w:rsidRDefault="00364177" w:rsidP="004F5154">
      <w:pPr>
        <w:pStyle w:val="FootnoteText"/>
        <w:spacing w:after="0"/>
        <w:rPr>
          <w:lang w:val="en-US"/>
        </w:rPr>
      </w:pPr>
      <w:r w:rsidRPr="004F5154">
        <w:rPr>
          <w:rStyle w:val="FootnoteReference"/>
        </w:rPr>
        <w:footnoteRef/>
      </w:r>
      <w:r w:rsidRPr="004F5154">
        <w:t xml:space="preserve"> Data obtained from the PPO.</w:t>
      </w:r>
    </w:p>
  </w:footnote>
  <w:footnote w:id="47">
    <w:p w14:paraId="7446CF70" w14:textId="77777777" w:rsidR="00364177" w:rsidRPr="004F5154" w:rsidRDefault="00364177" w:rsidP="004F5154">
      <w:pPr>
        <w:spacing w:after="0"/>
        <w:rPr>
          <w:rFonts w:ascii="Times New Roman" w:hAnsi="Times New Roman"/>
          <w:noProof w:val="0"/>
          <w:sz w:val="20"/>
          <w:szCs w:val="20"/>
        </w:rPr>
      </w:pPr>
      <w:r w:rsidRPr="004F5154">
        <w:rPr>
          <w:rStyle w:val="FootnoteReference"/>
          <w:rFonts w:ascii="Times New Roman" w:hAnsi="Times New Roman"/>
          <w:noProof w:val="0"/>
          <w:sz w:val="20"/>
          <w:szCs w:val="20"/>
        </w:rPr>
        <w:footnoteRef/>
      </w:r>
      <w:r w:rsidRPr="004F5154">
        <w:rPr>
          <w:rFonts w:ascii="Times New Roman" w:hAnsi="Times New Roman"/>
          <w:noProof w:val="0"/>
          <w:sz w:val="20"/>
          <w:szCs w:val="20"/>
        </w:rPr>
        <w:t xml:space="preserve"> http://www.worldbank.org/content/dam/Worldbank/document/eca/georgia/11-procurement/Serbia_ENG.pdf.</w:t>
      </w:r>
    </w:p>
  </w:footnote>
  <w:footnote w:id="48">
    <w:p w14:paraId="5B90EF60"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 October 2014</w:t>
      </w:r>
      <w:r w:rsidRPr="004F5154">
        <w:rPr>
          <w:noProof w:val="0"/>
          <w:lang w:val="en-US" w:eastAsia="fr-FR"/>
        </w:rPr>
        <w:t>.</w:t>
      </w:r>
    </w:p>
  </w:footnote>
  <w:footnote w:id="49">
    <w:p w14:paraId="623C2118" w14:textId="693F593A"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UNDP Article 2015, "</w:t>
      </w:r>
      <w:r w:rsidRPr="004F5154">
        <w:rPr>
          <w:rFonts w:ascii="Times New Roman" w:hAnsi="Times New Roman" w:cs="Times New Roman"/>
          <w:bCs/>
          <w:sz w:val="20"/>
          <w:szCs w:val="20"/>
        </w:rPr>
        <w:t>Strengthening the Serbian Public Procurement System." (June).</w:t>
      </w:r>
    </w:p>
  </w:footnote>
  <w:footnote w:id="50">
    <w:p w14:paraId="37CE9326"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Ibid</w:t>
      </w:r>
      <w:r w:rsidRPr="004F5154">
        <w:rPr>
          <w:rFonts w:ascii="Times New Roman" w:hAnsi="Times New Roman" w:cs="Times New Roman"/>
          <w:bCs/>
          <w:sz w:val="20"/>
          <w:szCs w:val="20"/>
        </w:rPr>
        <w:t>.</w:t>
      </w:r>
    </w:p>
  </w:footnote>
  <w:footnote w:id="51">
    <w:p w14:paraId="0AEFF532"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OECD-EU </w:t>
      </w:r>
      <w:r w:rsidRPr="004F5154">
        <w:rPr>
          <w:noProof w:val="0"/>
          <w:lang w:val="en-US" w:eastAsia="fr-FR"/>
        </w:rPr>
        <w:t xml:space="preserve">SIGMA. </w:t>
      </w:r>
      <w:r w:rsidRPr="004F5154">
        <w:rPr>
          <w:i/>
          <w:noProof w:val="0"/>
          <w:lang w:val="en-US" w:eastAsia="fr-FR"/>
        </w:rPr>
        <w:t>Public Administration Reform Assessment of Serbia</w:t>
      </w:r>
      <w:r w:rsidRPr="004F5154">
        <w:rPr>
          <w:noProof w:val="0"/>
          <w:lang w:val="en-US" w:eastAsia="fr-FR"/>
        </w:rPr>
        <w:t>, April 2014.</w:t>
      </w:r>
    </w:p>
  </w:footnote>
  <w:footnote w:id="52">
    <w:p w14:paraId="329E3138"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Ibid.</w:t>
      </w:r>
    </w:p>
  </w:footnote>
  <w:footnote w:id="53">
    <w:p w14:paraId="79D2F1B4"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bCs/>
          <w:noProof w:val="0"/>
          <w:lang w:val="en-US"/>
        </w:rPr>
        <w:t xml:space="preserve">World Bank. </w:t>
      </w:r>
      <w:r w:rsidRPr="004F5154">
        <w:rPr>
          <w:bCs/>
          <w:i/>
          <w:noProof w:val="0"/>
          <w:lang w:val="en-US"/>
        </w:rPr>
        <w:t>Public Expenditure and Financial Accountability (PEFA) Performance Report Serbia</w:t>
      </w:r>
      <w:r w:rsidRPr="004F5154">
        <w:rPr>
          <w:bCs/>
          <w:noProof w:val="0"/>
          <w:lang w:val="en-US"/>
        </w:rPr>
        <w:t>, March 2015.</w:t>
      </w:r>
    </w:p>
  </w:footnote>
  <w:footnote w:id="54">
    <w:p w14:paraId="2C8F87B8" w14:textId="77777777" w:rsidR="00364177" w:rsidRPr="004F5154" w:rsidRDefault="00364177" w:rsidP="004F5154">
      <w:pPr>
        <w:pStyle w:val="FootnoteText"/>
        <w:spacing w:after="0"/>
        <w:rPr>
          <w:noProof w:val="0"/>
          <w:lang w:val="en-US"/>
        </w:rPr>
      </w:pPr>
      <w:r w:rsidRPr="004F5154">
        <w:rPr>
          <w:rStyle w:val="FootnoteReference"/>
          <w:rFonts w:eastAsia="MS Mincho"/>
          <w:noProof w:val="0"/>
          <w:lang w:val="en-US"/>
        </w:rPr>
        <w:footnoteRef/>
      </w:r>
      <w:r w:rsidRPr="004F5154">
        <w:rPr>
          <w:noProof w:val="0"/>
          <w:lang w:val="en-US"/>
        </w:rPr>
        <w:t xml:space="preserve"> </w:t>
      </w:r>
      <w:r w:rsidRPr="004F5154">
        <w:rPr>
          <w:noProof w:val="0"/>
          <w:lang w:val="en-US" w:eastAsia="fr-FR"/>
        </w:rPr>
        <w:t xml:space="preserve">European Commission. </w:t>
      </w:r>
      <w:r w:rsidRPr="004F5154">
        <w:rPr>
          <w:i/>
          <w:noProof w:val="0"/>
          <w:lang w:val="en-US" w:eastAsia="fr-FR"/>
        </w:rPr>
        <w:t>Serbia Progress Report, October 2014</w:t>
      </w:r>
      <w:r w:rsidRPr="004F5154">
        <w:rPr>
          <w:noProof w:val="0"/>
          <w:lang w:val="en-US" w:eastAsia="fr-FR"/>
        </w:rPr>
        <w:t>.</w:t>
      </w:r>
    </w:p>
  </w:footnote>
  <w:footnote w:id="55">
    <w:p w14:paraId="1956651A"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OECD-EU </w:t>
      </w:r>
      <w:r w:rsidRPr="004F5154">
        <w:rPr>
          <w:rFonts w:ascii="Times New Roman" w:eastAsia="Times New Roman" w:hAnsi="Times New Roman" w:cs="Times New Roman"/>
          <w:sz w:val="20"/>
          <w:szCs w:val="20"/>
          <w:lang w:eastAsia="fr-FR"/>
        </w:rPr>
        <w:t xml:space="preserve">SIGMA. </w:t>
      </w:r>
      <w:r w:rsidRPr="004F5154">
        <w:rPr>
          <w:rFonts w:ascii="Times New Roman" w:eastAsia="Times New Roman" w:hAnsi="Times New Roman" w:cs="Times New Roman"/>
          <w:i/>
          <w:sz w:val="20"/>
          <w:szCs w:val="20"/>
          <w:lang w:eastAsia="fr-FR"/>
        </w:rPr>
        <w:t>Public Administration Reform Assessment of Serbia, April 2014</w:t>
      </w:r>
      <w:r w:rsidRPr="004F5154">
        <w:rPr>
          <w:rFonts w:ascii="Times New Roman" w:eastAsia="Times New Roman" w:hAnsi="Times New Roman" w:cs="Times New Roman"/>
          <w:sz w:val="20"/>
          <w:szCs w:val="20"/>
          <w:lang w:eastAsia="fr-FR"/>
        </w:rPr>
        <w:t>.</w:t>
      </w:r>
    </w:p>
  </w:footnote>
  <w:footnote w:id="56">
    <w:p w14:paraId="22716652" w14:textId="784EC17F"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OECD-EU </w:t>
      </w:r>
      <w:r w:rsidRPr="004F5154">
        <w:rPr>
          <w:rFonts w:ascii="Times New Roman" w:eastAsia="Times New Roman" w:hAnsi="Times New Roman" w:cs="Times New Roman"/>
          <w:sz w:val="20"/>
          <w:szCs w:val="20"/>
          <w:lang w:eastAsia="fr-FR"/>
        </w:rPr>
        <w:t xml:space="preserve">SIGMA. </w:t>
      </w:r>
      <w:r w:rsidRPr="004F5154">
        <w:rPr>
          <w:rFonts w:ascii="Times New Roman" w:eastAsia="Times New Roman" w:hAnsi="Times New Roman" w:cs="Times New Roman"/>
          <w:i/>
          <w:sz w:val="20"/>
          <w:szCs w:val="20"/>
          <w:lang w:eastAsia="fr-FR"/>
        </w:rPr>
        <w:t>Public Administration Reform Assessment of Serbia</w:t>
      </w:r>
      <w:r w:rsidRPr="004F5154">
        <w:rPr>
          <w:rFonts w:ascii="Times New Roman" w:eastAsia="Times New Roman" w:hAnsi="Times New Roman" w:cs="Times New Roman"/>
          <w:sz w:val="20"/>
          <w:szCs w:val="20"/>
          <w:lang w:eastAsia="fr-FR"/>
        </w:rPr>
        <w:t>, April 2014</w:t>
      </w:r>
      <w:r w:rsidRPr="004F5154">
        <w:rPr>
          <w:rFonts w:ascii="Times New Roman" w:hAnsi="Times New Roman" w:cs="Times New Roman"/>
          <w:sz w:val="20"/>
          <w:szCs w:val="20"/>
        </w:rPr>
        <w:t>, 26–27.</w:t>
      </w:r>
    </w:p>
  </w:footnote>
  <w:footnote w:id="57">
    <w:p w14:paraId="736F2364" w14:textId="77777777" w:rsidR="00364177" w:rsidRPr="004F5154" w:rsidRDefault="00364177" w:rsidP="004F5154">
      <w:pPr>
        <w:pStyle w:val="NoSpacing"/>
        <w:rPr>
          <w:rFonts w:ascii="Times New Roman" w:hAnsi="Times New Roman" w:cs="Times New Roman"/>
          <w:sz w:val="20"/>
          <w:szCs w:val="20"/>
        </w:rPr>
      </w:pPr>
      <w:r w:rsidRPr="004F5154">
        <w:rPr>
          <w:rStyle w:val="FootnoteReference"/>
          <w:rFonts w:ascii="Times New Roman" w:hAnsi="Times New Roman" w:cs="Times New Roman"/>
          <w:sz w:val="20"/>
          <w:szCs w:val="20"/>
        </w:rPr>
        <w:footnoteRef/>
      </w:r>
      <w:r w:rsidRPr="004F5154">
        <w:rPr>
          <w:rFonts w:ascii="Times New Roman" w:hAnsi="Times New Roman" w:cs="Times New Roman"/>
          <w:sz w:val="20"/>
          <w:szCs w:val="20"/>
        </w:rPr>
        <w:t xml:space="preserve"> </w:t>
      </w:r>
      <w:hyperlink r:id="rId6" w:history="1">
        <w:r w:rsidRPr="004F5154">
          <w:rPr>
            <w:rStyle w:val="Hyperlink"/>
            <w:rFonts w:ascii="Times New Roman" w:hAnsi="Times New Roman" w:cs="Times New Roman"/>
            <w:sz w:val="20"/>
            <w:szCs w:val="20"/>
          </w:rPr>
          <w:t>http://www.lexology.com/library/detail.aspx?g=f188efa0-0f2b-4324-b299-9ce1e2b97369</w:t>
        </w:r>
      </w:hyperlink>
      <w:r w:rsidRPr="004F5154">
        <w:rPr>
          <w:rStyle w:val="Hyperlink"/>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499237"/>
      <w:docPartObj>
        <w:docPartGallery w:val="Watermarks"/>
        <w:docPartUnique/>
      </w:docPartObj>
    </w:sdtPr>
    <w:sdtContent>
      <w:p w14:paraId="345C4A95" w14:textId="77777777" w:rsidR="00364177" w:rsidRDefault="00364177">
        <w:pPr>
          <w:pStyle w:val="Header"/>
        </w:pPr>
        <w:r>
          <w:pict w14:anchorId="3626F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0B77" w14:textId="77777777" w:rsidR="00364177" w:rsidRDefault="00364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19A"/>
    <w:multiLevelType w:val="hybridMultilevel"/>
    <w:tmpl w:val="280A7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90643D"/>
    <w:multiLevelType w:val="hybridMultilevel"/>
    <w:tmpl w:val="89E8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070B"/>
    <w:multiLevelType w:val="hybridMultilevel"/>
    <w:tmpl w:val="DE527B94"/>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E4ADA"/>
    <w:multiLevelType w:val="hybridMultilevel"/>
    <w:tmpl w:val="87F6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47CF"/>
    <w:multiLevelType w:val="hybridMultilevel"/>
    <w:tmpl w:val="BD5277A2"/>
    <w:lvl w:ilvl="0" w:tplc="ECDEA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4324"/>
    <w:multiLevelType w:val="multilevel"/>
    <w:tmpl w:val="1C5A2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B13516"/>
    <w:multiLevelType w:val="hybridMultilevel"/>
    <w:tmpl w:val="9B3C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10B86"/>
    <w:multiLevelType w:val="hybridMultilevel"/>
    <w:tmpl w:val="DCA66388"/>
    <w:lvl w:ilvl="0" w:tplc="B3FC493E">
      <w:start w:val="1"/>
      <w:numFmt w:val="decimal"/>
      <w:pStyle w:val="wbparabodytext"/>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7134"/>
    <w:multiLevelType w:val="hybridMultilevel"/>
    <w:tmpl w:val="72EADAA6"/>
    <w:lvl w:ilvl="0" w:tplc="8BACA6D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00816F1"/>
    <w:multiLevelType w:val="hybridMultilevel"/>
    <w:tmpl w:val="98EAD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A6108B"/>
    <w:multiLevelType w:val="hybridMultilevel"/>
    <w:tmpl w:val="B06E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203F"/>
    <w:multiLevelType w:val="hybridMultilevel"/>
    <w:tmpl w:val="6668FEEC"/>
    <w:lvl w:ilvl="0" w:tplc="909E81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73B3594"/>
    <w:multiLevelType w:val="hybridMultilevel"/>
    <w:tmpl w:val="55DAF8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5456EDE4">
      <w:start w:val="1"/>
      <w:numFmt w:val="upperRoman"/>
      <w:lvlText w:val="%4)"/>
      <w:lvlJc w:val="left"/>
      <w:pPr>
        <w:ind w:left="3960" w:hanging="720"/>
      </w:pPr>
      <w:rPr>
        <w:rFonts w:hint="default"/>
      </w:rPr>
    </w:lvl>
    <w:lvl w:ilvl="4" w:tplc="5FA0FB90">
      <w:start w:val="1"/>
      <w:numFmt w:val="decimal"/>
      <w:lvlText w:val="%5."/>
      <w:lvlJc w:val="left"/>
      <w:pPr>
        <w:ind w:left="4320" w:hanging="360"/>
      </w:pPr>
      <w:rPr>
        <w:rFonts w:ascii="Times New Roman" w:hAnsi="Times New Roman" w:cs="Times New Roman" w:hint="default"/>
        <w:b/>
        <w:i w:val="0"/>
        <w:color w:val="auto"/>
        <w:sz w:val="24"/>
        <w:szCs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9C01E8"/>
    <w:multiLevelType w:val="multilevel"/>
    <w:tmpl w:val="B4D0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A4F21"/>
    <w:multiLevelType w:val="multilevel"/>
    <w:tmpl w:val="CCF0D006"/>
    <w:lvl w:ilvl="0">
      <w:start w:val="1"/>
      <w:numFmt w:val="upperRoman"/>
      <w:pStyle w:val="Heading1"/>
      <w:lvlText w:val="%1."/>
      <w:lvlJc w:val="left"/>
      <w:pPr>
        <w:ind w:left="2412" w:hanging="522"/>
      </w:pPr>
      <w:rPr>
        <w:rFonts w:hint="default"/>
        <w:b/>
      </w:rPr>
    </w:lvl>
    <w:lvl w:ilvl="1">
      <w:start w:val="1"/>
      <w:numFmt w:val="upperLetter"/>
      <w:pStyle w:val="Heading2"/>
      <w:lvlText w:val="%2."/>
      <w:lvlJc w:val="left"/>
      <w:pPr>
        <w:ind w:left="576" w:hanging="576"/>
      </w:pPr>
      <w:rPr>
        <w:rFonts w:hint="default"/>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8EA39D7"/>
    <w:multiLevelType w:val="hybridMultilevel"/>
    <w:tmpl w:val="F7B8DF38"/>
    <w:lvl w:ilvl="0" w:tplc="9C946D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F74DC"/>
    <w:multiLevelType w:val="hybridMultilevel"/>
    <w:tmpl w:val="CB342D1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C57"/>
    <w:multiLevelType w:val="hybridMultilevel"/>
    <w:tmpl w:val="18DAB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039B"/>
    <w:multiLevelType w:val="hybridMultilevel"/>
    <w:tmpl w:val="966EA296"/>
    <w:lvl w:ilvl="0" w:tplc="0409001B">
      <w:start w:val="1"/>
      <w:numFmt w:val="lowerRoman"/>
      <w:lvlText w:val="%1."/>
      <w:lvlJc w:val="right"/>
      <w:pPr>
        <w:ind w:left="720" w:hanging="360"/>
      </w:pPr>
    </w:lvl>
    <w:lvl w:ilvl="1" w:tplc="88ACCAD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D0C75"/>
    <w:multiLevelType w:val="hybridMultilevel"/>
    <w:tmpl w:val="1368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601F"/>
    <w:multiLevelType w:val="hybridMultilevel"/>
    <w:tmpl w:val="BD5277A2"/>
    <w:lvl w:ilvl="0" w:tplc="ECDEA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366D1"/>
    <w:multiLevelType w:val="hybridMultilevel"/>
    <w:tmpl w:val="3E98D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91F71"/>
    <w:multiLevelType w:val="hybridMultilevel"/>
    <w:tmpl w:val="700C0EB4"/>
    <w:lvl w:ilvl="0" w:tplc="88ACCAD8">
      <w:start w:val="1"/>
      <w:numFmt w:val="lowerLetter"/>
      <w:lvlText w:val="(%1)"/>
      <w:lvlJc w:val="left"/>
      <w:pPr>
        <w:ind w:left="1080" w:hanging="720"/>
      </w:pPr>
      <w:rPr>
        <w:rFonts w:hint="default"/>
        <w:i w:val="0"/>
      </w:rPr>
    </w:lvl>
    <w:lvl w:ilvl="1" w:tplc="4F6C37E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E1864"/>
    <w:multiLevelType w:val="hybridMultilevel"/>
    <w:tmpl w:val="EB12913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5017A"/>
    <w:multiLevelType w:val="hybridMultilevel"/>
    <w:tmpl w:val="2758D7D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F6B2E"/>
    <w:multiLevelType w:val="hybridMultilevel"/>
    <w:tmpl w:val="0E10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50180"/>
    <w:multiLevelType w:val="hybridMultilevel"/>
    <w:tmpl w:val="4F1A2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900BC"/>
    <w:multiLevelType w:val="hybridMultilevel"/>
    <w:tmpl w:val="B63E0BCE"/>
    <w:lvl w:ilvl="0" w:tplc="577A6112">
      <w:start w:val="1"/>
      <w:numFmt w:val="decimal"/>
      <w:lvlText w:val="%1."/>
      <w:lvlJc w:val="left"/>
      <w:pPr>
        <w:ind w:left="144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21F09"/>
    <w:multiLevelType w:val="hybridMultilevel"/>
    <w:tmpl w:val="C792D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C4C95"/>
    <w:multiLevelType w:val="hybridMultilevel"/>
    <w:tmpl w:val="74FC871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C5B5A"/>
    <w:multiLevelType w:val="hybridMultilevel"/>
    <w:tmpl w:val="8932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3"/>
  </w:num>
  <w:num w:numId="5">
    <w:abstractNumId w:val="11"/>
  </w:num>
  <w:num w:numId="6">
    <w:abstractNumId w:val="26"/>
  </w:num>
  <w:num w:numId="7">
    <w:abstractNumId w:val="9"/>
  </w:num>
  <w:num w:numId="8">
    <w:abstractNumId w:val="6"/>
  </w:num>
  <w:num w:numId="9">
    <w:abstractNumId w:val="27"/>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5"/>
  </w:num>
  <w:num w:numId="14">
    <w:abstractNumId w:val="21"/>
  </w:num>
  <w:num w:numId="15">
    <w:abstractNumId w:val="3"/>
  </w:num>
  <w:num w:numId="16">
    <w:abstractNumId w:val="10"/>
  </w:num>
  <w:num w:numId="17">
    <w:abstractNumId w:val="29"/>
  </w:num>
  <w:num w:numId="18">
    <w:abstractNumId w:val="2"/>
  </w:num>
  <w:num w:numId="19">
    <w:abstractNumId w:val="17"/>
  </w:num>
  <w:num w:numId="20">
    <w:abstractNumId w:val="28"/>
  </w:num>
  <w:num w:numId="21">
    <w:abstractNumId w:val="20"/>
  </w:num>
  <w:num w:numId="22">
    <w:abstractNumId w:val="23"/>
  </w:num>
  <w:num w:numId="23">
    <w:abstractNumId w:val="16"/>
  </w:num>
  <w:num w:numId="24">
    <w:abstractNumId w:val="5"/>
  </w:num>
  <w:num w:numId="25">
    <w:abstractNumId w:val="0"/>
  </w:num>
  <w:num w:numId="26">
    <w:abstractNumId w:val="30"/>
  </w:num>
  <w:num w:numId="27">
    <w:abstractNumId w:val="12"/>
  </w:num>
  <w:num w:numId="28">
    <w:abstractNumId w:val="18"/>
  </w:num>
  <w:num w:numId="29">
    <w:abstractNumId w:val="19"/>
  </w:num>
  <w:num w:numId="30">
    <w:abstractNumId w:val="14"/>
  </w:num>
  <w:num w:numId="31">
    <w:abstractNumId w:val="14"/>
  </w:num>
  <w:num w:numId="32">
    <w:abstractNumId w:val="14"/>
  </w:num>
  <w:num w:numId="33">
    <w:abstractNumId w:val="14"/>
  </w:num>
  <w:num w:numId="34">
    <w:abstractNumId w:val="14"/>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4F"/>
    <w:rsid w:val="00000FB8"/>
    <w:rsid w:val="000016BA"/>
    <w:rsid w:val="000022EE"/>
    <w:rsid w:val="000031B4"/>
    <w:rsid w:val="00004472"/>
    <w:rsid w:val="00005D7A"/>
    <w:rsid w:val="000065D9"/>
    <w:rsid w:val="00006EC6"/>
    <w:rsid w:val="00010C3C"/>
    <w:rsid w:val="000110CC"/>
    <w:rsid w:val="00011D29"/>
    <w:rsid w:val="000122F2"/>
    <w:rsid w:val="0001275A"/>
    <w:rsid w:val="00012786"/>
    <w:rsid w:val="00012D0E"/>
    <w:rsid w:val="000142D5"/>
    <w:rsid w:val="00014DBD"/>
    <w:rsid w:val="00017218"/>
    <w:rsid w:val="00022A39"/>
    <w:rsid w:val="00024B73"/>
    <w:rsid w:val="00025A4E"/>
    <w:rsid w:val="00026BA0"/>
    <w:rsid w:val="00026EF5"/>
    <w:rsid w:val="00027BA5"/>
    <w:rsid w:val="00030635"/>
    <w:rsid w:val="00034A09"/>
    <w:rsid w:val="00034F2C"/>
    <w:rsid w:val="0003519C"/>
    <w:rsid w:val="00037326"/>
    <w:rsid w:val="000400DF"/>
    <w:rsid w:val="00041336"/>
    <w:rsid w:val="0004262F"/>
    <w:rsid w:val="00044741"/>
    <w:rsid w:val="000452CB"/>
    <w:rsid w:val="00045542"/>
    <w:rsid w:val="00045757"/>
    <w:rsid w:val="000467ED"/>
    <w:rsid w:val="00047FBD"/>
    <w:rsid w:val="000502E1"/>
    <w:rsid w:val="0005066A"/>
    <w:rsid w:val="000512A4"/>
    <w:rsid w:val="00052B91"/>
    <w:rsid w:val="00055E9E"/>
    <w:rsid w:val="00056AB2"/>
    <w:rsid w:val="000574E4"/>
    <w:rsid w:val="000600B6"/>
    <w:rsid w:val="000634F2"/>
    <w:rsid w:val="000649BD"/>
    <w:rsid w:val="00064BA8"/>
    <w:rsid w:val="00067500"/>
    <w:rsid w:val="0006756D"/>
    <w:rsid w:val="000703E1"/>
    <w:rsid w:val="00070C71"/>
    <w:rsid w:val="00070E66"/>
    <w:rsid w:val="000713E1"/>
    <w:rsid w:val="000716F2"/>
    <w:rsid w:val="00072664"/>
    <w:rsid w:val="00073464"/>
    <w:rsid w:val="00076A3F"/>
    <w:rsid w:val="00076A4C"/>
    <w:rsid w:val="0008053E"/>
    <w:rsid w:val="0008145B"/>
    <w:rsid w:val="000826D6"/>
    <w:rsid w:val="00083B15"/>
    <w:rsid w:val="000841C4"/>
    <w:rsid w:val="0008487A"/>
    <w:rsid w:val="000865F4"/>
    <w:rsid w:val="00086ECA"/>
    <w:rsid w:val="000907E8"/>
    <w:rsid w:val="000908B5"/>
    <w:rsid w:val="00092B44"/>
    <w:rsid w:val="00092E73"/>
    <w:rsid w:val="00093D4D"/>
    <w:rsid w:val="00094991"/>
    <w:rsid w:val="00094A10"/>
    <w:rsid w:val="000A08D5"/>
    <w:rsid w:val="000A1F99"/>
    <w:rsid w:val="000A2343"/>
    <w:rsid w:val="000A2509"/>
    <w:rsid w:val="000A2687"/>
    <w:rsid w:val="000A2795"/>
    <w:rsid w:val="000A2CAB"/>
    <w:rsid w:val="000A3162"/>
    <w:rsid w:val="000A364C"/>
    <w:rsid w:val="000A4AB9"/>
    <w:rsid w:val="000A4DD0"/>
    <w:rsid w:val="000A6451"/>
    <w:rsid w:val="000A65EC"/>
    <w:rsid w:val="000A6C5E"/>
    <w:rsid w:val="000A6DD4"/>
    <w:rsid w:val="000A7C9C"/>
    <w:rsid w:val="000B06CA"/>
    <w:rsid w:val="000B1837"/>
    <w:rsid w:val="000B1CA6"/>
    <w:rsid w:val="000B2E55"/>
    <w:rsid w:val="000B2E93"/>
    <w:rsid w:val="000B3BDA"/>
    <w:rsid w:val="000B588B"/>
    <w:rsid w:val="000B61A4"/>
    <w:rsid w:val="000B7B37"/>
    <w:rsid w:val="000C0698"/>
    <w:rsid w:val="000C12E1"/>
    <w:rsid w:val="000C32F9"/>
    <w:rsid w:val="000C3335"/>
    <w:rsid w:val="000C3C3C"/>
    <w:rsid w:val="000C5A32"/>
    <w:rsid w:val="000C6743"/>
    <w:rsid w:val="000C6BA0"/>
    <w:rsid w:val="000C73F5"/>
    <w:rsid w:val="000C76B3"/>
    <w:rsid w:val="000D1345"/>
    <w:rsid w:val="000D197C"/>
    <w:rsid w:val="000D2F40"/>
    <w:rsid w:val="000D5854"/>
    <w:rsid w:val="000D6531"/>
    <w:rsid w:val="000D6846"/>
    <w:rsid w:val="000E1F3C"/>
    <w:rsid w:val="000E1F94"/>
    <w:rsid w:val="000E2136"/>
    <w:rsid w:val="000E3B52"/>
    <w:rsid w:val="000E3EC4"/>
    <w:rsid w:val="000E4682"/>
    <w:rsid w:val="000E4AA7"/>
    <w:rsid w:val="000E4C76"/>
    <w:rsid w:val="000E5529"/>
    <w:rsid w:val="000E6DB4"/>
    <w:rsid w:val="000E798B"/>
    <w:rsid w:val="000F0400"/>
    <w:rsid w:val="000F18EF"/>
    <w:rsid w:val="000F1C7B"/>
    <w:rsid w:val="000F3233"/>
    <w:rsid w:val="000F35E4"/>
    <w:rsid w:val="000F3822"/>
    <w:rsid w:val="000F3915"/>
    <w:rsid w:val="000F4A2E"/>
    <w:rsid w:val="000F7096"/>
    <w:rsid w:val="0010142B"/>
    <w:rsid w:val="00102C59"/>
    <w:rsid w:val="00104759"/>
    <w:rsid w:val="00105D1E"/>
    <w:rsid w:val="0010639E"/>
    <w:rsid w:val="00107AD2"/>
    <w:rsid w:val="0011372A"/>
    <w:rsid w:val="001144C5"/>
    <w:rsid w:val="00116163"/>
    <w:rsid w:val="00116EA3"/>
    <w:rsid w:val="00117CBC"/>
    <w:rsid w:val="0012064C"/>
    <w:rsid w:val="0012109C"/>
    <w:rsid w:val="0012266A"/>
    <w:rsid w:val="0012308E"/>
    <w:rsid w:val="00123A32"/>
    <w:rsid w:val="00124428"/>
    <w:rsid w:val="001250F5"/>
    <w:rsid w:val="00125B03"/>
    <w:rsid w:val="00126FC4"/>
    <w:rsid w:val="00127E84"/>
    <w:rsid w:val="00130F54"/>
    <w:rsid w:val="00132297"/>
    <w:rsid w:val="00132724"/>
    <w:rsid w:val="00133281"/>
    <w:rsid w:val="00133576"/>
    <w:rsid w:val="0013504B"/>
    <w:rsid w:val="0013505C"/>
    <w:rsid w:val="00135339"/>
    <w:rsid w:val="00136207"/>
    <w:rsid w:val="00136F63"/>
    <w:rsid w:val="00142260"/>
    <w:rsid w:val="00143A91"/>
    <w:rsid w:val="00143D3A"/>
    <w:rsid w:val="001440CD"/>
    <w:rsid w:val="00144F15"/>
    <w:rsid w:val="00145EE3"/>
    <w:rsid w:val="00145F0B"/>
    <w:rsid w:val="0014605C"/>
    <w:rsid w:val="00146613"/>
    <w:rsid w:val="00146883"/>
    <w:rsid w:val="00146B95"/>
    <w:rsid w:val="001471B0"/>
    <w:rsid w:val="00150AD3"/>
    <w:rsid w:val="0015174B"/>
    <w:rsid w:val="00152C35"/>
    <w:rsid w:val="0015352B"/>
    <w:rsid w:val="001543A0"/>
    <w:rsid w:val="001605FA"/>
    <w:rsid w:val="001619B9"/>
    <w:rsid w:val="00161E2F"/>
    <w:rsid w:val="001626C0"/>
    <w:rsid w:val="0016381F"/>
    <w:rsid w:val="00163F84"/>
    <w:rsid w:val="00164C89"/>
    <w:rsid w:val="00165D44"/>
    <w:rsid w:val="001700A2"/>
    <w:rsid w:val="0017105B"/>
    <w:rsid w:val="0017132F"/>
    <w:rsid w:val="001719F1"/>
    <w:rsid w:val="00173055"/>
    <w:rsid w:val="001737F0"/>
    <w:rsid w:val="00175740"/>
    <w:rsid w:val="001757CD"/>
    <w:rsid w:val="00176212"/>
    <w:rsid w:val="00176B5F"/>
    <w:rsid w:val="00177AB7"/>
    <w:rsid w:val="0018011A"/>
    <w:rsid w:val="00180987"/>
    <w:rsid w:val="00180A5A"/>
    <w:rsid w:val="00182D46"/>
    <w:rsid w:val="001830DB"/>
    <w:rsid w:val="001839F5"/>
    <w:rsid w:val="00183FEC"/>
    <w:rsid w:val="00183FED"/>
    <w:rsid w:val="001849CA"/>
    <w:rsid w:val="001851FD"/>
    <w:rsid w:val="001878DB"/>
    <w:rsid w:val="00187E93"/>
    <w:rsid w:val="00191F31"/>
    <w:rsid w:val="00193073"/>
    <w:rsid w:val="0019324F"/>
    <w:rsid w:val="001932A1"/>
    <w:rsid w:val="00194FCF"/>
    <w:rsid w:val="001957DD"/>
    <w:rsid w:val="00195F32"/>
    <w:rsid w:val="00195FD8"/>
    <w:rsid w:val="00197394"/>
    <w:rsid w:val="001A2D66"/>
    <w:rsid w:val="001A413E"/>
    <w:rsid w:val="001A5D5D"/>
    <w:rsid w:val="001B0FF5"/>
    <w:rsid w:val="001B199C"/>
    <w:rsid w:val="001B21C8"/>
    <w:rsid w:val="001B26D9"/>
    <w:rsid w:val="001B2FB2"/>
    <w:rsid w:val="001B33AC"/>
    <w:rsid w:val="001B3E00"/>
    <w:rsid w:val="001B3FD0"/>
    <w:rsid w:val="001B4044"/>
    <w:rsid w:val="001B543C"/>
    <w:rsid w:val="001B5A49"/>
    <w:rsid w:val="001B66DB"/>
    <w:rsid w:val="001B78A4"/>
    <w:rsid w:val="001C0C44"/>
    <w:rsid w:val="001C207D"/>
    <w:rsid w:val="001C3CFC"/>
    <w:rsid w:val="001C3D9F"/>
    <w:rsid w:val="001C42E0"/>
    <w:rsid w:val="001C4B3B"/>
    <w:rsid w:val="001C5F8A"/>
    <w:rsid w:val="001C7040"/>
    <w:rsid w:val="001D0F93"/>
    <w:rsid w:val="001D2D89"/>
    <w:rsid w:val="001D42AA"/>
    <w:rsid w:val="001D4FB8"/>
    <w:rsid w:val="001D5EDA"/>
    <w:rsid w:val="001D74A6"/>
    <w:rsid w:val="001D756A"/>
    <w:rsid w:val="001D7B0E"/>
    <w:rsid w:val="001E051A"/>
    <w:rsid w:val="001E0FFB"/>
    <w:rsid w:val="001E1378"/>
    <w:rsid w:val="001E15EA"/>
    <w:rsid w:val="001E1AA9"/>
    <w:rsid w:val="001E221E"/>
    <w:rsid w:val="001E29B8"/>
    <w:rsid w:val="001E3625"/>
    <w:rsid w:val="001E41F4"/>
    <w:rsid w:val="001E4275"/>
    <w:rsid w:val="001E4C49"/>
    <w:rsid w:val="001E5004"/>
    <w:rsid w:val="001E5E12"/>
    <w:rsid w:val="001E641B"/>
    <w:rsid w:val="001E67DE"/>
    <w:rsid w:val="001E7939"/>
    <w:rsid w:val="001E7A32"/>
    <w:rsid w:val="001F0A8A"/>
    <w:rsid w:val="001F1969"/>
    <w:rsid w:val="001F22BB"/>
    <w:rsid w:val="001F2F9E"/>
    <w:rsid w:val="001F3816"/>
    <w:rsid w:val="001F39DC"/>
    <w:rsid w:val="001F4D49"/>
    <w:rsid w:val="001F4F82"/>
    <w:rsid w:val="001F500D"/>
    <w:rsid w:val="001F5443"/>
    <w:rsid w:val="001F570A"/>
    <w:rsid w:val="001F5AA8"/>
    <w:rsid w:val="001F6F7A"/>
    <w:rsid w:val="001F7CDF"/>
    <w:rsid w:val="001F7CE2"/>
    <w:rsid w:val="002021AD"/>
    <w:rsid w:val="002026CE"/>
    <w:rsid w:val="002031E3"/>
    <w:rsid w:val="0020392D"/>
    <w:rsid w:val="0020521C"/>
    <w:rsid w:val="00205291"/>
    <w:rsid w:val="00205FA6"/>
    <w:rsid w:val="00206D2E"/>
    <w:rsid w:val="00207F79"/>
    <w:rsid w:val="00207FD3"/>
    <w:rsid w:val="00210802"/>
    <w:rsid w:val="00210AFC"/>
    <w:rsid w:val="00212CAB"/>
    <w:rsid w:val="00213359"/>
    <w:rsid w:val="00213462"/>
    <w:rsid w:val="00213ED3"/>
    <w:rsid w:val="00214159"/>
    <w:rsid w:val="00214492"/>
    <w:rsid w:val="00215F3C"/>
    <w:rsid w:val="00215F55"/>
    <w:rsid w:val="0021661F"/>
    <w:rsid w:val="00216BFC"/>
    <w:rsid w:val="0021730F"/>
    <w:rsid w:val="00217D32"/>
    <w:rsid w:val="00220268"/>
    <w:rsid w:val="0022093A"/>
    <w:rsid w:val="00220974"/>
    <w:rsid w:val="00220F7E"/>
    <w:rsid w:val="00220FF0"/>
    <w:rsid w:val="00221B3C"/>
    <w:rsid w:val="00221CAE"/>
    <w:rsid w:val="00222738"/>
    <w:rsid w:val="002249C5"/>
    <w:rsid w:val="00224E57"/>
    <w:rsid w:val="00224FB0"/>
    <w:rsid w:val="00225146"/>
    <w:rsid w:val="00225484"/>
    <w:rsid w:val="00226FE5"/>
    <w:rsid w:val="00227CD0"/>
    <w:rsid w:val="0023102C"/>
    <w:rsid w:val="002317D9"/>
    <w:rsid w:val="00232A6E"/>
    <w:rsid w:val="00232B25"/>
    <w:rsid w:val="0023394D"/>
    <w:rsid w:val="002343C9"/>
    <w:rsid w:val="00234CF2"/>
    <w:rsid w:val="00234EF3"/>
    <w:rsid w:val="00235BEB"/>
    <w:rsid w:val="00236F64"/>
    <w:rsid w:val="00237EE8"/>
    <w:rsid w:val="00241DB8"/>
    <w:rsid w:val="00242530"/>
    <w:rsid w:val="00242611"/>
    <w:rsid w:val="002427BB"/>
    <w:rsid w:val="002428AE"/>
    <w:rsid w:val="002442EF"/>
    <w:rsid w:val="00244758"/>
    <w:rsid w:val="002462FF"/>
    <w:rsid w:val="002473AC"/>
    <w:rsid w:val="00247D97"/>
    <w:rsid w:val="00247E07"/>
    <w:rsid w:val="00250086"/>
    <w:rsid w:val="00251FF8"/>
    <w:rsid w:val="00252A19"/>
    <w:rsid w:val="002548B2"/>
    <w:rsid w:val="00255A5B"/>
    <w:rsid w:val="0025707D"/>
    <w:rsid w:val="00257839"/>
    <w:rsid w:val="00260B05"/>
    <w:rsid w:val="00261413"/>
    <w:rsid w:val="0026393F"/>
    <w:rsid w:val="00264C22"/>
    <w:rsid w:val="00265ABE"/>
    <w:rsid w:val="00266061"/>
    <w:rsid w:val="002675A5"/>
    <w:rsid w:val="002678B0"/>
    <w:rsid w:val="0026790B"/>
    <w:rsid w:val="0027018A"/>
    <w:rsid w:val="00271586"/>
    <w:rsid w:val="00274C81"/>
    <w:rsid w:val="00275196"/>
    <w:rsid w:val="002769BA"/>
    <w:rsid w:val="00276D4D"/>
    <w:rsid w:val="00277256"/>
    <w:rsid w:val="00280DFB"/>
    <w:rsid w:val="00287A0D"/>
    <w:rsid w:val="00290D71"/>
    <w:rsid w:val="0029151E"/>
    <w:rsid w:val="00292431"/>
    <w:rsid w:val="00292D69"/>
    <w:rsid w:val="00294C15"/>
    <w:rsid w:val="002951D7"/>
    <w:rsid w:val="00296147"/>
    <w:rsid w:val="00296E7A"/>
    <w:rsid w:val="00297661"/>
    <w:rsid w:val="002A2BFE"/>
    <w:rsid w:val="002A33C2"/>
    <w:rsid w:val="002A3D56"/>
    <w:rsid w:val="002A3F7C"/>
    <w:rsid w:val="002A4694"/>
    <w:rsid w:val="002A4947"/>
    <w:rsid w:val="002A7151"/>
    <w:rsid w:val="002B2A40"/>
    <w:rsid w:val="002B6CE6"/>
    <w:rsid w:val="002C02C1"/>
    <w:rsid w:val="002C0E00"/>
    <w:rsid w:val="002C2280"/>
    <w:rsid w:val="002C2628"/>
    <w:rsid w:val="002C28BF"/>
    <w:rsid w:val="002C28D7"/>
    <w:rsid w:val="002C3FCB"/>
    <w:rsid w:val="002C47D7"/>
    <w:rsid w:val="002C5971"/>
    <w:rsid w:val="002C63BC"/>
    <w:rsid w:val="002D03A5"/>
    <w:rsid w:val="002D4914"/>
    <w:rsid w:val="002D4DC5"/>
    <w:rsid w:val="002D5853"/>
    <w:rsid w:val="002D64A7"/>
    <w:rsid w:val="002D67FF"/>
    <w:rsid w:val="002D6979"/>
    <w:rsid w:val="002D725B"/>
    <w:rsid w:val="002E1CC5"/>
    <w:rsid w:val="002E33CD"/>
    <w:rsid w:val="002E4A5C"/>
    <w:rsid w:val="002E5581"/>
    <w:rsid w:val="002E577A"/>
    <w:rsid w:val="002E595D"/>
    <w:rsid w:val="002E72B1"/>
    <w:rsid w:val="002E7528"/>
    <w:rsid w:val="002E7E36"/>
    <w:rsid w:val="002F1277"/>
    <w:rsid w:val="002F1834"/>
    <w:rsid w:val="002F2466"/>
    <w:rsid w:val="002F314E"/>
    <w:rsid w:val="002F5D39"/>
    <w:rsid w:val="002F646D"/>
    <w:rsid w:val="002F6DBD"/>
    <w:rsid w:val="00300800"/>
    <w:rsid w:val="00300FCB"/>
    <w:rsid w:val="00301C64"/>
    <w:rsid w:val="00303CF4"/>
    <w:rsid w:val="00304E29"/>
    <w:rsid w:val="00305F5B"/>
    <w:rsid w:val="00306C62"/>
    <w:rsid w:val="00307D8A"/>
    <w:rsid w:val="00310A4B"/>
    <w:rsid w:val="00311D34"/>
    <w:rsid w:val="00312BEA"/>
    <w:rsid w:val="00313AA1"/>
    <w:rsid w:val="0031542A"/>
    <w:rsid w:val="00316728"/>
    <w:rsid w:val="00317994"/>
    <w:rsid w:val="003219CA"/>
    <w:rsid w:val="00321B56"/>
    <w:rsid w:val="00322103"/>
    <w:rsid w:val="00322BCF"/>
    <w:rsid w:val="00324243"/>
    <w:rsid w:val="003246D0"/>
    <w:rsid w:val="00324D2C"/>
    <w:rsid w:val="00327766"/>
    <w:rsid w:val="00327796"/>
    <w:rsid w:val="00327BF1"/>
    <w:rsid w:val="0033220B"/>
    <w:rsid w:val="003323CA"/>
    <w:rsid w:val="00333EB0"/>
    <w:rsid w:val="003349C0"/>
    <w:rsid w:val="00334AA1"/>
    <w:rsid w:val="00340784"/>
    <w:rsid w:val="00340920"/>
    <w:rsid w:val="00341258"/>
    <w:rsid w:val="00342B44"/>
    <w:rsid w:val="00343A8F"/>
    <w:rsid w:val="003443D6"/>
    <w:rsid w:val="003453FB"/>
    <w:rsid w:val="00346D42"/>
    <w:rsid w:val="003508AD"/>
    <w:rsid w:val="00350C50"/>
    <w:rsid w:val="00350F6B"/>
    <w:rsid w:val="00351F3E"/>
    <w:rsid w:val="00352ABA"/>
    <w:rsid w:val="003552CD"/>
    <w:rsid w:val="00355754"/>
    <w:rsid w:val="0036110D"/>
    <w:rsid w:val="003622BB"/>
    <w:rsid w:val="003624C1"/>
    <w:rsid w:val="00363494"/>
    <w:rsid w:val="003636C9"/>
    <w:rsid w:val="00363E03"/>
    <w:rsid w:val="00364177"/>
    <w:rsid w:val="003641DE"/>
    <w:rsid w:val="00365925"/>
    <w:rsid w:val="003669E2"/>
    <w:rsid w:val="00370289"/>
    <w:rsid w:val="003706AB"/>
    <w:rsid w:val="00371FF9"/>
    <w:rsid w:val="00372926"/>
    <w:rsid w:val="00374448"/>
    <w:rsid w:val="003751E5"/>
    <w:rsid w:val="003756BF"/>
    <w:rsid w:val="0037644B"/>
    <w:rsid w:val="00377BC3"/>
    <w:rsid w:val="003811D7"/>
    <w:rsid w:val="00381327"/>
    <w:rsid w:val="0038195B"/>
    <w:rsid w:val="00381C8C"/>
    <w:rsid w:val="00382687"/>
    <w:rsid w:val="0038467D"/>
    <w:rsid w:val="0038476D"/>
    <w:rsid w:val="00384AA5"/>
    <w:rsid w:val="003852F0"/>
    <w:rsid w:val="00385BDD"/>
    <w:rsid w:val="00386BA4"/>
    <w:rsid w:val="00387895"/>
    <w:rsid w:val="00387DA8"/>
    <w:rsid w:val="00387FA8"/>
    <w:rsid w:val="0039048E"/>
    <w:rsid w:val="0039058B"/>
    <w:rsid w:val="00390631"/>
    <w:rsid w:val="0039105C"/>
    <w:rsid w:val="00391299"/>
    <w:rsid w:val="003922D2"/>
    <w:rsid w:val="00394768"/>
    <w:rsid w:val="00395155"/>
    <w:rsid w:val="00395EE0"/>
    <w:rsid w:val="003964FB"/>
    <w:rsid w:val="00396F9C"/>
    <w:rsid w:val="00397684"/>
    <w:rsid w:val="003A108B"/>
    <w:rsid w:val="003A2D7C"/>
    <w:rsid w:val="003A3648"/>
    <w:rsid w:val="003A6831"/>
    <w:rsid w:val="003A707C"/>
    <w:rsid w:val="003A72C5"/>
    <w:rsid w:val="003B1B1F"/>
    <w:rsid w:val="003B2930"/>
    <w:rsid w:val="003B3151"/>
    <w:rsid w:val="003B42F1"/>
    <w:rsid w:val="003B681A"/>
    <w:rsid w:val="003C0E00"/>
    <w:rsid w:val="003C2EE5"/>
    <w:rsid w:val="003C32F7"/>
    <w:rsid w:val="003C4237"/>
    <w:rsid w:val="003C49D6"/>
    <w:rsid w:val="003C4D6C"/>
    <w:rsid w:val="003C641A"/>
    <w:rsid w:val="003C78A1"/>
    <w:rsid w:val="003C7B20"/>
    <w:rsid w:val="003D010E"/>
    <w:rsid w:val="003D0ADE"/>
    <w:rsid w:val="003D0BB9"/>
    <w:rsid w:val="003D1747"/>
    <w:rsid w:val="003D34C7"/>
    <w:rsid w:val="003D42B2"/>
    <w:rsid w:val="003D4B85"/>
    <w:rsid w:val="003D50D9"/>
    <w:rsid w:val="003D56E1"/>
    <w:rsid w:val="003D6D89"/>
    <w:rsid w:val="003E597B"/>
    <w:rsid w:val="003E60C5"/>
    <w:rsid w:val="003E714D"/>
    <w:rsid w:val="003E7A4A"/>
    <w:rsid w:val="003F42B4"/>
    <w:rsid w:val="003F5ECB"/>
    <w:rsid w:val="003F6760"/>
    <w:rsid w:val="003F78CE"/>
    <w:rsid w:val="004006AC"/>
    <w:rsid w:val="00401322"/>
    <w:rsid w:val="004028A2"/>
    <w:rsid w:val="00404A5A"/>
    <w:rsid w:val="00404E9F"/>
    <w:rsid w:val="004053D1"/>
    <w:rsid w:val="00405484"/>
    <w:rsid w:val="00405F68"/>
    <w:rsid w:val="00406053"/>
    <w:rsid w:val="00410243"/>
    <w:rsid w:val="00411474"/>
    <w:rsid w:val="00411B77"/>
    <w:rsid w:val="00413FB7"/>
    <w:rsid w:val="00414F4E"/>
    <w:rsid w:val="004161C2"/>
    <w:rsid w:val="00417162"/>
    <w:rsid w:val="0041722E"/>
    <w:rsid w:val="004202B5"/>
    <w:rsid w:val="00420BE0"/>
    <w:rsid w:val="004221CD"/>
    <w:rsid w:val="00423033"/>
    <w:rsid w:val="00423914"/>
    <w:rsid w:val="00423C4E"/>
    <w:rsid w:val="004244F8"/>
    <w:rsid w:val="00424D51"/>
    <w:rsid w:val="00424F39"/>
    <w:rsid w:val="00425433"/>
    <w:rsid w:val="00427280"/>
    <w:rsid w:val="00430198"/>
    <w:rsid w:val="00430BB5"/>
    <w:rsid w:val="00431397"/>
    <w:rsid w:val="00431E75"/>
    <w:rsid w:val="00432857"/>
    <w:rsid w:val="00435450"/>
    <w:rsid w:val="00435565"/>
    <w:rsid w:val="00436278"/>
    <w:rsid w:val="0043637C"/>
    <w:rsid w:val="00436D40"/>
    <w:rsid w:val="004409E2"/>
    <w:rsid w:val="004430C9"/>
    <w:rsid w:val="004436C4"/>
    <w:rsid w:val="00446659"/>
    <w:rsid w:val="0044696D"/>
    <w:rsid w:val="00447621"/>
    <w:rsid w:val="00447EF7"/>
    <w:rsid w:val="0045188B"/>
    <w:rsid w:val="00452E9E"/>
    <w:rsid w:val="00453976"/>
    <w:rsid w:val="004550AA"/>
    <w:rsid w:val="004558BD"/>
    <w:rsid w:val="00456671"/>
    <w:rsid w:val="00456C6E"/>
    <w:rsid w:val="0046103B"/>
    <w:rsid w:val="00461303"/>
    <w:rsid w:val="004617ED"/>
    <w:rsid w:val="0046242A"/>
    <w:rsid w:val="00462625"/>
    <w:rsid w:val="0046329F"/>
    <w:rsid w:val="00464100"/>
    <w:rsid w:val="0046521D"/>
    <w:rsid w:val="00466607"/>
    <w:rsid w:val="00467650"/>
    <w:rsid w:val="0046784A"/>
    <w:rsid w:val="004678C8"/>
    <w:rsid w:val="00471C7A"/>
    <w:rsid w:val="004729AC"/>
    <w:rsid w:val="004729E8"/>
    <w:rsid w:val="00472A36"/>
    <w:rsid w:val="004749CB"/>
    <w:rsid w:val="004752E4"/>
    <w:rsid w:val="004803BB"/>
    <w:rsid w:val="004819A6"/>
    <w:rsid w:val="00482014"/>
    <w:rsid w:val="00482370"/>
    <w:rsid w:val="0048296F"/>
    <w:rsid w:val="00482CDF"/>
    <w:rsid w:val="00482ED8"/>
    <w:rsid w:val="00485EA2"/>
    <w:rsid w:val="0048632C"/>
    <w:rsid w:val="00486A4A"/>
    <w:rsid w:val="00486CCC"/>
    <w:rsid w:val="00486E20"/>
    <w:rsid w:val="004870AB"/>
    <w:rsid w:val="00490289"/>
    <w:rsid w:val="004905AF"/>
    <w:rsid w:val="00490FAE"/>
    <w:rsid w:val="004930F4"/>
    <w:rsid w:val="0049371E"/>
    <w:rsid w:val="00493F30"/>
    <w:rsid w:val="004943F9"/>
    <w:rsid w:val="004946C2"/>
    <w:rsid w:val="00495100"/>
    <w:rsid w:val="0049518E"/>
    <w:rsid w:val="0049770A"/>
    <w:rsid w:val="00497A63"/>
    <w:rsid w:val="004A06D4"/>
    <w:rsid w:val="004A0943"/>
    <w:rsid w:val="004A0A40"/>
    <w:rsid w:val="004A1287"/>
    <w:rsid w:val="004A38C8"/>
    <w:rsid w:val="004A3BFD"/>
    <w:rsid w:val="004A3ED3"/>
    <w:rsid w:val="004A52AD"/>
    <w:rsid w:val="004B1A62"/>
    <w:rsid w:val="004B1DF2"/>
    <w:rsid w:val="004B1E8A"/>
    <w:rsid w:val="004B25BF"/>
    <w:rsid w:val="004B41A3"/>
    <w:rsid w:val="004B54FC"/>
    <w:rsid w:val="004B6181"/>
    <w:rsid w:val="004C0935"/>
    <w:rsid w:val="004C0A9E"/>
    <w:rsid w:val="004C1EBE"/>
    <w:rsid w:val="004C2237"/>
    <w:rsid w:val="004C32AB"/>
    <w:rsid w:val="004C399E"/>
    <w:rsid w:val="004C4C58"/>
    <w:rsid w:val="004C4E44"/>
    <w:rsid w:val="004C529B"/>
    <w:rsid w:val="004C5C85"/>
    <w:rsid w:val="004C61B6"/>
    <w:rsid w:val="004C78D4"/>
    <w:rsid w:val="004D012F"/>
    <w:rsid w:val="004D0771"/>
    <w:rsid w:val="004D0A69"/>
    <w:rsid w:val="004D0C3A"/>
    <w:rsid w:val="004D15CC"/>
    <w:rsid w:val="004D1AB0"/>
    <w:rsid w:val="004D2428"/>
    <w:rsid w:val="004D343E"/>
    <w:rsid w:val="004D39E4"/>
    <w:rsid w:val="004D4400"/>
    <w:rsid w:val="004D5523"/>
    <w:rsid w:val="004D5E6D"/>
    <w:rsid w:val="004D5F74"/>
    <w:rsid w:val="004D7BFE"/>
    <w:rsid w:val="004E225E"/>
    <w:rsid w:val="004E3028"/>
    <w:rsid w:val="004E3222"/>
    <w:rsid w:val="004E3441"/>
    <w:rsid w:val="004E3557"/>
    <w:rsid w:val="004E3B14"/>
    <w:rsid w:val="004E3E59"/>
    <w:rsid w:val="004E428F"/>
    <w:rsid w:val="004E4EED"/>
    <w:rsid w:val="004F13B3"/>
    <w:rsid w:val="004F14B7"/>
    <w:rsid w:val="004F1CBE"/>
    <w:rsid w:val="004F5154"/>
    <w:rsid w:val="004F54D0"/>
    <w:rsid w:val="004F620A"/>
    <w:rsid w:val="004F668B"/>
    <w:rsid w:val="004F67CD"/>
    <w:rsid w:val="005017E6"/>
    <w:rsid w:val="005027B9"/>
    <w:rsid w:val="00502CAA"/>
    <w:rsid w:val="00502E45"/>
    <w:rsid w:val="00504E6C"/>
    <w:rsid w:val="0050536B"/>
    <w:rsid w:val="0050718D"/>
    <w:rsid w:val="005111CE"/>
    <w:rsid w:val="00512F62"/>
    <w:rsid w:val="005147A8"/>
    <w:rsid w:val="00514B74"/>
    <w:rsid w:val="00515DFF"/>
    <w:rsid w:val="00517B4C"/>
    <w:rsid w:val="0052122D"/>
    <w:rsid w:val="00521CB3"/>
    <w:rsid w:val="005220C7"/>
    <w:rsid w:val="00523420"/>
    <w:rsid w:val="005237AC"/>
    <w:rsid w:val="00523E74"/>
    <w:rsid w:val="00523FAE"/>
    <w:rsid w:val="00524FFF"/>
    <w:rsid w:val="00525495"/>
    <w:rsid w:val="00526641"/>
    <w:rsid w:val="00530FB5"/>
    <w:rsid w:val="00536D80"/>
    <w:rsid w:val="0053783D"/>
    <w:rsid w:val="005427F7"/>
    <w:rsid w:val="00542FE8"/>
    <w:rsid w:val="00543851"/>
    <w:rsid w:val="00543E5B"/>
    <w:rsid w:val="00544B67"/>
    <w:rsid w:val="0054514F"/>
    <w:rsid w:val="0054574B"/>
    <w:rsid w:val="00550DAD"/>
    <w:rsid w:val="00550DCC"/>
    <w:rsid w:val="00554199"/>
    <w:rsid w:val="00554E1B"/>
    <w:rsid w:val="00555135"/>
    <w:rsid w:val="0055740D"/>
    <w:rsid w:val="00557563"/>
    <w:rsid w:val="00560ECF"/>
    <w:rsid w:val="00563403"/>
    <w:rsid w:val="005638AA"/>
    <w:rsid w:val="00563E32"/>
    <w:rsid w:val="0056425A"/>
    <w:rsid w:val="00564318"/>
    <w:rsid w:val="00564F24"/>
    <w:rsid w:val="005661E2"/>
    <w:rsid w:val="0056668C"/>
    <w:rsid w:val="0057022F"/>
    <w:rsid w:val="005718C6"/>
    <w:rsid w:val="00572AF8"/>
    <w:rsid w:val="00574CF3"/>
    <w:rsid w:val="00574F0A"/>
    <w:rsid w:val="00575B5E"/>
    <w:rsid w:val="005769EE"/>
    <w:rsid w:val="005779A3"/>
    <w:rsid w:val="00580648"/>
    <w:rsid w:val="00580E33"/>
    <w:rsid w:val="00582FBC"/>
    <w:rsid w:val="005847C4"/>
    <w:rsid w:val="005860BB"/>
    <w:rsid w:val="005867F6"/>
    <w:rsid w:val="00590ED8"/>
    <w:rsid w:val="00591331"/>
    <w:rsid w:val="005923B3"/>
    <w:rsid w:val="00592FAF"/>
    <w:rsid w:val="00593F66"/>
    <w:rsid w:val="00594637"/>
    <w:rsid w:val="00594F59"/>
    <w:rsid w:val="00595487"/>
    <w:rsid w:val="005956F9"/>
    <w:rsid w:val="00595E09"/>
    <w:rsid w:val="00597F8E"/>
    <w:rsid w:val="005A1140"/>
    <w:rsid w:val="005A1DDA"/>
    <w:rsid w:val="005A2B8D"/>
    <w:rsid w:val="005A376F"/>
    <w:rsid w:val="005A3D91"/>
    <w:rsid w:val="005A44C1"/>
    <w:rsid w:val="005A4CED"/>
    <w:rsid w:val="005A6387"/>
    <w:rsid w:val="005B00D9"/>
    <w:rsid w:val="005B0128"/>
    <w:rsid w:val="005B11D2"/>
    <w:rsid w:val="005B133B"/>
    <w:rsid w:val="005B15B8"/>
    <w:rsid w:val="005B1974"/>
    <w:rsid w:val="005B1B1D"/>
    <w:rsid w:val="005B28F8"/>
    <w:rsid w:val="005B29FF"/>
    <w:rsid w:val="005B3392"/>
    <w:rsid w:val="005B4897"/>
    <w:rsid w:val="005C0061"/>
    <w:rsid w:val="005C0ACB"/>
    <w:rsid w:val="005C10B5"/>
    <w:rsid w:val="005C12CA"/>
    <w:rsid w:val="005C17D9"/>
    <w:rsid w:val="005C1C5C"/>
    <w:rsid w:val="005C31A6"/>
    <w:rsid w:val="005C591F"/>
    <w:rsid w:val="005C5CED"/>
    <w:rsid w:val="005C6715"/>
    <w:rsid w:val="005C675E"/>
    <w:rsid w:val="005C6E07"/>
    <w:rsid w:val="005D033D"/>
    <w:rsid w:val="005D044A"/>
    <w:rsid w:val="005D0450"/>
    <w:rsid w:val="005D0BB9"/>
    <w:rsid w:val="005D1183"/>
    <w:rsid w:val="005D1694"/>
    <w:rsid w:val="005D1F47"/>
    <w:rsid w:val="005D23D0"/>
    <w:rsid w:val="005D2BF2"/>
    <w:rsid w:val="005D3947"/>
    <w:rsid w:val="005D5C5A"/>
    <w:rsid w:val="005D5F32"/>
    <w:rsid w:val="005D6625"/>
    <w:rsid w:val="005D797F"/>
    <w:rsid w:val="005D7E72"/>
    <w:rsid w:val="005D7FCC"/>
    <w:rsid w:val="005E19CB"/>
    <w:rsid w:val="005E1A31"/>
    <w:rsid w:val="005E1DA3"/>
    <w:rsid w:val="005E3419"/>
    <w:rsid w:val="005E35C7"/>
    <w:rsid w:val="005E38DB"/>
    <w:rsid w:val="005E6CAB"/>
    <w:rsid w:val="005E71DF"/>
    <w:rsid w:val="005E7558"/>
    <w:rsid w:val="005E7DBB"/>
    <w:rsid w:val="005F00CD"/>
    <w:rsid w:val="005F0333"/>
    <w:rsid w:val="005F0A33"/>
    <w:rsid w:val="005F0EE8"/>
    <w:rsid w:val="005F129A"/>
    <w:rsid w:val="005F172D"/>
    <w:rsid w:val="005F2077"/>
    <w:rsid w:val="005F2C47"/>
    <w:rsid w:val="005F2CB6"/>
    <w:rsid w:val="005F3BAA"/>
    <w:rsid w:val="005F3F31"/>
    <w:rsid w:val="005F4265"/>
    <w:rsid w:val="005F53BF"/>
    <w:rsid w:val="005F5837"/>
    <w:rsid w:val="005F61FA"/>
    <w:rsid w:val="0060139B"/>
    <w:rsid w:val="006017C7"/>
    <w:rsid w:val="00601AF6"/>
    <w:rsid w:val="00605BA5"/>
    <w:rsid w:val="0060632B"/>
    <w:rsid w:val="00606F4D"/>
    <w:rsid w:val="0060708C"/>
    <w:rsid w:val="006074C7"/>
    <w:rsid w:val="00610BE4"/>
    <w:rsid w:val="00610C4B"/>
    <w:rsid w:val="00610D50"/>
    <w:rsid w:val="00611338"/>
    <w:rsid w:val="00611E25"/>
    <w:rsid w:val="006134B0"/>
    <w:rsid w:val="00613503"/>
    <w:rsid w:val="00613AAA"/>
    <w:rsid w:val="0061446D"/>
    <w:rsid w:val="006144FC"/>
    <w:rsid w:val="006152F8"/>
    <w:rsid w:val="006157CB"/>
    <w:rsid w:val="006164B5"/>
    <w:rsid w:val="00616969"/>
    <w:rsid w:val="00620DFE"/>
    <w:rsid w:val="006215B7"/>
    <w:rsid w:val="00622F7F"/>
    <w:rsid w:val="00623280"/>
    <w:rsid w:val="006249C5"/>
    <w:rsid w:val="00625A5E"/>
    <w:rsid w:val="00626F10"/>
    <w:rsid w:val="0062770A"/>
    <w:rsid w:val="00627EAD"/>
    <w:rsid w:val="00630304"/>
    <w:rsid w:val="00630780"/>
    <w:rsid w:val="0063215A"/>
    <w:rsid w:val="00635679"/>
    <w:rsid w:val="00635A8C"/>
    <w:rsid w:val="00635DA8"/>
    <w:rsid w:val="00635E49"/>
    <w:rsid w:val="00636095"/>
    <w:rsid w:val="00636231"/>
    <w:rsid w:val="006362F2"/>
    <w:rsid w:val="00636369"/>
    <w:rsid w:val="006368F3"/>
    <w:rsid w:val="00636D1D"/>
    <w:rsid w:val="00636FA4"/>
    <w:rsid w:val="006376E8"/>
    <w:rsid w:val="00640DDA"/>
    <w:rsid w:val="00640F2C"/>
    <w:rsid w:val="00641371"/>
    <w:rsid w:val="0064270E"/>
    <w:rsid w:val="00642F2A"/>
    <w:rsid w:val="006438CC"/>
    <w:rsid w:val="00643CCD"/>
    <w:rsid w:val="00644A1D"/>
    <w:rsid w:val="00644A74"/>
    <w:rsid w:val="00645046"/>
    <w:rsid w:val="00645878"/>
    <w:rsid w:val="00646724"/>
    <w:rsid w:val="00650AEB"/>
    <w:rsid w:val="006518BF"/>
    <w:rsid w:val="00652C35"/>
    <w:rsid w:val="00652C95"/>
    <w:rsid w:val="006531E8"/>
    <w:rsid w:val="00654C92"/>
    <w:rsid w:val="00655183"/>
    <w:rsid w:val="00655E45"/>
    <w:rsid w:val="00662C2B"/>
    <w:rsid w:val="00663124"/>
    <w:rsid w:val="00663DDF"/>
    <w:rsid w:val="006656B5"/>
    <w:rsid w:val="00666E96"/>
    <w:rsid w:val="00670291"/>
    <w:rsid w:val="00672E68"/>
    <w:rsid w:val="00673511"/>
    <w:rsid w:val="00674DBF"/>
    <w:rsid w:val="00674E44"/>
    <w:rsid w:val="006756C2"/>
    <w:rsid w:val="00676A10"/>
    <w:rsid w:val="006801B0"/>
    <w:rsid w:val="00682016"/>
    <w:rsid w:val="00683088"/>
    <w:rsid w:val="00683AF4"/>
    <w:rsid w:val="006842C3"/>
    <w:rsid w:val="006858EA"/>
    <w:rsid w:val="00685D4B"/>
    <w:rsid w:val="00686B95"/>
    <w:rsid w:val="00692404"/>
    <w:rsid w:val="006938AB"/>
    <w:rsid w:val="00694EEC"/>
    <w:rsid w:val="00695C21"/>
    <w:rsid w:val="00696044"/>
    <w:rsid w:val="00696CE6"/>
    <w:rsid w:val="0069738B"/>
    <w:rsid w:val="006A37D7"/>
    <w:rsid w:val="006A3B93"/>
    <w:rsid w:val="006A4619"/>
    <w:rsid w:val="006A474C"/>
    <w:rsid w:val="006A5488"/>
    <w:rsid w:val="006A6A9B"/>
    <w:rsid w:val="006A6D5C"/>
    <w:rsid w:val="006B0F44"/>
    <w:rsid w:val="006B160B"/>
    <w:rsid w:val="006B1717"/>
    <w:rsid w:val="006B21AD"/>
    <w:rsid w:val="006B388B"/>
    <w:rsid w:val="006B3AAB"/>
    <w:rsid w:val="006B416E"/>
    <w:rsid w:val="006B427D"/>
    <w:rsid w:val="006B4CED"/>
    <w:rsid w:val="006B5F97"/>
    <w:rsid w:val="006B68A4"/>
    <w:rsid w:val="006B6AE8"/>
    <w:rsid w:val="006B6DE1"/>
    <w:rsid w:val="006B7E0C"/>
    <w:rsid w:val="006C0171"/>
    <w:rsid w:val="006C0768"/>
    <w:rsid w:val="006C0F62"/>
    <w:rsid w:val="006C12C8"/>
    <w:rsid w:val="006C26F8"/>
    <w:rsid w:val="006C2DF5"/>
    <w:rsid w:val="006C341A"/>
    <w:rsid w:val="006C36C0"/>
    <w:rsid w:val="006C3744"/>
    <w:rsid w:val="006C4C13"/>
    <w:rsid w:val="006C5B7F"/>
    <w:rsid w:val="006C63C4"/>
    <w:rsid w:val="006C6760"/>
    <w:rsid w:val="006C7042"/>
    <w:rsid w:val="006C76ED"/>
    <w:rsid w:val="006D00AA"/>
    <w:rsid w:val="006D035E"/>
    <w:rsid w:val="006D1F30"/>
    <w:rsid w:val="006D2784"/>
    <w:rsid w:val="006D363D"/>
    <w:rsid w:val="006D39F0"/>
    <w:rsid w:val="006D48CB"/>
    <w:rsid w:val="006D49D6"/>
    <w:rsid w:val="006D5297"/>
    <w:rsid w:val="006D69A5"/>
    <w:rsid w:val="006D77C4"/>
    <w:rsid w:val="006E02BB"/>
    <w:rsid w:val="006E0766"/>
    <w:rsid w:val="006E1443"/>
    <w:rsid w:val="006E2F8D"/>
    <w:rsid w:val="006E31ED"/>
    <w:rsid w:val="006E3642"/>
    <w:rsid w:val="006E3F1E"/>
    <w:rsid w:val="006E48AD"/>
    <w:rsid w:val="006E5EC9"/>
    <w:rsid w:val="006F0777"/>
    <w:rsid w:val="006F1127"/>
    <w:rsid w:val="006F17DC"/>
    <w:rsid w:val="006F2371"/>
    <w:rsid w:val="006F3632"/>
    <w:rsid w:val="006F5734"/>
    <w:rsid w:val="006F58EB"/>
    <w:rsid w:val="006F6565"/>
    <w:rsid w:val="006F7211"/>
    <w:rsid w:val="006F768F"/>
    <w:rsid w:val="0070062C"/>
    <w:rsid w:val="00700EBD"/>
    <w:rsid w:val="007019AA"/>
    <w:rsid w:val="007033CD"/>
    <w:rsid w:val="0070373B"/>
    <w:rsid w:val="00706095"/>
    <w:rsid w:val="0070614B"/>
    <w:rsid w:val="00706770"/>
    <w:rsid w:val="007078B0"/>
    <w:rsid w:val="007111F5"/>
    <w:rsid w:val="0071203D"/>
    <w:rsid w:val="0071379B"/>
    <w:rsid w:val="00714196"/>
    <w:rsid w:val="00720697"/>
    <w:rsid w:val="00720D46"/>
    <w:rsid w:val="00720E64"/>
    <w:rsid w:val="00720F63"/>
    <w:rsid w:val="00721639"/>
    <w:rsid w:val="00722159"/>
    <w:rsid w:val="00722389"/>
    <w:rsid w:val="00723783"/>
    <w:rsid w:val="00726729"/>
    <w:rsid w:val="0072678A"/>
    <w:rsid w:val="00726B27"/>
    <w:rsid w:val="00726DFD"/>
    <w:rsid w:val="007311E4"/>
    <w:rsid w:val="0073164A"/>
    <w:rsid w:val="007328D2"/>
    <w:rsid w:val="00735026"/>
    <w:rsid w:val="007366D0"/>
    <w:rsid w:val="007376C0"/>
    <w:rsid w:val="00740430"/>
    <w:rsid w:val="00740798"/>
    <w:rsid w:val="00740EAF"/>
    <w:rsid w:val="007419A8"/>
    <w:rsid w:val="00741D7C"/>
    <w:rsid w:val="00742C16"/>
    <w:rsid w:val="00745FC3"/>
    <w:rsid w:val="007473FD"/>
    <w:rsid w:val="007476A1"/>
    <w:rsid w:val="00747968"/>
    <w:rsid w:val="00750F9B"/>
    <w:rsid w:val="00750FC5"/>
    <w:rsid w:val="007511E1"/>
    <w:rsid w:val="007519A2"/>
    <w:rsid w:val="00752BE5"/>
    <w:rsid w:val="00753622"/>
    <w:rsid w:val="007537E8"/>
    <w:rsid w:val="00754266"/>
    <w:rsid w:val="00755A7D"/>
    <w:rsid w:val="00756963"/>
    <w:rsid w:val="00757FBA"/>
    <w:rsid w:val="00760032"/>
    <w:rsid w:val="00760827"/>
    <w:rsid w:val="007612EC"/>
    <w:rsid w:val="00762150"/>
    <w:rsid w:val="00763419"/>
    <w:rsid w:val="00765530"/>
    <w:rsid w:val="0076750C"/>
    <w:rsid w:val="007675C6"/>
    <w:rsid w:val="00770BA8"/>
    <w:rsid w:val="007713B1"/>
    <w:rsid w:val="00773695"/>
    <w:rsid w:val="00773D3C"/>
    <w:rsid w:val="00775D30"/>
    <w:rsid w:val="00776509"/>
    <w:rsid w:val="00776595"/>
    <w:rsid w:val="00777804"/>
    <w:rsid w:val="00780053"/>
    <w:rsid w:val="00780CCB"/>
    <w:rsid w:val="0078134B"/>
    <w:rsid w:val="00783FFD"/>
    <w:rsid w:val="00787E96"/>
    <w:rsid w:val="007923B8"/>
    <w:rsid w:val="007926FF"/>
    <w:rsid w:val="00792AE0"/>
    <w:rsid w:val="00792BA7"/>
    <w:rsid w:val="007936E0"/>
    <w:rsid w:val="007955CF"/>
    <w:rsid w:val="00796501"/>
    <w:rsid w:val="007A17BB"/>
    <w:rsid w:val="007A1F7B"/>
    <w:rsid w:val="007A56A1"/>
    <w:rsid w:val="007A6672"/>
    <w:rsid w:val="007B168A"/>
    <w:rsid w:val="007B2C4A"/>
    <w:rsid w:val="007B30D9"/>
    <w:rsid w:val="007B438E"/>
    <w:rsid w:val="007B4793"/>
    <w:rsid w:val="007B4ACE"/>
    <w:rsid w:val="007B658C"/>
    <w:rsid w:val="007B7581"/>
    <w:rsid w:val="007B7FD2"/>
    <w:rsid w:val="007C0AD3"/>
    <w:rsid w:val="007C0C92"/>
    <w:rsid w:val="007C1A7A"/>
    <w:rsid w:val="007C20D0"/>
    <w:rsid w:val="007C2CE8"/>
    <w:rsid w:val="007C3175"/>
    <w:rsid w:val="007C5B6C"/>
    <w:rsid w:val="007C68FC"/>
    <w:rsid w:val="007C6F96"/>
    <w:rsid w:val="007C7380"/>
    <w:rsid w:val="007C7526"/>
    <w:rsid w:val="007D09B3"/>
    <w:rsid w:val="007D1AD7"/>
    <w:rsid w:val="007D2F2B"/>
    <w:rsid w:val="007D3823"/>
    <w:rsid w:val="007D3B5C"/>
    <w:rsid w:val="007D4C2C"/>
    <w:rsid w:val="007D4F13"/>
    <w:rsid w:val="007D50A9"/>
    <w:rsid w:val="007D6600"/>
    <w:rsid w:val="007D77FB"/>
    <w:rsid w:val="007E0062"/>
    <w:rsid w:val="007E023A"/>
    <w:rsid w:val="007E302E"/>
    <w:rsid w:val="007E4992"/>
    <w:rsid w:val="007E5DE1"/>
    <w:rsid w:val="007E602C"/>
    <w:rsid w:val="007E72F2"/>
    <w:rsid w:val="007E75B6"/>
    <w:rsid w:val="007F0543"/>
    <w:rsid w:val="007F0AAA"/>
    <w:rsid w:val="007F1DBA"/>
    <w:rsid w:val="007F376C"/>
    <w:rsid w:val="007F53BA"/>
    <w:rsid w:val="007F75DC"/>
    <w:rsid w:val="007F76DA"/>
    <w:rsid w:val="008006BC"/>
    <w:rsid w:val="008007CA"/>
    <w:rsid w:val="008020E7"/>
    <w:rsid w:val="008024EF"/>
    <w:rsid w:val="00802ACD"/>
    <w:rsid w:val="00803913"/>
    <w:rsid w:val="00803B6A"/>
    <w:rsid w:val="00804BE1"/>
    <w:rsid w:val="008051AE"/>
    <w:rsid w:val="00805F36"/>
    <w:rsid w:val="008063BA"/>
    <w:rsid w:val="00806A0E"/>
    <w:rsid w:val="00806C7F"/>
    <w:rsid w:val="0080760B"/>
    <w:rsid w:val="008125BE"/>
    <w:rsid w:val="0081461C"/>
    <w:rsid w:val="00814D5E"/>
    <w:rsid w:val="00814F62"/>
    <w:rsid w:val="0081581D"/>
    <w:rsid w:val="00816C6B"/>
    <w:rsid w:val="00817466"/>
    <w:rsid w:val="00817E83"/>
    <w:rsid w:val="00820012"/>
    <w:rsid w:val="00822CF5"/>
    <w:rsid w:val="00823AB7"/>
    <w:rsid w:val="00823FB3"/>
    <w:rsid w:val="0082664A"/>
    <w:rsid w:val="008268AE"/>
    <w:rsid w:val="00826949"/>
    <w:rsid w:val="00827B50"/>
    <w:rsid w:val="00830490"/>
    <w:rsid w:val="00832BC0"/>
    <w:rsid w:val="00832ECA"/>
    <w:rsid w:val="00834F24"/>
    <w:rsid w:val="008359ED"/>
    <w:rsid w:val="00836331"/>
    <w:rsid w:val="00837B41"/>
    <w:rsid w:val="00837F94"/>
    <w:rsid w:val="00840703"/>
    <w:rsid w:val="00840C24"/>
    <w:rsid w:val="00840E44"/>
    <w:rsid w:val="00842FA2"/>
    <w:rsid w:val="008436F9"/>
    <w:rsid w:val="00844DA9"/>
    <w:rsid w:val="008504FC"/>
    <w:rsid w:val="008506EE"/>
    <w:rsid w:val="00851249"/>
    <w:rsid w:val="00851B56"/>
    <w:rsid w:val="008520C4"/>
    <w:rsid w:val="00853BB3"/>
    <w:rsid w:val="00854431"/>
    <w:rsid w:val="0085657E"/>
    <w:rsid w:val="00857B6F"/>
    <w:rsid w:val="00861049"/>
    <w:rsid w:val="00861550"/>
    <w:rsid w:val="00861633"/>
    <w:rsid w:val="00862B64"/>
    <w:rsid w:val="00863673"/>
    <w:rsid w:val="00863E1B"/>
    <w:rsid w:val="00865147"/>
    <w:rsid w:val="00865EA2"/>
    <w:rsid w:val="008712A4"/>
    <w:rsid w:val="0087221E"/>
    <w:rsid w:val="00874546"/>
    <w:rsid w:val="00874D30"/>
    <w:rsid w:val="00874F55"/>
    <w:rsid w:val="00875191"/>
    <w:rsid w:val="008807A7"/>
    <w:rsid w:val="0088142F"/>
    <w:rsid w:val="008816A9"/>
    <w:rsid w:val="00881A57"/>
    <w:rsid w:val="0088335E"/>
    <w:rsid w:val="00886449"/>
    <w:rsid w:val="00887EB2"/>
    <w:rsid w:val="008909FE"/>
    <w:rsid w:val="00890B48"/>
    <w:rsid w:val="008915DE"/>
    <w:rsid w:val="00893CA0"/>
    <w:rsid w:val="00894F3A"/>
    <w:rsid w:val="00896207"/>
    <w:rsid w:val="00896FF6"/>
    <w:rsid w:val="00897FFC"/>
    <w:rsid w:val="008A0242"/>
    <w:rsid w:val="008A058A"/>
    <w:rsid w:val="008A1808"/>
    <w:rsid w:val="008A19F2"/>
    <w:rsid w:val="008A25EB"/>
    <w:rsid w:val="008A357B"/>
    <w:rsid w:val="008B00D5"/>
    <w:rsid w:val="008B0167"/>
    <w:rsid w:val="008B158E"/>
    <w:rsid w:val="008B17C8"/>
    <w:rsid w:val="008B2299"/>
    <w:rsid w:val="008B5268"/>
    <w:rsid w:val="008B6235"/>
    <w:rsid w:val="008B7D07"/>
    <w:rsid w:val="008C02F6"/>
    <w:rsid w:val="008C0645"/>
    <w:rsid w:val="008C08E6"/>
    <w:rsid w:val="008C0D93"/>
    <w:rsid w:val="008C16A6"/>
    <w:rsid w:val="008C3198"/>
    <w:rsid w:val="008C3667"/>
    <w:rsid w:val="008C43DE"/>
    <w:rsid w:val="008C4BC8"/>
    <w:rsid w:val="008C7D18"/>
    <w:rsid w:val="008D063C"/>
    <w:rsid w:val="008D14C4"/>
    <w:rsid w:val="008D3F74"/>
    <w:rsid w:val="008D4638"/>
    <w:rsid w:val="008D478B"/>
    <w:rsid w:val="008D580B"/>
    <w:rsid w:val="008D778D"/>
    <w:rsid w:val="008E009C"/>
    <w:rsid w:val="008E0363"/>
    <w:rsid w:val="008E198A"/>
    <w:rsid w:val="008E1AAB"/>
    <w:rsid w:val="008E326F"/>
    <w:rsid w:val="008E5332"/>
    <w:rsid w:val="008E5E76"/>
    <w:rsid w:val="008E5F3F"/>
    <w:rsid w:val="008F2799"/>
    <w:rsid w:val="008F2BB9"/>
    <w:rsid w:val="008F2C78"/>
    <w:rsid w:val="008F2FC4"/>
    <w:rsid w:val="008F377C"/>
    <w:rsid w:val="008F50EE"/>
    <w:rsid w:val="008F5320"/>
    <w:rsid w:val="008F5587"/>
    <w:rsid w:val="008F5A3B"/>
    <w:rsid w:val="00900061"/>
    <w:rsid w:val="00900E91"/>
    <w:rsid w:val="009013E9"/>
    <w:rsid w:val="0090243E"/>
    <w:rsid w:val="0090268E"/>
    <w:rsid w:val="00903E5E"/>
    <w:rsid w:val="00905329"/>
    <w:rsid w:val="00906751"/>
    <w:rsid w:val="009068F9"/>
    <w:rsid w:val="00907465"/>
    <w:rsid w:val="0090774D"/>
    <w:rsid w:val="00910990"/>
    <w:rsid w:val="00911237"/>
    <w:rsid w:val="0091345D"/>
    <w:rsid w:val="00913BDC"/>
    <w:rsid w:val="0091410F"/>
    <w:rsid w:val="00914F4B"/>
    <w:rsid w:val="0091507F"/>
    <w:rsid w:val="00915DF6"/>
    <w:rsid w:val="00916820"/>
    <w:rsid w:val="009172D6"/>
    <w:rsid w:val="009204D0"/>
    <w:rsid w:val="009205CF"/>
    <w:rsid w:val="00920E6B"/>
    <w:rsid w:val="00921374"/>
    <w:rsid w:val="00922AA2"/>
    <w:rsid w:val="00925301"/>
    <w:rsid w:val="00925DD1"/>
    <w:rsid w:val="009275F0"/>
    <w:rsid w:val="009302EF"/>
    <w:rsid w:val="009308A0"/>
    <w:rsid w:val="00931725"/>
    <w:rsid w:val="009329A9"/>
    <w:rsid w:val="00933F0C"/>
    <w:rsid w:val="00933FE0"/>
    <w:rsid w:val="009344EC"/>
    <w:rsid w:val="0093562C"/>
    <w:rsid w:val="00936E5A"/>
    <w:rsid w:val="0093757B"/>
    <w:rsid w:val="00937FCB"/>
    <w:rsid w:val="00940D9E"/>
    <w:rsid w:val="00941227"/>
    <w:rsid w:val="00941E26"/>
    <w:rsid w:val="0094233A"/>
    <w:rsid w:val="00942712"/>
    <w:rsid w:val="00943ED0"/>
    <w:rsid w:val="0094500A"/>
    <w:rsid w:val="00946232"/>
    <w:rsid w:val="0094677C"/>
    <w:rsid w:val="00946AB4"/>
    <w:rsid w:val="009474C9"/>
    <w:rsid w:val="0094770B"/>
    <w:rsid w:val="00947989"/>
    <w:rsid w:val="0095027F"/>
    <w:rsid w:val="00950355"/>
    <w:rsid w:val="00950B38"/>
    <w:rsid w:val="009531BF"/>
    <w:rsid w:val="009560C6"/>
    <w:rsid w:val="00956441"/>
    <w:rsid w:val="00956EC4"/>
    <w:rsid w:val="00957E6D"/>
    <w:rsid w:val="009601AD"/>
    <w:rsid w:val="00961AFE"/>
    <w:rsid w:val="00962088"/>
    <w:rsid w:val="00965142"/>
    <w:rsid w:val="009654D3"/>
    <w:rsid w:val="00966461"/>
    <w:rsid w:val="009676EC"/>
    <w:rsid w:val="00967FB9"/>
    <w:rsid w:val="00970626"/>
    <w:rsid w:val="0097139C"/>
    <w:rsid w:val="0097181D"/>
    <w:rsid w:val="00973655"/>
    <w:rsid w:val="0097437A"/>
    <w:rsid w:val="00974AA2"/>
    <w:rsid w:val="00974B09"/>
    <w:rsid w:val="00977A35"/>
    <w:rsid w:val="00981891"/>
    <w:rsid w:val="0098242C"/>
    <w:rsid w:val="00984F5F"/>
    <w:rsid w:val="00984FCC"/>
    <w:rsid w:val="0098696C"/>
    <w:rsid w:val="00986B9B"/>
    <w:rsid w:val="00987088"/>
    <w:rsid w:val="009876F9"/>
    <w:rsid w:val="00987CB2"/>
    <w:rsid w:val="00991954"/>
    <w:rsid w:val="00991A59"/>
    <w:rsid w:val="009957F3"/>
    <w:rsid w:val="00995C53"/>
    <w:rsid w:val="00996393"/>
    <w:rsid w:val="00996A77"/>
    <w:rsid w:val="00996F6A"/>
    <w:rsid w:val="009A3247"/>
    <w:rsid w:val="009A3C22"/>
    <w:rsid w:val="009A3CC5"/>
    <w:rsid w:val="009A616B"/>
    <w:rsid w:val="009A63DB"/>
    <w:rsid w:val="009A6F79"/>
    <w:rsid w:val="009A7500"/>
    <w:rsid w:val="009A7A25"/>
    <w:rsid w:val="009B2321"/>
    <w:rsid w:val="009B3263"/>
    <w:rsid w:val="009B3710"/>
    <w:rsid w:val="009B4590"/>
    <w:rsid w:val="009B592D"/>
    <w:rsid w:val="009B5DA8"/>
    <w:rsid w:val="009B6726"/>
    <w:rsid w:val="009B7626"/>
    <w:rsid w:val="009C0DD2"/>
    <w:rsid w:val="009C3136"/>
    <w:rsid w:val="009C37C7"/>
    <w:rsid w:val="009C4523"/>
    <w:rsid w:val="009C4AD6"/>
    <w:rsid w:val="009C5723"/>
    <w:rsid w:val="009C65E9"/>
    <w:rsid w:val="009C7C6A"/>
    <w:rsid w:val="009D0B59"/>
    <w:rsid w:val="009D19E8"/>
    <w:rsid w:val="009D1A2A"/>
    <w:rsid w:val="009D3EDD"/>
    <w:rsid w:val="009D576E"/>
    <w:rsid w:val="009D5BC4"/>
    <w:rsid w:val="009D5C6F"/>
    <w:rsid w:val="009E051F"/>
    <w:rsid w:val="009E0A98"/>
    <w:rsid w:val="009E113D"/>
    <w:rsid w:val="009E1BC4"/>
    <w:rsid w:val="009E1FEE"/>
    <w:rsid w:val="009E306E"/>
    <w:rsid w:val="009E39E7"/>
    <w:rsid w:val="009E5503"/>
    <w:rsid w:val="009F02CD"/>
    <w:rsid w:val="009F08CC"/>
    <w:rsid w:val="009F096C"/>
    <w:rsid w:val="009F0981"/>
    <w:rsid w:val="009F0A34"/>
    <w:rsid w:val="009F0AC8"/>
    <w:rsid w:val="009F0B91"/>
    <w:rsid w:val="009F0DB6"/>
    <w:rsid w:val="009F224B"/>
    <w:rsid w:val="009F28EC"/>
    <w:rsid w:val="009F29B1"/>
    <w:rsid w:val="009F2A6B"/>
    <w:rsid w:val="009F30E6"/>
    <w:rsid w:val="009F6C32"/>
    <w:rsid w:val="009F725E"/>
    <w:rsid w:val="009F7625"/>
    <w:rsid w:val="00A036AF"/>
    <w:rsid w:val="00A046F0"/>
    <w:rsid w:val="00A06522"/>
    <w:rsid w:val="00A07B25"/>
    <w:rsid w:val="00A11A3B"/>
    <w:rsid w:val="00A14345"/>
    <w:rsid w:val="00A148A6"/>
    <w:rsid w:val="00A1544F"/>
    <w:rsid w:val="00A15ABB"/>
    <w:rsid w:val="00A16B04"/>
    <w:rsid w:val="00A17E70"/>
    <w:rsid w:val="00A21732"/>
    <w:rsid w:val="00A2209B"/>
    <w:rsid w:val="00A228DC"/>
    <w:rsid w:val="00A22C01"/>
    <w:rsid w:val="00A2300B"/>
    <w:rsid w:val="00A24116"/>
    <w:rsid w:val="00A25214"/>
    <w:rsid w:val="00A25243"/>
    <w:rsid w:val="00A2644D"/>
    <w:rsid w:val="00A277AF"/>
    <w:rsid w:val="00A27FE9"/>
    <w:rsid w:val="00A30B0E"/>
    <w:rsid w:val="00A319E6"/>
    <w:rsid w:val="00A324CB"/>
    <w:rsid w:val="00A32AA3"/>
    <w:rsid w:val="00A34355"/>
    <w:rsid w:val="00A407C8"/>
    <w:rsid w:val="00A42395"/>
    <w:rsid w:val="00A43563"/>
    <w:rsid w:val="00A4421D"/>
    <w:rsid w:val="00A4582B"/>
    <w:rsid w:val="00A459A0"/>
    <w:rsid w:val="00A45CAB"/>
    <w:rsid w:val="00A45F12"/>
    <w:rsid w:val="00A46FCD"/>
    <w:rsid w:val="00A50607"/>
    <w:rsid w:val="00A511DC"/>
    <w:rsid w:val="00A51459"/>
    <w:rsid w:val="00A529E7"/>
    <w:rsid w:val="00A54A12"/>
    <w:rsid w:val="00A54BCC"/>
    <w:rsid w:val="00A54EC8"/>
    <w:rsid w:val="00A563DA"/>
    <w:rsid w:val="00A56F63"/>
    <w:rsid w:val="00A570E1"/>
    <w:rsid w:val="00A600FE"/>
    <w:rsid w:val="00A6072E"/>
    <w:rsid w:val="00A60F99"/>
    <w:rsid w:val="00A61C35"/>
    <w:rsid w:val="00A62E97"/>
    <w:rsid w:val="00A62FAF"/>
    <w:rsid w:val="00A63743"/>
    <w:rsid w:val="00A63BD7"/>
    <w:rsid w:val="00A649E8"/>
    <w:rsid w:val="00A71508"/>
    <w:rsid w:val="00A7170B"/>
    <w:rsid w:val="00A7170F"/>
    <w:rsid w:val="00A71B11"/>
    <w:rsid w:val="00A71E9F"/>
    <w:rsid w:val="00A721EE"/>
    <w:rsid w:val="00A74AA8"/>
    <w:rsid w:val="00A751B2"/>
    <w:rsid w:val="00A76549"/>
    <w:rsid w:val="00A769A5"/>
    <w:rsid w:val="00A77BC5"/>
    <w:rsid w:val="00A80483"/>
    <w:rsid w:val="00A8051A"/>
    <w:rsid w:val="00A817F3"/>
    <w:rsid w:val="00A81926"/>
    <w:rsid w:val="00A81E1C"/>
    <w:rsid w:val="00A82E8C"/>
    <w:rsid w:val="00A830B0"/>
    <w:rsid w:val="00A87DEB"/>
    <w:rsid w:val="00A90815"/>
    <w:rsid w:val="00A90FD9"/>
    <w:rsid w:val="00A91A31"/>
    <w:rsid w:val="00A92256"/>
    <w:rsid w:val="00A922F0"/>
    <w:rsid w:val="00A940BA"/>
    <w:rsid w:val="00A9689C"/>
    <w:rsid w:val="00A96BD2"/>
    <w:rsid w:val="00A97B91"/>
    <w:rsid w:val="00AA0B42"/>
    <w:rsid w:val="00AA37E2"/>
    <w:rsid w:val="00AA7776"/>
    <w:rsid w:val="00AB0C58"/>
    <w:rsid w:val="00AB1BBC"/>
    <w:rsid w:val="00AB2645"/>
    <w:rsid w:val="00AB31A2"/>
    <w:rsid w:val="00AB4ADA"/>
    <w:rsid w:val="00AB681D"/>
    <w:rsid w:val="00AB692C"/>
    <w:rsid w:val="00AB6D15"/>
    <w:rsid w:val="00AC0806"/>
    <w:rsid w:val="00AC1224"/>
    <w:rsid w:val="00AC2C16"/>
    <w:rsid w:val="00AC305C"/>
    <w:rsid w:val="00AC3895"/>
    <w:rsid w:val="00AC5663"/>
    <w:rsid w:val="00AC78F5"/>
    <w:rsid w:val="00AC7CE2"/>
    <w:rsid w:val="00AD0FD5"/>
    <w:rsid w:val="00AD2E71"/>
    <w:rsid w:val="00AD300F"/>
    <w:rsid w:val="00AD37C6"/>
    <w:rsid w:val="00AD6315"/>
    <w:rsid w:val="00AD6CA7"/>
    <w:rsid w:val="00AD6CF7"/>
    <w:rsid w:val="00AE0BF7"/>
    <w:rsid w:val="00AE1CFE"/>
    <w:rsid w:val="00AE2169"/>
    <w:rsid w:val="00AE243B"/>
    <w:rsid w:val="00AE361F"/>
    <w:rsid w:val="00AE376E"/>
    <w:rsid w:val="00AE3FEB"/>
    <w:rsid w:val="00AE45D9"/>
    <w:rsid w:val="00AE4CFA"/>
    <w:rsid w:val="00AE54E5"/>
    <w:rsid w:val="00AE5C03"/>
    <w:rsid w:val="00AE679D"/>
    <w:rsid w:val="00AE6922"/>
    <w:rsid w:val="00AE7D81"/>
    <w:rsid w:val="00AE7E7A"/>
    <w:rsid w:val="00AF007E"/>
    <w:rsid w:val="00AF08EF"/>
    <w:rsid w:val="00AF2739"/>
    <w:rsid w:val="00AF6F0A"/>
    <w:rsid w:val="00AF742F"/>
    <w:rsid w:val="00AF7C28"/>
    <w:rsid w:val="00AF7F5E"/>
    <w:rsid w:val="00B00CA6"/>
    <w:rsid w:val="00B00FFC"/>
    <w:rsid w:val="00B025DC"/>
    <w:rsid w:val="00B0271F"/>
    <w:rsid w:val="00B028C5"/>
    <w:rsid w:val="00B034B5"/>
    <w:rsid w:val="00B03657"/>
    <w:rsid w:val="00B04976"/>
    <w:rsid w:val="00B06852"/>
    <w:rsid w:val="00B06D9A"/>
    <w:rsid w:val="00B07832"/>
    <w:rsid w:val="00B10C38"/>
    <w:rsid w:val="00B10EB2"/>
    <w:rsid w:val="00B11036"/>
    <w:rsid w:val="00B1189B"/>
    <w:rsid w:val="00B1194B"/>
    <w:rsid w:val="00B11A69"/>
    <w:rsid w:val="00B15E96"/>
    <w:rsid w:val="00B17EB7"/>
    <w:rsid w:val="00B17FB8"/>
    <w:rsid w:val="00B20267"/>
    <w:rsid w:val="00B206BA"/>
    <w:rsid w:val="00B2087F"/>
    <w:rsid w:val="00B2228A"/>
    <w:rsid w:val="00B23363"/>
    <w:rsid w:val="00B23550"/>
    <w:rsid w:val="00B2383A"/>
    <w:rsid w:val="00B24BA0"/>
    <w:rsid w:val="00B25C08"/>
    <w:rsid w:val="00B261B1"/>
    <w:rsid w:val="00B301A9"/>
    <w:rsid w:val="00B30490"/>
    <w:rsid w:val="00B31057"/>
    <w:rsid w:val="00B31239"/>
    <w:rsid w:val="00B31AFC"/>
    <w:rsid w:val="00B32B17"/>
    <w:rsid w:val="00B32EF8"/>
    <w:rsid w:val="00B33090"/>
    <w:rsid w:val="00B33374"/>
    <w:rsid w:val="00B34AB6"/>
    <w:rsid w:val="00B3515D"/>
    <w:rsid w:val="00B3571D"/>
    <w:rsid w:val="00B35841"/>
    <w:rsid w:val="00B35DB1"/>
    <w:rsid w:val="00B36220"/>
    <w:rsid w:val="00B365B2"/>
    <w:rsid w:val="00B36EE1"/>
    <w:rsid w:val="00B377F7"/>
    <w:rsid w:val="00B400C3"/>
    <w:rsid w:val="00B413DD"/>
    <w:rsid w:val="00B423B4"/>
    <w:rsid w:val="00B4385C"/>
    <w:rsid w:val="00B43A90"/>
    <w:rsid w:val="00B44176"/>
    <w:rsid w:val="00B44764"/>
    <w:rsid w:val="00B4495B"/>
    <w:rsid w:val="00B50A53"/>
    <w:rsid w:val="00B52686"/>
    <w:rsid w:val="00B52DD3"/>
    <w:rsid w:val="00B52FB5"/>
    <w:rsid w:val="00B54660"/>
    <w:rsid w:val="00B555BA"/>
    <w:rsid w:val="00B6006D"/>
    <w:rsid w:val="00B618CE"/>
    <w:rsid w:val="00B61AD9"/>
    <w:rsid w:val="00B642E7"/>
    <w:rsid w:val="00B64AA0"/>
    <w:rsid w:val="00B660AD"/>
    <w:rsid w:val="00B70C1B"/>
    <w:rsid w:val="00B71A41"/>
    <w:rsid w:val="00B71C7F"/>
    <w:rsid w:val="00B729E9"/>
    <w:rsid w:val="00B72D0E"/>
    <w:rsid w:val="00B74EDE"/>
    <w:rsid w:val="00B77301"/>
    <w:rsid w:val="00B77A41"/>
    <w:rsid w:val="00B77FB7"/>
    <w:rsid w:val="00B800C8"/>
    <w:rsid w:val="00B8049B"/>
    <w:rsid w:val="00B805CE"/>
    <w:rsid w:val="00B80AB7"/>
    <w:rsid w:val="00B82C98"/>
    <w:rsid w:val="00B834B7"/>
    <w:rsid w:val="00B8350F"/>
    <w:rsid w:val="00B83661"/>
    <w:rsid w:val="00B840E7"/>
    <w:rsid w:val="00B84680"/>
    <w:rsid w:val="00B84822"/>
    <w:rsid w:val="00B8527B"/>
    <w:rsid w:val="00B8568A"/>
    <w:rsid w:val="00B85E59"/>
    <w:rsid w:val="00B86A9C"/>
    <w:rsid w:val="00B9086F"/>
    <w:rsid w:val="00B90F26"/>
    <w:rsid w:val="00B915DB"/>
    <w:rsid w:val="00B918FB"/>
    <w:rsid w:val="00B921BC"/>
    <w:rsid w:val="00B9390F"/>
    <w:rsid w:val="00B9584C"/>
    <w:rsid w:val="00B96CB7"/>
    <w:rsid w:val="00B96DF0"/>
    <w:rsid w:val="00BA0838"/>
    <w:rsid w:val="00BA2737"/>
    <w:rsid w:val="00BA3A23"/>
    <w:rsid w:val="00BA4275"/>
    <w:rsid w:val="00BA47E0"/>
    <w:rsid w:val="00BA47F6"/>
    <w:rsid w:val="00BA48C7"/>
    <w:rsid w:val="00BA5BE4"/>
    <w:rsid w:val="00BA672D"/>
    <w:rsid w:val="00BA6EE2"/>
    <w:rsid w:val="00BA7021"/>
    <w:rsid w:val="00BA75FA"/>
    <w:rsid w:val="00BB1586"/>
    <w:rsid w:val="00BB1740"/>
    <w:rsid w:val="00BB2D21"/>
    <w:rsid w:val="00BB2FF8"/>
    <w:rsid w:val="00BB45D5"/>
    <w:rsid w:val="00BB5E7C"/>
    <w:rsid w:val="00BB74E6"/>
    <w:rsid w:val="00BC1B90"/>
    <w:rsid w:val="00BC4B64"/>
    <w:rsid w:val="00BD01AD"/>
    <w:rsid w:val="00BD153F"/>
    <w:rsid w:val="00BD4409"/>
    <w:rsid w:val="00BD5693"/>
    <w:rsid w:val="00BE089F"/>
    <w:rsid w:val="00BE123E"/>
    <w:rsid w:val="00BE1826"/>
    <w:rsid w:val="00BE288A"/>
    <w:rsid w:val="00BE394F"/>
    <w:rsid w:val="00BE4314"/>
    <w:rsid w:val="00BE51B8"/>
    <w:rsid w:val="00BE711C"/>
    <w:rsid w:val="00BE72A7"/>
    <w:rsid w:val="00BF007F"/>
    <w:rsid w:val="00BF060A"/>
    <w:rsid w:val="00BF1E6B"/>
    <w:rsid w:val="00BF1E96"/>
    <w:rsid w:val="00BF3767"/>
    <w:rsid w:val="00BF5602"/>
    <w:rsid w:val="00BF5A59"/>
    <w:rsid w:val="00BF5AA8"/>
    <w:rsid w:val="00BF7E77"/>
    <w:rsid w:val="00C006B5"/>
    <w:rsid w:val="00C00C3B"/>
    <w:rsid w:val="00C00E5E"/>
    <w:rsid w:val="00C01F50"/>
    <w:rsid w:val="00C04E15"/>
    <w:rsid w:val="00C04E5D"/>
    <w:rsid w:val="00C06022"/>
    <w:rsid w:val="00C07530"/>
    <w:rsid w:val="00C10FFF"/>
    <w:rsid w:val="00C110FA"/>
    <w:rsid w:val="00C12429"/>
    <w:rsid w:val="00C13549"/>
    <w:rsid w:val="00C13AB4"/>
    <w:rsid w:val="00C14722"/>
    <w:rsid w:val="00C16CB0"/>
    <w:rsid w:val="00C20220"/>
    <w:rsid w:val="00C22A0D"/>
    <w:rsid w:val="00C22E58"/>
    <w:rsid w:val="00C23483"/>
    <w:rsid w:val="00C237F3"/>
    <w:rsid w:val="00C241DD"/>
    <w:rsid w:val="00C24CE7"/>
    <w:rsid w:val="00C257A4"/>
    <w:rsid w:val="00C27699"/>
    <w:rsid w:val="00C2777E"/>
    <w:rsid w:val="00C30D0C"/>
    <w:rsid w:val="00C326A9"/>
    <w:rsid w:val="00C32B43"/>
    <w:rsid w:val="00C3306B"/>
    <w:rsid w:val="00C34EBF"/>
    <w:rsid w:val="00C37854"/>
    <w:rsid w:val="00C401E0"/>
    <w:rsid w:val="00C40E33"/>
    <w:rsid w:val="00C4148C"/>
    <w:rsid w:val="00C4320E"/>
    <w:rsid w:val="00C4351E"/>
    <w:rsid w:val="00C45B18"/>
    <w:rsid w:val="00C45EBB"/>
    <w:rsid w:val="00C50F0E"/>
    <w:rsid w:val="00C52A4D"/>
    <w:rsid w:val="00C53033"/>
    <w:rsid w:val="00C5317F"/>
    <w:rsid w:val="00C565F7"/>
    <w:rsid w:val="00C56E20"/>
    <w:rsid w:val="00C57218"/>
    <w:rsid w:val="00C573E8"/>
    <w:rsid w:val="00C57C17"/>
    <w:rsid w:val="00C60094"/>
    <w:rsid w:val="00C607A4"/>
    <w:rsid w:val="00C60895"/>
    <w:rsid w:val="00C616E9"/>
    <w:rsid w:val="00C62E8C"/>
    <w:rsid w:val="00C63396"/>
    <w:rsid w:val="00C63ED2"/>
    <w:rsid w:val="00C65F99"/>
    <w:rsid w:val="00C67ABB"/>
    <w:rsid w:val="00C71441"/>
    <w:rsid w:val="00C71534"/>
    <w:rsid w:val="00C71AF4"/>
    <w:rsid w:val="00C71DF5"/>
    <w:rsid w:val="00C73DED"/>
    <w:rsid w:val="00C73F6A"/>
    <w:rsid w:val="00C740BF"/>
    <w:rsid w:val="00C7425A"/>
    <w:rsid w:val="00C74DA8"/>
    <w:rsid w:val="00C7560C"/>
    <w:rsid w:val="00C75B0B"/>
    <w:rsid w:val="00C76909"/>
    <w:rsid w:val="00C80011"/>
    <w:rsid w:val="00C80594"/>
    <w:rsid w:val="00C82317"/>
    <w:rsid w:val="00C83D02"/>
    <w:rsid w:val="00C92EEE"/>
    <w:rsid w:val="00C94327"/>
    <w:rsid w:val="00C94A4F"/>
    <w:rsid w:val="00C94B2B"/>
    <w:rsid w:val="00C95AE3"/>
    <w:rsid w:val="00C95D38"/>
    <w:rsid w:val="00C9728A"/>
    <w:rsid w:val="00C97670"/>
    <w:rsid w:val="00C97A24"/>
    <w:rsid w:val="00C97E10"/>
    <w:rsid w:val="00CA0AF7"/>
    <w:rsid w:val="00CA0ECC"/>
    <w:rsid w:val="00CA109A"/>
    <w:rsid w:val="00CA2715"/>
    <w:rsid w:val="00CA3567"/>
    <w:rsid w:val="00CA35AC"/>
    <w:rsid w:val="00CA41C3"/>
    <w:rsid w:val="00CA575C"/>
    <w:rsid w:val="00CB0652"/>
    <w:rsid w:val="00CB0F14"/>
    <w:rsid w:val="00CB129C"/>
    <w:rsid w:val="00CB12E0"/>
    <w:rsid w:val="00CB14C5"/>
    <w:rsid w:val="00CB2867"/>
    <w:rsid w:val="00CB3FC5"/>
    <w:rsid w:val="00CB4816"/>
    <w:rsid w:val="00CB50C7"/>
    <w:rsid w:val="00CC24F3"/>
    <w:rsid w:val="00CC282B"/>
    <w:rsid w:val="00CC3B03"/>
    <w:rsid w:val="00CC5CA3"/>
    <w:rsid w:val="00CD1114"/>
    <w:rsid w:val="00CD1B59"/>
    <w:rsid w:val="00CD3550"/>
    <w:rsid w:val="00CD3D52"/>
    <w:rsid w:val="00CD4B58"/>
    <w:rsid w:val="00CD504F"/>
    <w:rsid w:val="00CD5311"/>
    <w:rsid w:val="00CD7314"/>
    <w:rsid w:val="00CD7ACA"/>
    <w:rsid w:val="00CE033B"/>
    <w:rsid w:val="00CE1CD0"/>
    <w:rsid w:val="00CE23D7"/>
    <w:rsid w:val="00CE399A"/>
    <w:rsid w:val="00CE7FA5"/>
    <w:rsid w:val="00CF069E"/>
    <w:rsid w:val="00CF0916"/>
    <w:rsid w:val="00CF0E70"/>
    <w:rsid w:val="00CF1028"/>
    <w:rsid w:val="00CF1720"/>
    <w:rsid w:val="00CF175C"/>
    <w:rsid w:val="00CF18D7"/>
    <w:rsid w:val="00CF1946"/>
    <w:rsid w:val="00CF4093"/>
    <w:rsid w:val="00CF4EBA"/>
    <w:rsid w:val="00CF5D0A"/>
    <w:rsid w:val="00CF69BB"/>
    <w:rsid w:val="00CF78F4"/>
    <w:rsid w:val="00D00980"/>
    <w:rsid w:val="00D01B71"/>
    <w:rsid w:val="00D032B0"/>
    <w:rsid w:val="00D034B3"/>
    <w:rsid w:val="00D0439F"/>
    <w:rsid w:val="00D06707"/>
    <w:rsid w:val="00D06E6E"/>
    <w:rsid w:val="00D1126D"/>
    <w:rsid w:val="00D12248"/>
    <w:rsid w:val="00D142E0"/>
    <w:rsid w:val="00D15AAE"/>
    <w:rsid w:val="00D15BDD"/>
    <w:rsid w:val="00D163B3"/>
    <w:rsid w:val="00D16D13"/>
    <w:rsid w:val="00D171F6"/>
    <w:rsid w:val="00D21384"/>
    <w:rsid w:val="00D23356"/>
    <w:rsid w:val="00D239F4"/>
    <w:rsid w:val="00D23F18"/>
    <w:rsid w:val="00D25610"/>
    <w:rsid w:val="00D25A16"/>
    <w:rsid w:val="00D26F09"/>
    <w:rsid w:val="00D310AE"/>
    <w:rsid w:val="00D311C0"/>
    <w:rsid w:val="00D3232D"/>
    <w:rsid w:val="00D330EF"/>
    <w:rsid w:val="00D33113"/>
    <w:rsid w:val="00D33A97"/>
    <w:rsid w:val="00D370E6"/>
    <w:rsid w:val="00D37881"/>
    <w:rsid w:val="00D41A44"/>
    <w:rsid w:val="00D41DFB"/>
    <w:rsid w:val="00D445B1"/>
    <w:rsid w:val="00D446FB"/>
    <w:rsid w:val="00D446FE"/>
    <w:rsid w:val="00D44E86"/>
    <w:rsid w:val="00D460FB"/>
    <w:rsid w:val="00D4627D"/>
    <w:rsid w:val="00D469E2"/>
    <w:rsid w:val="00D47219"/>
    <w:rsid w:val="00D47D25"/>
    <w:rsid w:val="00D503D0"/>
    <w:rsid w:val="00D50A3C"/>
    <w:rsid w:val="00D51029"/>
    <w:rsid w:val="00D51104"/>
    <w:rsid w:val="00D51863"/>
    <w:rsid w:val="00D51ED1"/>
    <w:rsid w:val="00D53937"/>
    <w:rsid w:val="00D54A16"/>
    <w:rsid w:val="00D54A34"/>
    <w:rsid w:val="00D54E2E"/>
    <w:rsid w:val="00D608CE"/>
    <w:rsid w:val="00D613F3"/>
    <w:rsid w:val="00D6174A"/>
    <w:rsid w:val="00D61AC6"/>
    <w:rsid w:val="00D62754"/>
    <w:rsid w:val="00D62826"/>
    <w:rsid w:val="00D66470"/>
    <w:rsid w:val="00D702BA"/>
    <w:rsid w:val="00D70C50"/>
    <w:rsid w:val="00D71524"/>
    <w:rsid w:val="00D716B4"/>
    <w:rsid w:val="00D71B04"/>
    <w:rsid w:val="00D72007"/>
    <w:rsid w:val="00D732C3"/>
    <w:rsid w:val="00D7337B"/>
    <w:rsid w:val="00D73A8D"/>
    <w:rsid w:val="00D74751"/>
    <w:rsid w:val="00D76B93"/>
    <w:rsid w:val="00D76DED"/>
    <w:rsid w:val="00D7773B"/>
    <w:rsid w:val="00D77CB8"/>
    <w:rsid w:val="00D802EA"/>
    <w:rsid w:val="00D80859"/>
    <w:rsid w:val="00D80F77"/>
    <w:rsid w:val="00D81C6F"/>
    <w:rsid w:val="00D8265F"/>
    <w:rsid w:val="00D85DBB"/>
    <w:rsid w:val="00D86408"/>
    <w:rsid w:val="00D90278"/>
    <w:rsid w:val="00D90BC1"/>
    <w:rsid w:val="00D91A59"/>
    <w:rsid w:val="00D91C82"/>
    <w:rsid w:val="00D940C4"/>
    <w:rsid w:val="00D9468C"/>
    <w:rsid w:val="00D95DD9"/>
    <w:rsid w:val="00D9617E"/>
    <w:rsid w:val="00D96644"/>
    <w:rsid w:val="00D967E5"/>
    <w:rsid w:val="00D9693E"/>
    <w:rsid w:val="00D97261"/>
    <w:rsid w:val="00D976A6"/>
    <w:rsid w:val="00D97845"/>
    <w:rsid w:val="00D97CC9"/>
    <w:rsid w:val="00DA0F1B"/>
    <w:rsid w:val="00DA11E2"/>
    <w:rsid w:val="00DA23B6"/>
    <w:rsid w:val="00DA26C0"/>
    <w:rsid w:val="00DA44CF"/>
    <w:rsid w:val="00DA6E84"/>
    <w:rsid w:val="00DB121E"/>
    <w:rsid w:val="00DB1A04"/>
    <w:rsid w:val="00DB1B1A"/>
    <w:rsid w:val="00DB1F58"/>
    <w:rsid w:val="00DB28D6"/>
    <w:rsid w:val="00DB33EA"/>
    <w:rsid w:val="00DB4DEE"/>
    <w:rsid w:val="00DB506F"/>
    <w:rsid w:val="00DB523C"/>
    <w:rsid w:val="00DB5CE8"/>
    <w:rsid w:val="00DB677B"/>
    <w:rsid w:val="00DB71B4"/>
    <w:rsid w:val="00DB7BB0"/>
    <w:rsid w:val="00DB7C44"/>
    <w:rsid w:val="00DC0795"/>
    <w:rsid w:val="00DC131C"/>
    <w:rsid w:val="00DC40AB"/>
    <w:rsid w:val="00DC75FB"/>
    <w:rsid w:val="00DC7DB0"/>
    <w:rsid w:val="00DD0666"/>
    <w:rsid w:val="00DD0EA7"/>
    <w:rsid w:val="00DD1838"/>
    <w:rsid w:val="00DD5322"/>
    <w:rsid w:val="00DD5652"/>
    <w:rsid w:val="00DD5DE4"/>
    <w:rsid w:val="00DD7516"/>
    <w:rsid w:val="00DE0F71"/>
    <w:rsid w:val="00DE1ED4"/>
    <w:rsid w:val="00DE3357"/>
    <w:rsid w:val="00DE3404"/>
    <w:rsid w:val="00DE342E"/>
    <w:rsid w:val="00DE373F"/>
    <w:rsid w:val="00DE3AB1"/>
    <w:rsid w:val="00DE4317"/>
    <w:rsid w:val="00DE671C"/>
    <w:rsid w:val="00DE7B8E"/>
    <w:rsid w:val="00DF0857"/>
    <w:rsid w:val="00DF0AE0"/>
    <w:rsid w:val="00DF0F61"/>
    <w:rsid w:val="00DF415C"/>
    <w:rsid w:val="00DF4628"/>
    <w:rsid w:val="00DF694F"/>
    <w:rsid w:val="00DF75C7"/>
    <w:rsid w:val="00DF7A7E"/>
    <w:rsid w:val="00E005CA"/>
    <w:rsid w:val="00E01AB9"/>
    <w:rsid w:val="00E01D2E"/>
    <w:rsid w:val="00E01EB1"/>
    <w:rsid w:val="00E047A9"/>
    <w:rsid w:val="00E04D22"/>
    <w:rsid w:val="00E05C58"/>
    <w:rsid w:val="00E06AA5"/>
    <w:rsid w:val="00E07667"/>
    <w:rsid w:val="00E107DA"/>
    <w:rsid w:val="00E11BEF"/>
    <w:rsid w:val="00E131A2"/>
    <w:rsid w:val="00E1395D"/>
    <w:rsid w:val="00E151CF"/>
    <w:rsid w:val="00E1681C"/>
    <w:rsid w:val="00E168A1"/>
    <w:rsid w:val="00E1735A"/>
    <w:rsid w:val="00E173CB"/>
    <w:rsid w:val="00E20249"/>
    <w:rsid w:val="00E21A46"/>
    <w:rsid w:val="00E24659"/>
    <w:rsid w:val="00E247C4"/>
    <w:rsid w:val="00E25230"/>
    <w:rsid w:val="00E257FB"/>
    <w:rsid w:val="00E262E8"/>
    <w:rsid w:val="00E26B0A"/>
    <w:rsid w:val="00E3092C"/>
    <w:rsid w:val="00E3184B"/>
    <w:rsid w:val="00E32AF5"/>
    <w:rsid w:val="00E344CD"/>
    <w:rsid w:val="00E3562A"/>
    <w:rsid w:val="00E36D73"/>
    <w:rsid w:val="00E37409"/>
    <w:rsid w:val="00E427F3"/>
    <w:rsid w:val="00E431B5"/>
    <w:rsid w:val="00E43644"/>
    <w:rsid w:val="00E4421D"/>
    <w:rsid w:val="00E44870"/>
    <w:rsid w:val="00E4645D"/>
    <w:rsid w:val="00E50438"/>
    <w:rsid w:val="00E50829"/>
    <w:rsid w:val="00E51738"/>
    <w:rsid w:val="00E517D4"/>
    <w:rsid w:val="00E52942"/>
    <w:rsid w:val="00E53620"/>
    <w:rsid w:val="00E53C45"/>
    <w:rsid w:val="00E53CA9"/>
    <w:rsid w:val="00E53CAE"/>
    <w:rsid w:val="00E53E1C"/>
    <w:rsid w:val="00E54939"/>
    <w:rsid w:val="00E56A59"/>
    <w:rsid w:val="00E56D4E"/>
    <w:rsid w:val="00E579BA"/>
    <w:rsid w:val="00E613B9"/>
    <w:rsid w:val="00E621E9"/>
    <w:rsid w:val="00E625DE"/>
    <w:rsid w:val="00E64184"/>
    <w:rsid w:val="00E64AF8"/>
    <w:rsid w:val="00E64F7B"/>
    <w:rsid w:val="00E65220"/>
    <w:rsid w:val="00E6591B"/>
    <w:rsid w:val="00E65A73"/>
    <w:rsid w:val="00E669E5"/>
    <w:rsid w:val="00E669F3"/>
    <w:rsid w:val="00E67C6B"/>
    <w:rsid w:val="00E67E38"/>
    <w:rsid w:val="00E700E4"/>
    <w:rsid w:val="00E70402"/>
    <w:rsid w:val="00E71033"/>
    <w:rsid w:val="00E715B2"/>
    <w:rsid w:val="00E72928"/>
    <w:rsid w:val="00E73BF8"/>
    <w:rsid w:val="00E75350"/>
    <w:rsid w:val="00E761D9"/>
    <w:rsid w:val="00E80CD8"/>
    <w:rsid w:val="00E824D3"/>
    <w:rsid w:val="00E84012"/>
    <w:rsid w:val="00E84AC1"/>
    <w:rsid w:val="00E85D00"/>
    <w:rsid w:val="00E86039"/>
    <w:rsid w:val="00E86FE6"/>
    <w:rsid w:val="00E87474"/>
    <w:rsid w:val="00E87642"/>
    <w:rsid w:val="00E87FA5"/>
    <w:rsid w:val="00E900A5"/>
    <w:rsid w:val="00E91125"/>
    <w:rsid w:val="00E92300"/>
    <w:rsid w:val="00E933E5"/>
    <w:rsid w:val="00E952F4"/>
    <w:rsid w:val="00E95BC3"/>
    <w:rsid w:val="00E9700B"/>
    <w:rsid w:val="00E971B3"/>
    <w:rsid w:val="00E97366"/>
    <w:rsid w:val="00EA1F85"/>
    <w:rsid w:val="00EA3C4D"/>
    <w:rsid w:val="00EA4DD6"/>
    <w:rsid w:val="00EA54FC"/>
    <w:rsid w:val="00EA6AAA"/>
    <w:rsid w:val="00EA6C27"/>
    <w:rsid w:val="00EA7C8E"/>
    <w:rsid w:val="00EB1D5D"/>
    <w:rsid w:val="00EB3365"/>
    <w:rsid w:val="00EB3F41"/>
    <w:rsid w:val="00EB5460"/>
    <w:rsid w:val="00EB5895"/>
    <w:rsid w:val="00EB6381"/>
    <w:rsid w:val="00EB6F08"/>
    <w:rsid w:val="00EB7FDF"/>
    <w:rsid w:val="00EC0220"/>
    <w:rsid w:val="00EC2CA2"/>
    <w:rsid w:val="00EC4FCC"/>
    <w:rsid w:val="00EC5888"/>
    <w:rsid w:val="00EC635B"/>
    <w:rsid w:val="00EC7E10"/>
    <w:rsid w:val="00ED03CA"/>
    <w:rsid w:val="00ED09AD"/>
    <w:rsid w:val="00ED1B5E"/>
    <w:rsid w:val="00ED1D59"/>
    <w:rsid w:val="00ED3C57"/>
    <w:rsid w:val="00ED4940"/>
    <w:rsid w:val="00ED6431"/>
    <w:rsid w:val="00ED6C8E"/>
    <w:rsid w:val="00ED7140"/>
    <w:rsid w:val="00EE0436"/>
    <w:rsid w:val="00EE183C"/>
    <w:rsid w:val="00EE239D"/>
    <w:rsid w:val="00EE23C3"/>
    <w:rsid w:val="00EE4698"/>
    <w:rsid w:val="00EE63C5"/>
    <w:rsid w:val="00EE690D"/>
    <w:rsid w:val="00EE7B3A"/>
    <w:rsid w:val="00EF0C6E"/>
    <w:rsid w:val="00EF1707"/>
    <w:rsid w:val="00EF244F"/>
    <w:rsid w:val="00EF313C"/>
    <w:rsid w:val="00EF4916"/>
    <w:rsid w:val="00EF69D9"/>
    <w:rsid w:val="00EF7744"/>
    <w:rsid w:val="00F00BCD"/>
    <w:rsid w:val="00F0195D"/>
    <w:rsid w:val="00F025C0"/>
    <w:rsid w:val="00F028B2"/>
    <w:rsid w:val="00F030F0"/>
    <w:rsid w:val="00F0539A"/>
    <w:rsid w:val="00F065BD"/>
    <w:rsid w:val="00F07CA4"/>
    <w:rsid w:val="00F07DE1"/>
    <w:rsid w:val="00F07ECF"/>
    <w:rsid w:val="00F10201"/>
    <w:rsid w:val="00F117DA"/>
    <w:rsid w:val="00F1204A"/>
    <w:rsid w:val="00F12134"/>
    <w:rsid w:val="00F12C72"/>
    <w:rsid w:val="00F14E00"/>
    <w:rsid w:val="00F15ED0"/>
    <w:rsid w:val="00F161AE"/>
    <w:rsid w:val="00F164F0"/>
    <w:rsid w:val="00F173E8"/>
    <w:rsid w:val="00F20417"/>
    <w:rsid w:val="00F228DA"/>
    <w:rsid w:val="00F22ADE"/>
    <w:rsid w:val="00F23C53"/>
    <w:rsid w:val="00F2660A"/>
    <w:rsid w:val="00F313F7"/>
    <w:rsid w:val="00F315AD"/>
    <w:rsid w:val="00F31700"/>
    <w:rsid w:val="00F31B90"/>
    <w:rsid w:val="00F325ED"/>
    <w:rsid w:val="00F32D7D"/>
    <w:rsid w:val="00F33435"/>
    <w:rsid w:val="00F33BEA"/>
    <w:rsid w:val="00F33DBF"/>
    <w:rsid w:val="00F342A4"/>
    <w:rsid w:val="00F34B25"/>
    <w:rsid w:val="00F35FCD"/>
    <w:rsid w:val="00F36007"/>
    <w:rsid w:val="00F36405"/>
    <w:rsid w:val="00F40277"/>
    <w:rsid w:val="00F40395"/>
    <w:rsid w:val="00F41CB8"/>
    <w:rsid w:val="00F41EA1"/>
    <w:rsid w:val="00F4429E"/>
    <w:rsid w:val="00F4519B"/>
    <w:rsid w:val="00F456FA"/>
    <w:rsid w:val="00F46868"/>
    <w:rsid w:val="00F46DF4"/>
    <w:rsid w:val="00F47C3C"/>
    <w:rsid w:val="00F528CD"/>
    <w:rsid w:val="00F53A11"/>
    <w:rsid w:val="00F54C0D"/>
    <w:rsid w:val="00F54DF6"/>
    <w:rsid w:val="00F55581"/>
    <w:rsid w:val="00F568DA"/>
    <w:rsid w:val="00F578BA"/>
    <w:rsid w:val="00F6064B"/>
    <w:rsid w:val="00F60847"/>
    <w:rsid w:val="00F60C63"/>
    <w:rsid w:val="00F61F6B"/>
    <w:rsid w:val="00F628C8"/>
    <w:rsid w:val="00F658AD"/>
    <w:rsid w:val="00F66033"/>
    <w:rsid w:val="00F66170"/>
    <w:rsid w:val="00F66D55"/>
    <w:rsid w:val="00F719F9"/>
    <w:rsid w:val="00F72273"/>
    <w:rsid w:val="00F7308F"/>
    <w:rsid w:val="00F7330C"/>
    <w:rsid w:val="00F73636"/>
    <w:rsid w:val="00F75952"/>
    <w:rsid w:val="00F76193"/>
    <w:rsid w:val="00F76691"/>
    <w:rsid w:val="00F816B2"/>
    <w:rsid w:val="00F81782"/>
    <w:rsid w:val="00F817BB"/>
    <w:rsid w:val="00F82117"/>
    <w:rsid w:val="00F83413"/>
    <w:rsid w:val="00F83C47"/>
    <w:rsid w:val="00F83E60"/>
    <w:rsid w:val="00F85703"/>
    <w:rsid w:val="00F8646D"/>
    <w:rsid w:val="00F878D5"/>
    <w:rsid w:val="00F87D6B"/>
    <w:rsid w:val="00F905E3"/>
    <w:rsid w:val="00F91B2C"/>
    <w:rsid w:val="00F921CD"/>
    <w:rsid w:val="00F93102"/>
    <w:rsid w:val="00F94F93"/>
    <w:rsid w:val="00F9782F"/>
    <w:rsid w:val="00FA13C4"/>
    <w:rsid w:val="00FA242B"/>
    <w:rsid w:val="00FA2C89"/>
    <w:rsid w:val="00FA342A"/>
    <w:rsid w:val="00FA4A41"/>
    <w:rsid w:val="00FA4E8D"/>
    <w:rsid w:val="00FA5563"/>
    <w:rsid w:val="00FA55AB"/>
    <w:rsid w:val="00FA5E84"/>
    <w:rsid w:val="00FA63C5"/>
    <w:rsid w:val="00FB21A1"/>
    <w:rsid w:val="00FC2124"/>
    <w:rsid w:val="00FC343A"/>
    <w:rsid w:val="00FC3A09"/>
    <w:rsid w:val="00FC4AC1"/>
    <w:rsid w:val="00FC5056"/>
    <w:rsid w:val="00FC585D"/>
    <w:rsid w:val="00FC6DC0"/>
    <w:rsid w:val="00FD2D09"/>
    <w:rsid w:val="00FD3778"/>
    <w:rsid w:val="00FD4B39"/>
    <w:rsid w:val="00FD519A"/>
    <w:rsid w:val="00FD537E"/>
    <w:rsid w:val="00FD59FB"/>
    <w:rsid w:val="00FD5DD5"/>
    <w:rsid w:val="00FD6BDE"/>
    <w:rsid w:val="00FD7C73"/>
    <w:rsid w:val="00FE046A"/>
    <w:rsid w:val="00FE05E0"/>
    <w:rsid w:val="00FE122E"/>
    <w:rsid w:val="00FE5847"/>
    <w:rsid w:val="00FE6F91"/>
    <w:rsid w:val="00FF0113"/>
    <w:rsid w:val="00FF186F"/>
    <w:rsid w:val="00FF1931"/>
    <w:rsid w:val="00FF1A0B"/>
    <w:rsid w:val="00FF2885"/>
    <w:rsid w:val="00FF30DA"/>
    <w:rsid w:val="00FF35E5"/>
    <w:rsid w:val="00FF3E79"/>
    <w:rsid w:val="00FF42ED"/>
    <w:rsid w:val="00FF4790"/>
    <w:rsid w:val="00FF4871"/>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39C47"/>
  <w15:docId w15:val="{2B366D69-1BBB-496A-BA06-E014CAA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4F"/>
    <w:rPr>
      <w:rFonts w:ascii="Cambria" w:eastAsia="MS Mincho" w:hAnsi="Cambria" w:cs="Times New Roman"/>
      <w:noProof/>
      <w:sz w:val="24"/>
      <w:szCs w:val="24"/>
      <w:lang w:eastAsia="fr-FR"/>
    </w:rPr>
  </w:style>
  <w:style w:type="paragraph" w:styleId="Heading1">
    <w:name w:val="heading 1"/>
    <w:basedOn w:val="Normal"/>
    <w:next w:val="Normal"/>
    <w:link w:val="Heading1Char"/>
    <w:qFormat/>
    <w:rsid w:val="001B78A4"/>
    <w:pPr>
      <w:keepNext/>
      <w:keepLines/>
      <w:numPr>
        <w:numId w:val="1"/>
      </w:numPr>
      <w:spacing w:line="0" w:lineRule="atLeast"/>
      <w:ind w:left="522"/>
      <w:outlineLvl w:val="0"/>
    </w:pPr>
    <w:rPr>
      <w:rFonts w:ascii="Times New Roman" w:eastAsiaTheme="majorEastAsia" w:hAnsi="Times New Roman"/>
      <w:b/>
      <w:bCs/>
      <w:smallCaps/>
      <w:color w:val="000000" w:themeColor="text1"/>
      <w:lang w:eastAsia="en-US"/>
    </w:rPr>
  </w:style>
  <w:style w:type="paragraph" w:styleId="Heading2">
    <w:name w:val="heading 2"/>
    <w:basedOn w:val="Normal"/>
    <w:next w:val="Normal"/>
    <w:link w:val="Heading2Char"/>
    <w:qFormat/>
    <w:rsid w:val="00862B64"/>
    <w:pPr>
      <w:keepNext/>
      <w:widowControl w:val="0"/>
      <w:numPr>
        <w:ilvl w:val="1"/>
        <w:numId w:val="1"/>
      </w:numPr>
      <w:spacing w:line="0" w:lineRule="atLeast"/>
      <w:outlineLvl w:val="1"/>
    </w:pPr>
    <w:rPr>
      <w:rFonts w:ascii="Times New Roman" w:eastAsia="Times New Roman" w:hAnsi="Times New Roman"/>
      <w:b/>
      <w:bCs/>
      <w:iCs/>
      <w:lang w:eastAsia="en-US" w:bidi="fa-IR"/>
    </w:rPr>
  </w:style>
  <w:style w:type="paragraph" w:styleId="Heading3">
    <w:name w:val="heading 3"/>
    <w:basedOn w:val="Normal"/>
    <w:next w:val="Normal"/>
    <w:link w:val="Heading3Char"/>
    <w:unhideWhenUsed/>
    <w:qFormat/>
    <w:rsid w:val="007923B8"/>
    <w:pPr>
      <w:keepNext/>
      <w:keepLines/>
      <w:numPr>
        <w:ilvl w:val="2"/>
        <w:numId w:val="1"/>
      </w:numPr>
      <w:spacing w:before="200"/>
      <w:outlineLvl w:val="2"/>
    </w:pPr>
    <w:rPr>
      <w:rFonts w:ascii="Times New Roman" w:eastAsiaTheme="majorEastAsia" w:hAnsi="Times New Roman" w:cstheme="majorBidi"/>
      <w:b/>
      <w:bCs/>
      <w:sz w:val="22"/>
      <w:szCs w:val="22"/>
      <w:lang w:eastAsia="en-US"/>
    </w:rPr>
  </w:style>
  <w:style w:type="paragraph" w:styleId="Heading4">
    <w:name w:val="heading 4"/>
    <w:basedOn w:val="Normal"/>
    <w:next w:val="Normal"/>
    <w:link w:val="Heading4Char"/>
    <w:qFormat/>
    <w:rsid w:val="007923B8"/>
    <w:pPr>
      <w:keepNext/>
      <w:numPr>
        <w:ilvl w:val="3"/>
        <w:numId w:val="1"/>
      </w:numPr>
      <w:outlineLvl w:val="3"/>
    </w:pPr>
    <w:rPr>
      <w:rFonts w:ascii="Times New Roman" w:eastAsia="Times New Roman" w:hAnsi="Times New Roman"/>
      <w:b/>
      <w:bCs/>
      <w:sz w:val="22"/>
      <w:szCs w:val="28"/>
      <w:lang w:val="en-GB" w:eastAsia="en-US"/>
    </w:rPr>
  </w:style>
  <w:style w:type="paragraph" w:styleId="Heading5">
    <w:name w:val="heading 5"/>
    <w:basedOn w:val="Normal"/>
    <w:next w:val="Normal"/>
    <w:link w:val="Heading5Char"/>
    <w:uiPriority w:val="9"/>
    <w:semiHidden/>
    <w:unhideWhenUsed/>
    <w:qFormat/>
    <w:rsid w:val="007923B8"/>
    <w:pPr>
      <w:keepNext/>
      <w:keepLines/>
      <w:numPr>
        <w:ilvl w:val="4"/>
        <w:numId w:val="1"/>
      </w:numPr>
      <w:spacing w:before="200"/>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7923B8"/>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7923B8"/>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7923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923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Bullets,References,WB List Paragraph,List Paragraph1,Ha,Dot pt,F5 List Paragraph,No Spacing1,List Paragraph Char Char Char,Indicator Text,Numbered Para 1,Colorful List - Accent 11,Bullet 1"/>
    <w:basedOn w:val="Normal"/>
    <w:link w:val="ListParagraphChar"/>
    <w:uiPriority w:val="34"/>
    <w:qFormat/>
    <w:rsid w:val="00893CA0"/>
    <w:pPr>
      <w:ind w:left="720"/>
      <w:contextualSpacing/>
    </w:pPr>
  </w:style>
  <w:style w:type="paragraph" w:styleId="BalloonText">
    <w:name w:val="Balloon Text"/>
    <w:basedOn w:val="Normal"/>
    <w:link w:val="BalloonTextChar"/>
    <w:uiPriority w:val="99"/>
    <w:semiHidden/>
    <w:unhideWhenUsed/>
    <w:rsid w:val="00893CA0"/>
    <w:rPr>
      <w:rFonts w:ascii="Tahoma" w:hAnsi="Tahoma" w:cs="Tahoma"/>
      <w:sz w:val="16"/>
      <w:szCs w:val="16"/>
    </w:rPr>
  </w:style>
  <w:style w:type="character" w:customStyle="1" w:styleId="BalloonTextChar">
    <w:name w:val="Balloon Text Char"/>
    <w:basedOn w:val="DefaultParagraphFont"/>
    <w:link w:val="BalloonText"/>
    <w:uiPriority w:val="99"/>
    <w:semiHidden/>
    <w:rsid w:val="00893CA0"/>
    <w:rPr>
      <w:rFonts w:ascii="Tahoma" w:eastAsia="MS Mincho" w:hAnsi="Tahoma" w:cs="Tahoma"/>
      <w:sz w:val="16"/>
      <w:szCs w:val="16"/>
      <w:lang w:eastAsia="fr-FR"/>
    </w:rPr>
  </w:style>
  <w:style w:type="paragraph" w:customStyle="1" w:styleId="Default">
    <w:name w:val="Default"/>
    <w:rsid w:val="00225484"/>
    <w:pPr>
      <w:autoSpaceDE w:val="0"/>
      <w:autoSpaceDN w:val="0"/>
      <w:adjustRightInd w:val="0"/>
      <w:spacing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678B0"/>
    <w:rPr>
      <w:sz w:val="16"/>
      <w:szCs w:val="16"/>
    </w:rPr>
  </w:style>
  <w:style w:type="paragraph" w:styleId="CommentText">
    <w:name w:val="annotation text"/>
    <w:basedOn w:val="Normal"/>
    <w:link w:val="CommentTextChar"/>
    <w:uiPriority w:val="99"/>
    <w:unhideWhenUsed/>
    <w:rsid w:val="002678B0"/>
    <w:rPr>
      <w:sz w:val="20"/>
      <w:szCs w:val="20"/>
    </w:rPr>
  </w:style>
  <w:style w:type="character" w:customStyle="1" w:styleId="CommentTextChar">
    <w:name w:val="Comment Text Char"/>
    <w:basedOn w:val="DefaultParagraphFont"/>
    <w:link w:val="CommentText"/>
    <w:uiPriority w:val="99"/>
    <w:rsid w:val="002678B0"/>
    <w:rPr>
      <w:rFonts w:ascii="Cambria" w:eastAsia="MS Mincho" w:hAnsi="Cambria"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678B0"/>
    <w:rPr>
      <w:b/>
      <w:bCs/>
    </w:rPr>
  </w:style>
  <w:style w:type="character" w:customStyle="1" w:styleId="CommentSubjectChar">
    <w:name w:val="Comment Subject Char"/>
    <w:basedOn w:val="CommentTextChar"/>
    <w:link w:val="CommentSubject"/>
    <w:uiPriority w:val="99"/>
    <w:semiHidden/>
    <w:rsid w:val="002678B0"/>
    <w:rPr>
      <w:rFonts w:ascii="Cambria" w:eastAsia="MS Mincho" w:hAnsi="Cambria" w:cs="Times New Roman"/>
      <w:b/>
      <w:bCs/>
      <w:sz w:val="20"/>
      <w:szCs w:val="20"/>
      <w:lang w:eastAsia="fr-FR"/>
    </w:rPr>
  </w:style>
  <w:style w:type="character" w:styleId="Strong">
    <w:name w:val="Strong"/>
    <w:basedOn w:val="DefaultParagraphFont"/>
    <w:uiPriority w:val="22"/>
    <w:qFormat/>
    <w:rsid w:val="00D91A59"/>
    <w:rPr>
      <w:b/>
      <w:bCs/>
    </w:rPr>
  </w:style>
  <w:style w:type="character" w:customStyle="1" w:styleId="Heading1Char">
    <w:name w:val="Heading 1 Char"/>
    <w:basedOn w:val="DefaultParagraphFont"/>
    <w:link w:val="Heading1"/>
    <w:rsid w:val="001B78A4"/>
    <w:rPr>
      <w:rFonts w:ascii="Times New Roman" w:eastAsiaTheme="majorEastAsia" w:hAnsi="Times New Roman" w:cs="Times New Roman"/>
      <w:b/>
      <w:bCs/>
      <w:smallCaps/>
      <w:noProof/>
      <w:color w:val="000000" w:themeColor="text1"/>
      <w:sz w:val="24"/>
      <w:szCs w:val="24"/>
    </w:rPr>
  </w:style>
  <w:style w:type="character" w:customStyle="1" w:styleId="Heading2Char">
    <w:name w:val="Heading 2 Char"/>
    <w:basedOn w:val="DefaultParagraphFont"/>
    <w:link w:val="Heading2"/>
    <w:rsid w:val="00862B64"/>
    <w:rPr>
      <w:rFonts w:ascii="Times New Roman" w:eastAsia="Times New Roman" w:hAnsi="Times New Roman" w:cs="Times New Roman"/>
      <w:b/>
      <w:bCs/>
      <w:iCs/>
      <w:noProof/>
      <w:sz w:val="24"/>
      <w:szCs w:val="24"/>
      <w:lang w:bidi="fa-IR"/>
    </w:rPr>
  </w:style>
  <w:style w:type="character" w:customStyle="1" w:styleId="Heading3Char">
    <w:name w:val="Heading 3 Char"/>
    <w:basedOn w:val="DefaultParagraphFont"/>
    <w:link w:val="Heading3"/>
    <w:rsid w:val="007923B8"/>
    <w:rPr>
      <w:rFonts w:ascii="Times New Roman" w:eastAsiaTheme="majorEastAsia" w:hAnsi="Times New Roman" w:cstheme="majorBidi"/>
      <w:b/>
      <w:bCs/>
    </w:rPr>
  </w:style>
  <w:style w:type="character" w:customStyle="1" w:styleId="Heading4Char">
    <w:name w:val="Heading 4 Char"/>
    <w:basedOn w:val="DefaultParagraphFont"/>
    <w:link w:val="Heading4"/>
    <w:rsid w:val="007923B8"/>
    <w:rPr>
      <w:rFonts w:ascii="Times New Roman" w:eastAsia="Times New Roman" w:hAnsi="Times New Roman" w:cs="Times New Roman"/>
      <w:b/>
      <w:bCs/>
      <w:szCs w:val="28"/>
      <w:lang w:val="en-GB"/>
    </w:rPr>
  </w:style>
  <w:style w:type="character" w:customStyle="1" w:styleId="Heading5Char">
    <w:name w:val="Heading 5 Char"/>
    <w:basedOn w:val="DefaultParagraphFont"/>
    <w:link w:val="Heading5"/>
    <w:uiPriority w:val="9"/>
    <w:semiHidden/>
    <w:rsid w:val="007923B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23B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23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3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3B8"/>
    <w:rPr>
      <w:rFonts w:asciiTheme="majorHAnsi" w:eastAsiaTheme="majorEastAsia" w:hAnsiTheme="majorHAnsi" w:cstheme="majorBidi"/>
      <w:i/>
      <w:iCs/>
      <w:color w:val="404040" w:themeColor="text1" w:themeTint="BF"/>
      <w:sz w:val="20"/>
      <w:szCs w:val="20"/>
    </w:rPr>
  </w:style>
  <w:style w:type="paragraph" w:customStyle="1" w:styleId="wbparabodytext">
    <w:name w:val="wb para body text"/>
    <w:basedOn w:val="ListParagraph"/>
    <w:link w:val="wbparabodytextChar"/>
    <w:autoRedefine/>
    <w:qFormat/>
    <w:rsid w:val="00FF3E79"/>
    <w:pPr>
      <w:numPr>
        <w:numId w:val="2"/>
      </w:numPr>
      <w:tabs>
        <w:tab w:val="left" w:pos="0"/>
      </w:tabs>
      <w:ind w:left="0" w:firstLine="360"/>
      <w:contextualSpacing w:val="0"/>
    </w:pPr>
    <w:rPr>
      <w:rFonts w:ascii="Times New Roman" w:eastAsia="Calibri" w:hAnsi="Times New Roman"/>
      <w:b/>
      <w:iCs/>
      <w:color w:val="000000" w:themeColor="text1"/>
      <w:lang w:val="en-GB" w:eastAsia="en-GB"/>
    </w:rPr>
  </w:style>
  <w:style w:type="character" w:customStyle="1" w:styleId="wbparabodytextChar">
    <w:name w:val="wb para body text Char"/>
    <w:basedOn w:val="DefaultParagraphFont"/>
    <w:link w:val="wbparabodytext"/>
    <w:rsid w:val="00FF3E79"/>
    <w:rPr>
      <w:rFonts w:ascii="Times New Roman" w:eastAsia="Calibri" w:hAnsi="Times New Roman" w:cs="Times New Roman"/>
      <w:b/>
      <w:iCs/>
      <w:color w:val="000000" w:themeColor="text1"/>
      <w:sz w:val="24"/>
      <w:szCs w:val="24"/>
      <w:lang w:val="en-GB" w:eastAsia="en-GB"/>
    </w:rPr>
  </w:style>
  <w:style w:type="table" w:styleId="TableGrid">
    <w:name w:val="Table Grid"/>
    <w:basedOn w:val="TableNormal"/>
    <w:uiPriority w:val="59"/>
    <w:rsid w:val="00524F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List Paragraph (numbered (a)) Char,Bullets Char,References Char,WB List Paragraph Char,List Paragraph1 Char,Ha Char,Dot pt Char,F5 List Paragraph Char,No Spacing1 Char,List Paragraph Char Char Char Char"/>
    <w:basedOn w:val="DefaultParagraphFont"/>
    <w:link w:val="ListParagraph"/>
    <w:uiPriority w:val="34"/>
    <w:qFormat/>
    <w:rsid w:val="00524FFF"/>
    <w:rPr>
      <w:rFonts w:ascii="Cambria" w:eastAsia="MS Mincho" w:hAnsi="Cambria" w:cs="Times New Roman"/>
      <w:sz w:val="24"/>
      <w:szCs w:val="24"/>
      <w:lang w:eastAsia="fr-FR"/>
    </w:rPr>
  </w:style>
  <w:style w:type="paragraph" w:styleId="NormalWeb">
    <w:name w:val="Normal (Web)"/>
    <w:basedOn w:val="Normal"/>
    <w:uiPriority w:val="99"/>
    <w:semiHidden/>
    <w:unhideWhenUsed/>
    <w:rsid w:val="00F8646D"/>
    <w:pPr>
      <w:spacing w:before="100" w:beforeAutospacing="1" w:after="100" w:afterAutospacing="1"/>
    </w:pPr>
    <w:rPr>
      <w:rFonts w:ascii="Times New Roman" w:eastAsia="Times New Roman" w:hAnsi="Times New Roman"/>
      <w:lang w:eastAsia="en-US"/>
    </w:rPr>
  </w:style>
  <w:style w:type="character" w:customStyle="1" w:styleId="apple-converted-space">
    <w:name w:val="apple-converted-space"/>
    <w:basedOn w:val="DefaultParagraphFont"/>
    <w:rsid w:val="007B4ACE"/>
  </w:style>
  <w:style w:type="paragraph" w:styleId="FootnoteText">
    <w:name w:val="footnote text"/>
    <w:aliases w:val="single space,footnote text,fn,Footnote Text Char Car Char,single space1,footnote text1,fn1,Footnote Text Char1,FOOTNOTES,ALTS FOOTNOTE,Footnote Text Char2 Char,Footnote Text Char2 Char Char Char,ADB,ft,f,Char,Testo_note,Footnotes,A,Fußnote"/>
    <w:basedOn w:val="Normal"/>
    <w:link w:val="FootnoteTextChar2"/>
    <w:uiPriority w:val="99"/>
    <w:qFormat/>
    <w:rsid w:val="00294C15"/>
    <w:rPr>
      <w:rFonts w:ascii="Times New Roman" w:eastAsia="Times New Roman" w:hAnsi="Times New Roman"/>
      <w:sz w:val="20"/>
      <w:szCs w:val="20"/>
      <w:lang w:val="en-CA" w:eastAsia="en-U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
    <w:basedOn w:val="DefaultParagraphFont"/>
    <w:uiPriority w:val="99"/>
    <w:rsid w:val="00294C15"/>
    <w:rPr>
      <w:rFonts w:ascii="Cambria" w:eastAsia="MS Mincho" w:hAnsi="Cambria" w:cs="Times New Roman"/>
      <w:sz w:val="20"/>
      <w:szCs w:val="20"/>
      <w:lang w:eastAsia="fr-FR"/>
    </w:rPr>
  </w:style>
  <w:style w:type="character" w:customStyle="1" w:styleId="FootnoteTextChar2">
    <w:name w:val="Footnote Text Char2"/>
    <w:aliases w:val="single space Char,footnote text Char,fn Char,Footnote Text Char Car Char Char,single space1 Char,footnote text1 Char,fn1 Char,Footnote Text Char1 Char,FOOTNOTES Char,ALTS FOOTNOTE Char,Footnote Text Char2 Char Char,ADB Char,ft Char"/>
    <w:link w:val="FootnoteText"/>
    <w:uiPriority w:val="99"/>
    <w:rsid w:val="00294C15"/>
    <w:rPr>
      <w:rFonts w:ascii="Times New Roman" w:eastAsia="Times New Roman" w:hAnsi="Times New Roman" w:cs="Times New Roman"/>
      <w:sz w:val="20"/>
      <w:szCs w:val="20"/>
      <w:lang w:val="en-CA"/>
    </w:rPr>
  </w:style>
  <w:style w:type="character" w:styleId="FootnoteReference">
    <w:name w:val="footnote reference"/>
    <w:aliases w:val="ftref, Car1, Char Char,Car1,Footnote Reference Number,Footnote Reference_LVL6,Footnote Reference_LVL61,Footnote Reference_LVL62,Footnote Reference_LVL63,Footnote Reference_LVL64,16 Point,Superscript 6 Point,Знак сноски-FN,BVI fnr,fr"/>
    <w:link w:val="Char2"/>
    <w:uiPriority w:val="99"/>
    <w:qFormat/>
    <w:rsid w:val="00294C15"/>
    <w:rPr>
      <w:vertAlign w:val="superscript"/>
    </w:rPr>
  </w:style>
  <w:style w:type="paragraph" w:customStyle="1" w:styleId="PEFANormal">
    <w:name w:val="PEFA Normal"/>
    <w:basedOn w:val="Normal"/>
    <w:qFormat/>
    <w:rsid w:val="00274C81"/>
    <w:rPr>
      <w:rFonts w:ascii="Times New Roman" w:eastAsia="Times New Roman" w:hAnsi="Times New Roman"/>
      <w:sz w:val="22"/>
      <w:lang w:val="es-ES" w:eastAsia="en-US"/>
    </w:rPr>
  </w:style>
  <w:style w:type="character" w:styleId="Hyperlink">
    <w:name w:val="Hyperlink"/>
    <w:basedOn w:val="DefaultParagraphFont"/>
    <w:uiPriority w:val="99"/>
    <w:unhideWhenUsed/>
    <w:rsid w:val="00E257FB"/>
    <w:rPr>
      <w:color w:val="0563C1" w:themeColor="hyperlink"/>
      <w:u w:val="single"/>
    </w:rPr>
  </w:style>
  <w:style w:type="paragraph" w:styleId="Header">
    <w:name w:val="header"/>
    <w:basedOn w:val="Normal"/>
    <w:link w:val="HeaderChar"/>
    <w:uiPriority w:val="99"/>
    <w:unhideWhenUsed/>
    <w:rsid w:val="00EA6AAA"/>
    <w:pPr>
      <w:tabs>
        <w:tab w:val="center" w:pos="4680"/>
        <w:tab w:val="right" w:pos="9360"/>
      </w:tabs>
    </w:pPr>
  </w:style>
  <w:style w:type="character" w:customStyle="1" w:styleId="HeaderChar">
    <w:name w:val="Header Char"/>
    <w:basedOn w:val="DefaultParagraphFont"/>
    <w:link w:val="Header"/>
    <w:uiPriority w:val="99"/>
    <w:rsid w:val="00EA6AAA"/>
    <w:rPr>
      <w:rFonts w:ascii="Cambria" w:eastAsia="MS Mincho" w:hAnsi="Cambria" w:cs="Times New Roman"/>
      <w:sz w:val="24"/>
      <w:szCs w:val="24"/>
      <w:lang w:eastAsia="fr-FR"/>
    </w:rPr>
  </w:style>
  <w:style w:type="paragraph" w:styleId="Footer">
    <w:name w:val="footer"/>
    <w:basedOn w:val="Normal"/>
    <w:link w:val="FooterChar"/>
    <w:uiPriority w:val="99"/>
    <w:unhideWhenUsed/>
    <w:rsid w:val="00EA6AAA"/>
    <w:pPr>
      <w:tabs>
        <w:tab w:val="center" w:pos="4680"/>
        <w:tab w:val="right" w:pos="9360"/>
      </w:tabs>
    </w:pPr>
  </w:style>
  <w:style w:type="character" w:customStyle="1" w:styleId="FooterChar">
    <w:name w:val="Footer Char"/>
    <w:basedOn w:val="DefaultParagraphFont"/>
    <w:link w:val="Footer"/>
    <w:uiPriority w:val="99"/>
    <w:rsid w:val="00EA6AAA"/>
    <w:rPr>
      <w:rFonts w:ascii="Cambria" w:eastAsia="MS Mincho" w:hAnsi="Cambria" w:cs="Times New Roman"/>
      <w:sz w:val="24"/>
      <w:szCs w:val="24"/>
      <w:lang w:eastAsia="fr-FR"/>
    </w:rPr>
  </w:style>
  <w:style w:type="paragraph" w:styleId="NoSpacing">
    <w:name w:val="No Spacing"/>
    <w:aliases w:val="Numbered Para"/>
    <w:link w:val="NoSpacingChar"/>
    <w:uiPriority w:val="1"/>
    <w:qFormat/>
    <w:rsid w:val="00EA6AAA"/>
    <w:pPr>
      <w:spacing w:after="0"/>
    </w:pPr>
    <w:rPr>
      <w:rFonts w:eastAsiaTheme="minorEastAsia"/>
    </w:rPr>
  </w:style>
  <w:style w:type="character" w:customStyle="1" w:styleId="NoSpacingChar">
    <w:name w:val="No Spacing Char"/>
    <w:aliases w:val="Numbered Para Char"/>
    <w:basedOn w:val="DefaultParagraphFont"/>
    <w:link w:val="NoSpacing"/>
    <w:uiPriority w:val="1"/>
    <w:rsid w:val="00EA6AAA"/>
    <w:rPr>
      <w:rFonts w:eastAsiaTheme="minorEastAsia"/>
    </w:rPr>
  </w:style>
  <w:style w:type="paragraph" w:styleId="Caption">
    <w:name w:val="caption"/>
    <w:basedOn w:val="Normal"/>
    <w:next w:val="Normal"/>
    <w:uiPriority w:val="35"/>
    <w:qFormat/>
    <w:rsid w:val="000D6531"/>
    <w:pPr>
      <w:keepNext/>
      <w:jc w:val="center"/>
    </w:pPr>
    <w:rPr>
      <w:rFonts w:ascii="Times New Roman Bold" w:eastAsia="Times New Roman" w:hAnsi="Times New Roman Bold"/>
      <w:b/>
      <w:bCs/>
      <w:sz w:val="20"/>
      <w:szCs w:val="20"/>
      <w:lang w:val="en-GB" w:eastAsia="en-GB"/>
    </w:rPr>
  </w:style>
  <w:style w:type="paragraph" w:styleId="Revision">
    <w:name w:val="Revision"/>
    <w:hidden/>
    <w:uiPriority w:val="99"/>
    <w:semiHidden/>
    <w:rsid w:val="00B32B17"/>
    <w:pPr>
      <w:spacing w:after="0"/>
    </w:pPr>
    <w:rPr>
      <w:rFonts w:ascii="Cambria" w:eastAsia="MS Mincho" w:hAnsi="Cambria" w:cs="Times New Roman"/>
      <w:sz w:val="24"/>
      <w:szCs w:val="24"/>
      <w:lang w:eastAsia="fr-FR"/>
    </w:rPr>
  </w:style>
  <w:style w:type="paragraph" w:customStyle="1" w:styleId="Char2">
    <w:name w:val="Char2"/>
    <w:basedOn w:val="Normal"/>
    <w:link w:val="FootnoteReference"/>
    <w:uiPriority w:val="99"/>
    <w:rsid w:val="00AE54E5"/>
    <w:pPr>
      <w:spacing w:after="160" w:line="240" w:lineRule="exact"/>
    </w:pPr>
    <w:rPr>
      <w:rFonts w:asciiTheme="minorHAnsi" w:eastAsiaTheme="minorHAnsi" w:hAnsiTheme="minorHAnsi" w:cstheme="minorBidi"/>
      <w:sz w:val="22"/>
      <w:szCs w:val="22"/>
      <w:vertAlign w:val="superscript"/>
      <w:lang w:eastAsia="en-US"/>
    </w:rPr>
  </w:style>
  <w:style w:type="paragraph" w:styleId="TOCHeading">
    <w:name w:val="TOC Heading"/>
    <w:basedOn w:val="Heading1"/>
    <w:next w:val="Normal"/>
    <w:uiPriority w:val="39"/>
    <w:unhideWhenUsed/>
    <w:qFormat/>
    <w:rsid w:val="009E1FEE"/>
    <w:pPr>
      <w:numPr>
        <w:numId w:val="0"/>
      </w:numPr>
      <w:spacing w:before="240" w:after="0" w:line="259" w:lineRule="auto"/>
      <w:outlineLvl w:val="9"/>
    </w:pPr>
    <w:rPr>
      <w:rFonts w:asciiTheme="majorHAnsi" w:hAnsiTheme="majorHAnsi"/>
      <w:b w:val="0"/>
      <w:bCs w:val="0"/>
      <w:smallCaps w:val="0"/>
      <w:color w:val="2E74B5" w:themeColor="accent1" w:themeShade="BF"/>
      <w:sz w:val="32"/>
      <w:szCs w:val="32"/>
    </w:rPr>
  </w:style>
  <w:style w:type="paragraph" w:styleId="TOC3">
    <w:name w:val="toc 3"/>
    <w:basedOn w:val="Normal"/>
    <w:next w:val="Normal"/>
    <w:autoRedefine/>
    <w:uiPriority w:val="39"/>
    <w:unhideWhenUsed/>
    <w:rsid w:val="009E1FEE"/>
    <w:pPr>
      <w:spacing w:after="100"/>
      <w:ind w:left="480"/>
    </w:pPr>
  </w:style>
  <w:style w:type="paragraph" w:styleId="TOC2">
    <w:name w:val="toc 2"/>
    <w:basedOn w:val="Normal"/>
    <w:next w:val="Normal"/>
    <w:autoRedefine/>
    <w:uiPriority w:val="39"/>
    <w:unhideWhenUsed/>
    <w:rsid w:val="009E1FEE"/>
    <w:pPr>
      <w:spacing w:after="100"/>
      <w:ind w:left="240"/>
    </w:pPr>
  </w:style>
  <w:style w:type="paragraph" w:styleId="TOC1">
    <w:name w:val="toc 1"/>
    <w:basedOn w:val="Normal"/>
    <w:next w:val="Normal"/>
    <w:autoRedefine/>
    <w:uiPriority w:val="39"/>
    <w:unhideWhenUsed/>
    <w:qFormat/>
    <w:rsid w:val="00FD537E"/>
    <w:pPr>
      <w:tabs>
        <w:tab w:val="left" w:pos="480"/>
        <w:tab w:val="right" w:leader="dot" w:pos="9350"/>
      </w:tabs>
      <w:spacing w:before="120" w:after="120"/>
    </w:pPr>
    <w:rPr>
      <w:rFonts w:ascii="Times New Roman" w:hAnsi="Times New Roman"/>
      <w:iCs/>
      <w:szCs w:val="22"/>
      <w:lang w:bidi="fa-IR"/>
    </w:rPr>
  </w:style>
  <w:style w:type="paragraph" w:styleId="TableofFigures">
    <w:name w:val="table of figures"/>
    <w:basedOn w:val="Normal"/>
    <w:next w:val="Normal"/>
    <w:uiPriority w:val="99"/>
    <w:unhideWhenUsed/>
    <w:rsid w:val="00832BC0"/>
    <w:rPr>
      <w:rFonts w:ascii="Times New Roman" w:hAnsi="Times New Roman"/>
      <w:sz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5F61FA"/>
    <w:pPr>
      <w:spacing w:after="160" w:line="240" w:lineRule="exact"/>
      <w:ind w:left="360"/>
    </w:pPr>
    <w:rPr>
      <w:rFonts w:asciiTheme="minorHAnsi" w:eastAsiaTheme="minorEastAsia" w:hAnsiTheme="minorHAnsi" w:cstheme="minorBidi"/>
      <w:noProof w:val="0"/>
      <w:sz w:val="22"/>
      <w:szCs w:val="22"/>
      <w:vertAlign w:val="superscript"/>
      <w:lang w:eastAsia="en-US"/>
    </w:rPr>
  </w:style>
  <w:style w:type="paragraph" w:customStyle="1" w:styleId="HEADINGP4RCHAPTER">
    <w:name w:val="HEADING P4R CHAPTER"/>
    <w:basedOn w:val="Normal"/>
    <w:qFormat/>
    <w:rsid w:val="004550AA"/>
    <w:pPr>
      <w:spacing w:before="240"/>
      <w:ind w:left="360"/>
      <w:jc w:val="center"/>
      <w:outlineLvl w:val="0"/>
    </w:pPr>
    <w:rPr>
      <w:rFonts w:ascii="Times New Roman" w:eastAsiaTheme="minorEastAsia" w:hAnsi="Times New Roman"/>
      <w:b/>
      <w:smallCaps/>
      <w:noProof w:val="0"/>
      <w:sz w:val="28"/>
      <w:lang w:eastAsia="en-US"/>
    </w:rPr>
  </w:style>
  <w:style w:type="paragraph" w:customStyle="1" w:styleId="PDSAnnexHeading">
    <w:name w:val="PDS Annex Heading"/>
    <w:next w:val="Normal"/>
    <w:rsid w:val="004550AA"/>
    <w:pPr>
      <w:keepNext/>
      <w:ind w:left="360"/>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308">
      <w:bodyDiv w:val="1"/>
      <w:marLeft w:val="0"/>
      <w:marRight w:val="0"/>
      <w:marTop w:val="0"/>
      <w:marBottom w:val="0"/>
      <w:divBdr>
        <w:top w:val="none" w:sz="0" w:space="0" w:color="auto"/>
        <w:left w:val="none" w:sz="0" w:space="0" w:color="auto"/>
        <w:bottom w:val="none" w:sz="0" w:space="0" w:color="auto"/>
        <w:right w:val="none" w:sz="0" w:space="0" w:color="auto"/>
      </w:divBdr>
    </w:div>
    <w:div w:id="200822005">
      <w:bodyDiv w:val="1"/>
      <w:marLeft w:val="0"/>
      <w:marRight w:val="0"/>
      <w:marTop w:val="0"/>
      <w:marBottom w:val="0"/>
      <w:divBdr>
        <w:top w:val="none" w:sz="0" w:space="0" w:color="auto"/>
        <w:left w:val="none" w:sz="0" w:space="0" w:color="auto"/>
        <w:bottom w:val="none" w:sz="0" w:space="0" w:color="auto"/>
        <w:right w:val="none" w:sz="0" w:space="0" w:color="auto"/>
      </w:divBdr>
    </w:div>
    <w:div w:id="550654056">
      <w:bodyDiv w:val="1"/>
      <w:marLeft w:val="0"/>
      <w:marRight w:val="0"/>
      <w:marTop w:val="0"/>
      <w:marBottom w:val="0"/>
      <w:divBdr>
        <w:top w:val="none" w:sz="0" w:space="0" w:color="auto"/>
        <w:left w:val="none" w:sz="0" w:space="0" w:color="auto"/>
        <w:bottom w:val="none" w:sz="0" w:space="0" w:color="auto"/>
        <w:right w:val="none" w:sz="0" w:space="0" w:color="auto"/>
      </w:divBdr>
    </w:div>
    <w:div w:id="607348366">
      <w:bodyDiv w:val="1"/>
      <w:marLeft w:val="0"/>
      <w:marRight w:val="0"/>
      <w:marTop w:val="0"/>
      <w:marBottom w:val="0"/>
      <w:divBdr>
        <w:top w:val="none" w:sz="0" w:space="0" w:color="auto"/>
        <w:left w:val="none" w:sz="0" w:space="0" w:color="auto"/>
        <w:bottom w:val="none" w:sz="0" w:space="0" w:color="auto"/>
        <w:right w:val="none" w:sz="0" w:space="0" w:color="auto"/>
      </w:divBdr>
      <w:divsChild>
        <w:div w:id="516117394">
          <w:marLeft w:val="0"/>
          <w:marRight w:val="0"/>
          <w:marTop w:val="0"/>
          <w:marBottom w:val="0"/>
          <w:divBdr>
            <w:top w:val="none" w:sz="0" w:space="0" w:color="auto"/>
            <w:left w:val="none" w:sz="0" w:space="0" w:color="auto"/>
            <w:bottom w:val="none" w:sz="0" w:space="0" w:color="auto"/>
            <w:right w:val="none" w:sz="0" w:space="0" w:color="auto"/>
          </w:divBdr>
          <w:divsChild>
            <w:div w:id="1975674574">
              <w:marLeft w:val="0"/>
              <w:marRight w:val="0"/>
              <w:marTop w:val="0"/>
              <w:marBottom w:val="0"/>
              <w:divBdr>
                <w:top w:val="none" w:sz="0" w:space="0" w:color="auto"/>
                <w:left w:val="none" w:sz="0" w:space="0" w:color="auto"/>
                <w:bottom w:val="none" w:sz="0" w:space="0" w:color="auto"/>
                <w:right w:val="none" w:sz="0" w:space="0" w:color="auto"/>
              </w:divBdr>
              <w:divsChild>
                <w:div w:id="1289704023">
                  <w:marLeft w:val="0"/>
                  <w:marRight w:val="150"/>
                  <w:marTop w:val="0"/>
                  <w:marBottom w:val="0"/>
                  <w:divBdr>
                    <w:top w:val="none" w:sz="0" w:space="0" w:color="auto"/>
                    <w:left w:val="none" w:sz="0" w:space="0" w:color="auto"/>
                    <w:bottom w:val="none" w:sz="0" w:space="0" w:color="auto"/>
                    <w:right w:val="none" w:sz="0" w:space="0" w:color="auto"/>
                  </w:divBdr>
                  <w:divsChild>
                    <w:div w:id="137966824">
                      <w:marLeft w:val="0"/>
                      <w:marRight w:val="0"/>
                      <w:marTop w:val="0"/>
                      <w:marBottom w:val="0"/>
                      <w:divBdr>
                        <w:top w:val="single" w:sz="6" w:space="15" w:color="617286"/>
                        <w:left w:val="single" w:sz="6" w:space="8" w:color="617286"/>
                        <w:bottom w:val="single" w:sz="6" w:space="15" w:color="617286"/>
                        <w:right w:val="single" w:sz="6" w:space="8" w:color="617286"/>
                      </w:divBdr>
                    </w:div>
                  </w:divsChild>
                </w:div>
              </w:divsChild>
            </w:div>
          </w:divsChild>
        </w:div>
      </w:divsChild>
    </w:div>
    <w:div w:id="614363879">
      <w:bodyDiv w:val="1"/>
      <w:marLeft w:val="0"/>
      <w:marRight w:val="0"/>
      <w:marTop w:val="0"/>
      <w:marBottom w:val="0"/>
      <w:divBdr>
        <w:top w:val="none" w:sz="0" w:space="0" w:color="auto"/>
        <w:left w:val="none" w:sz="0" w:space="0" w:color="auto"/>
        <w:bottom w:val="none" w:sz="0" w:space="0" w:color="auto"/>
        <w:right w:val="none" w:sz="0" w:space="0" w:color="auto"/>
      </w:divBdr>
      <w:divsChild>
        <w:div w:id="794912029">
          <w:marLeft w:val="0"/>
          <w:marRight w:val="0"/>
          <w:marTop w:val="0"/>
          <w:marBottom w:val="0"/>
          <w:divBdr>
            <w:top w:val="none" w:sz="0" w:space="0" w:color="auto"/>
            <w:left w:val="none" w:sz="0" w:space="0" w:color="auto"/>
            <w:bottom w:val="none" w:sz="0" w:space="0" w:color="auto"/>
            <w:right w:val="none" w:sz="0" w:space="0" w:color="auto"/>
          </w:divBdr>
          <w:divsChild>
            <w:div w:id="1104764359">
              <w:marLeft w:val="0"/>
              <w:marRight w:val="0"/>
              <w:marTop w:val="0"/>
              <w:marBottom w:val="0"/>
              <w:divBdr>
                <w:top w:val="none" w:sz="0" w:space="0" w:color="auto"/>
                <w:left w:val="none" w:sz="0" w:space="0" w:color="auto"/>
                <w:bottom w:val="none" w:sz="0" w:space="0" w:color="auto"/>
                <w:right w:val="none" w:sz="0" w:space="0" w:color="auto"/>
              </w:divBdr>
              <w:divsChild>
                <w:div w:id="1988169811">
                  <w:marLeft w:val="0"/>
                  <w:marRight w:val="150"/>
                  <w:marTop w:val="0"/>
                  <w:marBottom w:val="0"/>
                  <w:divBdr>
                    <w:top w:val="none" w:sz="0" w:space="0" w:color="auto"/>
                    <w:left w:val="none" w:sz="0" w:space="0" w:color="auto"/>
                    <w:bottom w:val="none" w:sz="0" w:space="0" w:color="auto"/>
                    <w:right w:val="none" w:sz="0" w:space="0" w:color="auto"/>
                  </w:divBdr>
                  <w:divsChild>
                    <w:div w:id="1551646541">
                      <w:marLeft w:val="0"/>
                      <w:marRight w:val="0"/>
                      <w:marTop w:val="0"/>
                      <w:marBottom w:val="0"/>
                      <w:divBdr>
                        <w:top w:val="single" w:sz="6" w:space="15" w:color="617286"/>
                        <w:left w:val="single" w:sz="6" w:space="8" w:color="617286"/>
                        <w:bottom w:val="single" w:sz="6" w:space="15" w:color="617286"/>
                        <w:right w:val="single" w:sz="6" w:space="8" w:color="617286"/>
                      </w:divBdr>
                    </w:div>
                  </w:divsChild>
                </w:div>
              </w:divsChild>
            </w:div>
          </w:divsChild>
        </w:div>
      </w:divsChild>
    </w:div>
    <w:div w:id="1007561509">
      <w:bodyDiv w:val="1"/>
      <w:marLeft w:val="0"/>
      <w:marRight w:val="0"/>
      <w:marTop w:val="0"/>
      <w:marBottom w:val="0"/>
      <w:divBdr>
        <w:top w:val="none" w:sz="0" w:space="0" w:color="auto"/>
        <w:left w:val="none" w:sz="0" w:space="0" w:color="auto"/>
        <w:bottom w:val="none" w:sz="0" w:space="0" w:color="auto"/>
        <w:right w:val="none" w:sz="0" w:space="0" w:color="auto"/>
      </w:divBdr>
      <w:divsChild>
        <w:div w:id="975529582">
          <w:marLeft w:val="0"/>
          <w:marRight w:val="0"/>
          <w:marTop w:val="0"/>
          <w:marBottom w:val="0"/>
          <w:divBdr>
            <w:top w:val="none" w:sz="0" w:space="0" w:color="auto"/>
            <w:left w:val="none" w:sz="0" w:space="0" w:color="auto"/>
            <w:bottom w:val="none" w:sz="0" w:space="0" w:color="auto"/>
            <w:right w:val="none" w:sz="0" w:space="0" w:color="auto"/>
          </w:divBdr>
          <w:divsChild>
            <w:div w:id="396785087">
              <w:marLeft w:val="0"/>
              <w:marRight w:val="0"/>
              <w:marTop w:val="0"/>
              <w:marBottom w:val="0"/>
              <w:divBdr>
                <w:top w:val="none" w:sz="0" w:space="0" w:color="auto"/>
                <w:left w:val="none" w:sz="0" w:space="0" w:color="auto"/>
                <w:bottom w:val="none" w:sz="0" w:space="0" w:color="auto"/>
                <w:right w:val="none" w:sz="0" w:space="0" w:color="auto"/>
              </w:divBdr>
              <w:divsChild>
                <w:div w:id="843323217">
                  <w:marLeft w:val="0"/>
                  <w:marRight w:val="150"/>
                  <w:marTop w:val="0"/>
                  <w:marBottom w:val="0"/>
                  <w:divBdr>
                    <w:top w:val="none" w:sz="0" w:space="0" w:color="auto"/>
                    <w:left w:val="none" w:sz="0" w:space="0" w:color="auto"/>
                    <w:bottom w:val="none" w:sz="0" w:space="0" w:color="auto"/>
                    <w:right w:val="none" w:sz="0" w:space="0" w:color="auto"/>
                  </w:divBdr>
                  <w:divsChild>
                    <w:div w:id="1329405438">
                      <w:marLeft w:val="0"/>
                      <w:marRight w:val="0"/>
                      <w:marTop w:val="0"/>
                      <w:marBottom w:val="0"/>
                      <w:divBdr>
                        <w:top w:val="single" w:sz="6" w:space="15" w:color="617286"/>
                        <w:left w:val="single" w:sz="6" w:space="8" w:color="617286"/>
                        <w:bottom w:val="single" w:sz="6" w:space="15" w:color="617286"/>
                        <w:right w:val="single" w:sz="6" w:space="8" w:color="617286"/>
                      </w:divBdr>
                    </w:div>
                  </w:divsChild>
                </w:div>
              </w:divsChild>
            </w:div>
          </w:divsChild>
        </w:div>
      </w:divsChild>
    </w:div>
    <w:div w:id="1128164766">
      <w:bodyDiv w:val="1"/>
      <w:marLeft w:val="0"/>
      <w:marRight w:val="0"/>
      <w:marTop w:val="0"/>
      <w:marBottom w:val="0"/>
      <w:divBdr>
        <w:top w:val="none" w:sz="0" w:space="0" w:color="auto"/>
        <w:left w:val="none" w:sz="0" w:space="0" w:color="auto"/>
        <w:bottom w:val="none" w:sz="0" w:space="0" w:color="auto"/>
        <w:right w:val="none" w:sz="0" w:space="0" w:color="auto"/>
      </w:divBdr>
      <w:divsChild>
        <w:div w:id="1758213946">
          <w:marLeft w:val="0"/>
          <w:marRight w:val="0"/>
          <w:marTop w:val="0"/>
          <w:marBottom w:val="0"/>
          <w:divBdr>
            <w:top w:val="none" w:sz="0" w:space="0" w:color="auto"/>
            <w:left w:val="none" w:sz="0" w:space="0" w:color="auto"/>
            <w:bottom w:val="none" w:sz="0" w:space="0" w:color="auto"/>
            <w:right w:val="none" w:sz="0" w:space="0" w:color="auto"/>
          </w:divBdr>
          <w:divsChild>
            <w:div w:id="362756970">
              <w:marLeft w:val="0"/>
              <w:marRight w:val="0"/>
              <w:marTop w:val="0"/>
              <w:marBottom w:val="0"/>
              <w:divBdr>
                <w:top w:val="none" w:sz="0" w:space="0" w:color="auto"/>
                <w:left w:val="none" w:sz="0" w:space="0" w:color="auto"/>
                <w:bottom w:val="none" w:sz="0" w:space="0" w:color="auto"/>
                <w:right w:val="none" w:sz="0" w:space="0" w:color="auto"/>
              </w:divBdr>
              <w:divsChild>
                <w:div w:id="918832840">
                  <w:marLeft w:val="0"/>
                  <w:marRight w:val="150"/>
                  <w:marTop w:val="0"/>
                  <w:marBottom w:val="0"/>
                  <w:divBdr>
                    <w:top w:val="none" w:sz="0" w:space="0" w:color="auto"/>
                    <w:left w:val="none" w:sz="0" w:space="0" w:color="auto"/>
                    <w:bottom w:val="none" w:sz="0" w:space="0" w:color="auto"/>
                    <w:right w:val="none" w:sz="0" w:space="0" w:color="auto"/>
                  </w:divBdr>
                  <w:divsChild>
                    <w:div w:id="255140034">
                      <w:marLeft w:val="0"/>
                      <w:marRight w:val="0"/>
                      <w:marTop w:val="0"/>
                      <w:marBottom w:val="0"/>
                      <w:divBdr>
                        <w:top w:val="single" w:sz="6" w:space="15" w:color="617286"/>
                        <w:left w:val="single" w:sz="6" w:space="8" w:color="617286"/>
                        <w:bottom w:val="single" w:sz="6" w:space="15" w:color="617286"/>
                        <w:right w:val="single" w:sz="6" w:space="8" w:color="617286"/>
                      </w:divBdr>
                    </w:div>
                  </w:divsChild>
                </w:div>
              </w:divsChild>
            </w:div>
          </w:divsChild>
        </w:div>
      </w:divsChild>
    </w:div>
    <w:div w:id="12081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0FD53.EB1C7CD0"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jn.gov.rs/sr/odluk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j.gov.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brd.com/legal-reform-in-serbia.html" TargetMode="External"/><Relationship Id="rId2" Type="http://schemas.openxmlformats.org/officeDocument/2006/relationships/hyperlink" Target="http://www.ujn.gov.rs" TargetMode="External"/><Relationship Id="rId1" Type="http://schemas.openxmlformats.org/officeDocument/2006/relationships/hyperlink" Target="http://www.lexology.com/library/detail.aspx?g=f188efa0-0f2b-4324-b299-9ce1e2b97369" TargetMode="External"/><Relationship Id="rId6" Type="http://schemas.openxmlformats.org/officeDocument/2006/relationships/hyperlink" Target="http://www.lexology.com/library/detail.aspx?g=f188efa0-0f2b-4324-b299-9ce1e2b97369" TargetMode="External"/><Relationship Id="rId5" Type="http://schemas.openxmlformats.org/officeDocument/2006/relationships/hyperlink" Target="http://www.opengovpartnership.org/country/serbia" TargetMode="External"/><Relationship Id="rId4" Type="http://schemas.openxmlformats.org/officeDocument/2006/relationships/hyperlink" Target="http://ec.europa.eu/internal_market/publicprocurement/docs/modernising_rules/executive-summary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pieChart>
        <c:varyColors val="1"/>
        <c:ser>
          <c:idx val="0"/>
          <c:order val="0"/>
          <c:dLbls>
            <c:dLbl>
              <c:idx val="0"/>
              <c:layout>
                <c:manualLayout>
                  <c:x val="-8.4518482064741982E-2"/>
                  <c:y val="0.1600240594925630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267115048119015"/>
                  <c:y val="-5.0060877806940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291174540682422"/>
                  <c:y val="-0.12347987751531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Feuil1!$B$4:$B$6</c:f>
              <c:strCache>
                <c:ptCount val="3"/>
                <c:pt idx="0">
                  <c:v>Other</c:v>
                </c:pt>
                <c:pt idx="1">
                  <c:v>Negotiated procedure without invitation</c:v>
                </c:pt>
                <c:pt idx="2">
                  <c:v>Open procedure</c:v>
                </c:pt>
              </c:strCache>
            </c:strRef>
          </c:cat>
          <c:val>
            <c:numRef>
              <c:f>Feuil1!$A$4:$A$6</c:f>
              <c:numCache>
                <c:formatCode>0%</c:formatCode>
                <c:ptCount val="3"/>
                <c:pt idx="0">
                  <c:v>0.1800000000000001</c:v>
                </c:pt>
                <c:pt idx="1">
                  <c:v>0.2</c:v>
                </c:pt>
                <c:pt idx="2">
                  <c:v>0.62000000000000044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sz="1000"/>
          </a:pPr>
          <a:endParaRPr lang="en-US"/>
        </a:p>
      </c:txPr>
    </c:legend>
    <c:plotVisOnly val="1"/>
    <c:dispBlanksAs val="zero"/>
    <c:showDLblsOverMax val="0"/>
  </c:chart>
  <c:txPr>
    <a:bodyPr/>
    <a:lstStyle/>
    <a:p>
      <a:pPr>
        <a:defRPr sz="11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pieChart>
        <c:varyColors val="1"/>
        <c:ser>
          <c:idx val="0"/>
          <c:order val="0"/>
          <c:dLbls>
            <c:dLbl>
              <c:idx val="2"/>
              <c:layout>
                <c:manualLayout>
                  <c:x val="9.5522528433945708E-2"/>
                  <c:y val="-0.2545067804024502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Feuil1!$B$8:$B$10</c:f>
              <c:strCache>
                <c:ptCount val="3"/>
                <c:pt idx="0">
                  <c:v>Other</c:v>
                </c:pt>
                <c:pt idx="1">
                  <c:v>Negotiated procedure without invitation</c:v>
                </c:pt>
                <c:pt idx="2">
                  <c:v>Open procedure</c:v>
                </c:pt>
              </c:strCache>
            </c:strRef>
          </c:cat>
          <c:val>
            <c:numRef>
              <c:f>Feuil1!$A$8:$A$10</c:f>
              <c:numCache>
                <c:formatCode>0%</c:formatCode>
                <c:ptCount val="3"/>
                <c:pt idx="0">
                  <c:v>0.11</c:v>
                </c:pt>
                <c:pt idx="1">
                  <c:v>0.1</c:v>
                </c:pt>
                <c:pt idx="2">
                  <c:v>0.79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zero"/>
    <c:showDLblsOverMax val="0"/>
  </c:chart>
  <c:txPr>
    <a:bodyPr/>
    <a:lstStyle/>
    <a:p>
      <a:pPr>
        <a:defRPr sz="10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SRServiceRequestID xmlns="bf45fa88-98c7-47bb-888f-84717ead0ae6">183</DSRServiceReque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78CC12881F3D4FB16C7014AA843BF9" ma:contentTypeVersion="2" ma:contentTypeDescription="Create a new document." ma:contentTypeScope="" ma:versionID="d2fbdc9779ab3d94639e45bc765f0937">
  <xsd:schema xmlns:xsd="http://www.w3.org/2001/XMLSchema" xmlns:xs="http://www.w3.org/2001/XMLSchema" xmlns:p="http://schemas.microsoft.com/office/2006/metadata/properties" xmlns:ns2="bf45fa88-98c7-47bb-888f-84717ead0ae6" targetNamespace="http://schemas.microsoft.com/office/2006/metadata/properties" ma:root="true" ma:fieldsID="2e0ca4e7f36a92509c00cdfd76d58cbe" ns2:_="">
    <xsd:import namespace="bf45fa88-98c7-47bb-888f-84717ead0ae6"/>
    <xsd:element name="properties">
      <xsd:complexType>
        <xsd:sequence>
          <xsd:element name="documentManagement">
            <xsd:complexType>
              <xsd:all>
                <xsd:element ref="ns2:DSRService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5fa88-98c7-47bb-888f-84717ead0ae6" elementFormDefault="qualified">
    <xsd:import namespace="http://schemas.microsoft.com/office/2006/documentManagement/types"/>
    <xsd:import namespace="http://schemas.microsoft.com/office/infopath/2007/PartnerControls"/>
    <xsd:element name="DSRServiceRequestID" ma:index="8" nillable="true" ma:displayName="DSRServiceRequestID" ma:list="{f3ae5b33-8917-4057-9a6c-4074f6c415ad}" ma:internalName="DSRServiceRequestID"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24B5E-6340-41C4-9054-47E581E43EE7}">
  <ds:schemaRefs>
    <ds:schemaRef ds:uri="http://schemas.microsoft.com/sharepoint/v3/contenttype/forms"/>
  </ds:schemaRefs>
</ds:datastoreItem>
</file>

<file path=customXml/itemProps3.xml><?xml version="1.0" encoding="utf-8"?>
<ds:datastoreItem xmlns:ds="http://schemas.openxmlformats.org/officeDocument/2006/customXml" ds:itemID="{F299F823-65AA-4B25-9E2D-747FA0FDFE09}">
  <ds:schemaRefs>
    <ds:schemaRef ds:uri="http://schemas.microsoft.com/office/2006/metadata/properties"/>
    <ds:schemaRef ds:uri="http://schemas.microsoft.com/office/infopath/2007/PartnerControls"/>
    <ds:schemaRef ds:uri="bf45fa88-98c7-47bb-888f-84717ead0ae6"/>
  </ds:schemaRefs>
</ds:datastoreItem>
</file>

<file path=customXml/itemProps4.xml><?xml version="1.0" encoding="utf-8"?>
<ds:datastoreItem xmlns:ds="http://schemas.openxmlformats.org/officeDocument/2006/customXml" ds:itemID="{686F232A-8192-49D1-8798-C05D3E6F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5fa88-98c7-47bb-888f-84717ead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3D2469-6D67-4EAB-B4C4-76C083A3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17569</Words>
  <Characters>100144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SERBIA: PROGRAM ON MODERNIZATION AND OPTIMIZATION OF PUBLIC ADMINISTRATION</vt:lpstr>
    </vt:vector>
  </TitlesOfParts>
  <Company>Hewlett-Packard Company</Company>
  <LinksUpToDate>false</LinksUpToDate>
  <CharactersWithSpaces>117479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 PROGRAM ON MODERNIZATION AND OPTIMIZATION OF PUBLIC ADMINISTRATION</dc:title>
  <dc:subject>Fiduciary Assessment</dc:subject>
  <dc:creator>Aleksandar Crnomarkovic</dc:creator>
  <cp:keywords/>
  <dc:description/>
  <cp:lastModifiedBy>Hemalatha Niranjan</cp:lastModifiedBy>
  <cp:revision>4</cp:revision>
  <cp:lastPrinted>2015-10-16T15:43:00Z</cp:lastPrinted>
  <dcterms:created xsi:type="dcterms:W3CDTF">2016-05-04T09:20:00Z</dcterms:created>
  <dcterms:modified xsi:type="dcterms:W3CDTF">2016-05-05T10:06:00Z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0x0101001478CC12881F3D4FB16C7014AA843BF9</vt:lpwstr>
  </property>
</Properties>
</file>