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61C6" w14:textId="77777777" w:rsidR="003615CB" w:rsidRPr="00EF1B76" w:rsidRDefault="002C3F71" w:rsidP="00D846D2">
      <w:pPr>
        <w:spacing w:line="276" w:lineRule="auto"/>
        <w:jc w:val="center"/>
        <w:rPr>
          <w:rFonts w:asciiTheme="minorHAnsi" w:hAnsiTheme="minorHAnsi"/>
          <w:spacing w:val="-2"/>
          <w:sz w:val="22"/>
        </w:rPr>
      </w:pPr>
      <w:r w:rsidRPr="00EF1B76">
        <w:rPr>
          <w:rFonts w:asciiTheme="minorHAnsi" w:hAnsiTheme="minorHAnsi"/>
          <w:spacing w:val="-2"/>
          <w:sz w:val="22"/>
        </w:rPr>
        <w:t>Document of</w:t>
      </w:r>
    </w:p>
    <w:p w14:paraId="18C6AD58" w14:textId="77777777" w:rsidR="003615CB" w:rsidRDefault="002C3F71" w:rsidP="00D846D2">
      <w:pPr>
        <w:spacing w:line="276" w:lineRule="auto"/>
        <w:jc w:val="center"/>
        <w:rPr>
          <w:rFonts w:asciiTheme="minorHAnsi" w:hAnsiTheme="minorHAnsi"/>
          <w:b/>
          <w:spacing w:val="-2"/>
          <w:sz w:val="28"/>
        </w:rPr>
      </w:pPr>
      <w:r>
        <w:rPr>
          <w:rFonts w:asciiTheme="minorHAnsi" w:hAnsiTheme="minorHAnsi"/>
          <w:b/>
          <w:spacing w:val="-1"/>
          <w:sz w:val="28"/>
        </w:rPr>
        <w:t>The World</w:t>
      </w:r>
      <w:r>
        <w:rPr>
          <w:rFonts w:asciiTheme="minorHAnsi" w:hAnsiTheme="minorHAnsi"/>
          <w:b/>
          <w:sz w:val="28"/>
        </w:rPr>
        <w:t xml:space="preserve"> </w:t>
      </w:r>
      <w:r>
        <w:rPr>
          <w:rFonts w:asciiTheme="minorHAnsi" w:hAnsiTheme="minorHAnsi"/>
          <w:b/>
          <w:spacing w:val="-2"/>
          <w:sz w:val="28"/>
        </w:rPr>
        <w:t>Bank</w:t>
      </w:r>
    </w:p>
    <w:p w14:paraId="18F4B63A" w14:textId="77777777" w:rsidR="003615CB" w:rsidRDefault="002C3F71" w:rsidP="00D846D2">
      <w:pPr>
        <w:pStyle w:val="BodyText"/>
        <w:ind w:left="0"/>
        <w:jc w:val="center"/>
        <w:rPr>
          <w:rFonts w:asciiTheme="minorHAnsi" w:hAnsiTheme="minorHAnsi"/>
          <w:spacing w:val="-1"/>
        </w:rPr>
      </w:pPr>
      <w:r>
        <w:rPr>
          <w:rFonts w:asciiTheme="minorHAnsi" w:hAnsiTheme="minorHAnsi"/>
          <w:spacing w:val="-1"/>
        </w:rPr>
        <w:t>FOR OFFICIAL</w:t>
      </w:r>
      <w:r>
        <w:rPr>
          <w:rFonts w:asciiTheme="minorHAnsi" w:hAnsiTheme="minorHAnsi"/>
        </w:rPr>
        <w:t xml:space="preserve"> </w:t>
      </w:r>
      <w:proofErr w:type="gramStart"/>
      <w:r>
        <w:rPr>
          <w:rFonts w:asciiTheme="minorHAnsi" w:hAnsiTheme="minorHAnsi"/>
          <w:spacing w:val="-1"/>
        </w:rPr>
        <w:t>USE</w:t>
      </w:r>
      <w:proofErr w:type="gramEnd"/>
      <w:r>
        <w:rPr>
          <w:rFonts w:asciiTheme="minorHAnsi" w:hAnsiTheme="minorHAnsi"/>
          <w:spacing w:val="3"/>
        </w:rPr>
        <w:t xml:space="preserve"> </w:t>
      </w:r>
      <w:r>
        <w:rPr>
          <w:rFonts w:asciiTheme="minorHAnsi" w:hAnsiTheme="minorHAnsi"/>
          <w:spacing w:val="-1"/>
        </w:rPr>
        <w:t>ONLY</w:t>
      </w:r>
    </w:p>
    <w:p w14:paraId="7EFF9DD1" w14:textId="77777777" w:rsidR="00875409" w:rsidRDefault="00875409" w:rsidP="00D846D2">
      <w:pPr>
        <w:pStyle w:val="BodyText"/>
        <w:ind w:left="0"/>
        <w:jc w:val="center"/>
        <w:rPr>
          <w:rFonts w:asciiTheme="minorHAnsi" w:hAnsiTheme="minorHAnsi"/>
          <w:spacing w:val="-1"/>
        </w:rPr>
      </w:pPr>
    </w:p>
    <w:p w14:paraId="2F565775" w14:textId="77777777" w:rsidR="00875409" w:rsidRDefault="00875409" w:rsidP="00875409">
      <w:pPr>
        <w:pStyle w:val="BodyText"/>
        <w:ind w:left="0"/>
        <w:jc w:val="right"/>
        <w:rPr>
          <w:rFonts w:asciiTheme="minorHAnsi" w:hAnsiTheme="minorHAnsi"/>
          <w:b w:val="0"/>
          <w:bCs w:val="0"/>
        </w:rPr>
      </w:pPr>
    </w:p>
    <w:p w14:paraId="1E65F926" w14:textId="77777777" w:rsidR="003615CB" w:rsidRPr="00CF0E18" w:rsidRDefault="002C3F71" w:rsidP="00CF0E18">
      <w:pPr>
        <w:widowControl/>
        <w:autoSpaceDE/>
        <w:autoSpaceDN/>
        <w:adjustRightInd/>
        <w:spacing w:after="160" w:line="259" w:lineRule="auto"/>
        <w:jc w:val="right"/>
        <w:rPr>
          <w:rFonts w:asciiTheme="minorHAnsi" w:eastAsiaTheme="minorHAnsi" w:hAnsiTheme="minorHAnsi" w:cstheme="minorBidi"/>
          <w:color w:val="auto"/>
          <w:szCs w:val="22"/>
        </w:rPr>
      </w:pPr>
      <w:r w:rsidRPr="00CF0E18">
        <w:rPr>
          <w:rFonts w:asciiTheme="minorHAnsi" w:eastAsiaTheme="minorHAnsi" w:hAnsiTheme="minorHAnsi" w:cstheme="minorBidi"/>
          <w:color w:val="auto"/>
          <w:szCs w:val="22"/>
        </w:rPr>
        <w:t xml:space="preserve">Report No: </w:t>
      </w:r>
      <w:r w:rsidR="0018108F">
        <w:rPr>
          <w:rFonts w:asciiTheme="minorHAnsi" w:eastAsiaTheme="minorHAnsi" w:hAnsiTheme="minorHAnsi" w:cstheme="minorBidi"/>
          <w:noProof/>
          <w:color w:val="auto"/>
          <w:szCs w:val="22"/>
        </w:rPr>
        <w:t>ICR00004359</w:t>
      </w:r>
    </w:p>
    <w:p w14:paraId="4913F1E2" w14:textId="77777777" w:rsidR="00875409" w:rsidRDefault="00875409" w:rsidP="00875409">
      <w:pPr>
        <w:rPr>
          <w:rFonts w:asciiTheme="minorHAnsi" w:hAnsiTheme="minorHAnsi"/>
          <w:spacing w:val="-1"/>
        </w:rPr>
      </w:pPr>
    </w:p>
    <w:p w14:paraId="1D334518" w14:textId="77777777" w:rsidR="00875409" w:rsidRDefault="00875409" w:rsidP="00875409">
      <w:pPr>
        <w:rPr>
          <w:rFonts w:asciiTheme="minorHAnsi" w:hAnsiTheme="minorHAnsi"/>
          <w:spacing w:val="-1"/>
        </w:rPr>
      </w:pPr>
    </w:p>
    <w:p w14:paraId="52EE62F7" w14:textId="77777777" w:rsidR="00E94D9A" w:rsidRDefault="00E94D9A" w:rsidP="003615CB">
      <w:pPr>
        <w:jc w:val="center"/>
        <w:rPr>
          <w:rFonts w:asciiTheme="minorHAnsi" w:hAnsiTheme="minorHAnsi" w:cs="Times New Roman"/>
          <w:bCs/>
          <w:color w:val="262626" w:themeColor="text1" w:themeTint="D9"/>
          <w:kern w:val="24"/>
        </w:rPr>
      </w:pPr>
    </w:p>
    <w:p w14:paraId="1E576EE1" w14:textId="77777777" w:rsidR="00875409" w:rsidRPr="009D7372" w:rsidRDefault="002C3F71" w:rsidP="00F920C3">
      <w:pPr>
        <w:widowControl/>
        <w:autoSpaceDE/>
        <w:autoSpaceDN/>
        <w:adjustRightInd/>
        <w:spacing w:after="160"/>
        <w:ind w:left="-720" w:right="-180"/>
        <w:jc w:val="center"/>
        <w:rPr>
          <w:rFonts w:asciiTheme="minorHAnsi" w:eastAsiaTheme="minorHAnsi" w:hAnsiTheme="minorHAnsi" w:cstheme="minorBidi"/>
          <w:color w:val="262626" w:themeColor="text1" w:themeTint="D9"/>
          <w:sz w:val="28"/>
          <w:szCs w:val="48"/>
        </w:rPr>
      </w:pPr>
      <w:r w:rsidRPr="009D7372">
        <w:rPr>
          <w:rFonts w:asciiTheme="minorHAnsi" w:eastAsiaTheme="minorHAnsi" w:hAnsiTheme="minorHAnsi" w:cstheme="minorBidi"/>
          <w:color w:val="262626" w:themeColor="text1" w:themeTint="D9"/>
          <w:sz w:val="28"/>
          <w:szCs w:val="48"/>
        </w:rPr>
        <w:t>IMPLEMENTATION COMPLETION AND RESULTS REPORT</w:t>
      </w:r>
    </w:p>
    <w:p w14:paraId="1B457CB7" w14:textId="77777777" w:rsidR="00D33859" w:rsidRPr="00B425B2" w:rsidRDefault="002C3F71" w:rsidP="00D33859">
      <w:pPr>
        <w:spacing w:after="240"/>
        <w:jc w:val="center"/>
        <w:rPr>
          <w:rFonts w:asciiTheme="minorHAnsi" w:hAnsiTheme="minorHAnsi"/>
        </w:rPr>
      </w:pPr>
      <w:r>
        <w:rPr>
          <w:rFonts w:asciiTheme="minorHAnsi" w:hAnsiTheme="minorHAnsi"/>
        </w:rPr>
        <w:t>(IBRD 75830)</w:t>
      </w:r>
    </w:p>
    <w:p w14:paraId="53CE3D30" w14:textId="77777777" w:rsidR="00D33859" w:rsidRPr="00B425B2" w:rsidRDefault="002C3F71" w:rsidP="00D33859">
      <w:pPr>
        <w:spacing w:after="240"/>
        <w:jc w:val="center"/>
        <w:rPr>
          <w:rFonts w:asciiTheme="minorHAnsi" w:eastAsiaTheme="minorHAnsi" w:hAnsiTheme="minorHAnsi" w:cstheme="minorBidi"/>
          <w:color w:val="auto"/>
        </w:rPr>
      </w:pPr>
      <w:r w:rsidRPr="00B425B2">
        <w:rPr>
          <w:rFonts w:asciiTheme="minorHAnsi" w:eastAsiaTheme="minorHAnsi" w:hAnsiTheme="minorHAnsi" w:cstheme="minorBidi"/>
          <w:color w:val="auto"/>
        </w:rPr>
        <w:t>ON A</w:t>
      </w:r>
    </w:p>
    <w:p w14:paraId="2A0E49EF" w14:textId="77777777" w:rsidR="00D33859" w:rsidRPr="00B425B2" w:rsidRDefault="002C3F71" w:rsidP="00D33859">
      <w:pPr>
        <w:jc w:val="center"/>
        <w:rPr>
          <w:rFonts w:asciiTheme="minorHAnsi" w:eastAsiaTheme="minorHAnsi" w:hAnsiTheme="minorHAnsi" w:cstheme="minorBidi"/>
          <w:color w:val="auto"/>
        </w:rPr>
      </w:pPr>
      <w:r w:rsidRPr="00B425B2">
        <w:rPr>
          <w:rFonts w:asciiTheme="minorHAnsi" w:eastAsiaTheme="minorHAnsi" w:hAnsiTheme="minorHAnsi" w:cstheme="minorBidi"/>
          <w:color w:val="auto"/>
        </w:rPr>
        <w:t>LOAN</w:t>
      </w:r>
    </w:p>
    <w:p w14:paraId="01371418" w14:textId="77777777" w:rsidR="00D33859" w:rsidRPr="00B425B2" w:rsidRDefault="00D33859" w:rsidP="00D33859">
      <w:pPr>
        <w:jc w:val="center"/>
        <w:rPr>
          <w:rFonts w:asciiTheme="minorHAnsi" w:hAnsiTheme="minorHAnsi" w:cs="Times New Roman"/>
          <w:caps/>
        </w:rPr>
      </w:pPr>
    </w:p>
    <w:p w14:paraId="390A8E06" w14:textId="77777777" w:rsidR="00D33859" w:rsidRPr="00B425B2" w:rsidRDefault="002C3F71" w:rsidP="00D33859">
      <w:pPr>
        <w:spacing w:after="240"/>
        <w:jc w:val="center"/>
        <w:rPr>
          <w:rFonts w:asciiTheme="minorHAnsi" w:eastAsiaTheme="minorHAnsi" w:hAnsiTheme="minorHAnsi" w:cstheme="minorBidi"/>
          <w:color w:val="auto"/>
        </w:rPr>
      </w:pPr>
      <w:r w:rsidRPr="00B425B2">
        <w:rPr>
          <w:rFonts w:asciiTheme="minorHAnsi" w:eastAsiaTheme="minorHAnsi" w:hAnsiTheme="minorHAnsi" w:cstheme="minorBidi"/>
          <w:color w:val="auto"/>
        </w:rPr>
        <w:t xml:space="preserve">IN THE AMOUNT OF </w:t>
      </w:r>
      <w:r w:rsidRPr="00E533D1">
        <w:rPr>
          <w:rFonts w:asciiTheme="minorHAnsi" w:eastAsiaTheme="minorHAnsi" w:hAnsiTheme="minorHAnsi" w:cstheme="minorBidi"/>
          <w:color w:val="auto"/>
        </w:rPr>
        <w:t xml:space="preserve">US$30 </w:t>
      </w:r>
      <w:r w:rsidRPr="00B425B2">
        <w:rPr>
          <w:rFonts w:asciiTheme="minorHAnsi" w:eastAsiaTheme="minorHAnsi" w:hAnsiTheme="minorHAnsi" w:cstheme="minorBidi"/>
          <w:color w:val="auto"/>
        </w:rPr>
        <w:t>MILLION</w:t>
      </w:r>
    </w:p>
    <w:p w14:paraId="64F74396" w14:textId="77777777" w:rsidR="00D33859" w:rsidRPr="009D7372" w:rsidRDefault="002C3F71" w:rsidP="00D33859">
      <w:pPr>
        <w:spacing w:after="240"/>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TO THE</w:t>
      </w:r>
    </w:p>
    <w:p w14:paraId="7CE8BAC3" w14:textId="77777777" w:rsidR="00D33859" w:rsidRPr="009D7372" w:rsidRDefault="00D33859" w:rsidP="00D33859">
      <w:pPr>
        <w:jc w:val="center"/>
        <w:rPr>
          <w:rFonts w:asciiTheme="minorHAnsi" w:eastAsiaTheme="minorHAnsi" w:hAnsiTheme="minorHAnsi" w:cstheme="minorBidi"/>
          <w:noProof/>
          <w:color w:val="0D0D0D" w:themeColor="text1" w:themeTint="F2"/>
        </w:rPr>
      </w:pPr>
    </w:p>
    <w:p w14:paraId="0751D2EA" w14:textId="77777777" w:rsidR="00D33859" w:rsidRPr="009D7372" w:rsidRDefault="002C3F71" w:rsidP="00D33859">
      <w:pPr>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 xml:space="preserve"> </w:t>
      </w:r>
      <w:r>
        <w:rPr>
          <w:rFonts w:asciiTheme="minorHAnsi" w:eastAsiaTheme="minorHAnsi" w:hAnsiTheme="minorHAnsi" w:cstheme="minorBidi"/>
          <w:noProof/>
          <w:color w:val="0D0D0D" w:themeColor="text1" w:themeTint="F2"/>
        </w:rPr>
        <w:t>Argentine Republic</w:t>
      </w:r>
      <w:r w:rsidRPr="009D7372">
        <w:rPr>
          <w:rFonts w:asciiTheme="minorHAnsi" w:eastAsiaTheme="minorHAnsi" w:hAnsiTheme="minorHAnsi" w:cstheme="minorBidi"/>
          <w:noProof/>
          <w:color w:val="0D0D0D" w:themeColor="text1" w:themeTint="F2"/>
        </w:rPr>
        <w:t xml:space="preserve"> </w:t>
      </w:r>
    </w:p>
    <w:p w14:paraId="69150916" w14:textId="77777777" w:rsidR="00D33859" w:rsidRPr="009D7372" w:rsidRDefault="00D33859" w:rsidP="00D33859">
      <w:pPr>
        <w:jc w:val="center"/>
        <w:rPr>
          <w:rFonts w:asciiTheme="minorHAnsi" w:eastAsiaTheme="minorHAnsi" w:hAnsiTheme="minorHAnsi" w:cstheme="minorBidi"/>
          <w:noProof/>
          <w:color w:val="0D0D0D" w:themeColor="text1" w:themeTint="F2"/>
        </w:rPr>
      </w:pPr>
    </w:p>
    <w:p w14:paraId="670A8607" w14:textId="77777777" w:rsidR="00D33859" w:rsidRPr="009D7372" w:rsidRDefault="002C3F71" w:rsidP="00D33859">
      <w:pPr>
        <w:spacing w:line="360" w:lineRule="auto"/>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 xml:space="preserve">FOR </w:t>
      </w:r>
      <w:r>
        <w:rPr>
          <w:rFonts w:asciiTheme="minorHAnsi" w:eastAsiaTheme="minorHAnsi" w:hAnsiTheme="minorHAnsi" w:cstheme="minorBidi"/>
          <w:noProof/>
          <w:color w:val="0D0D0D" w:themeColor="text1" w:themeTint="F2"/>
        </w:rPr>
        <w:t>A</w:t>
      </w:r>
    </w:p>
    <w:p w14:paraId="19C4B01C" w14:textId="77777777" w:rsidR="00D33859" w:rsidRPr="009D7372" w:rsidRDefault="002C3F71" w:rsidP="00D33859">
      <w:pPr>
        <w:ind w:left="521" w:right="523"/>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fldChar w:fldCharType="begin"/>
      </w:r>
      <w:r w:rsidRPr="009D7372">
        <w:rPr>
          <w:rFonts w:asciiTheme="minorHAnsi" w:eastAsiaTheme="minorHAnsi" w:hAnsiTheme="minorHAnsi" w:cstheme="minorBidi"/>
          <w:noProof/>
          <w:color w:val="0D0D0D" w:themeColor="text1" w:themeTint="F2"/>
        </w:rPr>
        <w:instrText xml:space="preserve"> IF "ARGENTINA MINING ENVIRONMENTAL RESTORATION PROJECT ( P110462 )" &lt;&gt; "" "ARGENTINA MINING ENVIRONMENTAL RESTORATION PROJECT ( P110462 )" "AR MINING ENVIRONMENTAL RESTORATION PROJ"</w:instrText>
      </w:r>
      <w:r w:rsidRPr="009D7372">
        <w:rPr>
          <w:rFonts w:asciiTheme="minorHAnsi" w:eastAsiaTheme="minorHAnsi" w:hAnsiTheme="minorHAnsi" w:cstheme="minorBidi"/>
          <w:noProof/>
          <w:color w:val="0D0D0D" w:themeColor="text1" w:themeTint="F2"/>
        </w:rPr>
        <w:fldChar w:fldCharType="separate"/>
      </w:r>
      <w:r w:rsidR="00B25E67" w:rsidRPr="009D7372">
        <w:rPr>
          <w:rFonts w:asciiTheme="minorHAnsi" w:eastAsiaTheme="minorHAnsi" w:hAnsiTheme="minorHAnsi" w:cstheme="minorBidi"/>
          <w:noProof/>
          <w:color w:val="0D0D0D" w:themeColor="text1" w:themeTint="F2"/>
        </w:rPr>
        <w:t>ARGENTINA MINING ENVIRONMENTAL RESTORATION PROJECT ( P110462 )</w:t>
      </w:r>
      <w:r w:rsidRPr="009D7372">
        <w:rPr>
          <w:rFonts w:asciiTheme="minorHAnsi" w:eastAsiaTheme="minorHAnsi" w:hAnsiTheme="minorHAnsi" w:cstheme="minorBidi"/>
          <w:noProof/>
          <w:color w:val="0D0D0D" w:themeColor="text1" w:themeTint="F2"/>
        </w:rPr>
        <w:fldChar w:fldCharType="end"/>
      </w:r>
    </w:p>
    <w:p w14:paraId="29A4D56D" w14:textId="77777777" w:rsidR="00D33859" w:rsidRDefault="002C3F71" w:rsidP="00D33859">
      <w:pPr>
        <w:ind w:left="521" w:right="523"/>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br/>
        <w:t xml:space="preserve"> </w:t>
      </w:r>
      <w:r w:rsidR="0073027E">
        <w:rPr>
          <w:rFonts w:asciiTheme="minorHAnsi" w:eastAsiaTheme="minorHAnsi" w:hAnsiTheme="minorHAnsi" w:cstheme="minorBidi"/>
          <w:noProof/>
          <w:color w:val="0D0D0D" w:themeColor="text1" w:themeTint="F2"/>
        </w:rPr>
        <w:t xml:space="preserve">December </w:t>
      </w:r>
      <w:r w:rsidR="00377CE6">
        <w:rPr>
          <w:rFonts w:asciiTheme="minorHAnsi" w:eastAsiaTheme="minorHAnsi" w:hAnsiTheme="minorHAnsi" w:cstheme="minorBidi"/>
          <w:noProof/>
          <w:color w:val="0D0D0D" w:themeColor="text1" w:themeTint="F2"/>
        </w:rPr>
        <w:t>2</w:t>
      </w:r>
      <w:r w:rsidR="00EB6C0E">
        <w:rPr>
          <w:rFonts w:asciiTheme="minorHAnsi" w:eastAsiaTheme="minorHAnsi" w:hAnsiTheme="minorHAnsi" w:cstheme="minorBidi"/>
          <w:noProof/>
          <w:color w:val="0D0D0D" w:themeColor="text1" w:themeTint="F2"/>
        </w:rPr>
        <w:t>7</w:t>
      </w:r>
      <w:r>
        <w:rPr>
          <w:rFonts w:asciiTheme="minorHAnsi" w:eastAsiaTheme="minorHAnsi" w:hAnsiTheme="minorHAnsi" w:cstheme="minorBidi"/>
          <w:noProof/>
          <w:color w:val="0D0D0D" w:themeColor="text1" w:themeTint="F2"/>
        </w:rPr>
        <w:t>, 2017</w:t>
      </w:r>
    </w:p>
    <w:p w14:paraId="339C735E" w14:textId="77777777" w:rsidR="00D33859" w:rsidRDefault="00D33859" w:rsidP="00D33859">
      <w:pPr>
        <w:ind w:left="521" w:right="523"/>
        <w:jc w:val="center"/>
        <w:rPr>
          <w:rFonts w:asciiTheme="minorHAnsi" w:eastAsiaTheme="minorHAnsi" w:hAnsiTheme="minorHAnsi" w:cstheme="minorBidi"/>
          <w:noProof/>
          <w:color w:val="0D0D0D" w:themeColor="text1" w:themeTint="F2"/>
        </w:rPr>
      </w:pPr>
    </w:p>
    <w:p w14:paraId="14029C8A" w14:textId="77777777" w:rsidR="003615CB" w:rsidRPr="009D7372" w:rsidRDefault="003615CB" w:rsidP="003615CB">
      <w:pPr>
        <w:jc w:val="center"/>
        <w:rPr>
          <w:rFonts w:asciiTheme="minorHAnsi" w:hAnsiTheme="minorHAnsi"/>
        </w:rPr>
      </w:pPr>
    </w:p>
    <w:p w14:paraId="433C273C" w14:textId="77777777" w:rsidR="003615CB" w:rsidRPr="009D7372" w:rsidRDefault="002C3F71" w:rsidP="003615CB">
      <w:pPr>
        <w:spacing w:line="276" w:lineRule="auto"/>
        <w:rPr>
          <w:rFonts w:asciiTheme="minorHAnsi" w:hAnsiTheme="minorHAnsi" w:cs="Times New Roman"/>
        </w:rPr>
      </w:pPr>
      <w:r w:rsidRPr="009D7372">
        <w:rPr>
          <w:rFonts w:asciiTheme="minorHAnsi" w:hAnsiTheme="minorHAnsi" w:cs="Times New Roman"/>
          <w:noProof/>
        </w:rPr>
        <w:t>Environment &amp; Natural Resources Global Practice</w:t>
      </w:r>
    </w:p>
    <w:p w14:paraId="75B9FF1C" w14:textId="77777777" w:rsidR="003615CB" w:rsidRPr="009D7372" w:rsidRDefault="002C3F71" w:rsidP="003615CB">
      <w:pPr>
        <w:spacing w:line="276" w:lineRule="auto"/>
        <w:rPr>
          <w:rFonts w:asciiTheme="minorHAnsi" w:hAnsiTheme="minorHAnsi" w:cs="Times New Roman"/>
        </w:rPr>
      </w:pPr>
      <w:r w:rsidRPr="009D7372">
        <w:rPr>
          <w:rFonts w:asciiTheme="minorHAnsi" w:hAnsiTheme="minorHAnsi" w:cs="Times New Roman"/>
          <w:noProof/>
        </w:rPr>
        <w:t>Latin America And Caribbean Region</w:t>
      </w:r>
    </w:p>
    <w:p w14:paraId="7B7CDEF6" w14:textId="77777777" w:rsidR="003615CB" w:rsidRPr="009D7372" w:rsidRDefault="003615CB" w:rsidP="003615CB">
      <w:pPr>
        <w:ind w:left="-288"/>
        <w:rPr>
          <w:rFonts w:asciiTheme="minorHAnsi" w:hAnsiTheme="minorHAnsi"/>
        </w:rPr>
      </w:pPr>
    </w:p>
    <w:p w14:paraId="00828512" w14:textId="77777777" w:rsidR="003615CB" w:rsidRDefault="003615CB" w:rsidP="003615CB">
      <w:pPr>
        <w:ind w:left="-288"/>
        <w:jc w:val="center"/>
        <w:rPr>
          <w:rFonts w:asciiTheme="minorHAnsi" w:hAnsiTheme="minorHAnsi"/>
          <w:szCs w:val="22"/>
        </w:rPr>
      </w:pPr>
    </w:p>
    <w:sdt>
      <w:sdtPr>
        <w:id w:val="1076217604"/>
        <w:lock w:val="sdtContentLocked"/>
        <w:placeholder>
          <w:docPart w:val="DefaultPlaceholder_1081868574"/>
        </w:placeholder>
      </w:sdtPr>
      <w:sdtEndPr/>
      <w:sdtContent>
        <w:p w14:paraId="2A37C733" w14:textId="77777777" w:rsidR="003615CB" w:rsidRDefault="002C3F71" w:rsidP="007A54C7">
          <w:pPr>
            <w:pStyle w:val="Normal1"/>
            <w:spacing w:after="0" w:line="20" w:lineRule="exact"/>
            <w:sectPr w:rsidR="003615CB" w:rsidSect="003615CB">
              <w:footerReference w:type="default" r:id="rId12"/>
              <w:type w:val="continuous"/>
              <w:pgSz w:w="12240" w:h="15840"/>
              <w:pgMar w:top="1440" w:right="1440" w:bottom="1440" w:left="1440" w:header="720" w:footer="720" w:gutter="0"/>
              <w:cols w:space="720"/>
              <w:titlePg/>
              <w:docGrid w:linePitch="360"/>
            </w:sectPr>
          </w:pPr>
          <w:r>
            <w:t xml:space="preserve"> </w:t>
          </w:r>
        </w:p>
      </w:sdtContent>
    </w:sdt>
    <w:p w14:paraId="38E1CA31" w14:textId="77777777" w:rsidR="003615CB" w:rsidRDefault="003615CB" w:rsidP="003615CB">
      <w:pPr>
        <w:rPr>
          <w:rFonts w:asciiTheme="minorHAnsi" w:hAnsiTheme="minorHAnsi"/>
          <w:szCs w:val="22"/>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63776" w14:paraId="7BE2FAD1" w14:textId="77777777" w:rsidTr="00005F5F">
        <w:trPr>
          <w:jc w:val="center"/>
        </w:trPr>
        <w:tc>
          <w:tcPr>
            <w:tcW w:w="9450" w:type="dxa"/>
            <w:vAlign w:val="center"/>
          </w:tcPr>
          <w:p w14:paraId="491696E6" w14:textId="77777777" w:rsidR="003615CB" w:rsidRDefault="002C3F71">
            <w:pPr>
              <w:spacing w:line="276" w:lineRule="auto"/>
              <w:jc w:val="center"/>
              <w:rPr>
                <w:rFonts w:asciiTheme="minorHAnsi" w:hAnsiTheme="minorHAnsi" w:cs="Times New Roman"/>
              </w:rPr>
            </w:pPr>
            <w:r>
              <w:rPr>
                <w:noProof/>
              </w:rPr>
              <mc:AlternateContent>
                <mc:Choice Requires="wps">
                  <w:drawing>
                    <wp:anchor distT="0" distB="0" distL="114300" distR="114300" simplePos="0" relativeHeight="251658240" behindDoc="0" locked="0" layoutInCell="1" allowOverlap="1" wp14:anchorId="3614B17C" wp14:editId="52E9ACC0">
                      <wp:simplePos x="0" y="0"/>
                      <wp:positionH relativeFrom="column">
                        <wp:posOffset>1762125</wp:posOffset>
                      </wp:positionH>
                      <wp:positionV relativeFrom="paragraph">
                        <wp:posOffset>155575</wp:posOffset>
                      </wp:positionV>
                      <wp:extent cx="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BDD6E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47" o:spid="_x0000_s1025" style="mso-height-percent:0;mso-height-relative:margin;mso-width-percent:0;mso-width-relative:margin;mso-wrap-distance-bottom:0;mso-wrap-distance-left:9pt;mso-wrap-distance-right:9pt;mso-wrap-distance-top:0;mso-wrap-style:square;position:absolute;visibility:visible;z-index:251659264" from="138.75pt,12.25pt" to="138.75pt,12.25pt" strokecolor="#bdd6ee" strokeweight="0.5pt">
                      <v:stroke joinstyle="miter"/>
                    </v:line>
                  </w:pict>
                </mc:Fallback>
              </mc:AlternateContent>
            </w:r>
            <w:r w:rsidR="0044009B">
              <w:rPr>
                <w:rFonts w:asciiTheme="minorHAnsi" w:hAnsiTheme="minorHAnsi" w:cs="Times New Roman"/>
              </w:rPr>
              <w:t xml:space="preserve">             </w:t>
            </w:r>
            <w:r>
              <w:rPr>
                <w:rFonts w:asciiTheme="minorHAnsi" w:hAnsiTheme="minorHAnsi" w:cs="Times New Roman"/>
              </w:rPr>
              <w:t xml:space="preserve">CURRENCY EQUIVALENTS </w:t>
            </w:r>
          </w:p>
          <w:p w14:paraId="02A7D6AA" w14:textId="77777777" w:rsidR="003615CB" w:rsidRDefault="003615CB">
            <w:pPr>
              <w:spacing w:line="276" w:lineRule="auto"/>
              <w:jc w:val="center"/>
              <w:rPr>
                <w:rFonts w:asciiTheme="minorHAnsi" w:hAnsiTheme="minorHAnsi" w:cs="Times New Roman"/>
              </w:rPr>
            </w:pPr>
          </w:p>
        </w:tc>
      </w:tr>
      <w:tr w:rsidR="00E63776" w14:paraId="69A4AB51" w14:textId="77777777" w:rsidTr="00005F5F">
        <w:trPr>
          <w:trHeight w:val="288"/>
          <w:jc w:val="center"/>
        </w:trPr>
        <w:tc>
          <w:tcPr>
            <w:tcW w:w="9450" w:type="dxa"/>
            <w:vAlign w:val="center"/>
            <w:hideMark/>
          </w:tcPr>
          <w:p w14:paraId="4DBD1392" w14:textId="31139959" w:rsidR="003615CB" w:rsidRDefault="002C3F71" w:rsidP="003615CB">
            <w:pPr>
              <w:spacing w:line="276" w:lineRule="auto"/>
              <w:jc w:val="center"/>
              <w:rPr>
                <w:rFonts w:asciiTheme="minorHAnsi" w:hAnsiTheme="minorHAnsi" w:cs="Times New Roman"/>
                <w:color w:val="595959" w:themeColor="text1" w:themeTint="A6"/>
              </w:rPr>
            </w:pPr>
            <w:r>
              <w:rPr>
                <w:rFonts w:asciiTheme="minorHAnsi" w:hAnsiTheme="minorHAnsi" w:cs="Times New Roman"/>
                <w:color w:val="595959" w:themeColor="text1" w:themeTint="A6"/>
              </w:rPr>
              <w:t xml:space="preserve">         </w:t>
            </w:r>
            <w:r w:rsidR="003D0036">
              <w:rPr>
                <w:rFonts w:asciiTheme="minorHAnsi" w:hAnsiTheme="minorHAnsi" w:cs="Times New Roman"/>
                <w:color w:val="595959" w:themeColor="text1" w:themeTint="A6"/>
              </w:rPr>
              <w:t>(Exchange Rate Effective</w:t>
            </w:r>
            <w:r w:rsidR="00E166B0">
              <w:rPr>
                <w:rFonts w:asciiTheme="minorHAnsi" w:hAnsiTheme="minorHAnsi" w:cs="Times New Roman"/>
                <w:color w:val="595959" w:themeColor="text1" w:themeTint="A6"/>
              </w:rPr>
              <w:t>:</w:t>
            </w:r>
            <w:r w:rsidR="003D0036">
              <w:rPr>
                <w:rFonts w:asciiTheme="minorHAnsi" w:hAnsiTheme="minorHAnsi" w:cs="Times New Roman"/>
                <w:color w:val="595959" w:themeColor="text1" w:themeTint="A6"/>
              </w:rPr>
              <w:t xml:space="preserve"> </w:t>
            </w:r>
            <w:r w:rsidR="003D0036">
              <w:rPr>
                <w:rFonts w:asciiTheme="minorHAnsi" w:hAnsiTheme="minorHAnsi" w:cs="Times New Roman"/>
                <w:noProof/>
                <w:color w:val="595959" w:themeColor="text1" w:themeTint="A6"/>
              </w:rPr>
              <w:t>Nov 24, 2017</w:t>
            </w:r>
            <w:r w:rsidR="003D0036">
              <w:rPr>
                <w:rFonts w:asciiTheme="minorHAnsi" w:hAnsiTheme="minorHAnsi" w:cs="Times New Roman"/>
                <w:color w:val="595959" w:themeColor="text1" w:themeTint="A6"/>
              </w:rPr>
              <w:t>)</w:t>
            </w:r>
          </w:p>
        </w:tc>
      </w:tr>
      <w:tr w:rsidR="00E63776" w14:paraId="4621E1C2" w14:textId="77777777" w:rsidTr="00005F5F">
        <w:trPr>
          <w:trHeight w:val="20"/>
          <w:jc w:val="center"/>
        </w:trPr>
        <w:tc>
          <w:tcPr>
            <w:tcW w:w="9450" w:type="dxa"/>
            <w:vAlign w:val="center"/>
          </w:tcPr>
          <w:p w14:paraId="6D4D361D" w14:textId="77777777" w:rsidR="003615CB" w:rsidRDefault="003615CB">
            <w:pPr>
              <w:spacing w:line="276" w:lineRule="auto"/>
              <w:jc w:val="center"/>
              <w:rPr>
                <w:rFonts w:asciiTheme="minorHAnsi" w:hAnsiTheme="minorHAnsi" w:cs="Times New Roman"/>
              </w:rPr>
            </w:pPr>
          </w:p>
        </w:tc>
      </w:tr>
      <w:tr w:rsidR="00E63776" w14:paraId="2DE15643" w14:textId="77777777" w:rsidTr="00005F5F">
        <w:trPr>
          <w:jc w:val="center"/>
        </w:trPr>
        <w:tc>
          <w:tcPr>
            <w:tcW w:w="9450" w:type="dxa"/>
            <w:vAlign w:val="center"/>
            <w:hideMark/>
          </w:tcPr>
          <w:tbl>
            <w:tblPr>
              <w:tblStyle w:val="TableGrid"/>
              <w:tblW w:w="0" w:type="auto"/>
              <w:tblInd w:w="3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0"/>
              <w:gridCol w:w="2070"/>
            </w:tblGrid>
            <w:tr w:rsidR="00E63776" w14:paraId="4A306668" w14:textId="77777777">
              <w:trPr>
                <w:trHeight w:val="432"/>
              </w:trPr>
              <w:tc>
                <w:tcPr>
                  <w:tcW w:w="1890" w:type="dxa"/>
                  <w:tcBorders>
                    <w:top w:val="nil"/>
                    <w:left w:val="nil"/>
                    <w:bottom w:val="dashed" w:sz="4" w:space="0" w:color="D9D9D9" w:themeColor="background1" w:themeShade="D9"/>
                    <w:right w:val="nil"/>
                  </w:tcBorders>
                  <w:vAlign w:val="center"/>
                  <w:hideMark/>
                </w:tcPr>
                <w:p w14:paraId="1CDEA69F" w14:textId="77777777" w:rsidR="00D33859" w:rsidRPr="002250FD" w:rsidRDefault="002C3F71" w:rsidP="00D33859">
                  <w:pPr>
                    <w:ind w:left="-900" w:firstLine="900"/>
                    <w:jc w:val="right"/>
                    <w:rPr>
                      <w:rFonts w:asciiTheme="minorHAnsi" w:hAnsiTheme="minorHAnsi" w:cs="Times New Roman"/>
                    </w:rPr>
                  </w:pPr>
                  <w:r w:rsidRPr="002250FD">
                    <w:rPr>
                      <w:rFonts w:asciiTheme="minorHAnsi" w:hAnsiTheme="minorHAnsi" w:cs="Times New Roman"/>
                    </w:rPr>
                    <w:t xml:space="preserve">Currency </w:t>
                  </w:r>
                  <w:proofErr w:type="gramStart"/>
                  <w:r w:rsidRPr="002250FD">
                    <w:rPr>
                      <w:rFonts w:asciiTheme="minorHAnsi" w:hAnsiTheme="minorHAnsi" w:cs="Times New Roman"/>
                    </w:rPr>
                    <w:t>Unit  =</w:t>
                  </w:r>
                  <w:proofErr w:type="gramEnd"/>
                  <w:r w:rsidRPr="002250FD">
                    <w:rPr>
                      <w:rFonts w:asciiTheme="minorHAnsi" w:hAnsiTheme="minorHAnsi" w:cs="Times New Roman"/>
                    </w:rPr>
                    <w:t xml:space="preserve">                                    </w:t>
                  </w:r>
                </w:p>
              </w:tc>
              <w:tc>
                <w:tcPr>
                  <w:tcW w:w="2070" w:type="dxa"/>
                  <w:tcBorders>
                    <w:top w:val="nil"/>
                    <w:left w:val="nil"/>
                    <w:bottom w:val="dashed" w:sz="4" w:space="0" w:color="D9D9D9" w:themeColor="background1" w:themeShade="D9"/>
                    <w:right w:val="nil"/>
                  </w:tcBorders>
                  <w:vAlign w:val="center"/>
                </w:tcPr>
                <w:p w14:paraId="24AADEC1" w14:textId="77777777" w:rsidR="00D33859" w:rsidRPr="002250FD" w:rsidRDefault="002C3F71" w:rsidP="00D33859">
                  <w:pPr>
                    <w:rPr>
                      <w:rFonts w:asciiTheme="minorHAnsi" w:hAnsiTheme="minorHAnsi" w:cs="Times New Roman"/>
                    </w:rPr>
                  </w:pPr>
                  <w:r w:rsidRPr="002250FD">
                    <w:rPr>
                      <w:rFonts w:asciiTheme="minorHAnsi" w:hAnsiTheme="minorHAnsi" w:cs="Times New Roman"/>
                    </w:rPr>
                    <w:t>AR$</w:t>
                  </w:r>
                </w:p>
              </w:tc>
            </w:tr>
            <w:tr w:rsidR="00E63776" w14:paraId="1382C85D" w14:textId="77777777">
              <w:trPr>
                <w:trHeight w:val="432"/>
              </w:trPr>
              <w:tc>
                <w:tcPr>
                  <w:tcW w:w="1890" w:type="dxa"/>
                  <w:tcBorders>
                    <w:top w:val="dashed" w:sz="4" w:space="0" w:color="D9D9D9" w:themeColor="background1" w:themeShade="D9"/>
                    <w:left w:val="nil"/>
                    <w:bottom w:val="dashed" w:sz="4" w:space="0" w:color="D9D9D9" w:themeColor="background1" w:themeShade="D9"/>
                    <w:right w:val="nil"/>
                  </w:tcBorders>
                  <w:vAlign w:val="center"/>
                  <w:hideMark/>
                </w:tcPr>
                <w:p w14:paraId="3DD58AE2" w14:textId="77777777" w:rsidR="00D33859" w:rsidRPr="002250FD" w:rsidRDefault="002C3F71" w:rsidP="00D33859">
                  <w:pPr>
                    <w:jc w:val="right"/>
                    <w:rPr>
                      <w:rFonts w:asciiTheme="minorHAnsi" w:hAnsiTheme="minorHAnsi" w:cs="Times New Roman"/>
                    </w:rPr>
                  </w:pPr>
                  <w:r w:rsidRPr="002250FD">
                    <w:rPr>
                      <w:rFonts w:asciiTheme="minorHAnsi" w:hAnsiTheme="minorHAnsi" w:cs="Times New Roman"/>
                    </w:rPr>
                    <w:t>AR$3.015=</w:t>
                  </w:r>
                </w:p>
              </w:tc>
              <w:tc>
                <w:tcPr>
                  <w:tcW w:w="2070" w:type="dxa"/>
                  <w:tcBorders>
                    <w:top w:val="dashed" w:sz="4" w:space="0" w:color="D9D9D9" w:themeColor="background1" w:themeShade="D9"/>
                    <w:left w:val="nil"/>
                    <w:bottom w:val="dashed" w:sz="4" w:space="0" w:color="D9D9D9" w:themeColor="background1" w:themeShade="D9"/>
                    <w:right w:val="nil"/>
                  </w:tcBorders>
                  <w:vAlign w:val="center"/>
                  <w:hideMark/>
                </w:tcPr>
                <w:p w14:paraId="443DD78B" w14:textId="77777777" w:rsidR="00D33859" w:rsidRPr="002250FD" w:rsidRDefault="002C3F71" w:rsidP="00D33859">
                  <w:pPr>
                    <w:rPr>
                      <w:rFonts w:asciiTheme="minorHAnsi" w:hAnsiTheme="minorHAnsi" w:cs="Times New Roman"/>
                    </w:rPr>
                  </w:pPr>
                  <w:r w:rsidRPr="002250FD">
                    <w:rPr>
                      <w:rFonts w:asciiTheme="minorHAnsi" w:hAnsiTheme="minorHAnsi" w:cs="Times New Roman"/>
                    </w:rPr>
                    <w:t>US$1 (at appraisal)</w:t>
                  </w:r>
                </w:p>
              </w:tc>
            </w:tr>
            <w:tr w:rsidR="00E63776" w14:paraId="340847A5" w14:textId="77777777">
              <w:trPr>
                <w:trHeight w:val="432"/>
              </w:trPr>
              <w:tc>
                <w:tcPr>
                  <w:tcW w:w="1890" w:type="dxa"/>
                  <w:tcBorders>
                    <w:top w:val="dashed" w:sz="4" w:space="0" w:color="D9D9D9" w:themeColor="background1" w:themeShade="D9"/>
                    <w:left w:val="nil"/>
                    <w:bottom w:val="dashed" w:sz="4" w:space="0" w:color="D9D9D9" w:themeColor="background1" w:themeShade="D9"/>
                    <w:right w:val="nil"/>
                  </w:tcBorders>
                  <w:vAlign w:val="center"/>
                </w:tcPr>
                <w:p w14:paraId="1B4D5B99" w14:textId="77777777" w:rsidR="00D33859" w:rsidRPr="002250FD" w:rsidRDefault="002C3F71" w:rsidP="00D33859">
                  <w:pPr>
                    <w:jc w:val="right"/>
                    <w:rPr>
                      <w:rFonts w:asciiTheme="minorHAnsi" w:hAnsiTheme="minorHAnsi" w:cs="Times New Roman"/>
                    </w:rPr>
                  </w:pPr>
                  <w:r w:rsidRPr="002250FD">
                    <w:rPr>
                      <w:rFonts w:asciiTheme="minorHAnsi" w:hAnsiTheme="minorHAnsi" w:cs="Times New Roman"/>
                    </w:rPr>
                    <w:t>AR$17.47=</w:t>
                  </w:r>
                </w:p>
              </w:tc>
              <w:tc>
                <w:tcPr>
                  <w:tcW w:w="2070" w:type="dxa"/>
                  <w:tcBorders>
                    <w:top w:val="dashed" w:sz="4" w:space="0" w:color="D9D9D9" w:themeColor="background1" w:themeShade="D9"/>
                    <w:left w:val="nil"/>
                    <w:bottom w:val="dashed" w:sz="4" w:space="0" w:color="D9D9D9" w:themeColor="background1" w:themeShade="D9"/>
                    <w:right w:val="nil"/>
                  </w:tcBorders>
                  <w:vAlign w:val="center"/>
                </w:tcPr>
                <w:p w14:paraId="01BFBED3" w14:textId="77777777" w:rsidR="00D33859" w:rsidRPr="00D33859" w:rsidRDefault="002C3F71" w:rsidP="00D33859">
                  <w:pPr>
                    <w:rPr>
                      <w:rFonts w:asciiTheme="minorHAnsi" w:hAnsiTheme="minorHAnsi" w:cs="Times New Roman"/>
                      <w:sz w:val="22"/>
                      <w:szCs w:val="22"/>
                    </w:rPr>
                  </w:pPr>
                  <w:r w:rsidRPr="00D33859">
                    <w:rPr>
                      <w:rFonts w:asciiTheme="minorHAnsi" w:hAnsiTheme="minorHAnsi" w:cs="Times New Roman"/>
                      <w:sz w:val="22"/>
                      <w:szCs w:val="22"/>
                    </w:rPr>
                    <w:t>US$ 1 (at completion)</w:t>
                  </w:r>
                </w:p>
              </w:tc>
            </w:tr>
            <w:tr w:rsidR="00E63776" w14:paraId="3C4147EF" w14:textId="77777777">
              <w:trPr>
                <w:trHeight w:val="432"/>
              </w:trPr>
              <w:tc>
                <w:tcPr>
                  <w:tcW w:w="1890" w:type="dxa"/>
                  <w:tcBorders>
                    <w:top w:val="dashed" w:sz="4" w:space="0" w:color="D9D9D9" w:themeColor="background1" w:themeShade="D9"/>
                    <w:left w:val="nil"/>
                    <w:bottom w:val="nil"/>
                    <w:right w:val="nil"/>
                  </w:tcBorders>
                  <w:vAlign w:val="center"/>
                  <w:hideMark/>
                </w:tcPr>
                <w:p w14:paraId="3CB1581D" w14:textId="77777777" w:rsidR="00D33859" w:rsidRDefault="002C3F71" w:rsidP="00D33859">
                  <w:pPr>
                    <w:jc w:val="right"/>
                    <w:rPr>
                      <w:rFonts w:asciiTheme="minorHAnsi" w:hAnsiTheme="minorHAnsi" w:cs="Times New Roman"/>
                    </w:rPr>
                  </w:pPr>
                  <w:r>
                    <w:rPr>
                      <w:rFonts w:asciiTheme="minorHAnsi" w:hAnsiTheme="minorHAnsi" w:cs="Times New Roman"/>
                    </w:rPr>
                    <w:t>US</w:t>
                  </w:r>
                  <w:proofErr w:type="gramStart"/>
                  <w:r>
                    <w:rPr>
                      <w:rFonts w:asciiTheme="minorHAnsi" w:hAnsiTheme="minorHAnsi" w:cs="Times New Roman"/>
                    </w:rPr>
                    <w:t>$  =</w:t>
                  </w:r>
                  <w:proofErr w:type="gramEnd"/>
                </w:p>
              </w:tc>
              <w:tc>
                <w:tcPr>
                  <w:tcW w:w="2070" w:type="dxa"/>
                  <w:tcBorders>
                    <w:top w:val="dashed" w:sz="4" w:space="0" w:color="D9D9D9" w:themeColor="background1" w:themeShade="D9"/>
                    <w:left w:val="nil"/>
                    <w:bottom w:val="nil"/>
                    <w:right w:val="nil"/>
                  </w:tcBorders>
                  <w:vAlign w:val="center"/>
                  <w:hideMark/>
                </w:tcPr>
                <w:p w14:paraId="7A8E32D6" w14:textId="77777777" w:rsidR="00D33859" w:rsidRDefault="002C3F71" w:rsidP="00D33859">
                  <w:pPr>
                    <w:rPr>
                      <w:rFonts w:asciiTheme="minorHAnsi" w:hAnsiTheme="minorHAnsi" w:cs="Times New Roman"/>
                    </w:rPr>
                  </w:pPr>
                  <w:r>
                    <w:rPr>
                      <w:rFonts w:asciiTheme="minorHAnsi" w:hAnsiTheme="minorHAnsi" w:cs="Times New Roman"/>
                    </w:rPr>
                    <w:t>SDR 1</w:t>
                  </w:r>
                </w:p>
              </w:tc>
            </w:tr>
          </w:tbl>
          <w:p w14:paraId="2F716FF8" w14:textId="77777777" w:rsidR="003615CB" w:rsidRDefault="003615CB">
            <w:pPr>
              <w:spacing w:line="276" w:lineRule="auto"/>
              <w:jc w:val="center"/>
              <w:rPr>
                <w:rFonts w:asciiTheme="minorHAnsi" w:hAnsiTheme="minorHAnsi" w:cs="Times New Roman"/>
              </w:rPr>
            </w:pPr>
          </w:p>
        </w:tc>
      </w:tr>
      <w:tr w:rsidR="00E63776" w14:paraId="04CCD472" w14:textId="77777777" w:rsidTr="00005F5F">
        <w:trPr>
          <w:jc w:val="center"/>
        </w:trPr>
        <w:tc>
          <w:tcPr>
            <w:tcW w:w="9450" w:type="dxa"/>
            <w:vAlign w:val="center"/>
          </w:tcPr>
          <w:p w14:paraId="38B701A9" w14:textId="77777777" w:rsidR="003615CB" w:rsidRDefault="003615CB">
            <w:pPr>
              <w:ind w:left="-900" w:firstLine="900"/>
              <w:jc w:val="center"/>
              <w:rPr>
                <w:rFonts w:asciiTheme="minorHAnsi" w:hAnsiTheme="minorHAnsi" w:cs="Times New Roman"/>
              </w:rPr>
            </w:pPr>
          </w:p>
          <w:p w14:paraId="5FC78882" w14:textId="77777777" w:rsidR="003615CB" w:rsidRDefault="002C3F71">
            <w:pPr>
              <w:ind w:left="-900" w:firstLine="900"/>
              <w:jc w:val="center"/>
              <w:rPr>
                <w:rFonts w:asciiTheme="minorHAnsi" w:hAnsiTheme="minorHAnsi" w:cs="Times New Roman"/>
              </w:rPr>
            </w:pPr>
            <w:r>
              <w:rPr>
                <w:rFonts w:asciiTheme="minorHAnsi" w:hAnsiTheme="minorHAnsi" w:cs="Times New Roman"/>
              </w:rPr>
              <w:t xml:space="preserve">                </w:t>
            </w:r>
            <w:r w:rsidR="003D0036">
              <w:rPr>
                <w:rFonts w:asciiTheme="minorHAnsi" w:hAnsiTheme="minorHAnsi" w:cs="Times New Roman"/>
              </w:rPr>
              <w:t>FISCAL YEAR</w:t>
            </w:r>
          </w:p>
        </w:tc>
      </w:tr>
      <w:tr w:rsidR="00E63776" w14:paraId="0CAA9A1D" w14:textId="77777777" w:rsidTr="00005F5F">
        <w:trPr>
          <w:trHeight w:val="297"/>
          <w:jc w:val="center"/>
        </w:trPr>
        <w:tc>
          <w:tcPr>
            <w:tcW w:w="9450" w:type="dxa"/>
            <w:vAlign w:val="center"/>
            <w:hideMark/>
          </w:tcPr>
          <w:p w14:paraId="40FEDE80" w14:textId="77777777" w:rsidR="003615CB" w:rsidRDefault="002C3F71" w:rsidP="00C14619">
            <w:pPr>
              <w:ind w:left="-900" w:firstLine="900"/>
              <w:jc w:val="center"/>
              <w:rPr>
                <w:rFonts w:asciiTheme="minorHAnsi" w:hAnsiTheme="minorHAnsi" w:cs="Times New Roman"/>
              </w:rPr>
            </w:pPr>
            <w:r>
              <w:rPr>
                <w:rFonts w:asciiTheme="minorHAnsi" w:hAnsiTheme="minorHAnsi" w:cs="Times New Roman"/>
              </w:rPr>
              <w:t xml:space="preserve">                  </w:t>
            </w:r>
            <w:r w:rsidR="003D0036">
              <w:rPr>
                <w:rFonts w:asciiTheme="minorHAnsi" w:hAnsiTheme="minorHAnsi" w:cs="Times New Roman"/>
              </w:rPr>
              <w:t>J</w:t>
            </w:r>
            <w:r w:rsidR="00C14619">
              <w:rPr>
                <w:rFonts w:asciiTheme="minorHAnsi" w:hAnsiTheme="minorHAnsi" w:cs="Times New Roman"/>
              </w:rPr>
              <w:t>ul</w:t>
            </w:r>
            <w:r w:rsidR="003D0036">
              <w:rPr>
                <w:rFonts w:asciiTheme="minorHAnsi" w:hAnsiTheme="minorHAnsi" w:cs="Times New Roman"/>
              </w:rPr>
              <w:t xml:space="preserve">y 1 - </w:t>
            </w:r>
            <w:r w:rsidR="00C14619">
              <w:rPr>
                <w:rFonts w:asciiTheme="minorHAnsi" w:hAnsiTheme="minorHAnsi" w:cs="Times New Roman"/>
              </w:rPr>
              <w:t>June</w:t>
            </w:r>
            <w:r w:rsidR="003D0036">
              <w:rPr>
                <w:rFonts w:asciiTheme="minorHAnsi" w:hAnsiTheme="minorHAnsi" w:cs="Times New Roman"/>
              </w:rPr>
              <w:t xml:space="preserve"> 3</w:t>
            </w:r>
            <w:r w:rsidR="00C14619">
              <w:rPr>
                <w:rFonts w:asciiTheme="minorHAnsi" w:hAnsiTheme="minorHAnsi" w:cs="Times New Roman"/>
              </w:rPr>
              <w:t>0</w:t>
            </w:r>
          </w:p>
        </w:tc>
      </w:tr>
    </w:tbl>
    <w:p w14:paraId="07E6F433" w14:textId="77777777" w:rsidR="003615CB" w:rsidRPr="00501672" w:rsidRDefault="003615CB" w:rsidP="003615CB">
      <w:pPr>
        <w:ind w:left="-907"/>
        <w:rPr>
          <w:rFonts w:asciiTheme="minorHAnsi" w:hAnsiTheme="minorHAnsi"/>
          <w:sz w:val="20"/>
        </w:rPr>
      </w:pPr>
    </w:p>
    <w:p w14:paraId="4232FBB4" w14:textId="77777777" w:rsidR="003615CB" w:rsidRPr="00501672" w:rsidRDefault="003615CB" w:rsidP="003615CB">
      <w:pPr>
        <w:ind w:left="-907"/>
        <w:rPr>
          <w:rFonts w:asciiTheme="minorHAnsi" w:hAnsiTheme="minorHAnsi"/>
          <w:sz w:val="20"/>
        </w:rPr>
      </w:pPr>
    </w:p>
    <w:p w14:paraId="38EF048E" w14:textId="77777777" w:rsidR="003615CB" w:rsidRPr="00501672" w:rsidRDefault="003615CB" w:rsidP="003615CB">
      <w:pPr>
        <w:ind w:left="-907"/>
        <w:rPr>
          <w:rFonts w:asciiTheme="minorHAnsi" w:hAnsiTheme="minorHAnsi"/>
          <w:sz w:val="20"/>
        </w:rPr>
      </w:pPr>
    </w:p>
    <w:p w14:paraId="448E7F19" w14:textId="77777777" w:rsidR="003615CB" w:rsidRPr="00501672" w:rsidRDefault="003615CB" w:rsidP="003615CB">
      <w:pPr>
        <w:ind w:left="-907"/>
        <w:rPr>
          <w:rFonts w:asciiTheme="minorHAnsi" w:hAnsiTheme="minorHAnsi"/>
          <w:sz w:val="20"/>
        </w:rPr>
      </w:pPr>
    </w:p>
    <w:p w14:paraId="29AEAECF" w14:textId="77777777" w:rsidR="003615CB" w:rsidRPr="00501672" w:rsidRDefault="003615CB" w:rsidP="003615CB">
      <w:pPr>
        <w:ind w:left="-907"/>
        <w:rPr>
          <w:rFonts w:asciiTheme="minorHAnsi" w:hAnsiTheme="minorHAnsi"/>
          <w:sz w:val="20"/>
        </w:rPr>
      </w:pPr>
    </w:p>
    <w:p w14:paraId="2D75150A" w14:textId="77777777" w:rsidR="003615CB" w:rsidRPr="00501672" w:rsidRDefault="003615CB" w:rsidP="003615CB">
      <w:pPr>
        <w:ind w:left="-907"/>
        <w:rPr>
          <w:rFonts w:asciiTheme="minorHAnsi" w:hAnsiTheme="minorHAnsi"/>
          <w:sz w:val="20"/>
        </w:rPr>
      </w:pPr>
    </w:p>
    <w:p w14:paraId="7FB4F24D" w14:textId="77777777" w:rsidR="003615CB" w:rsidRPr="00501672" w:rsidRDefault="003615CB" w:rsidP="003615CB">
      <w:pPr>
        <w:ind w:left="-907"/>
        <w:rPr>
          <w:rFonts w:asciiTheme="minorHAnsi" w:hAnsiTheme="minorHAnsi"/>
          <w:sz w:val="20"/>
        </w:rPr>
      </w:pPr>
    </w:p>
    <w:p w14:paraId="5BC073B9" w14:textId="77777777" w:rsidR="003615CB" w:rsidRPr="00501672" w:rsidRDefault="003615CB" w:rsidP="003615CB">
      <w:pPr>
        <w:ind w:left="-907"/>
        <w:rPr>
          <w:rFonts w:asciiTheme="minorHAnsi" w:hAnsiTheme="minorHAnsi"/>
          <w:sz w:val="20"/>
        </w:rPr>
      </w:pPr>
    </w:p>
    <w:p w14:paraId="012474E0" w14:textId="77777777" w:rsidR="003615CB" w:rsidRPr="00501672" w:rsidRDefault="003615CB" w:rsidP="003615CB">
      <w:pPr>
        <w:ind w:left="-907"/>
        <w:rPr>
          <w:rFonts w:asciiTheme="minorHAnsi" w:hAnsiTheme="minorHAnsi"/>
          <w:sz w:val="20"/>
        </w:rPr>
      </w:pPr>
    </w:p>
    <w:p w14:paraId="6EA461BB" w14:textId="77777777" w:rsidR="003615CB" w:rsidRDefault="003615CB" w:rsidP="003615CB">
      <w:pPr>
        <w:ind w:left="-907"/>
        <w:rPr>
          <w:rFonts w:asciiTheme="minorHAnsi" w:hAnsiTheme="minorHAnsi"/>
          <w:sz w:val="20"/>
        </w:rPr>
      </w:pPr>
    </w:p>
    <w:p w14:paraId="33463128" w14:textId="77777777" w:rsidR="003615CB" w:rsidRDefault="003615CB" w:rsidP="003615CB">
      <w:pPr>
        <w:ind w:left="-907"/>
        <w:rPr>
          <w:rFonts w:asciiTheme="minorHAnsi" w:hAnsiTheme="minorHAnsi"/>
          <w:sz w:val="20"/>
        </w:rPr>
      </w:pPr>
    </w:p>
    <w:p w14:paraId="26D8920A" w14:textId="77777777" w:rsidR="003615CB" w:rsidRPr="00501672" w:rsidRDefault="003615CB" w:rsidP="003615CB">
      <w:pPr>
        <w:ind w:left="-907"/>
        <w:rPr>
          <w:rFonts w:asciiTheme="minorHAnsi" w:hAnsiTheme="minorHAnsi"/>
          <w:sz w:val="20"/>
        </w:rPr>
      </w:pPr>
    </w:p>
    <w:p w14:paraId="5D67608C" w14:textId="77777777" w:rsidR="00E94D9A" w:rsidRDefault="00E94D9A" w:rsidP="00E94D9A">
      <w:pPr>
        <w:ind w:left="-907"/>
        <w:rPr>
          <w:rFonts w:asciiTheme="minorHAnsi" w:hAnsiTheme="minorHAnsi"/>
          <w:sz w:val="20"/>
        </w:rPr>
      </w:pPr>
    </w:p>
    <w:p w14:paraId="61EFCFAC" w14:textId="77777777" w:rsidR="00D846D2" w:rsidRPr="00501672" w:rsidRDefault="00D846D2" w:rsidP="00E94D9A">
      <w:pPr>
        <w:ind w:left="-907"/>
        <w:rPr>
          <w:rFonts w:asciiTheme="minorHAnsi" w:hAnsiTheme="minorHAnsi"/>
          <w:sz w:val="20"/>
        </w:rPr>
      </w:pPr>
    </w:p>
    <w:p w14:paraId="47FEDA24" w14:textId="77777777" w:rsidR="00E94D9A" w:rsidRDefault="00E94D9A" w:rsidP="00E94D9A">
      <w:pPr>
        <w:ind w:left="-907"/>
        <w:rPr>
          <w:rFonts w:asciiTheme="minorHAnsi" w:hAnsiTheme="minorHAnsi"/>
          <w:sz w:val="20"/>
        </w:rPr>
      </w:pPr>
    </w:p>
    <w:p w14:paraId="17037D0F" w14:textId="77777777" w:rsidR="00E94D9A" w:rsidRPr="00501672" w:rsidRDefault="002C3F71" w:rsidP="00E94D9A">
      <w:pPr>
        <w:ind w:left="-907"/>
        <w:rPr>
          <w:rFonts w:asciiTheme="minorHAnsi" w:hAnsiTheme="minorHAnsi"/>
          <w:sz w:val="20"/>
        </w:rPr>
      </w:pPr>
      <w:r>
        <w:rPr>
          <w:rFonts w:ascii="Times New Roman" w:eastAsiaTheme="minorHAnsi" w:hAnsi="Times New Roman" w:cs="Times New Roman"/>
          <w:noProof/>
          <w:color w:val="auto"/>
        </w:rPr>
        <mc:AlternateContent>
          <mc:Choice Requires="wps">
            <w:drawing>
              <wp:anchor distT="45720" distB="45720" distL="114300" distR="114300" simplePos="0" relativeHeight="251662336" behindDoc="0" locked="0" layoutInCell="1" allowOverlap="1" wp14:anchorId="69951F42" wp14:editId="18DD1B31">
                <wp:simplePos x="0" y="0"/>
                <wp:positionH relativeFrom="column">
                  <wp:posOffset>-85725</wp:posOffset>
                </wp:positionH>
                <wp:positionV relativeFrom="paragraph">
                  <wp:posOffset>347980</wp:posOffset>
                </wp:positionV>
                <wp:extent cx="6105525" cy="1933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33575"/>
                        </a:xfrm>
                        <a:prstGeom prst="rect">
                          <a:avLst/>
                        </a:prstGeom>
                        <a:noFill/>
                        <a:ln w="9525">
                          <a:solidFill>
                            <a:schemeClr val="bg1">
                              <a:lumMod val="85000"/>
                            </a:schemeClr>
                          </a:solidFill>
                          <a:miter lim="800000"/>
                          <a:headEnd/>
                          <a:tailEnd/>
                        </a:ln>
                      </wps:spPr>
                      <wps:txb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E63776" w14:paraId="17F17880" w14:textId="77777777" w:rsidTr="00C56E36">
                              <w:trPr>
                                <w:trHeight w:val="459"/>
                                <w:jc w:val="center"/>
                              </w:trPr>
                              <w:tc>
                                <w:tcPr>
                                  <w:tcW w:w="3713" w:type="dxa"/>
                                  <w:vAlign w:val="center"/>
                                  <w:hideMark/>
                                </w:tcPr>
                                <w:p w14:paraId="78953F53"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14:paraId="10AB553B" w14:textId="77777777" w:rsidR="00BF30AE" w:rsidRPr="00962ECA" w:rsidRDefault="002C3F71" w:rsidP="00005F5F">
                                  <w:pPr>
                                    <w:rPr>
                                      <w:rFonts w:asciiTheme="minorHAnsi" w:hAnsiTheme="minorHAnsi"/>
                                      <w:szCs w:val="22"/>
                                    </w:rPr>
                                  </w:pPr>
                                  <w:r>
                                    <w:rPr>
                                      <w:rFonts w:asciiTheme="minorHAnsi" w:hAnsiTheme="minorHAnsi"/>
                                      <w:noProof/>
                                      <w:szCs w:val="22"/>
                                    </w:rPr>
                                    <w:t>Jorge Familiar Calderon</w:t>
                                  </w:r>
                                </w:p>
                              </w:tc>
                            </w:tr>
                            <w:tr w:rsidR="00E63776" w14:paraId="71520137" w14:textId="77777777" w:rsidTr="00C56E36">
                              <w:trPr>
                                <w:trHeight w:val="459"/>
                                <w:jc w:val="center"/>
                              </w:trPr>
                              <w:tc>
                                <w:tcPr>
                                  <w:tcW w:w="3713" w:type="dxa"/>
                                  <w:vAlign w:val="center"/>
                                  <w:hideMark/>
                                </w:tcPr>
                                <w:p w14:paraId="25A88597"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14:paraId="4D19C972" w14:textId="77777777" w:rsidR="00BF30AE" w:rsidRPr="00962ECA" w:rsidRDefault="002C3F71" w:rsidP="00005F5F">
                                  <w:pPr>
                                    <w:rPr>
                                      <w:rFonts w:asciiTheme="minorHAnsi" w:hAnsiTheme="minorHAnsi"/>
                                      <w:noProof/>
                                      <w:szCs w:val="22"/>
                                    </w:rPr>
                                  </w:pPr>
                                  <w:r>
                                    <w:rPr>
                                      <w:rFonts w:asciiTheme="minorHAnsi" w:hAnsiTheme="minorHAnsi"/>
                                      <w:noProof/>
                                      <w:szCs w:val="22"/>
                                    </w:rPr>
                                    <w:t>Jesko S. Hentschel</w:t>
                                  </w:r>
                                </w:p>
                              </w:tc>
                            </w:tr>
                            <w:tr w:rsidR="00E63776" w14:paraId="2BC1DBE5" w14:textId="77777777" w:rsidTr="00C56E36">
                              <w:trPr>
                                <w:trHeight w:val="459"/>
                                <w:jc w:val="center"/>
                              </w:trPr>
                              <w:tc>
                                <w:tcPr>
                                  <w:tcW w:w="3713" w:type="dxa"/>
                                  <w:vAlign w:val="center"/>
                                  <w:hideMark/>
                                </w:tcPr>
                                <w:p w14:paraId="72057CE9"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14:paraId="5795E011" w14:textId="77777777" w:rsidR="00BF30AE" w:rsidRPr="00962ECA" w:rsidRDefault="002C3F71" w:rsidP="00005F5F">
                                  <w:pPr>
                                    <w:rPr>
                                      <w:rFonts w:asciiTheme="minorHAnsi" w:hAnsiTheme="minorHAnsi"/>
                                      <w:noProof/>
                                      <w:szCs w:val="22"/>
                                    </w:rPr>
                                  </w:pPr>
                                  <w:r>
                                    <w:rPr>
                                      <w:rFonts w:asciiTheme="minorHAnsi" w:hAnsiTheme="minorHAnsi"/>
                                      <w:noProof/>
                                      <w:szCs w:val="22"/>
                                    </w:rPr>
                                    <w:t>Karin Erika Kemper</w:t>
                                  </w:r>
                                </w:p>
                              </w:tc>
                            </w:tr>
                            <w:tr w:rsidR="00E63776" w14:paraId="3C00B4E3" w14:textId="77777777" w:rsidTr="00C56E36">
                              <w:trPr>
                                <w:trHeight w:val="459"/>
                                <w:jc w:val="center"/>
                              </w:trPr>
                              <w:tc>
                                <w:tcPr>
                                  <w:tcW w:w="3713" w:type="dxa"/>
                                  <w:vAlign w:val="center"/>
                                  <w:hideMark/>
                                </w:tcPr>
                                <w:p w14:paraId="471DB35D"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14:paraId="5976C216" w14:textId="77777777" w:rsidR="00BF30AE" w:rsidRPr="00962ECA" w:rsidRDefault="002C3F71" w:rsidP="00005F5F">
                                  <w:pPr>
                                    <w:rPr>
                                      <w:rFonts w:asciiTheme="minorHAnsi" w:hAnsiTheme="minorHAnsi"/>
                                      <w:noProof/>
                                      <w:szCs w:val="22"/>
                                    </w:rPr>
                                  </w:pPr>
                                  <w:r>
                                    <w:rPr>
                                      <w:rFonts w:asciiTheme="minorHAnsi" w:hAnsiTheme="minorHAnsi"/>
                                      <w:noProof/>
                                      <w:szCs w:val="22"/>
                                    </w:rPr>
                                    <w:t>Valerie Hickey</w:t>
                                  </w:r>
                                </w:p>
                              </w:tc>
                            </w:tr>
                            <w:tr w:rsidR="00E63776" w14:paraId="5661CBBD" w14:textId="77777777" w:rsidTr="00C56E36">
                              <w:trPr>
                                <w:trHeight w:val="459"/>
                                <w:jc w:val="center"/>
                              </w:trPr>
                              <w:tc>
                                <w:tcPr>
                                  <w:tcW w:w="3713" w:type="dxa"/>
                                  <w:vAlign w:val="center"/>
                                  <w:hideMark/>
                                </w:tcPr>
                                <w:p w14:paraId="02283BB7"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5711" w:type="dxa"/>
                                  <w:vAlign w:val="center"/>
                                  <w:hideMark/>
                                </w:tcPr>
                                <w:p w14:paraId="5C878763" w14:textId="77777777" w:rsidR="00BF30AE" w:rsidRPr="00962ECA" w:rsidRDefault="002C3F71" w:rsidP="00005F5F">
                                  <w:pPr>
                                    <w:rPr>
                                      <w:rFonts w:asciiTheme="minorHAnsi" w:hAnsiTheme="minorHAnsi"/>
                                      <w:noProof/>
                                      <w:szCs w:val="22"/>
                                    </w:rPr>
                                  </w:pPr>
                                  <w:r>
                                    <w:rPr>
                                      <w:rFonts w:asciiTheme="minorHAnsi" w:hAnsiTheme="minorHAnsi"/>
                                      <w:noProof/>
                                      <w:szCs w:val="22"/>
                                    </w:rPr>
                                    <w:t>Ruth Tiffer-Sotomayor</w:t>
                                  </w:r>
                                </w:p>
                              </w:tc>
                            </w:tr>
                            <w:tr w:rsidR="00E63776" w14:paraId="27A09BE3" w14:textId="77777777" w:rsidTr="00C56E36">
                              <w:trPr>
                                <w:trHeight w:val="459"/>
                                <w:jc w:val="center"/>
                              </w:trPr>
                              <w:tc>
                                <w:tcPr>
                                  <w:tcW w:w="3713" w:type="dxa"/>
                                  <w:vAlign w:val="center"/>
                                </w:tcPr>
                                <w:p w14:paraId="00D1FC4A" w14:textId="77777777" w:rsidR="00BF30AE" w:rsidRPr="008E27D4" w:rsidRDefault="002C3F71" w:rsidP="008E27D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14:paraId="12C84235" w14:textId="77777777" w:rsidR="00BF30AE" w:rsidRPr="00962ECA" w:rsidRDefault="002C3F71" w:rsidP="00267D23">
                                  <w:pPr>
                                    <w:rPr>
                                      <w:rFonts w:asciiTheme="minorHAnsi" w:hAnsiTheme="minorHAnsi"/>
                                      <w:noProof/>
                                      <w:szCs w:val="22"/>
                                    </w:rPr>
                                  </w:pPr>
                                  <w:r>
                                    <w:rPr>
                                      <w:rFonts w:asciiTheme="minorHAnsi" w:hAnsiTheme="minorHAnsi"/>
                                      <w:noProof/>
                                      <w:szCs w:val="22"/>
                                    </w:rPr>
                                    <w:t xml:space="preserve">Renan A. Poveda </w:t>
                                  </w:r>
                                </w:p>
                              </w:tc>
                            </w:tr>
                          </w:tbl>
                          <w:p w14:paraId="57890E05" w14:textId="77777777" w:rsidR="00BF30AE" w:rsidRPr="00501672" w:rsidRDefault="00BF30AE" w:rsidP="00005F5F">
                            <w:pPr>
                              <w:spacing w:line="14" w:lineRule="exact"/>
                              <w:rPr>
                                <w:rFonts w:asciiTheme="minorHAnsi" w:hAnsiTheme="minorHAnsi"/>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w14:anchorId="69951F42" id="_x0000_t202" coordsize="21600,21600" o:spt="202" path="m,l,21600r21600,l21600,xe">
                <v:stroke joinstyle="miter"/>
                <v:path gradientshapeok="t" o:connecttype="rect"/>
              </v:shapetype>
              <v:shape id="Text Box 2" o:spid="_x0000_s1026" type="#_x0000_t202" style="position:absolute;left:0;text-align:left;margin-left:-6.75pt;margin-top:27.4pt;width:480.75pt;height:15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" filled="f" strokecolor="#d8d8d8 [2732]">
                <v:textbo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E63776" w14:paraId="17F17880" w14:textId="77777777" w:rsidTr="00C56E36">
                        <w:trPr>
                          <w:trHeight w:val="459"/>
                          <w:jc w:val="center"/>
                        </w:trPr>
                        <w:tc>
                          <w:tcPr>
                            <w:tcW w:w="3713" w:type="dxa"/>
                            <w:vAlign w:val="center"/>
                            <w:hideMark/>
                          </w:tcPr>
                          <w:p w14:paraId="78953F53"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14:paraId="10AB553B" w14:textId="77777777" w:rsidR="00BF30AE" w:rsidRPr="00962ECA" w:rsidRDefault="002C3F71" w:rsidP="00005F5F">
                            <w:pPr>
                              <w:rPr>
                                <w:rFonts w:asciiTheme="minorHAnsi" w:hAnsiTheme="minorHAnsi"/>
                                <w:szCs w:val="22"/>
                              </w:rPr>
                            </w:pPr>
                            <w:r>
                              <w:rPr>
                                <w:rFonts w:asciiTheme="minorHAnsi" w:hAnsiTheme="minorHAnsi"/>
                                <w:noProof/>
                                <w:szCs w:val="22"/>
                              </w:rPr>
                              <w:t>Jorge Familiar Calderon</w:t>
                            </w:r>
                          </w:p>
                        </w:tc>
                      </w:tr>
                      <w:tr w:rsidR="00E63776" w14:paraId="71520137" w14:textId="77777777" w:rsidTr="00C56E36">
                        <w:trPr>
                          <w:trHeight w:val="459"/>
                          <w:jc w:val="center"/>
                        </w:trPr>
                        <w:tc>
                          <w:tcPr>
                            <w:tcW w:w="3713" w:type="dxa"/>
                            <w:vAlign w:val="center"/>
                            <w:hideMark/>
                          </w:tcPr>
                          <w:p w14:paraId="25A88597"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14:paraId="4D19C972" w14:textId="77777777" w:rsidR="00BF30AE" w:rsidRPr="00962ECA" w:rsidRDefault="002C3F71" w:rsidP="00005F5F">
                            <w:pPr>
                              <w:rPr>
                                <w:rFonts w:asciiTheme="minorHAnsi" w:hAnsiTheme="minorHAnsi"/>
                                <w:noProof/>
                                <w:szCs w:val="22"/>
                              </w:rPr>
                            </w:pPr>
                            <w:r>
                              <w:rPr>
                                <w:rFonts w:asciiTheme="minorHAnsi" w:hAnsiTheme="minorHAnsi"/>
                                <w:noProof/>
                                <w:szCs w:val="22"/>
                              </w:rPr>
                              <w:t>Jesko S. Hentschel</w:t>
                            </w:r>
                          </w:p>
                        </w:tc>
                      </w:tr>
                      <w:tr w:rsidR="00E63776" w14:paraId="2BC1DBE5" w14:textId="77777777" w:rsidTr="00C56E36">
                        <w:trPr>
                          <w:trHeight w:val="459"/>
                          <w:jc w:val="center"/>
                        </w:trPr>
                        <w:tc>
                          <w:tcPr>
                            <w:tcW w:w="3713" w:type="dxa"/>
                            <w:vAlign w:val="center"/>
                            <w:hideMark/>
                          </w:tcPr>
                          <w:p w14:paraId="72057CE9"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14:paraId="5795E011" w14:textId="77777777" w:rsidR="00BF30AE" w:rsidRPr="00962ECA" w:rsidRDefault="002C3F71" w:rsidP="00005F5F">
                            <w:pPr>
                              <w:rPr>
                                <w:rFonts w:asciiTheme="minorHAnsi" w:hAnsiTheme="minorHAnsi"/>
                                <w:noProof/>
                                <w:szCs w:val="22"/>
                              </w:rPr>
                            </w:pPr>
                            <w:r>
                              <w:rPr>
                                <w:rFonts w:asciiTheme="minorHAnsi" w:hAnsiTheme="minorHAnsi"/>
                                <w:noProof/>
                                <w:szCs w:val="22"/>
                              </w:rPr>
                              <w:t>Karin Erika Kemper</w:t>
                            </w:r>
                          </w:p>
                        </w:tc>
                      </w:tr>
                      <w:tr w:rsidR="00E63776" w14:paraId="3C00B4E3" w14:textId="77777777" w:rsidTr="00C56E36">
                        <w:trPr>
                          <w:trHeight w:val="459"/>
                          <w:jc w:val="center"/>
                        </w:trPr>
                        <w:tc>
                          <w:tcPr>
                            <w:tcW w:w="3713" w:type="dxa"/>
                            <w:vAlign w:val="center"/>
                            <w:hideMark/>
                          </w:tcPr>
                          <w:p w14:paraId="471DB35D"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14:paraId="5976C216" w14:textId="77777777" w:rsidR="00BF30AE" w:rsidRPr="00962ECA" w:rsidRDefault="002C3F71" w:rsidP="00005F5F">
                            <w:pPr>
                              <w:rPr>
                                <w:rFonts w:asciiTheme="minorHAnsi" w:hAnsiTheme="minorHAnsi"/>
                                <w:noProof/>
                                <w:szCs w:val="22"/>
                              </w:rPr>
                            </w:pPr>
                            <w:r>
                              <w:rPr>
                                <w:rFonts w:asciiTheme="minorHAnsi" w:hAnsiTheme="minorHAnsi"/>
                                <w:noProof/>
                                <w:szCs w:val="22"/>
                              </w:rPr>
                              <w:t>Valerie Hickey</w:t>
                            </w:r>
                          </w:p>
                        </w:tc>
                      </w:tr>
                      <w:tr w:rsidR="00E63776" w14:paraId="5661CBBD" w14:textId="77777777" w:rsidTr="00C56E36">
                        <w:trPr>
                          <w:trHeight w:val="459"/>
                          <w:jc w:val="center"/>
                        </w:trPr>
                        <w:tc>
                          <w:tcPr>
                            <w:tcW w:w="3713" w:type="dxa"/>
                            <w:vAlign w:val="center"/>
                            <w:hideMark/>
                          </w:tcPr>
                          <w:p w14:paraId="02283BB7" w14:textId="77777777" w:rsidR="00BF30AE" w:rsidRPr="00962ECA" w:rsidRDefault="002C3F71"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 Leader(s):</w:t>
                            </w:r>
                          </w:p>
                        </w:tc>
                        <w:tc>
                          <w:tcPr>
                            <w:tcW w:w="5711" w:type="dxa"/>
                            <w:vAlign w:val="center"/>
                            <w:hideMark/>
                          </w:tcPr>
                          <w:p w14:paraId="5C878763" w14:textId="77777777" w:rsidR="00BF30AE" w:rsidRPr="00962ECA" w:rsidRDefault="002C3F71" w:rsidP="00005F5F">
                            <w:pPr>
                              <w:rPr>
                                <w:rFonts w:asciiTheme="minorHAnsi" w:hAnsiTheme="minorHAnsi"/>
                                <w:noProof/>
                                <w:szCs w:val="22"/>
                              </w:rPr>
                            </w:pPr>
                            <w:r>
                              <w:rPr>
                                <w:rFonts w:asciiTheme="minorHAnsi" w:hAnsiTheme="minorHAnsi"/>
                                <w:noProof/>
                                <w:szCs w:val="22"/>
                              </w:rPr>
                              <w:t>Ruth Tiffer-Sotomayor</w:t>
                            </w:r>
                          </w:p>
                        </w:tc>
                      </w:tr>
                      <w:tr w:rsidR="00E63776" w14:paraId="27A09BE3" w14:textId="77777777" w:rsidTr="00C56E36">
                        <w:trPr>
                          <w:trHeight w:val="459"/>
                          <w:jc w:val="center"/>
                        </w:trPr>
                        <w:tc>
                          <w:tcPr>
                            <w:tcW w:w="3713" w:type="dxa"/>
                            <w:vAlign w:val="center"/>
                          </w:tcPr>
                          <w:p w14:paraId="00D1FC4A" w14:textId="77777777" w:rsidR="00BF30AE" w:rsidRPr="008E27D4" w:rsidRDefault="002C3F71" w:rsidP="008E27D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14:paraId="12C84235" w14:textId="77777777" w:rsidR="00BF30AE" w:rsidRPr="00962ECA" w:rsidRDefault="002C3F71" w:rsidP="00267D23">
                            <w:pPr>
                              <w:rPr>
                                <w:rFonts w:asciiTheme="minorHAnsi" w:hAnsiTheme="minorHAnsi"/>
                                <w:noProof/>
                                <w:szCs w:val="22"/>
                              </w:rPr>
                            </w:pPr>
                            <w:r>
                              <w:rPr>
                                <w:rFonts w:asciiTheme="minorHAnsi" w:hAnsiTheme="minorHAnsi"/>
                                <w:noProof/>
                                <w:szCs w:val="22"/>
                              </w:rPr>
                              <w:t xml:space="preserve">Renan A. Poveda </w:t>
                            </w:r>
                          </w:p>
                        </w:tc>
                      </w:tr>
                    </w:tbl>
                    <w:p w14:paraId="57890E05" w14:textId="77777777" w:rsidR="00BF30AE" w:rsidRPr="00501672" w:rsidRDefault="00BF30AE" w:rsidP="00005F5F">
                      <w:pPr>
                        <w:spacing w:line="14" w:lineRule="exact"/>
                        <w:rPr>
                          <w:rFonts w:asciiTheme="minorHAnsi" w:hAnsiTheme="minorHAnsi"/>
                        </w:rPr>
                      </w:pPr>
                    </w:p>
                  </w:txbxContent>
                </v:textbox>
                <w10:wrap type="square"/>
              </v:shape>
            </w:pict>
          </mc:Fallback>
        </mc:AlternateContent>
      </w:r>
    </w:p>
    <w:p w14:paraId="7BE16417" w14:textId="77777777" w:rsidR="003615CB" w:rsidRPr="00501672" w:rsidRDefault="003615CB" w:rsidP="007A54C7">
      <w:pPr>
        <w:ind w:left="-907"/>
        <w:rPr>
          <w:rFonts w:asciiTheme="minorHAnsi" w:hAnsiTheme="minorHAnsi"/>
          <w:sz w:val="20"/>
        </w:rPr>
      </w:pPr>
    </w:p>
    <w:p w14:paraId="10C9B6AD" w14:textId="77777777" w:rsidR="003615CB" w:rsidRDefault="003615CB" w:rsidP="00E925CE">
      <w:pPr>
        <w:spacing w:line="14" w:lineRule="exact"/>
        <w:rPr>
          <w:rFonts w:asciiTheme="minorHAnsi" w:hAnsiTheme="minorHAnsi"/>
          <w:szCs w:val="22"/>
        </w:rPr>
        <w:sectPr w:rsidR="003615CB" w:rsidSect="00844A42">
          <w:pgSz w:w="12240" w:h="15840" w:code="1"/>
          <w:pgMar w:top="1440" w:right="1440" w:bottom="1440" w:left="1440" w:header="720" w:footer="720" w:gutter="0"/>
          <w:cols w:space="720"/>
          <w:titlePg/>
          <w:docGrid w:linePitch="360"/>
        </w:sectPr>
      </w:pPr>
    </w:p>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E63776" w14:paraId="193D3534" w14:textId="77777777" w:rsidTr="003615CB">
        <w:trPr>
          <w:jc w:val="center"/>
        </w:trPr>
        <w:tc>
          <w:tcPr>
            <w:tcW w:w="9684" w:type="dxa"/>
            <w:vAlign w:val="center"/>
            <w:hideMark/>
          </w:tcPr>
          <w:p w14:paraId="2571C91D" w14:textId="77777777" w:rsidR="003615CB" w:rsidRPr="009609C0" w:rsidRDefault="002C3F71" w:rsidP="003615CB">
            <w:pPr>
              <w:ind w:left="-900" w:firstLine="900"/>
              <w:jc w:val="center"/>
              <w:rPr>
                <w:rFonts w:asciiTheme="minorHAnsi" w:hAnsiTheme="minorHAnsi" w:cs="Times New Roman"/>
                <w:b/>
              </w:rPr>
            </w:pPr>
            <w:r w:rsidRPr="009609C0">
              <w:rPr>
                <w:rFonts w:asciiTheme="minorHAnsi" w:hAnsiTheme="minorHAnsi" w:cs="Times New Roman"/>
                <w:b/>
              </w:rPr>
              <w:lastRenderedPageBreak/>
              <w:t>ABBREVIATIONS AND ACRONYMS</w:t>
            </w:r>
          </w:p>
        </w:tc>
      </w:tr>
      <w:tr w:rsidR="00E63776" w14:paraId="0B6CE86C" w14:textId="77777777" w:rsidTr="003615CB">
        <w:trPr>
          <w:jc w:val="center"/>
        </w:trPr>
        <w:tc>
          <w:tcPr>
            <w:tcW w:w="9684" w:type="dxa"/>
          </w:tcPr>
          <w:p w14:paraId="5C2ED34C" w14:textId="77777777" w:rsidR="003615CB" w:rsidRDefault="003615CB" w:rsidP="003615CB">
            <w:pPr>
              <w:spacing w:line="276" w:lineRule="auto"/>
              <w:rPr>
                <w:rFonts w:asciiTheme="minorHAnsi" w:hAnsiTheme="minorHAnsi" w:cs="Times New Roman"/>
                <w:b/>
                <w:sz w:val="22"/>
                <w:szCs w:val="22"/>
              </w:rPr>
            </w:pPr>
          </w:p>
        </w:tc>
      </w:tr>
    </w:tbl>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22"/>
      </w:tblGrid>
      <w:tr w:rsidR="00E63776" w14:paraId="7F5D24BD" w14:textId="77777777" w:rsidTr="00D33859">
        <w:trPr>
          <w:jc w:val="center"/>
        </w:trPr>
        <w:tc>
          <w:tcPr>
            <w:tcW w:w="2093" w:type="dxa"/>
            <w:shd w:val="clear" w:color="auto" w:fill="auto"/>
          </w:tcPr>
          <w:p w14:paraId="6C1D3A98"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ARN</w:t>
            </w:r>
          </w:p>
        </w:tc>
        <w:tc>
          <w:tcPr>
            <w:tcW w:w="7622" w:type="dxa"/>
            <w:shd w:val="clear" w:color="auto" w:fill="auto"/>
          </w:tcPr>
          <w:p w14:paraId="385DBE5F"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National Regulatory Authority</w:t>
            </w:r>
          </w:p>
        </w:tc>
      </w:tr>
      <w:tr w:rsidR="00E63776" w14:paraId="18BBEFD0" w14:textId="77777777" w:rsidTr="00D33859">
        <w:trPr>
          <w:jc w:val="center"/>
        </w:trPr>
        <w:tc>
          <w:tcPr>
            <w:tcW w:w="2093" w:type="dxa"/>
            <w:shd w:val="clear" w:color="auto" w:fill="auto"/>
          </w:tcPr>
          <w:p w14:paraId="33576BE2"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CNEA</w:t>
            </w:r>
          </w:p>
        </w:tc>
        <w:tc>
          <w:tcPr>
            <w:tcW w:w="7622" w:type="dxa"/>
            <w:shd w:val="clear" w:color="auto" w:fill="auto"/>
          </w:tcPr>
          <w:p w14:paraId="3BD29571"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National Atomic Energy Commission</w:t>
            </w:r>
          </w:p>
        </w:tc>
      </w:tr>
      <w:tr w:rsidR="00E63776" w14:paraId="1C0BAD13" w14:textId="77777777" w:rsidTr="00D33859">
        <w:trPr>
          <w:jc w:val="center"/>
        </w:trPr>
        <w:tc>
          <w:tcPr>
            <w:tcW w:w="2093" w:type="dxa"/>
            <w:shd w:val="clear" w:color="auto" w:fill="auto"/>
          </w:tcPr>
          <w:p w14:paraId="7CEBB748"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COCALIN</w:t>
            </w:r>
          </w:p>
        </w:tc>
        <w:tc>
          <w:tcPr>
            <w:tcW w:w="7622" w:type="dxa"/>
            <w:shd w:val="clear" w:color="auto" w:fill="auto"/>
          </w:tcPr>
          <w:p w14:paraId="79E33240"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Qualification Committee of Laboratories and Nuclear Facilities</w:t>
            </w:r>
          </w:p>
        </w:tc>
      </w:tr>
      <w:tr w:rsidR="00E63776" w14:paraId="6157D59A" w14:textId="77777777" w:rsidTr="00D33859">
        <w:trPr>
          <w:jc w:val="center"/>
        </w:trPr>
        <w:tc>
          <w:tcPr>
            <w:tcW w:w="2093" w:type="dxa"/>
            <w:shd w:val="clear" w:color="auto" w:fill="auto"/>
          </w:tcPr>
          <w:p w14:paraId="06FB7411"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CPS</w:t>
            </w:r>
          </w:p>
        </w:tc>
        <w:tc>
          <w:tcPr>
            <w:tcW w:w="7622" w:type="dxa"/>
            <w:shd w:val="clear" w:color="auto" w:fill="auto"/>
          </w:tcPr>
          <w:p w14:paraId="77A0728F"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Country Partnership Strategy</w:t>
            </w:r>
          </w:p>
        </w:tc>
      </w:tr>
      <w:tr w:rsidR="00E63776" w14:paraId="580BAF5C" w14:textId="77777777" w:rsidTr="00D33859">
        <w:trPr>
          <w:jc w:val="center"/>
        </w:trPr>
        <w:tc>
          <w:tcPr>
            <w:tcW w:w="2093" w:type="dxa"/>
            <w:shd w:val="clear" w:color="auto" w:fill="auto"/>
          </w:tcPr>
          <w:p w14:paraId="01AA6651"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DIA</w:t>
            </w:r>
          </w:p>
        </w:tc>
        <w:tc>
          <w:tcPr>
            <w:tcW w:w="7622" w:type="dxa"/>
            <w:shd w:val="clear" w:color="auto" w:fill="auto"/>
          </w:tcPr>
          <w:p w14:paraId="0123DE16"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Environmental Impact Declaration</w:t>
            </w:r>
          </w:p>
        </w:tc>
      </w:tr>
      <w:tr w:rsidR="00E63776" w14:paraId="12C2D157" w14:textId="77777777" w:rsidTr="00D33859">
        <w:trPr>
          <w:jc w:val="center"/>
        </w:trPr>
        <w:tc>
          <w:tcPr>
            <w:tcW w:w="2093" w:type="dxa"/>
            <w:shd w:val="clear" w:color="auto" w:fill="auto"/>
          </w:tcPr>
          <w:p w14:paraId="53534431"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EIA</w:t>
            </w:r>
          </w:p>
        </w:tc>
        <w:tc>
          <w:tcPr>
            <w:tcW w:w="7622" w:type="dxa"/>
            <w:shd w:val="clear" w:color="auto" w:fill="auto"/>
          </w:tcPr>
          <w:p w14:paraId="3C6BE87D"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Environmental Impact Assessment</w:t>
            </w:r>
          </w:p>
        </w:tc>
      </w:tr>
      <w:tr w:rsidR="00E63776" w14:paraId="402FBD9C" w14:textId="77777777" w:rsidTr="00D33859">
        <w:trPr>
          <w:jc w:val="center"/>
        </w:trPr>
        <w:tc>
          <w:tcPr>
            <w:tcW w:w="2093" w:type="dxa"/>
            <w:shd w:val="clear" w:color="auto" w:fill="auto"/>
          </w:tcPr>
          <w:p w14:paraId="56E5A67C"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EMP</w:t>
            </w:r>
          </w:p>
        </w:tc>
        <w:tc>
          <w:tcPr>
            <w:tcW w:w="7622" w:type="dxa"/>
            <w:shd w:val="clear" w:color="auto" w:fill="auto"/>
          </w:tcPr>
          <w:p w14:paraId="4330BF82"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Environmental Management Plan</w:t>
            </w:r>
          </w:p>
        </w:tc>
      </w:tr>
      <w:tr w:rsidR="00E63776" w14:paraId="54FB4AF0" w14:textId="77777777" w:rsidTr="00D33859">
        <w:trPr>
          <w:jc w:val="center"/>
        </w:trPr>
        <w:tc>
          <w:tcPr>
            <w:tcW w:w="2093" w:type="dxa"/>
            <w:shd w:val="clear" w:color="auto" w:fill="auto"/>
          </w:tcPr>
          <w:p w14:paraId="0289EC48"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FM</w:t>
            </w:r>
          </w:p>
        </w:tc>
        <w:tc>
          <w:tcPr>
            <w:tcW w:w="7622" w:type="dxa"/>
            <w:shd w:val="clear" w:color="auto" w:fill="auto"/>
          </w:tcPr>
          <w:p w14:paraId="003A3B23"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Financial Management</w:t>
            </w:r>
          </w:p>
        </w:tc>
      </w:tr>
      <w:tr w:rsidR="00E63776" w14:paraId="2D1FD80D" w14:textId="77777777" w:rsidTr="00D33859">
        <w:trPr>
          <w:jc w:val="center"/>
        </w:trPr>
        <w:tc>
          <w:tcPr>
            <w:tcW w:w="2093" w:type="dxa"/>
            <w:shd w:val="clear" w:color="auto" w:fill="auto"/>
          </w:tcPr>
          <w:p w14:paraId="4776C3E1"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FY</w:t>
            </w:r>
          </w:p>
        </w:tc>
        <w:tc>
          <w:tcPr>
            <w:tcW w:w="7622" w:type="dxa"/>
            <w:shd w:val="clear" w:color="auto" w:fill="auto"/>
          </w:tcPr>
          <w:p w14:paraId="3245717F"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Fiscal Year</w:t>
            </w:r>
          </w:p>
        </w:tc>
      </w:tr>
      <w:tr w:rsidR="00E63776" w14:paraId="6956586F" w14:textId="77777777" w:rsidTr="00D33859">
        <w:trPr>
          <w:jc w:val="center"/>
        </w:trPr>
        <w:tc>
          <w:tcPr>
            <w:tcW w:w="2093" w:type="dxa"/>
            <w:shd w:val="clear" w:color="auto" w:fill="auto"/>
          </w:tcPr>
          <w:p w14:paraId="39B02611"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GIS</w:t>
            </w:r>
          </w:p>
        </w:tc>
        <w:tc>
          <w:tcPr>
            <w:tcW w:w="7622" w:type="dxa"/>
            <w:shd w:val="clear" w:color="auto" w:fill="auto"/>
          </w:tcPr>
          <w:p w14:paraId="35B12E9F"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Geographic Information System</w:t>
            </w:r>
          </w:p>
        </w:tc>
      </w:tr>
      <w:tr w:rsidR="00E63776" w14:paraId="4730CF65" w14:textId="77777777" w:rsidTr="00D33859">
        <w:trPr>
          <w:jc w:val="center"/>
        </w:trPr>
        <w:tc>
          <w:tcPr>
            <w:tcW w:w="2093" w:type="dxa"/>
            <w:shd w:val="clear" w:color="auto" w:fill="auto"/>
          </w:tcPr>
          <w:p w14:paraId="308B8FE3"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proofErr w:type="spellStart"/>
            <w:r>
              <w:rPr>
                <w:rFonts w:asciiTheme="minorHAnsi" w:eastAsia="Times New Roman" w:hAnsiTheme="minorHAnsi" w:cstheme="minorBidi"/>
                <w:b/>
                <w:bCs/>
                <w:color w:val="auto"/>
                <w:sz w:val="22"/>
                <w:szCs w:val="22"/>
              </w:rPr>
              <w:t>GoA</w:t>
            </w:r>
            <w:proofErr w:type="spellEnd"/>
          </w:p>
        </w:tc>
        <w:tc>
          <w:tcPr>
            <w:tcW w:w="7622" w:type="dxa"/>
            <w:shd w:val="clear" w:color="auto" w:fill="auto"/>
          </w:tcPr>
          <w:p w14:paraId="751BD113"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Government of Argentina</w:t>
            </w:r>
          </w:p>
        </w:tc>
      </w:tr>
      <w:tr w:rsidR="00E63776" w14:paraId="68647529" w14:textId="77777777" w:rsidTr="00D33859">
        <w:trPr>
          <w:jc w:val="center"/>
        </w:trPr>
        <w:tc>
          <w:tcPr>
            <w:tcW w:w="2093" w:type="dxa"/>
            <w:shd w:val="clear" w:color="auto" w:fill="auto"/>
          </w:tcPr>
          <w:p w14:paraId="36913B85"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GP</w:t>
            </w:r>
          </w:p>
        </w:tc>
        <w:tc>
          <w:tcPr>
            <w:tcW w:w="7622" w:type="dxa"/>
            <w:shd w:val="clear" w:color="auto" w:fill="auto"/>
          </w:tcPr>
          <w:p w14:paraId="7CA53162"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Environmental Management Unit (CNEA)</w:t>
            </w:r>
          </w:p>
        </w:tc>
      </w:tr>
      <w:tr w:rsidR="00E63776" w14:paraId="054D10D6" w14:textId="77777777" w:rsidTr="00D33859">
        <w:trPr>
          <w:jc w:val="center"/>
        </w:trPr>
        <w:tc>
          <w:tcPr>
            <w:tcW w:w="2093" w:type="dxa"/>
            <w:shd w:val="clear" w:color="auto" w:fill="auto"/>
          </w:tcPr>
          <w:p w14:paraId="70EF89C5"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IAEA</w:t>
            </w:r>
          </w:p>
        </w:tc>
        <w:tc>
          <w:tcPr>
            <w:tcW w:w="7622" w:type="dxa"/>
            <w:shd w:val="clear" w:color="auto" w:fill="auto"/>
          </w:tcPr>
          <w:p w14:paraId="30854FA4"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International Atomic Energy Agency</w:t>
            </w:r>
          </w:p>
        </w:tc>
      </w:tr>
      <w:tr w:rsidR="00E63776" w14:paraId="40324B97" w14:textId="77777777" w:rsidTr="00D33859">
        <w:trPr>
          <w:jc w:val="center"/>
        </w:trPr>
        <w:tc>
          <w:tcPr>
            <w:tcW w:w="2093" w:type="dxa"/>
            <w:shd w:val="clear" w:color="auto" w:fill="auto"/>
          </w:tcPr>
          <w:p w14:paraId="788B9571"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LA</w:t>
            </w:r>
          </w:p>
        </w:tc>
        <w:tc>
          <w:tcPr>
            <w:tcW w:w="7622" w:type="dxa"/>
            <w:shd w:val="clear" w:color="auto" w:fill="auto"/>
          </w:tcPr>
          <w:p w14:paraId="1DF0F6A1"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Loan Agreement</w:t>
            </w:r>
          </w:p>
        </w:tc>
      </w:tr>
      <w:tr w:rsidR="00E63776" w14:paraId="78B952C4" w14:textId="77777777" w:rsidTr="00D33859">
        <w:trPr>
          <w:jc w:val="center"/>
        </w:trPr>
        <w:tc>
          <w:tcPr>
            <w:tcW w:w="2093" w:type="dxa"/>
            <w:shd w:val="clear" w:color="auto" w:fill="auto"/>
          </w:tcPr>
          <w:p w14:paraId="648AB62C" w14:textId="77777777" w:rsidR="00386B48"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MTR</w:t>
            </w:r>
          </w:p>
        </w:tc>
        <w:tc>
          <w:tcPr>
            <w:tcW w:w="7622" w:type="dxa"/>
            <w:shd w:val="clear" w:color="auto" w:fill="auto"/>
          </w:tcPr>
          <w:p w14:paraId="387B996A" w14:textId="77777777" w:rsidR="00386B48"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Mid-Term Review</w:t>
            </w:r>
          </w:p>
        </w:tc>
      </w:tr>
      <w:tr w:rsidR="00E63776" w14:paraId="70612E22" w14:textId="77777777" w:rsidTr="00D33859">
        <w:trPr>
          <w:jc w:val="center"/>
        </w:trPr>
        <w:tc>
          <w:tcPr>
            <w:tcW w:w="2093" w:type="dxa"/>
            <w:shd w:val="clear" w:color="auto" w:fill="auto"/>
          </w:tcPr>
          <w:p w14:paraId="78A9328B"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PAD</w:t>
            </w:r>
          </w:p>
        </w:tc>
        <w:tc>
          <w:tcPr>
            <w:tcW w:w="7622" w:type="dxa"/>
            <w:shd w:val="clear" w:color="auto" w:fill="auto"/>
          </w:tcPr>
          <w:p w14:paraId="0E04FCC1"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Project Appraisal Document</w:t>
            </w:r>
          </w:p>
        </w:tc>
      </w:tr>
      <w:tr w:rsidR="00E63776" w14:paraId="63B8B471" w14:textId="77777777" w:rsidTr="00D33859">
        <w:trPr>
          <w:jc w:val="center"/>
        </w:trPr>
        <w:tc>
          <w:tcPr>
            <w:tcW w:w="2093" w:type="dxa"/>
            <w:shd w:val="clear" w:color="auto" w:fill="auto"/>
          </w:tcPr>
          <w:p w14:paraId="5B33CD21"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PDO</w:t>
            </w:r>
          </w:p>
        </w:tc>
        <w:tc>
          <w:tcPr>
            <w:tcW w:w="7622" w:type="dxa"/>
            <w:shd w:val="clear" w:color="auto" w:fill="auto"/>
          </w:tcPr>
          <w:p w14:paraId="6D5151B6"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Project Development Objective</w:t>
            </w:r>
          </w:p>
        </w:tc>
      </w:tr>
      <w:tr w:rsidR="00E63776" w14:paraId="477C5306" w14:textId="77777777" w:rsidTr="00D33859">
        <w:trPr>
          <w:jc w:val="center"/>
        </w:trPr>
        <w:tc>
          <w:tcPr>
            <w:tcW w:w="2093" w:type="dxa"/>
            <w:shd w:val="clear" w:color="auto" w:fill="auto"/>
          </w:tcPr>
          <w:p w14:paraId="3FEF40AC"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PIP</w:t>
            </w:r>
          </w:p>
        </w:tc>
        <w:tc>
          <w:tcPr>
            <w:tcW w:w="7622" w:type="dxa"/>
            <w:shd w:val="clear" w:color="auto" w:fill="auto"/>
          </w:tcPr>
          <w:p w14:paraId="5890D65B"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Project Implementation Plan</w:t>
            </w:r>
          </w:p>
        </w:tc>
      </w:tr>
      <w:tr w:rsidR="00E63776" w14:paraId="432CF362" w14:textId="77777777" w:rsidTr="00D33859">
        <w:trPr>
          <w:jc w:val="center"/>
        </w:trPr>
        <w:tc>
          <w:tcPr>
            <w:tcW w:w="2093" w:type="dxa"/>
            <w:shd w:val="clear" w:color="auto" w:fill="auto"/>
          </w:tcPr>
          <w:p w14:paraId="0789F196" w14:textId="77777777" w:rsidR="00D33859"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PPF</w:t>
            </w:r>
          </w:p>
        </w:tc>
        <w:tc>
          <w:tcPr>
            <w:tcW w:w="7622" w:type="dxa"/>
            <w:shd w:val="clear" w:color="auto" w:fill="auto"/>
          </w:tcPr>
          <w:p w14:paraId="5205CA41" w14:textId="77777777" w:rsidR="00D33859"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Project Preparation Facility</w:t>
            </w:r>
          </w:p>
        </w:tc>
      </w:tr>
      <w:tr w:rsidR="00E63776" w14:paraId="48675A71" w14:textId="77777777" w:rsidTr="00D33859">
        <w:trPr>
          <w:jc w:val="center"/>
        </w:trPr>
        <w:tc>
          <w:tcPr>
            <w:tcW w:w="2093" w:type="dxa"/>
            <w:shd w:val="clear" w:color="auto" w:fill="auto"/>
          </w:tcPr>
          <w:p w14:paraId="2E81D34A" w14:textId="77777777" w:rsidR="00D33859" w:rsidRPr="00906B31" w:rsidRDefault="002C3F71" w:rsidP="00D33859">
            <w:pPr>
              <w:widowControl/>
              <w:autoSpaceDE/>
              <w:autoSpaceDN/>
              <w:adjustRightInd/>
              <w:rPr>
                <w:rFonts w:asciiTheme="minorHAnsi" w:eastAsia="Times New Roman" w:hAnsiTheme="minorHAnsi" w:cstheme="minorBidi"/>
                <w:b/>
                <w:bCs/>
                <w:color w:val="auto"/>
                <w:sz w:val="22"/>
                <w:szCs w:val="22"/>
              </w:rPr>
            </w:pPr>
            <w:r>
              <w:rPr>
                <w:rFonts w:asciiTheme="minorHAnsi" w:eastAsia="Times New Roman" w:hAnsiTheme="minorHAnsi" w:cstheme="minorBidi"/>
                <w:b/>
                <w:bCs/>
                <w:color w:val="auto"/>
                <w:sz w:val="22"/>
                <w:szCs w:val="22"/>
              </w:rPr>
              <w:t>SIGA</w:t>
            </w:r>
          </w:p>
        </w:tc>
        <w:tc>
          <w:tcPr>
            <w:tcW w:w="7622" w:type="dxa"/>
            <w:shd w:val="clear" w:color="auto" w:fill="auto"/>
          </w:tcPr>
          <w:p w14:paraId="45938BCF" w14:textId="77777777" w:rsidR="00D33859" w:rsidRPr="00906B31" w:rsidRDefault="002C3F71" w:rsidP="00D33859">
            <w:pPr>
              <w:widowControl/>
              <w:autoSpaceDE/>
              <w:autoSpaceDN/>
              <w:adjustRightInd/>
              <w:rPr>
                <w:rFonts w:asciiTheme="minorHAnsi" w:eastAsia="Times New Roman" w:hAnsiTheme="minorHAnsi" w:cstheme="minorBidi"/>
                <w:bCs/>
                <w:color w:val="auto"/>
                <w:sz w:val="22"/>
                <w:szCs w:val="22"/>
              </w:rPr>
            </w:pPr>
            <w:r>
              <w:rPr>
                <w:rFonts w:asciiTheme="minorHAnsi" w:eastAsia="Times New Roman" w:hAnsiTheme="minorHAnsi" w:cstheme="minorBidi"/>
                <w:bCs/>
                <w:color w:val="auto"/>
                <w:sz w:val="22"/>
                <w:szCs w:val="22"/>
              </w:rPr>
              <w:t>Environmental Management and Information System</w:t>
            </w:r>
          </w:p>
        </w:tc>
      </w:tr>
    </w:tbl>
    <w:p w14:paraId="40057D83" w14:textId="77777777" w:rsidR="003615CB" w:rsidRPr="00406E20" w:rsidRDefault="003615CB" w:rsidP="003615CB">
      <w:pPr>
        <w:ind w:left="-907"/>
        <w:rPr>
          <w:rFonts w:asciiTheme="minorHAnsi" w:hAnsiTheme="minorHAnsi"/>
        </w:rPr>
      </w:pPr>
    </w:p>
    <w:p w14:paraId="2DACE9FA" w14:textId="77777777" w:rsidR="003615CB" w:rsidRPr="00406E20" w:rsidRDefault="003615CB" w:rsidP="003615CB">
      <w:pPr>
        <w:ind w:left="-907"/>
        <w:rPr>
          <w:rFonts w:asciiTheme="minorHAnsi" w:hAnsiTheme="minorHAnsi"/>
        </w:rPr>
      </w:pPr>
    </w:p>
    <w:p w14:paraId="5D98D810" w14:textId="77777777" w:rsidR="008242E5" w:rsidRDefault="008242E5" w:rsidP="00734520">
      <w:pPr>
        <w:pStyle w:val="Normal5"/>
        <w:spacing w:after="0" w:line="240" w:lineRule="auto"/>
        <w:ind w:left="-900"/>
      </w:pPr>
    </w:p>
    <w:p w14:paraId="4BA5B926" w14:textId="77777777" w:rsidR="00734520" w:rsidRDefault="00734520" w:rsidP="00734520">
      <w:pPr>
        <w:pStyle w:val="Normal5"/>
        <w:spacing w:after="0" w:line="240" w:lineRule="auto"/>
        <w:ind w:left="-900"/>
      </w:pPr>
    </w:p>
    <w:p w14:paraId="2FBCD0C1" w14:textId="77777777" w:rsidR="00B378DA" w:rsidRDefault="00B378DA" w:rsidP="00B378DA">
      <w:pPr>
        <w:pStyle w:val="Normal5"/>
        <w:spacing w:after="0" w:line="240" w:lineRule="auto"/>
        <w:ind w:left="-907"/>
      </w:pPr>
      <w:bookmarkStart w:id="0" w:name="SECTION3"/>
      <w:bookmarkEnd w:id="0"/>
    </w:p>
    <w:p w14:paraId="79A14FCE" w14:textId="77777777" w:rsidR="00B378DA" w:rsidRDefault="00B378DA" w:rsidP="00B378DA">
      <w:pPr>
        <w:pStyle w:val="Normal5"/>
        <w:spacing w:after="0" w:line="240" w:lineRule="auto"/>
        <w:ind w:left="-907"/>
        <w:sectPr w:rsidR="00B378DA" w:rsidSect="003615CB">
          <w:pgSz w:w="12240" w:h="15840"/>
          <w:pgMar w:top="1440" w:right="1440" w:bottom="1440" w:left="1440" w:header="720" w:footer="720" w:gutter="0"/>
          <w:cols w:space="720"/>
          <w:titlePg/>
          <w:docGrid w:linePitch="360"/>
        </w:sectPr>
      </w:pPr>
    </w:p>
    <w:p w14:paraId="3C7F8DEB" w14:textId="77777777" w:rsidR="003615CB" w:rsidRDefault="003615CB" w:rsidP="00E00786">
      <w:pPr>
        <w:pStyle w:val="Normal6"/>
        <w:spacing w:after="0" w:line="14" w:lineRule="exact"/>
      </w:pPr>
    </w:p>
    <w:p w14:paraId="0474426C" w14:textId="77777777" w:rsidR="003615CB" w:rsidRPr="00C84483" w:rsidRDefault="002C3F71" w:rsidP="00C84483">
      <w:pPr>
        <w:pStyle w:val="TOC1"/>
        <w:jc w:val="center"/>
        <w:rPr>
          <w:b w:val="0"/>
        </w:rPr>
      </w:pPr>
      <w:r w:rsidRPr="00C84483">
        <w:rPr>
          <w:b w:val="0"/>
          <w:sz w:val="18"/>
          <w:szCs w:val="22"/>
        </w:rPr>
        <w:br/>
      </w:r>
      <w:r w:rsidRPr="00C84483">
        <w:rPr>
          <w:b w:val="0"/>
        </w:rPr>
        <w:br/>
      </w:r>
    </w:p>
    <w:sdt>
      <w:sdtPr>
        <w:rPr>
          <w:rFonts w:asciiTheme="minorHAnsi" w:eastAsiaTheme="minorHAnsi" w:hAnsiTheme="minorHAnsi" w:cstheme="minorBidi"/>
          <w:color w:val="auto"/>
          <w:sz w:val="22"/>
          <w:szCs w:val="22"/>
        </w:rPr>
        <w:id w:val="1173215676"/>
        <w:docPartObj>
          <w:docPartGallery w:val="Table of Contents"/>
          <w:docPartUnique/>
        </w:docPartObj>
      </w:sdtPr>
      <w:sdtEndPr>
        <w:rPr>
          <w:b/>
          <w:bCs/>
          <w:noProof/>
        </w:rPr>
      </w:sdtEndPr>
      <w:sdtContent>
        <w:p w14:paraId="7B24D8BC" w14:textId="77777777" w:rsidR="00420504" w:rsidRPr="00420504" w:rsidRDefault="002C3F71" w:rsidP="00420504">
          <w:pPr>
            <w:keepNext/>
            <w:keepLines/>
            <w:widowControl/>
            <w:autoSpaceDE/>
            <w:autoSpaceDN/>
            <w:adjustRightInd/>
            <w:spacing w:before="240" w:line="259" w:lineRule="auto"/>
            <w:jc w:val="center"/>
            <w:rPr>
              <w:rFonts w:asciiTheme="majorHAnsi" w:eastAsiaTheme="majorEastAsia" w:hAnsiTheme="majorHAnsi" w:cstheme="majorBidi"/>
              <w:b/>
              <w:color w:val="auto"/>
              <w:sz w:val="22"/>
              <w:szCs w:val="32"/>
            </w:rPr>
          </w:pPr>
          <w:r w:rsidRPr="00420504">
            <w:rPr>
              <w:rFonts w:asciiTheme="majorHAnsi" w:eastAsiaTheme="majorEastAsia" w:hAnsiTheme="majorHAnsi" w:cstheme="majorBidi"/>
              <w:b/>
              <w:color w:val="auto"/>
              <w:sz w:val="22"/>
              <w:szCs w:val="32"/>
            </w:rPr>
            <w:t>TABLE OF CONTENTS</w:t>
          </w:r>
        </w:p>
        <w:p w14:paraId="4F9BAAA5" w14:textId="77777777" w:rsidR="00420504" w:rsidRPr="00420504" w:rsidRDefault="00420504" w:rsidP="00420504">
          <w:pPr>
            <w:widowControl/>
            <w:autoSpaceDE/>
            <w:autoSpaceDN/>
            <w:adjustRightInd/>
            <w:spacing w:after="160" w:line="259" w:lineRule="auto"/>
            <w:rPr>
              <w:rFonts w:asciiTheme="minorHAnsi" w:eastAsiaTheme="minorHAnsi" w:hAnsiTheme="minorHAnsi" w:cstheme="minorBidi"/>
              <w:color w:val="auto"/>
              <w:sz w:val="20"/>
              <w:szCs w:val="22"/>
            </w:rPr>
          </w:pPr>
        </w:p>
        <w:p w14:paraId="21EE49A5" w14:textId="77777777" w:rsidR="006B7A5F" w:rsidRDefault="002C3F71">
          <w:pPr>
            <w:pStyle w:val="TOC1"/>
            <w:rPr>
              <w:rFonts w:asciiTheme="minorHAnsi" w:eastAsiaTheme="minorEastAsia" w:hAnsiTheme="minorHAnsi" w:cstheme="minorBidi"/>
              <w:b w:val="0"/>
              <w:caps w:val="0"/>
              <w:color w:val="auto"/>
              <w:sz w:val="22"/>
              <w:szCs w:val="22"/>
            </w:rPr>
          </w:pPr>
          <w:r>
            <w:rPr>
              <w:rFonts w:cs="Times New Roman"/>
              <w:sz w:val="20"/>
            </w:rPr>
            <w:fldChar w:fldCharType="begin"/>
          </w:r>
          <w:r>
            <w:rPr>
              <w:rFonts w:cs="Times New Roman"/>
              <w:sz w:val="20"/>
            </w:rPr>
            <w:instrText xml:space="preserve"> TOC \o "1-2" \h \z \u </w:instrText>
          </w:r>
          <w:r>
            <w:rPr>
              <w:rFonts w:cs="Times New Roman"/>
              <w:sz w:val="20"/>
            </w:rPr>
            <w:fldChar w:fldCharType="separate"/>
          </w:r>
          <w:hyperlink w:anchor="_Toc502164459" w:history="1">
            <w:r w:rsidRPr="00D2666F">
              <w:rPr>
                <w:rStyle w:val="Hyperlink"/>
              </w:rPr>
              <w:t>DATA SHEET</w:t>
            </w:r>
            <w:r>
              <w:rPr>
                <w:webHidden/>
              </w:rPr>
              <w:tab/>
            </w:r>
            <w:r>
              <w:rPr>
                <w:webHidden/>
              </w:rPr>
              <w:fldChar w:fldCharType="begin"/>
            </w:r>
            <w:r>
              <w:rPr>
                <w:webHidden/>
              </w:rPr>
              <w:instrText xml:space="preserve"> PAGEREF _Toc502164459 \h </w:instrText>
            </w:r>
            <w:r>
              <w:rPr>
                <w:webHidden/>
              </w:rPr>
            </w:r>
            <w:r>
              <w:rPr>
                <w:webHidden/>
              </w:rPr>
              <w:fldChar w:fldCharType="separate"/>
            </w:r>
            <w:r>
              <w:rPr>
                <w:webHidden/>
              </w:rPr>
              <w:t>1</w:t>
            </w:r>
            <w:r>
              <w:rPr>
                <w:webHidden/>
              </w:rPr>
              <w:fldChar w:fldCharType="end"/>
            </w:r>
          </w:hyperlink>
        </w:p>
        <w:p w14:paraId="4D8C0047"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60" w:history="1">
            <w:r w:rsidR="002C3F71" w:rsidRPr="00D2666F">
              <w:rPr>
                <w:rStyle w:val="Hyperlink"/>
              </w:rPr>
              <w:t>I.</w:t>
            </w:r>
            <w:r w:rsidR="002C3F71">
              <w:rPr>
                <w:rFonts w:asciiTheme="minorHAnsi" w:eastAsiaTheme="minorEastAsia" w:hAnsiTheme="minorHAnsi" w:cstheme="minorBidi"/>
                <w:b w:val="0"/>
                <w:caps w:val="0"/>
                <w:color w:val="auto"/>
                <w:sz w:val="22"/>
                <w:szCs w:val="22"/>
              </w:rPr>
              <w:tab/>
            </w:r>
            <w:r w:rsidR="002C3F71" w:rsidRPr="00D2666F">
              <w:rPr>
                <w:rStyle w:val="Hyperlink"/>
              </w:rPr>
              <w:t>PROJECT CONTEXT AND DEVELOPMENT OBJECTIVES</w:t>
            </w:r>
            <w:r w:rsidR="002C3F71">
              <w:rPr>
                <w:webHidden/>
              </w:rPr>
              <w:tab/>
            </w:r>
            <w:r w:rsidR="002C3F71">
              <w:rPr>
                <w:webHidden/>
              </w:rPr>
              <w:fldChar w:fldCharType="begin"/>
            </w:r>
            <w:r w:rsidR="002C3F71">
              <w:rPr>
                <w:webHidden/>
              </w:rPr>
              <w:instrText xml:space="preserve"> PAGEREF _Toc502164460 \h </w:instrText>
            </w:r>
            <w:r w:rsidR="002C3F71">
              <w:rPr>
                <w:webHidden/>
              </w:rPr>
            </w:r>
            <w:r w:rsidR="002C3F71">
              <w:rPr>
                <w:webHidden/>
              </w:rPr>
              <w:fldChar w:fldCharType="separate"/>
            </w:r>
            <w:r w:rsidR="002C3F71">
              <w:rPr>
                <w:webHidden/>
              </w:rPr>
              <w:t>5</w:t>
            </w:r>
            <w:r w:rsidR="002C3F71">
              <w:rPr>
                <w:webHidden/>
              </w:rPr>
              <w:fldChar w:fldCharType="end"/>
            </w:r>
          </w:hyperlink>
        </w:p>
        <w:p w14:paraId="0EF38C9F" w14:textId="77777777" w:rsidR="006B7A5F" w:rsidRDefault="00E166B0">
          <w:pPr>
            <w:pStyle w:val="TOC2"/>
            <w:rPr>
              <w:rFonts w:cstheme="minorBidi"/>
              <w:b w:val="0"/>
              <w:bCs w:val="0"/>
              <w:szCs w:val="22"/>
            </w:rPr>
          </w:pPr>
          <w:hyperlink w:anchor="_Toc502164461" w:history="1">
            <w:r w:rsidR="002C3F71" w:rsidRPr="00D2666F">
              <w:rPr>
                <w:rStyle w:val="Hyperlink"/>
              </w:rPr>
              <w:t>A. CONTEXT AT APPRAISAL</w:t>
            </w:r>
            <w:r w:rsidR="002C3F71">
              <w:rPr>
                <w:webHidden/>
              </w:rPr>
              <w:tab/>
            </w:r>
            <w:r w:rsidR="002C3F71">
              <w:rPr>
                <w:webHidden/>
              </w:rPr>
              <w:fldChar w:fldCharType="begin"/>
            </w:r>
            <w:r w:rsidR="002C3F71">
              <w:rPr>
                <w:webHidden/>
              </w:rPr>
              <w:instrText xml:space="preserve"> PAGEREF _Toc502164461 \h </w:instrText>
            </w:r>
            <w:r w:rsidR="002C3F71">
              <w:rPr>
                <w:webHidden/>
              </w:rPr>
            </w:r>
            <w:r w:rsidR="002C3F71">
              <w:rPr>
                <w:webHidden/>
              </w:rPr>
              <w:fldChar w:fldCharType="separate"/>
            </w:r>
            <w:r w:rsidR="002C3F71">
              <w:rPr>
                <w:webHidden/>
              </w:rPr>
              <w:t>5</w:t>
            </w:r>
            <w:r w:rsidR="002C3F71">
              <w:rPr>
                <w:webHidden/>
              </w:rPr>
              <w:fldChar w:fldCharType="end"/>
            </w:r>
          </w:hyperlink>
        </w:p>
        <w:p w14:paraId="306667A9" w14:textId="77777777" w:rsidR="006B7A5F" w:rsidRDefault="00E166B0">
          <w:pPr>
            <w:pStyle w:val="TOC2"/>
            <w:rPr>
              <w:rFonts w:cstheme="minorBidi"/>
              <w:b w:val="0"/>
              <w:bCs w:val="0"/>
              <w:szCs w:val="22"/>
            </w:rPr>
          </w:pPr>
          <w:hyperlink w:anchor="_Toc502164462" w:history="1">
            <w:r w:rsidR="002C3F71" w:rsidRPr="00D2666F">
              <w:rPr>
                <w:rStyle w:val="Hyperlink"/>
              </w:rPr>
              <w:t>B. SIGNIFICANT CHANGES DURING IMPLEMENTATION (IF APPLICABLE)</w:t>
            </w:r>
            <w:r w:rsidR="002C3F71">
              <w:rPr>
                <w:webHidden/>
              </w:rPr>
              <w:tab/>
            </w:r>
            <w:r w:rsidR="002C3F71">
              <w:rPr>
                <w:webHidden/>
              </w:rPr>
              <w:fldChar w:fldCharType="begin"/>
            </w:r>
            <w:r w:rsidR="002C3F71">
              <w:rPr>
                <w:webHidden/>
              </w:rPr>
              <w:instrText xml:space="preserve"> PAGEREF _Toc502164462 \h </w:instrText>
            </w:r>
            <w:r w:rsidR="002C3F71">
              <w:rPr>
                <w:webHidden/>
              </w:rPr>
            </w:r>
            <w:r w:rsidR="002C3F71">
              <w:rPr>
                <w:webHidden/>
              </w:rPr>
              <w:fldChar w:fldCharType="separate"/>
            </w:r>
            <w:r w:rsidR="002C3F71">
              <w:rPr>
                <w:webHidden/>
              </w:rPr>
              <w:t>11</w:t>
            </w:r>
            <w:r w:rsidR="002C3F71">
              <w:rPr>
                <w:webHidden/>
              </w:rPr>
              <w:fldChar w:fldCharType="end"/>
            </w:r>
          </w:hyperlink>
        </w:p>
        <w:p w14:paraId="63A38533"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63" w:history="1">
            <w:r w:rsidR="002C3F71" w:rsidRPr="00D2666F">
              <w:rPr>
                <w:rStyle w:val="Hyperlink"/>
              </w:rPr>
              <w:t>II.</w:t>
            </w:r>
            <w:r w:rsidR="002C3F71">
              <w:rPr>
                <w:rFonts w:asciiTheme="minorHAnsi" w:eastAsiaTheme="minorEastAsia" w:hAnsiTheme="minorHAnsi" w:cstheme="minorBidi"/>
                <w:b w:val="0"/>
                <w:caps w:val="0"/>
                <w:color w:val="auto"/>
                <w:sz w:val="22"/>
                <w:szCs w:val="22"/>
              </w:rPr>
              <w:tab/>
            </w:r>
            <w:r w:rsidR="002C3F71" w:rsidRPr="00D2666F">
              <w:rPr>
                <w:rStyle w:val="Hyperlink"/>
              </w:rPr>
              <w:t>OUTCOME</w:t>
            </w:r>
            <w:r w:rsidR="002C3F71">
              <w:rPr>
                <w:webHidden/>
              </w:rPr>
              <w:tab/>
            </w:r>
            <w:r w:rsidR="002C3F71">
              <w:rPr>
                <w:webHidden/>
              </w:rPr>
              <w:fldChar w:fldCharType="begin"/>
            </w:r>
            <w:r w:rsidR="002C3F71">
              <w:rPr>
                <w:webHidden/>
              </w:rPr>
              <w:instrText xml:space="preserve"> PAGEREF _Toc502164463 \h </w:instrText>
            </w:r>
            <w:r w:rsidR="002C3F71">
              <w:rPr>
                <w:webHidden/>
              </w:rPr>
            </w:r>
            <w:r w:rsidR="002C3F71">
              <w:rPr>
                <w:webHidden/>
              </w:rPr>
              <w:fldChar w:fldCharType="separate"/>
            </w:r>
            <w:r w:rsidR="002C3F71">
              <w:rPr>
                <w:webHidden/>
              </w:rPr>
              <w:t>16</w:t>
            </w:r>
            <w:r w:rsidR="002C3F71">
              <w:rPr>
                <w:webHidden/>
              </w:rPr>
              <w:fldChar w:fldCharType="end"/>
            </w:r>
          </w:hyperlink>
        </w:p>
        <w:p w14:paraId="1339E852" w14:textId="77777777" w:rsidR="006B7A5F" w:rsidRDefault="00E166B0">
          <w:pPr>
            <w:pStyle w:val="TOC2"/>
            <w:rPr>
              <w:rFonts w:cstheme="minorBidi"/>
              <w:b w:val="0"/>
              <w:bCs w:val="0"/>
              <w:szCs w:val="22"/>
            </w:rPr>
          </w:pPr>
          <w:hyperlink w:anchor="_Toc502164464" w:history="1">
            <w:r w:rsidR="002C3F71" w:rsidRPr="00D2666F">
              <w:rPr>
                <w:rStyle w:val="Hyperlink"/>
              </w:rPr>
              <w:t>A. RELEVANCE OF PDOs</w:t>
            </w:r>
            <w:r w:rsidR="002C3F71">
              <w:rPr>
                <w:webHidden/>
              </w:rPr>
              <w:tab/>
            </w:r>
            <w:r w:rsidR="002C3F71">
              <w:rPr>
                <w:webHidden/>
              </w:rPr>
              <w:fldChar w:fldCharType="begin"/>
            </w:r>
            <w:r w:rsidR="002C3F71">
              <w:rPr>
                <w:webHidden/>
              </w:rPr>
              <w:instrText xml:space="preserve"> PAGEREF _Toc502164464 \h </w:instrText>
            </w:r>
            <w:r w:rsidR="002C3F71">
              <w:rPr>
                <w:webHidden/>
              </w:rPr>
            </w:r>
            <w:r w:rsidR="002C3F71">
              <w:rPr>
                <w:webHidden/>
              </w:rPr>
              <w:fldChar w:fldCharType="separate"/>
            </w:r>
            <w:r w:rsidR="002C3F71">
              <w:rPr>
                <w:webHidden/>
              </w:rPr>
              <w:t>16</w:t>
            </w:r>
            <w:r w:rsidR="002C3F71">
              <w:rPr>
                <w:webHidden/>
              </w:rPr>
              <w:fldChar w:fldCharType="end"/>
            </w:r>
          </w:hyperlink>
        </w:p>
        <w:p w14:paraId="2F924FC2" w14:textId="77777777" w:rsidR="006B7A5F" w:rsidRDefault="00E166B0">
          <w:pPr>
            <w:pStyle w:val="TOC2"/>
            <w:rPr>
              <w:rFonts w:cstheme="minorBidi"/>
              <w:b w:val="0"/>
              <w:bCs w:val="0"/>
              <w:szCs w:val="22"/>
            </w:rPr>
          </w:pPr>
          <w:hyperlink w:anchor="_Toc502164465" w:history="1">
            <w:r w:rsidR="002C3F71" w:rsidRPr="00D2666F">
              <w:rPr>
                <w:rStyle w:val="Hyperlink"/>
              </w:rPr>
              <w:t>B. ACHIEVEMENT OF PDOs (EFFICACY)</w:t>
            </w:r>
            <w:r w:rsidR="002C3F71">
              <w:rPr>
                <w:webHidden/>
              </w:rPr>
              <w:tab/>
            </w:r>
            <w:r w:rsidR="002C3F71">
              <w:rPr>
                <w:webHidden/>
              </w:rPr>
              <w:fldChar w:fldCharType="begin"/>
            </w:r>
            <w:r w:rsidR="002C3F71">
              <w:rPr>
                <w:webHidden/>
              </w:rPr>
              <w:instrText xml:space="preserve"> PAGEREF _Toc502164465 \h </w:instrText>
            </w:r>
            <w:r w:rsidR="002C3F71">
              <w:rPr>
                <w:webHidden/>
              </w:rPr>
            </w:r>
            <w:r w:rsidR="002C3F71">
              <w:rPr>
                <w:webHidden/>
              </w:rPr>
              <w:fldChar w:fldCharType="separate"/>
            </w:r>
            <w:r w:rsidR="002C3F71">
              <w:rPr>
                <w:webHidden/>
              </w:rPr>
              <w:t>17</w:t>
            </w:r>
            <w:r w:rsidR="002C3F71">
              <w:rPr>
                <w:webHidden/>
              </w:rPr>
              <w:fldChar w:fldCharType="end"/>
            </w:r>
          </w:hyperlink>
        </w:p>
        <w:p w14:paraId="1B0A8146" w14:textId="77777777" w:rsidR="006B7A5F" w:rsidRDefault="00E166B0">
          <w:pPr>
            <w:pStyle w:val="TOC2"/>
            <w:rPr>
              <w:rFonts w:cstheme="minorBidi"/>
              <w:b w:val="0"/>
              <w:bCs w:val="0"/>
              <w:szCs w:val="22"/>
            </w:rPr>
          </w:pPr>
          <w:hyperlink w:anchor="_Toc502164466" w:history="1">
            <w:r w:rsidR="002C3F71" w:rsidRPr="00D2666F">
              <w:rPr>
                <w:rStyle w:val="Hyperlink"/>
              </w:rPr>
              <w:t>C. EFFICIENCY</w:t>
            </w:r>
            <w:r w:rsidR="002C3F71">
              <w:rPr>
                <w:webHidden/>
              </w:rPr>
              <w:tab/>
            </w:r>
            <w:r w:rsidR="002C3F71">
              <w:rPr>
                <w:webHidden/>
              </w:rPr>
              <w:fldChar w:fldCharType="begin"/>
            </w:r>
            <w:r w:rsidR="002C3F71">
              <w:rPr>
                <w:webHidden/>
              </w:rPr>
              <w:instrText xml:space="preserve"> PAGEREF _Toc502164466 \h </w:instrText>
            </w:r>
            <w:r w:rsidR="002C3F71">
              <w:rPr>
                <w:webHidden/>
              </w:rPr>
            </w:r>
            <w:r w:rsidR="002C3F71">
              <w:rPr>
                <w:webHidden/>
              </w:rPr>
              <w:fldChar w:fldCharType="separate"/>
            </w:r>
            <w:r w:rsidR="002C3F71">
              <w:rPr>
                <w:webHidden/>
              </w:rPr>
              <w:t>21</w:t>
            </w:r>
            <w:r w:rsidR="002C3F71">
              <w:rPr>
                <w:webHidden/>
              </w:rPr>
              <w:fldChar w:fldCharType="end"/>
            </w:r>
          </w:hyperlink>
        </w:p>
        <w:p w14:paraId="7D0E0BF4" w14:textId="77777777" w:rsidR="006B7A5F" w:rsidRDefault="00E166B0">
          <w:pPr>
            <w:pStyle w:val="TOC2"/>
            <w:rPr>
              <w:rFonts w:cstheme="minorBidi"/>
              <w:b w:val="0"/>
              <w:bCs w:val="0"/>
              <w:szCs w:val="22"/>
            </w:rPr>
          </w:pPr>
          <w:hyperlink w:anchor="_Toc502164467" w:history="1">
            <w:r w:rsidR="002C3F71" w:rsidRPr="00D2666F">
              <w:rPr>
                <w:rStyle w:val="Hyperlink"/>
              </w:rPr>
              <w:t>D. JUSTIFICATION OF OVERALL OUTCOME RATING</w:t>
            </w:r>
            <w:r w:rsidR="002C3F71">
              <w:rPr>
                <w:webHidden/>
              </w:rPr>
              <w:tab/>
            </w:r>
            <w:r w:rsidR="002C3F71">
              <w:rPr>
                <w:webHidden/>
              </w:rPr>
              <w:fldChar w:fldCharType="begin"/>
            </w:r>
            <w:r w:rsidR="002C3F71">
              <w:rPr>
                <w:webHidden/>
              </w:rPr>
              <w:instrText xml:space="preserve"> PAGEREF _Toc502164467 \h </w:instrText>
            </w:r>
            <w:r w:rsidR="002C3F71">
              <w:rPr>
                <w:webHidden/>
              </w:rPr>
            </w:r>
            <w:r w:rsidR="002C3F71">
              <w:rPr>
                <w:webHidden/>
              </w:rPr>
              <w:fldChar w:fldCharType="separate"/>
            </w:r>
            <w:r w:rsidR="002C3F71">
              <w:rPr>
                <w:webHidden/>
              </w:rPr>
              <w:t>22</w:t>
            </w:r>
            <w:r w:rsidR="002C3F71">
              <w:rPr>
                <w:webHidden/>
              </w:rPr>
              <w:fldChar w:fldCharType="end"/>
            </w:r>
          </w:hyperlink>
        </w:p>
        <w:p w14:paraId="1EED9251" w14:textId="77777777" w:rsidR="006B7A5F" w:rsidRDefault="00E166B0">
          <w:pPr>
            <w:pStyle w:val="TOC2"/>
            <w:rPr>
              <w:rFonts w:cstheme="minorBidi"/>
              <w:b w:val="0"/>
              <w:bCs w:val="0"/>
              <w:szCs w:val="22"/>
            </w:rPr>
          </w:pPr>
          <w:hyperlink w:anchor="_Toc502164468" w:history="1">
            <w:r w:rsidR="002C3F71" w:rsidRPr="00D2666F">
              <w:rPr>
                <w:rStyle w:val="Hyperlink"/>
              </w:rPr>
              <w:t>E. OTHER OUTCOMES AND IMPACTS (IF ANY)</w:t>
            </w:r>
            <w:r w:rsidR="002C3F71">
              <w:rPr>
                <w:webHidden/>
              </w:rPr>
              <w:tab/>
            </w:r>
            <w:r w:rsidR="002C3F71">
              <w:rPr>
                <w:webHidden/>
              </w:rPr>
              <w:fldChar w:fldCharType="begin"/>
            </w:r>
            <w:r w:rsidR="002C3F71">
              <w:rPr>
                <w:webHidden/>
              </w:rPr>
              <w:instrText xml:space="preserve"> PAGEREF _Toc502164468 \h </w:instrText>
            </w:r>
            <w:r w:rsidR="002C3F71">
              <w:rPr>
                <w:webHidden/>
              </w:rPr>
            </w:r>
            <w:r w:rsidR="002C3F71">
              <w:rPr>
                <w:webHidden/>
              </w:rPr>
              <w:fldChar w:fldCharType="separate"/>
            </w:r>
            <w:r w:rsidR="002C3F71">
              <w:rPr>
                <w:webHidden/>
              </w:rPr>
              <w:t>23</w:t>
            </w:r>
            <w:r w:rsidR="002C3F71">
              <w:rPr>
                <w:webHidden/>
              </w:rPr>
              <w:fldChar w:fldCharType="end"/>
            </w:r>
          </w:hyperlink>
        </w:p>
        <w:p w14:paraId="1B12FEE0"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69" w:history="1">
            <w:r w:rsidR="002C3F71" w:rsidRPr="00D2666F">
              <w:rPr>
                <w:rStyle w:val="Hyperlink"/>
              </w:rPr>
              <w:t>III.</w:t>
            </w:r>
            <w:r w:rsidR="002C3F71">
              <w:rPr>
                <w:rFonts w:asciiTheme="minorHAnsi" w:eastAsiaTheme="minorEastAsia" w:hAnsiTheme="minorHAnsi" w:cstheme="minorBidi"/>
                <w:b w:val="0"/>
                <w:caps w:val="0"/>
                <w:color w:val="auto"/>
                <w:sz w:val="22"/>
                <w:szCs w:val="22"/>
              </w:rPr>
              <w:tab/>
            </w:r>
            <w:r w:rsidR="002C3F71" w:rsidRPr="00D2666F">
              <w:rPr>
                <w:rStyle w:val="Hyperlink"/>
              </w:rPr>
              <w:t>KEY FACTORS THAT AFFECTED IMPLEMENTATION AND OUTCOME</w:t>
            </w:r>
            <w:r w:rsidR="002C3F71">
              <w:rPr>
                <w:webHidden/>
              </w:rPr>
              <w:tab/>
            </w:r>
            <w:r w:rsidR="002C3F71">
              <w:rPr>
                <w:webHidden/>
              </w:rPr>
              <w:fldChar w:fldCharType="begin"/>
            </w:r>
            <w:r w:rsidR="002C3F71">
              <w:rPr>
                <w:webHidden/>
              </w:rPr>
              <w:instrText xml:space="preserve"> PAGEREF _Toc502164469 \h </w:instrText>
            </w:r>
            <w:r w:rsidR="002C3F71">
              <w:rPr>
                <w:webHidden/>
              </w:rPr>
            </w:r>
            <w:r w:rsidR="002C3F71">
              <w:rPr>
                <w:webHidden/>
              </w:rPr>
              <w:fldChar w:fldCharType="separate"/>
            </w:r>
            <w:r w:rsidR="002C3F71">
              <w:rPr>
                <w:webHidden/>
              </w:rPr>
              <w:t>24</w:t>
            </w:r>
            <w:r w:rsidR="002C3F71">
              <w:rPr>
                <w:webHidden/>
              </w:rPr>
              <w:fldChar w:fldCharType="end"/>
            </w:r>
          </w:hyperlink>
        </w:p>
        <w:p w14:paraId="42C89BDC" w14:textId="77777777" w:rsidR="006B7A5F" w:rsidRDefault="00E166B0">
          <w:pPr>
            <w:pStyle w:val="TOC2"/>
            <w:rPr>
              <w:rFonts w:cstheme="minorBidi"/>
              <w:b w:val="0"/>
              <w:bCs w:val="0"/>
              <w:szCs w:val="22"/>
            </w:rPr>
          </w:pPr>
          <w:hyperlink w:anchor="_Toc502164470" w:history="1">
            <w:r w:rsidR="002C3F71" w:rsidRPr="00D2666F">
              <w:rPr>
                <w:rStyle w:val="Hyperlink"/>
              </w:rPr>
              <w:t>A. KEY FACTORS DURING PREPARATION</w:t>
            </w:r>
            <w:r w:rsidR="002C3F71">
              <w:rPr>
                <w:webHidden/>
              </w:rPr>
              <w:tab/>
            </w:r>
            <w:r w:rsidR="002C3F71">
              <w:rPr>
                <w:webHidden/>
              </w:rPr>
              <w:fldChar w:fldCharType="begin"/>
            </w:r>
            <w:r w:rsidR="002C3F71">
              <w:rPr>
                <w:webHidden/>
              </w:rPr>
              <w:instrText xml:space="preserve"> PAGEREF _Toc502164470 \h </w:instrText>
            </w:r>
            <w:r w:rsidR="002C3F71">
              <w:rPr>
                <w:webHidden/>
              </w:rPr>
            </w:r>
            <w:r w:rsidR="002C3F71">
              <w:rPr>
                <w:webHidden/>
              </w:rPr>
              <w:fldChar w:fldCharType="separate"/>
            </w:r>
            <w:r w:rsidR="002C3F71">
              <w:rPr>
                <w:webHidden/>
              </w:rPr>
              <w:t>24</w:t>
            </w:r>
            <w:r w:rsidR="002C3F71">
              <w:rPr>
                <w:webHidden/>
              </w:rPr>
              <w:fldChar w:fldCharType="end"/>
            </w:r>
          </w:hyperlink>
        </w:p>
        <w:p w14:paraId="25102183" w14:textId="77777777" w:rsidR="006B7A5F" w:rsidRDefault="00E166B0">
          <w:pPr>
            <w:pStyle w:val="TOC2"/>
            <w:rPr>
              <w:rFonts w:cstheme="minorBidi"/>
              <w:b w:val="0"/>
              <w:bCs w:val="0"/>
              <w:szCs w:val="22"/>
            </w:rPr>
          </w:pPr>
          <w:hyperlink w:anchor="_Toc502164471" w:history="1">
            <w:r w:rsidR="002C3F71" w:rsidRPr="00D2666F">
              <w:rPr>
                <w:rStyle w:val="Hyperlink"/>
              </w:rPr>
              <w:t>B. KEY FACTORS DURING IMPLEMENTATION</w:t>
            </w:r>
            <w:r w:rsidR="002C3F71">
              <w:rPr>
                <w:webHidden/>
              </w:rPr>
              <w:tab/>
            </w:r>
            <w:r w:rsidR="002C3F71">
              <w:rPr>
                <w:webHidden/>
              </w:rPr>
              <w:fldChar w:fldCharType="begin"/>
            </w:r>
            <w:r w:rsidR="002C3F71">
              <w:rPr>
                <w:webHidden/>
              </w:rPr>
              <w:instrText xml:space="preserve"> PAGEREF _Toc502164471 \h </w:instrText>
            </w:r>
            <w:r w:rsidR="002C3F71">
              <w:rPr>
                <w:webHidden/>
              </w:rPr>
            </w:r>
            <w:r w:rsidR="002C3F71">
              <w:rPr>
                <w:webHidden/>
              </w:rPr>
              <w:fldChar w:fldCharType="separate"/>
            </w:r>
            <w:r w:rsidR="002C3F71">
              <w:rPr>
                <w:webHidden/>
              </w:rPr>
              <w:t>26</w:t>
            </w:r>
            <w:r w:rsidR="002C3F71">
              <w:rPr>
                <w:webHidden/>
              </w:rPr>
              <w:fldChar w:fldCharType="end"/>
            </w:r>
          </w:hyperlink>
        </w:p>
        <w:p w14:paraId="76E26937"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72" w:history="1">
            <w:r w:rsidR="002C3F71" w:rsidRPr="00D2666F">
              <w:rPr>
                <w:rStyle w:val="Hyperlink"/>
              </w:rPr>
              <w:t>IV.</w:t>
            </w:r>
            <w:r w:rsidR="002C3F71">
              <w:rPr>
                <w:rFonts w:asciiTheme="minorHAnsi" w:eastAsiaTheme="minorEastAsia" w:hAnsiTheme="minorHAnsi" w:cstheme="minorBidi"/>
                <w:b w:val="0"/>
                <w:caps w:val="0"/>
                <w:color w:val="auto"/>
                <w:sz w:val="22"/>
                <w:szCs w:val="22"/>
              </w:rPr>
              <w:tab/>
            </w:r>
            <w:r w:rsidR="002C3F71" w:rsidRPr="00D2666F">
              <w:rPr>
                <w:rStyle w:val="Hyperlink"/>
              </w:rPr>
              <w:t>BANK PERFORMANCE, COMPLIANCE ISSUES, AND RISK TO DEVELOPMENT OUTCOME</w:t>
            </w:r>
            <w:r w:rsidR="002C3F71">
              <w:rPr>
                <w:webHidden/>
              </w:rPr>
              <w:tab/>
            </w:r>
            <w:r w:rsidR="002C3F71">
              <w:rPr>
                <w:webHidden/>
              </w:rPr>
              <w:fldChar w:fldCharType="begin"/>
            </w:r>
            <w:r w:rsidR="002C3F71">
              <w:rPr>
                <w:webHidden/>
              </w:rPr>
              <w:instrText xml:space="preserve"> PAGEREF _Toc502164472 \h </w:instrText>
            </w:r>
            <w:r w:rsidR="002C3F71">
              <w:rPr>
                <w:webHidden/>
              </w:rPr>
            </w:r>
            <w:r w:rsidR="002C3F71">
              <w:rPr>
                <w:webHidden/>
              </w:rPr>
              <w:fldChar w:fldCharType="separate"/>
            </w:r>
            <w:r w:rsidR="002C3F71">
              <w:rPr>
                <w:webHidden/>
              </w:rPr>
              <w:t>27</w:t>
            </w:r>
            <w:r w:rsidR="002C3F71">
              <w:rPr>
                <w:webHidden/>
              </w:rPr>
              <w:fldChar w:fldCharType="end"/>
            </w:r>
          </w:hyperlink>
        </w:p>
        <w:p w14:paraId="66EB5FE2" w14:textId="77777777" w:rsidR="006B7A5F" w:rsidRDefault="00E166B0">
          <w:pPr>
            <w:pStyle w:val="TOC2"/>
            <w:rPr>
              <w:rFonts w:cstheme="minorBidi"/>
              <w:b w:val="0"/>
              <w:bCs w:val="0"/>
              <w:szCs w:val="22"/>
            </w:rPr>
          </w:pPr>
          <w:hyperlink w:anchor="_Toc502164473" w:history="1">
            <w:r w:rsidR="002C3F71" w:rsidRPr="00D2666F">
              <w:rPr>
                <w:rStyle w:val="Hyperlink"/>
              </w:rPr>
              <w:t>A. QUALITY OF MONITORING AND EVALUATION (M&amp;E)</w:t>
            </w:r>
            <w:r w:rsidR="002C3F71">
              <w:rPr>
                <w:webHidden/>
              </w:rPr>
              <w:tab/>
            </w:r>
            <w:r w:rsidR="002C3F71">
              <w:rPr>
                <w:webHidden/>
              </w:rPr>
              <w:fldChar w:fldCharType="begin"/>
            </w:r>
            <w:r w:rsidR="002C3F71">
              <w:rPr>
                <w:webHidden/>
              </w:rPr>
              <w:instrText xml:space="preserve"> PAGEREF _Toc502164473 \h </w:instrText>
            </w:r>
            <w:r w:rsidR="002C3F71">
              <w:rPr>
                <w:webHidden/>
              </w:rPr>
            </w:r>
            <w:r w:rsidR="002C3F71">
              <w:rPr>
                <w:webHidden/>
              </w:rPr>
              <w:fldChar w:fldCharType="separate"/>
            </w:r>
            <w:r w:rsidR="002C3F71">
              <w:rPr>
                <w:webHidden/>
              </w:rPr>
              <w:t>27</w:t>
            </w:r>
            <w:r w:rsidR="002C3F71">
              <w:rPr>
                <w:webHidden/>
              </w:rPr>
              <w:fldChar w:fldCharType="end"/>
            </w:r>
          </w:hyperlink>
        </w:p>
        <w:p w14:paraId="6ECA5982" w14:textId="77777777" w:rsidR="006B7A5F" w:rsidRDefault="00E166B0">
          <w:pPr>
            <w:pStyle w:val="TOC2"/>
            <w:rPr>
              <w:rFonts w:cstheme="minorBidi"/>
              <w:b w:val="0"/>
              <w:bCs w:val="0"/>
              <w:szCs w:val="22"/>
            </w:rPr>
          </w:pPr>
          <w:hyperlink w:anchor="_Toc502164474" w:history="1">
            <w:r w:rsidR="002C3F71" w:rsidRPr="00D2666F">
              <w:rPr>
                <w:rStyle w:val="Hyperlink"/>
              </w:rPr>
              <w:t>B. ENVIRONMENTAL, SOCIAL, AND FIDUCIARY COMPLIANCE</w:t>
            </w:r>
            <w:r w:rsidR="002C3F71">
              <w:rPr>
                <w:webHidden/>
              </w:rPr>
              <w:tab/>
            </w:r>
            <w:r w:rsidR="002C3F71">
              <w:rPr>
                <w:webHidden/>
              </w:rPr>
              <w:fldChar w:fldCharType="begin"/>
            </w:r>
            <w:r w:rsidR="002C3F71">
              <w:rPr>
                <w:webHidden/>
              </w:rPr>
              <w:instrText xml:space="preserve"> PAGEREF _Toc502164474 \h </w:instrText>
            </w:r>
            <w:r w:rsidR="002C3F71">
              <w:rPr>
                <w:webHidden/>
              </w:rPr>
            </w:r>
            <w:r w:rsidR="002C3F71">
              <w:rPr>
                <w:webHidden/>
              </w:rPr>
              <w:fldChar w:fldCharType="separate"/>
            </w:r>
            <w:r w:rsidR="002C3F71">
              <w:rPr>
                <w:webHidden/>
              </w:rPr>
              <w:t>29</w:t>
            </w:r>
            <w:r w:rsidR="002C3F71">
              <w:rPr>
                <w:webHidden/>
              </w:rPr>
              <w:fldChar w:fldCharType="end"/>
            </w:r>
          </w:hyperlink>
        </w:p>
        <w:p w14:paraId="63D8CC75" w14:textId="77777777" w:rsidR="006B7A5F" w:rsidRDefault="00E166B0">
          <w:pPr>
            <w:pStyle w:val="TOC2"/>
            <w:rPr>
              <w:rFonts w:cstheme="minorBidi"/>
              <w:b w:val="0"/>
              <w:bCs w:val="0"/>
              <w:szCs w:val="22"/>
            </w:rPr>
          </w:pPr>
          <w:hyperlink w:anchor="_Toc502164475" w:history="1">
            <w:r w:rsidR="002C3F71" w:rsidRPr="00D2666F">
              <w:rPr>
                <w:rStyle w:val="Hyperlink"/>
              </w:rPr>
              <w:t>C. BANK PERFORMANCE</w:t>
            </w:r>
            <w:r w:rsidR="002C3F71">
              <w:rPr>
                <w:webHidden/>
              </w:rPr>
              <w:tab/>
            </w:r>
            <w:r w:rsidR="002C3F71">
              <w:rPr>
                <w:webHidden/>
              </w:rPr>
              <w:fldChar w:fldCharType="begin"/>
            </w:r>
            <w:r w:rsidR="002C3F71">
              <w:rPr>
                <w:webHidden/>
              </w:rPr>
              <w:instrText xml:space="preserve"> PAGEREF _Toc502164475 \h </w:instrText>
            </w:r>
            <w:r w:rsidR="002C3F71">
              <w:rPr>
                <w:webHidden/>
              </w:rPr>
            </w:r>
            <w:r w:rsidR="002C3F71">
              <w:rPr>
                <w:webHidden/>
              </w:rPr>
              <w:fldChar w:fldCharType="separate"/>
            </w:r>
            <w:r w:rsidR="002C3F71">
              <w:rPr>
                <w:webHidden/>
              </w:rPr>
              <w:t>31</w:t>
            </w:r>
            <w:r w:rsidR="002C3F71">
              <w:rPr>
                <w:webHidden/>
              </w:rPr>
              <w:fldChar w:fldCharType="end"/>
            </w:r>
          </w:hyperlink>
        </w:p>
        <w:p w14:paraId="0F2884A4" w14:textId="77777777" w:rsidR="006B7A5F" w:rsidRDefault="00E166B0">
          <w:pPr>
            <w:pStyle w:val="TOC2"/>
            <w:rPr>
              <w:rFonts w:cstheme="minorBidi"/>
              <w:b w:val="0"/>
              <w:bCs w:val="0"/>
              <w:szCs w:val="22"/>
            </w:rPr>
          </w:pPr>
          <w:hyperlink w:anchor="_Toc502164476" w:history="1">
            <w:r w:rsidR="002C3F71" w:rsidRPr="00D2666F">
              <w:rPr>
                <w:rStyle w:val="Hyperlink"/>
              </w:rPr>
              <w:t>D. RISK TO DEVELOPMENT OUTCOME</w:t>
            </w:r>
            <w:r w:rsidR="002C3F71">
              <w:rPr>
                <w:webHidden/>
              </w:rPr>
              <w:tab/>
            </w:r>
            <w:r w:rsidR="002C3F71">
              <w:rPr>
                <w:webHidden/>
              </w:rPr>
              <w:fldChar w:fldCharType="begin"/>
            </w:r>
            <w:r w:rsidR="002C3F71">
              <w:rPr>
                <w:webHidden/>
              </w:rPr>
              <w:instrText xml:space="preserve"> PAGEREF _Toc502164476 \h </w:instrText>
            </w:r>
            <w:r w:rsidR="002C3F71">
              <w:rPr>
                <w:webHidden/>
              </w:rPr>
            </w:r>
            <w:r w:rsidR="002C3F71">
              <w:rPr>
                <w:webHidden/>
              </w:rPr>
              <w:fldChar w:fldCharType="separate"/>
            </w:r>
            <w:r w:rsidR="002C3F71">
              <w:rPr>
                <w:webHidden/>
              </w:rPr>
              <w:t>32</w:t>
            </w:r>
            <w:r w:rsidR="002C3F71">
              <w:rPr>
                <w:webHidden/>
              </w:rPr>
              <w:fldChar w:fldCharType="end"/>
            </w:r>
          </w:hyperlink>
        </w:p>
        <w:p w14:paraId="20753CC8"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77" w:history="1">
            <w:r w:rsidR="002C3F71" w:rsidRPr="00D2666F">
              <w:rPr>
                <w:rStyle w:val="Hyperlink"/>
              </w:rPr>
              <w:t>V.</w:t>
            </w:r>
            <w:r w:rsidR="002C3F71">
              <w:rPr>
                <w:rFonts w:asciiTheme="minorHAnsi" w:eastAsiaTheme="minorEastAsia" w:hAnsiTheme="minorHAnsi" w:cstheme="minorBidi"/>
                <w:b w:val="0"/>
                <w:caps w:val="0"/>
                <w:color w:val="auto"/>
                <w:sz w:val="22"/>
                <w:szCs w:val="22"/>
              </w:rPr>
              <w:tab/>
            </w:r>
            <w:r w:rsidR="002C3F71" w:rsidRPr="00D2666F">
              <w:rPr>
                <w:rStyle w:val="Hyperlink"/>
              </w:rPr>
              <w:t>LESSONS AND RECOMMENDATIONS</w:t>
            </w:r>
            <w:r w:rsidR="002C3F71">
              <w:rPr>
                <w:webHidden/>
              </w:rPr>
              <w:tab/>
            </w:r>
            <w:r w:rsidR="002C3F71">
              <w:rPr>
                <w:webHidden/>
              </w:rPr>
              <w:fldChar w:fldCharType="begin"/>
            </w:r>
            <w:r w:rsidR="002C3F71">
              <w:rPr>
                <w:webHidden/>
              </w:rPr>
              <w:instrText xml:space="preserve"> PAGEREF _Toc502164477 \h </w:instrText>
            </w:r>
            <w:r w:rsidR="002C3F71">
              <w:rPr>
                <w:webHidden/>
              </w:rPr>
            </w:r>
            <w:r w:rsidR="002C3F71">
              <w:rPr>
                <w:webHidden/>
              </w:rPr>
              <w:fldChar w:fldCharType="separate"/>
            </w:r>
            <w:r w:rsidR="002C3F71">
              <w:rPr>
                <w:webHidden/>
              </w:rPr>
              <w:t>33</w:t>
            </w:r>
            <w:r w:rsidR="002C3F71">
              <w:rPr>
                <w:webHidden/>
              </w:rPr>
              <w:fldChar w:fldCharType="end"/>
            </w:r>
          </w:hyperlink>
        </w:p>
        <w:p w14:paraId="4CA976C8"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78" w:history="1">
            <w:r w:rsidR="002C3F71" w:rsidRPr="00D2666F">
              <w:rPr>
                <w:rStyle w:val="Hyperlink"/>
              </w:rPr>
              <w:t>ANNEX 1. RESULTS FRAMEWORK AND KEY OUTPUTS</w:t>
            </w:r>
            <w:r w:rsidR="002C3F71">
              <w:rPr>
                <w:webHidden/>
              </w:rPr>
              <w:tab/>
            </w:r>
            <w:r w:rsidR="002C3F71">
              <w:rPr>
                <w:webHidden/>
              </w:rPr>
              <w:fldChar w:fldCharType="begin"/>
            </w:r>
            <w:r w:rsidR="002C3F71">
              <w:rPr>
                <w:webHidden/>
              </w:rPr>
              <w:instrText xml:space="preserve"> PAGEREF _Toc502164478 \h </w:instrText>
            </w:r>
            <w:r w:rsidR="002C3F71">
              <w:rPr>
                <w:webHidden/>
              </w:rPr>
            </w:r>
            <w:r w:rsidR="002C3F71">
              <w:rPr>
                <w:webHidden/>
              </w:rPr>
              <w:fldChar w:fldCharType="separate"/>
            </w:r>
            <w:r w:rsidR="002C3F71">
              <w:rPr>
                <w:webHidden/>
              </w:rPr>
              <w:t>35</w:t>
            </w:r>
            <w:r w:rsidR="002C3F71">
              <w:rPr>
                <w:webHidden/>
              </w:rPr>
              <w:fldChar w:fldCharType="end"/>
            </w:r>
          </w:hyperlink>
        </w:p>
        <w:p w14:paraId="1C3EC45B"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79" w:history="1">
            <w:r w:rsidR="002C3F71" w:rsidRPr="00D2666F">
              <w:rPr>
                <w:rStyle w:val="Hyperlink"/>
              </w:rPr>
              <w:t>ANNEX 2. BANK LENDING AND IMPLEMENTATION SUPPORT/SUPERVISION</w:t>
            </w:r>
            <w:r w:rsidR="002C3F71">
              <w:rPr>
                <w:webHidden/>
              </w:rPr>
              <w:tab/>
            </w:r>
            <w:r w:rsidR="002C3F71">
              <w:rPr>
                <w:webHidden/>
              </w:rPr>
              <w:fldChar w:fldCharType="begin"/>
            </w:r>
            <w:r w:rsidR="002C3F71">
              <w:rPr>
                <w:webHidden/>
              </w:rPr>
              <w:instrText xml:space="preserve"> PAGEREF _Toc502164479 \h </w:instrText>
            </w:r>
            <w:r w:rsidR="002C3F71">
              <w:rPr>
                <w:webHidden/>
              </w:rPr>
            </w:r>
            <w:r w:rsidR="002C3F71">
              <w:rPr>
                <w:webHidden/>
              </w:rPr>
              <w:fldChar w:fldCharType="separate"/>
            </w:r>
            <w:r w:rsidR="002C3F71">
              <w:rPr>
                <w:webHidden/>
              </w:rPr>
              <w:t>50</w:t>
            </w:r>
            <w:r w:rsidR="002C3F71">
              <w:rPr>
                <w:webHidden/>
              </w:rPr>
              <w:fldChar w:fldCharType="end"/>
            </w:r>
          </w:hyperlink>
        </w:p>
        <w:p w14:paraId="2EFF878A"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80" w:history="1">
            <w:r w:rsidR="002C3F71" w:rsidRPr="00D2666F">
              <w:rPr>
                <w:rStyle w:val="Hyperlink"/>
              </w:rPr>
              <w:t>ANNEX 3. PROJECT COST BY COMPONENT</w:t>
            </w:r>
            <w:r w:rsidR="002C3F71">
              <w:rPr>
                <w:webHidden/>
              </w:rPr>
              <w:tab/>
            </w:r>
            <w:r w:rsidR="002C3F71">
              <w:rPr>
                <w:webHidden/>
              </w:rPr>
              <w:fldChar w:fldCharType="begin"/>
            </w:r>
            <w:r w:rsidR="002C3F71">
              <w:rPr>
                <w:webHidden/>
              </w:rPr>
              <w:instrText xml:space="preserve"> PAGEREF _Toc502164480 \h </w:instrText>
            </w:r>
            <w:r w:rsidR="002C3F71">
              <w:rPr>
                <w:webHidden/>
              </w:rPr>
            </w:r>
            <w:r w:rsidR="002C3F71">
              <w:rPr>
                <w:webHidden/>
              </w:rPr>
              <w:fldChar w:fldCharType="separate"/>
            </w:r>
            <w:r w:rsidR="002C3F71">
              <w:rPr>
                <w:webHidden/>
              </w:rPr>
              <w:t>5</w:t>
            </w:r>
            <w:r w:rsidR="002C3F71">
              <w:rPr>
                <w:webHidden/>
              </w:rPr>
              <w:t>2</w:t>
            </w:r>
            <w:r w:rsidR="002C3F71">
              <w:rPr>
                <w:webHidden/>
              </w:rPr>
              <w:fldChar w:fldCharType="end"/>
            </w:r>
          </w:hyperlink>
        </w:p>
        <w:p w14:paraId="1BFF809E"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81" w:history="1">
            <w:r w:rsidR="002C3F71" w:rsidRPr="00D2666F">
              <w:rPr>
                <w:rStyle w:val="Hyperlink"/>
              </w:rPr>
              <w:t>ANNEX 4. EFFICIENCY ANALYSIS</w:t>
            </w:r>
            <w:r w:rsidR="002C3F71">
              <w:rPr>
                <w:webHidden/>
              </w:rPr>
              <w:tab/>
            </w:r>
            <w:r w:rsidR="002C3F71">
              <w:rPr>
                <w:webHidden/>
              </w:rPr>
              <w:fldChar w:fldCharType="begin"/>
            </w:r>
            <w:r w:rsidR="002C3F71">
              <w:rPr>
                <w:webHidden/>
              </w:rPr>
              <w:instrText xml:space="preserve"> PAGEREF _Toc502164481 \h </w:instrText>
            </w:r>
            <w:r w:rsidR="002C3F71">
              <w:rPr>
                <w:webHidden/>
              </w:rPr>
            </w:r>
            <w:r w:rsidR="002C3F71">
              <w:rPr>
                <w:webHidden/>
              </w:rPr>
              <w:fldChar w:fldCharType="separate"/>
            </w:r>
            <w:r w:rsidR="002C3F71">
              <w:rPr>
                <w:webHidden/>
              </w:rPr>
              <w:t>53</w:t>
            </w:r>
            <w:r w:rsidR="002C3F71">
              <w:rPr>
                <w:webHidden/>
              </w:rPr>
              <w:fldChar w:fldCharType="end"/>
            </w:r>
          </w:hyperlink>
        </w:p>
        <w:p w14:paraId="33F5EBD1"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82" w:history="1">
            <w:r w:rsidR="002C3F71" w:rsidRPr="00D2666F">
              <w:rPr>
                <w:rStyle w:val="Hyperlink"/>
              </w:rPr>
              <w:t>ANNEX 5. BORROWER, CO-FINANCIER AND OTHER PARTNER/STAKEHOLDER COMMENTS</w:t>
            </w:r>
            <w:r w:rsidR="002C3F71">
              <w:rPr>
                <w:webHidden/>
              </w:rPr>
              <w:tab/>
            </w:r>
            <w:r w:rsidR="002C3F71">
              <w:rPr>
                <w:webHidden/>
              </w:rPr>
              <w:fldChar w:fldCharType="begin"/>
            </w:r>
            <w:r w:rsidR="002C3F71">
              <w:rPr>
                <w:webHidden/>
              </w:rPr>
              <w:instrText xml:space="preserve"> PAGEREF _Toc502164482 \h </w:instrText>
            </w:r>
            <w:r w:rsidR="002C3F71">
              <w:rPr>
                <w:webHidden/>
              </w:rPr>
            </w:r>
            <w:r w:rsidR="002C3F71">
              <w:rPr>
                <w:webHidden/>
              </w:rPr>
              <w:fldChar w:fldCharType="separate"/>
            </w:r>
            <w:r w:rsidR="002C3F71">
              <w:rPr>
                <w:webHidden/>
              </w:rPr>
              <w:t>55</w:t>
            </w:r>
            <w:r w:rsidR="002C3F71">
              <w:rPr>
                <w:webHidden/>
              </w:rPr>
              <w:fldChar w:fldCharType="end"/>
            </w:r>
          </w:hyperlink>
        </w:p>
        <w:p w14:paraId="7C647029" w14:textId="77777777" w:rsidR="006B7A5F" w:rsidRDefault="00E166B0">
          <w:pPr>
            <w:pStyle w:val="TOC1"/>
            <w:rPr>
              <w:rFonts w:asciiTheme="minorHAnsi" w:eastAsiaTheme="minorEastAsia" w:hAnsiTheme="minorHAnsi" w:cstheme="minorBidi"/>
              <w:b w:val="0"/>
              <w:caps w:val="0"/>
              <w:color w:val="auto"/>
              <w:sz w:val="22"/>
              <w:szCs w:val="22"/>
            </w:rPr>
          </w:pPr>
          <w:hyperlink w:anchor="_Toc502164483" w:history="1">
            <w:r w:rsidR="002C3F71" w:rsidRPr="00D2666F">
              <w:rPr>
                <w:rStyle w:val="Hyperlink"/>
              </w:rPr>
              <w:t>ANNEX 6. SUPPORTING DOCUMENTS (IF ANY)</w:t>
            </w:r>
            <w:r w:rsidR="002C3F71">
              <w:rPr>
                <w:webHidden/>
              </w:rPr>
              <w:tab/>
            </w:r>
            <w:r w:rsidR="002C3F71">
              <w:rPr>
                <w:webHidden/>
              </w:rPr>
              <w:fldChar w:fldCharType="begin"/>
            </w:r>
            <w:r w:rsidR="002C3F71">
              <w:rPr>
                <w:webHidden/>
              </w:rPr>
              <w:instrText xml:space="preserve"> PAGEREF _Toc502164483 \h </w:instrText>
            </w:r>
            <w:r w:rsidR="002C3F71">
              <w:rPr>
                <w:webHidden/>
              </w:rPr>
            </w:r>
            <w:r w:rsidR="002C3F71">
              <w:rPr>
                <w:webHidden/>
              </w:rPr>
              <w:fldChar w:fldCharType="separate"/>
            </w:r>
            <w:r w:rsidR="002C3F71">
              <w:rPr>
                <w:webHidden/>
              </w:rPr>
              <w:t>6</w:t>
            </w:r>
            <w:r w:rsidR="002C3F71">
              <w:rPr>
                <w:webHidden/>
              </w:rPr>
              <w:t>4</w:t>
            </w:r>
            <w:r w:rsidR="002C3F71">
              <w:rPr>
                <w:webHidden/>
              </w:rPr>
              <w:fldChar w:fldCharType="end"/>
            </w:r>
          </w:hyperlink>
        </w:p>
        <w:p w14:paraId="342FE0C9" w14:textId="587FE07C" w:rsidR="005A5FF3" w:rsidRPr="005A5FF3" w:rsidRDefault="002C3F71" w:rsidP="005A5FF3">
          <w:pPr>
            <w:widowControl/>
            <w:autoSpaceDE/>
            <w:autoSpaceDN/>
            <w:adjustRightInd/>
            <w:spacing w:after="160" w:line="259" w:lineRule="auto"/>
            <w:rPr>
              <w:rStyle w:val="Hyperlink"/>
              <w:rFonts w:ascii="Calibri" w:eastAsia="Times New Roman" w:hAnsi="Calibri"/>
              <w:b/>
              <w:i w:val="0"/>
              <w:caps/>
              <w:noProof/>
            </w:rPr>
          </w:pPr>
          <w:r>
            <w:rPr>
              <w:rFonts w:ascii="Calibri" w:eastAsia="Times New Roman" w:hAnsi="Calibri" w:cs="Times New Roman"/>
              <w:b/>
              <w:noProof/>
              <w:sz w:val="20"/>
            </w:rPr>
            <w:fldChar w:fldCharType="end"/>
          </w:r>
          <w:r w:rsidRPr="00E166B0">
            <w:rPr>
              <w:rStyle w:val="Hyperlink"/>
              <w:rFonts w:ascii="Calibri" w:eastAsia="Times New Roman" w:hAnsi="Calibri"/>
              <w:b/>
              <w:i w:val="0"/>
              <w:caps/>
              <w:noProof/>
              <w:sz w:val="24"/>
              <w:szCs w:val="24"/>
            </w:rPr>
            <w:t>ANNEX 7. MAP………………………………</w:t>
          </w:r>
          <w:r w:rsidR="00E166B0">
            <w:rPr>
              <w:rStyle w:val="Hyperlink"/>
              <w:rFonts w:ascii="Calibri" w:eastAsia="Times New Roman" w:hAnsi="Calibri"/>
              <w:b/>
              <w:i w:val="0"/>
              <w:caps/>
              <w:noProof/>
              <w:sz w:val="24"/>
              <w:szCs w:val="24"/>
            </w:rPr>
            <w:t>.</w:t>
          </w:r>
          <w:r w:rsidRPr="00E166B0">
            <w:rPr>
              <w:rStyle w:val="Hyperlink"/>
              <w:rFonts w:ascii="Calibri" w:eastAsia="Times New Roman" w:hAnsi="Calibri"/>
              <w:b/>
              <w:i w:val="0"/>
              <w:caps/>
              <w:noProof/>
              <w:sz w:val="24"/>
              <w:szCs w:val="24"/>
            </w:rPr>
            <w:t>…………</w:t>
          </w:r>
          <w:r w:rsidR="006C60EE" w:rsidRPr="00E166B0">
            <w:rPr>
              <w:rStyle w:val="Hyperlink"/>
              <w:rFonts w:ascii="Calibri" w:eastAsia="Times New Roman" w:hAnsi="Calibri"/>
              <w:b/>
              <w:i w:val="0"/>
              <w:caps/>
              <w:noProof/>
              <w:sz w:val="24"/>
              <w:szCs w:val="24"/>
            </w:rPr>
            <w:t>………………………………………………………………………….</w:t>
          </w:r>
          <w:r>
            <w:rPr>
              <w:rStyle w:val="Hyperlink"/>
              <w:rFonts w:ascii="Calibri" w:eastAsia="Times New Roman" w:hAnsi="Calibri"/>
              <w:b/>
              <w:i w:val="0"/>
              <w:caps/>
              <w:noProof/>
            </w:rPr>
            <w:t>7</w:t>
          </w:r>
          <w:r w:rsidR="006B7A5F">
            <w:rPr>
              <w:rStyle w:val="Hyperlink"/>
              <w:rFonts w:ascii="Calibri" w:eastAsia="Times New Roman" w:hAnsi="Calibri"/>
              <w:b/>
              <w:i w:val="0"/>
              <w:caps/>
              <w:noProof/>
            </w:rPr>
            <w:t>1</w:t>
          </w:r>
        </w:p>
        <w:p w14:paraId="2BCF5DA8" w14:textId="77777777" w:rsidR="0015319D" w:rsidRDefault="00E166B0" w:rsidP="00420504">
          <w:pPr>
            <w:widowControl/>
            <w:autoSpaceDE/>
            <w:autoSpaceDN/>
            <w:adjustRightInd/>
            <w:spacing w:after="160" w:line="259" w:lineRule="auto"/>
            <w:rPr>
              <w:rFonts w:ascii="Calibri" w:eastAsia="Times New Roman" w:hAnsi="Calibri" w:cs="Times New Roman"/>
              <w:b/>
              <w:noProof/>
              <w:sz w:val="20"/>
            </w:rPr>
          </w:pPr>
        </w:p>
      </w:sdtContent>
    </w:sdt>
    <w:sdt>
      <w:sdtPr>
        <w:id w:val="950140845"/>
        <w:lock w:val="sdtContentLocked"/>
        <w:placeholder>
          <w:docPart w:val="EAE325E281134CC3B55B7544FD72C8BB"/>
        </w:placeholder>
        <w:showingPlcHdr/>
      </w:sdtPr>
      <w:sdtEndPr/>
      <w:sdtContent>
        <w:p w14:paraId="4D48B951" w14:textId="77777777" w:rsidR="003615CB" w:rsidRDefault="002C3F71" w:rsidP="00AE5B9E">
          <w:pPr>
            <w:pStyle w:val="Normal5"/>
            <w:spacing w:after="0" w:line="14" w:lineRule="exact"/>
            <w:ind w:left="-907"/>
          </w:pPr>
          <w:r>
            <w:t xml:space="preserve"> </w:t>
          </w:r>
        </w:p>
      </w:sdtContent>
    </w:sdt>
    <w:p w14:paraId="79FA369C" w14:textId="77777777" w:rsidR="00AE5B9E" w:rsidRDefault="00AE5B9E" w:rsidP="00AE5B9E">
      <w:pPr>
        <w:pStyle w:val="Normal7"/>
        <w:spacing w:after="0" w:line="14" w:lineRule="exact"/>
        <w:sectPr w:rsidR="00AE5B9E" w:rsidSect="000E161C">
          <w:headerReference w:type="default" r:id="rId13"/>
          <w:footerReference w:type="default" r:id="rId14"/>
          <w:pgSz w:w="12240" w:h="15840"/>
          <w:pgMar w:top="1440" w:right="1260" w:bottom="1440" w:left="1440" w:header="720" w:footer="720" w:gutter="0"/>
          <w:cols w:space="720"/>
          <w:docGrid w:linePitch="360"/>
        </w:sectPr>
      </w:pPr>
    </w:p>
    <w:p w14:paraId="0F0DE4E1" w14:textId="77777777" w:rsidR="00B3048D" w:rsidRDefault="002C3F71" w:rsidP="00173499">
      <w:pPr>
        <w:ind w:left="-691" w:right="-518"/>
        <w:rPr>
          <w:rFonts w:asciiTheme="minorHAnsi" w:hAnsiTheme="minorHAnsi"/>
          <w:color w:val="767171" w:themeColor="background2" w:themeShade="80"/>
          <w:sz w:val="22"/>
          <w:szCs w:val="22"/>
        </w:rPr>
      </w:pPr>
      <w:r>
        <w:rPr>
          <w:noProof/>
        </w:rPr>
        <mc:AlternateContent>
          <mc:Choice Requires="wps">
            <w:drawing>
              <wp:anchor distT="0" distB="0" distL="114300" distR="114300" simplePos="0" relativeHeight="251668480" behindDoc="0" locked="0" layoutInCell="1" allowOverlap="1" wp14:anchorId="7568F612" wp14:editId="56B5177C">
                <wp:simplePos x="0" y="0"/>
                <wp:positionH relativeFrom="column">
                  <wp:posOffset>-937591</wp:posOffset>
                </wp:positionH>
                <wp:positionV relativeFrom="paragraph">
                  <wp:posOffset>144780</wp:posOffset>
                </wp:positionV>
                <wp:extent cx="77997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9" o:spid="_x0000_s1027" style="mso-width-percent:0;mso-width-relative:margin;mso-wrap-distance-bottom:0;mso-wrap-distance-left:9pt;mso-wrap-distance-right:9pt;mso-wrap-distance-top:0;mso-wrap-style:square;position:absolute;visibility:visible;z-index:251669504" from="-73.85pt,11.4pt" to="540.3pt,11.4pt" strokecolor="gray">
                <v:stroke joinstyle="miter" dashstyle="dash" opacity="26214f"/>
              </v:line>
            </w:pict>
          </mc:Fallback>
        </mc:AlternateContent>
      </w:r>
      <w:sdt>
        <w:sdtPr>
          <w:id w:val="1076113118"/>
          <w:lock w:val="sdtContentLocked"/>
          <w:placeholder>
            <w:docPart w:val="6684A6F845994948B52DABC45584C050"/>
          </w:placeholder>
        </w:sdtPr>
        <w:sdtEndPr/>
        <w:sdtContent>
          <w:r>
            <w:t xml:space="preserve"> </w:t>
          </w:r>
        </w:sdtContent>
      </w:sdt>
    </w:p>
    <w:p w14:paraId="231235ED" w14:textId="77777777" w:rsidR="00B3048D" w:rsidRPr="00856F5A" w:rsidRDefault="00B3048D" w:rsidP="00B3048D">
      <w:pPr>
        <w:spacing w:line="14" w:lineRule="exact"/>
        <w:ind w:left="-691" w:right="-518"/>
        <w:rPr>
          <w:rFonts w:asciiTheme="minorHAnsi" w:hAnsiTheme="minorHAnsi"/>
          <w:color w:val="767171" w:themeColor="background2" w:themeShade="80"/>
          <w:sz w:val="22"/>
          <w:szCs w:val="22"/>
        </w:rPr>
      </w:pPr>
    </w:p>
    <w:p w14:paraId="0CAB82B1" w14:textId="77777777" w:rsidR="00B3048D" w:rsidRDefault="00B3048D" w:rsidP="00B3048D">
      <w:pPr>
        <w:pStyle w:val="Normal3"/>
        <w:spacing w:after="0" w:line="14" w:lineRule="exact"/>
        <w:sectPr w:rsidR="00B3048D" w:rsidSect="003615CB">
          <w:headerReference w:type="default" r:id="rId15"/>
          <w:footerReference w:type="default" r:id="rId16"/>
          <w:pgSz w:w="12240" w:h="15840"/>
          <w:pgMar w:top="1440" w:right="1440" w:bottom="1440" w:left="1440" w:header="720" w:footer="720" w:gutter="0"/>
          <w:pgNumType w:start="1"/>
          <w:cols w:space="720"/>
          <w:docGrid w:linePitch="360"/>
        </w:sectPr>
      </w:pPr>
    </w:p>
    <w:p w14:paraId="2AC17F9E" w14:textId="77777777" w:rsidR="00B3048D" w:rsidRDefault="00B3048D" w:rsidP="00B3048D">
      <w:pPr>
        <w:spacing w:line="14" w:lineRule="exact"/>
        <w:ind w:left="-691" w:right="-518"/>
        <w:rPr>
          <w:rFonts w:asciiTheme="minorHAnsi" w:hAnsiTheme="minorHAnsi"/>
          <w:color w:val="767171" w:themeColor="background2" w:themeShade="80"/>
          <w:sz w:val="22"/>
          <w:szCs w:val="22"/>
        </w:rPr>
      </w:pPr>
    </w:p>
    <w:sdt>
      <w:sdtPr>
        <w:tag w:val="OPS_CORE_DATA_BLOCK"/>
        <w:id w:val="1637020555"/>
        <w:lock w:val="sdtContentLocked"/>
        <w:placeholder>
          <w:docPart w:val="DefaultPlaceholder_22675703"/>
        </w:placeholder>
        <w:group/>
      </w:sdtPr>
      <w:sdtEndPr/>
      <w:sdtContent>
        <w:sdt>
          <w:sdtPr>
            <w:tag w:val="OPS_CORE_SECTION_START_5"/>
            <w:id w:val="1116941700"/>
            <w:lock w:val="sdtContentLocked"/>
            <w:placeholder>
              <w:docPart w:val="AE198A1D60F64EFE9318E4033AD91786"/>
            </w:placeholder>
          </w:sdtPr>
          <w:sdtEndPr/>
          <w:sdtContent>
            <w:p w14:paraId="5C499688" w14:textId="77777777" w:rsidR="00B3048D" w:rsidRDefault="002C3F71" w:rsidP="00B3048D">
              <w:pPr>
                <w:pStyle w:val="Normal3"/>
                <w:spacing w:after="0" w:line="14" w:lineRule="exact"/>
                <w:ind w:left="-691" w:right="-518"/>
              </w:pPr>
              <w:r>
                <w:t xml:space="preserve"> </w:t>
              </w:r>
            </w:p>
          </w:sdtContent>
        </w:sdt>
        <w:p w14:paraId="0E20B9D9" w14:textId="77777777" w:rsidR="00B3048D" w:rsidRDefault="00B3048D" w:rsidP="00B3048D">
          <w:pPr>
            <w:pStyle w:val="Normal69"/>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620"/>
          </w:tblGrid>
          <w:tr w:rsidR="00E63776" w14:paraId="797DD176" w14:textId="77777777" w:rsidTr="00B73780">
            <w:trPr>
              <w:trHeight w:val="432"/>
            </w:trPr>
            <w:tc>
              <w:tcPr>
                <w:tcW w:w="10620" w:type="dxa"/>
                <w:shd w:val="clear" w:color="auto" w:fill="F2F7FC"/>
                <w:vAlign w:val="center"/>
              </w:tcPr>
              <w:p w14:paraId="18867687" w14:textId="77777777" w:rsidR="00B73780" w:rsidRPr="00C608FA" w:rsidRDefault="002C3F71" w:rsidP="00885119">
                <w:pPr>
                  <w:pStyle w:val="NoSpacing5"/>
                  <w:outlineLvl w:val="0"/>
                  <w:rPr>
                    <w:rFonts w:asciiTheme="minorHAnsi" w:hAnsiTheme="minorHAnsi"/>
                    <w:b/>
                    <w:sz w:val="22"/>
                    <w:szCs w:val="22"/>
                  </w:rPr>
                </w:pPr>
                <w:bookmarkStart w:id="1" w:name="_Toc256000000"/>
                <w:bookmarkStart w:id="2" w:name="_Toc485906880"/>
                <w:bookmarkStart w:id="3" w:name="_Toc485984541"/>
                <w:r>
                  <w:rPr>
                    <w:rFonts w:asciiTheme="minorHAnsi" w:hAnsiTheme="minorHAnsi"/>
                    <w:b/>
                    <w:sz w:val="22"/>
                    <w:szCs w:val="22"/>
                  </w:rPr>
                  <w:t>DATA</w:t>
                </w:r>
                <w:r w:rsidR="00675F7B">
                  <w:rPr>
                    <w:rFonts w:asciiTheme="minorHAnsi" w:hAnsiTheme="minorHAnsi"/>
                    <w:b/>
                    <w:sz w:val="22"/>
                    <w:szCs w:val="22"/>
                  </w:rPr>
                  <w:t xml:space="preserve"> </w:t>
                </w:r>
                <w:r>
                  <w:rPr>
                    <w:rFonts w:asciiTheme="minorHAnsi" w:hAnsiTheme="minorHAnsi"/>
                    <w:b/>
                    <w:sz w:val="22"/>
                    <w:szCs w:val="22"/>
                  </w:rPr>
                  <w:t>SHEET</w:t>
                </w:r>
                <w:bookmarkEnd w:id="1"/>
                <w:bookmarkEnd w:id="2"/>
                <w:bookmarkEnd w:id="3"/>
              </w:p>
            </w:tc>
          </w:tr>
        </w:tbl>
        <w:p w14:paraId="6AD99373" w14:textId="77777777" w:rsidR="005D58B2" w:rsidRDefault="005D58B2" w:rsidP="00B3048D">
          <w:pPr>
            <w:pStyle w:val="Normal69"/>
            <w:ind w:left="-691" w:right="-518"/>
            <w:rPr>
              <w:rFonts w:asciiTheme="minorHAnsi" w:hAnsiTheme="minorHAnsi"/>
              <w:color w:val="767171" w:themeColor="background2" w:themeShade="80"/>
              <w:sz w:val="22"/>
              <w:szCs w:val="22"/>
            </w:rPr>
          </w:pPr>
        </w:p>
        <w:tbl>
          <w:tblPr>
            <w:tblStyle w:val="TableGrid75"/>
            <w:tblW w:w="10620"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ayout w:type="fixed"/>
            <w:tblLook w:val="04A0" w:firstRow="1" w:lastRow="0" w:firstColumn="1" w:lastColumn="0" w:noHBand="0" w:noVBand="1"/>
          </w:tblPr>
          <w:tblGrid>
            <w:gridCol w:w="10620"/>
          </w:tblGrid>
          <w:tr w:rsidR="00E63776" w14:paraId="24B5CFA8" w14:textId="77777777" w:rsidTr="00BC7C3A">
            <w:trPr>
              <w:trHeight w:val="80"/>
            </w:trPr>
            <w:tc>
              <w:tcPr>
                <w:tcW w:w="10620" w:type="dxa"/>
                <w:shd w:val="clear" w:color="auto" w:fill="FFFFFF"/>
                <w:vAlign w:val="center"/>
              </w:tcPr>
              <w:p w14:paraId="37FA9F16" w14:textId="77777777" w:rsidR="009B0D26" w:rsidRPr="008E5A07" w:rsidRDefault="009B0D26" w:rsidP="008E5A07">
                <w:pPr>
                  <w:pStyle w:val="Heading15"/>
                  <w:spacing w:before="0"/>
                  <w:rPr>
                    <w:rFonts w:asciiTheme="minorHAnsi" w:eastAsia="Times New Roman" w:hAnsiTheme="minorHAnsi"/>
                    <w:b/>
                    <w:color w:val="172D5F"/>
                    <w:sz w:val="2"/>
                    <w:szCs w:val="2"/>
                  </w:rPr>
                </w:pPr>
              </w:p>
            </w:tc>
          </w:tr>
          <w:tr w:rsidR="00E63776" w14:paraId="190DA1DA" w14:textId="77777777" w:rsidTr="000A6656">
            <w:trPr>
              <w:trHeight w:val="378"/>
            </w:trPr>
            <w:tc>
              <w:tcPr>
                <w:tcW w:w="10620" w:type="dxa"/>
                <w:shd w:val="clear" w:color="auto" w:fill="E7E6E6"/>
                <w:vAlign w:val="center"/>
                <w:hideMark/>
              </w:tcPr>
              <w:p w14:paraId="6DEC3080" w14:textId="77777777" w:rsidR="00B3048D" w:rsidRPr="00656279" w:rsidRDefault="002C3F71" w:rsidP="000A6656">
                <w:pPr>
                  <w:pStyle w:val="Normal69"/>
                  <w:rPr>
                    <w:rFonts w:eastAsia="Times New Roman"/>
                  </w:rPr>
                </w:pPr>
                <w:r w:rsidRPr="007D4E7E">
                  <w:rPr>
                    <w:rFonts w:asciiTheme="minorHAnsi" w:eastAsia="Times New Roman" w:hAnsiTheme="minorHAnsi"/>
                    <w:b/>
                    <w:bCs/>
                    <w:sz w:val="22"/>
                    <w:szCs w:val="22"/>
                  </w:rPr>
                  <w:t>BASIC INFORMATION</w:t>
                </w:r>
              </w:p>
            </w:tc>
          </w:tr>
        </w:tbl>
        <w:p w14:paraId="3B06EBB5" w14:textId="77777777" w:rsidR="00B3048D" w:rsidRDefault="00B3048D" w:rsidP="00B3048D">
          <w:pPr>
            <w:pStyle w:val="Normal69"/>
            <w:shd w:val="clear" w:color="auto" w:fill="F7F7F7"/>
            <w:ind w:left="-691" w:right="-518"/>
            <w:rPr>
              <w:rFonts w:asciiTheme="minorHAnsi" w:hAnsiTheme="minorHAnsi"/>
              <w:noProof/>
              <w:sz w:val="22"/>
              <w:szCs w:val="22"/>
            </w:rPr>
          </w:pPr>
        </w:p>
        <w:tbl>
          <w:tblPr>
            <w:tblStyle w:val="TableGrid75"/>
            <w:tblW w:w="10602" w:type="dxa"/>
            <w:tblInd w:w="-702" w:type="dxa"/>
            <w:shd w:val="clear" w:color="auto" w:fill="F7F7F7"/>
            <w:tblLayout w:type="fixed"/>
            <w:tblLook w:val="04A0" w:firstRow="1" w:lastRow="0" w:firstColumn="1" w:lastColumn="0" w:noHBand="0" w:noVBand="1"/>
          </w:tblPr>
          <w:tblGrid>
            <w:gridCol w:w="10602"/>
          </w:tblGrid>
          <w:tr w:rsidR="00E63776" w14:paraId="2E958786" w14:textId="77777777" w:rsidTr="000A6656">
            <w:trPr>
              <w:trHeight w:val="117"/>
            </w:trPr>
            <w:tc>
              <w:tcPr>
                <w:tcW w:w="10602" w:type="dxa"/>
                <w:tcBorders>
                  <w:top w:val="nil"/>
                  <w:left w:val="nil"/>
                  <w:bottom w:val="nil"/>
                  <w:right w:val="nil"/>
                </w:tcBorders>
                <w:shd w:val="clear" w:color="auto" w:fill="F7F7F7"/>
                <w:hideMark/>
              </w:tcPr>
              <w:p w14:paraId="138D4B7C" w14:textId="77777777" w:rsidR="00B3048D" w:rsidRDefault="002C3F71" w:rsidP="000A6656">
                <w:pPr>
                  <w:pStyle w:val="Normal69"/>
                  <w:keepNext/>
                  <w:widowControl/>
                  <w:shd w:val="clear" w:color="auto" w:fill="F7F7F7"/>
                  <w:tabs>
                    <w:tab w:val="left" w:pos="3709"/>
                  </w:tabs>
                  <w:rPr>
                    <w:rFonts w:asciiTheme="minorHAnsi" w:hAnsiTheme="minorHAnsi"/>
                    <w:b/>
                    <w:color w:val="172D5F"/>
                    <w:sz w:val="22"/>
                    <w:szCs w:val="22"/>
                  </w:rPr>
                </w:pPr>
                <w:r w:rsidRPr="00D825D9">
                  <w:rPr>
                    <w:rFonts w:asciiTheme="minorHAnsi" w:hAnsiTheme="minorHAnsi"/>
                    <w:b/>
                    <w:color w:val="172D5F"/>
                    <w:sz w:val="22"/>
                    <w:szCs w:val="22"/>
                  </w:rPr>
                  <w:t>Product Information</w:t>
                </w:r>
              </w:p>
            </w:tc>
          </w:tr>
        </w:tbl>
        <w:tbl>
          <w:tblPr>
            <w:tblW w:w="10620"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490"/>
          </w:tblGrid>
          <w:tr w:rsidR="00E63776" w14:paraId="0C6B9139" w14:textId="77777777" w:rsidTr="000A6656">
            <w:trPr>
              <w:trHeight w:val="374"/>
            </w:trPr>
            <w:tc>
              <w:tcPr>
                <w:tcW w:w="5130" w:type="dxa"/>
                <w:tcBorders>
                  <w:top w:val="single" w:sz="4" w:space="0" w:color="D0CECE"/>
                  <w:right w:val="single" w:sz="4" w:space="0" w:color="D0CECE"/>
                </w:tcBorders>
                <w:shd w:val="clear" w:color="auto" w:fill="F7F7F7"/>
                <w:vAlign w:val="center"/>
              </w:tcPr>
              <w:p w14:paraId="397CF15A"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ID</w:t>
                </w:r>
              </w:p>
            </w:tc>
            <w:tc>
              <w:tcPr>
                <w:tcW w:w="5490" w:type="dxa"/>
                <w:tcBorders>
                  <w:top w:val="single" w:sz="4" w:space="0" w:color="D0CECE"/>
                  <w:left w:val="single" w:sz="4" w:space="0" w:color="D0CECE"/>
                </w:tcBorders>
                <w:shd w:val="clear" w:color="auto" w:fill="F7F7F7"/>
                <w:vAlign w:val="center"/>
              </w:tcPr>
              <w:p w14:paraId="0943E317" w14:textId="77777777" w:rsidR="00B3048D" w:rsidRPr="00D825D9" w:rsidRDefault="002C3F71" w:rsidP="000A6656">
                <w:pPr>
                  <w:pStyle w:val="Normal69"/>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Name</w:t>
                </w:r>
              </w:p>
            </w:tc>
          </w:tr>
          <w:tr w:rsidR="00E63776" w14:paraId="67282454" w14:textId="77777777" w:rsidTr="000A6656">
            <w:trPr>
              <w:trHeight w:val="432"/>
            </w:trPr>
            <w:tc>
              <w:tcPr>
                <w:tcW w:w="5130" w:type="dxa"/>
                <w:tcBorders>
                  <w:bottom w:val="single" w:sz="4" w:space="0" w:color="D0CECE"/>
                  <w:right w:val="single" w:sz="4" w:space="0" w:color="D0CECE"/>
                </w:tcBorders>
                <w:shd w:val="clear" w:color="auto" w:fill="F7F7F7"/>
                <w:vAlign w:val="center"/>
              </w:tcPr>
              <w:p w14:paraId="15AEDD19"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Pr>
                    <w:rFonts w:asciiTheme="minorHAnsi" w:eastAsiaTheme="minorHAnsi" w:hAnsiTheme="minorHAnsi" w:cstheme="minorBidi"/>
                    <w:noProof/>
                    <w:color w:val="auto"/>
                    <w:sz w:val="22"/>
                    <w:szCs w:val="22"/>
                  </w:rPr>
                  <w:t>P110462</w:t>
                </w:r>
              </w:p>
            </w:tc>
            <w:tc>
              <w:tcPr>
                <w:tcW w:w="5490" w:type="dxa"/>
                <w:tcBorders>
                  <w:left w:val="single" w:sz="4" w:space="0" w:color="D0CECE"/>
                  <w:bottom w:val="single" w:sz="4" w:space="0" w:color="D0CECE"/>
                </w:tcBorders>
                <w:shd w:val="clear" w:color="auto" w:fill="F7F7F7"/>
                <w:vAlign w:val="center"/>
              </w:tcPr>
              <w:p w14:paraId="7064D40F" w14:textId="77777777" w:rsidR="00B3048D" w:rsidRPr="00D825D9" w:rsidRDefault="002C3F71" w:rsidP="000A6656">
                <w:pPr>
                  <w:pStyle w:val="Normal69"/>
                  <w:widowControl/>
                  <w:autoSpaceDE/>
                  <w:autoSpaceDN/>
                  <w:adjustRightInd/>
                  <w:spacing w:after="160" w:line="259" w:lineRule="auto"/>
                  <w:ind w:left="110" w:hanging="14"/>
                  <w:rPr>
                    <w:rFonts w:asciiTheme="minorHAnsi" w:eastAsiaTheme="minorHAnsi" w:hAnsiTheme="minorHAnsi" w:cstheme="minorBidi"/>
                    <w:b/>
                    <w:color w:val="002060"/>
                    <w:sz w:val="22"/>
                    <w:szCs w:val="22"/>
                  </w:rPr>
                </w:pPr>
                <w:r w:rsidRPr="004E10F6">
                  <w:rPr>
                    <w:rFonts w:asciiTheme="minorHAnsi" w:eastAsiaTheme="minorHAnsi" w:hAnsiTheme="minorHAnsi" w:cstheme="minorBidi"/>
                    <w:noProof/>
                    <w:color w:val="auto"/>
                    <w:sz w:val="22"/>
                    <w:szCs w:val="22"/>
                  </w:rPr>
                  <w:fldChar w:fldCharType="begin"/>
                </w:r>
                <w:r w:rsidRPr="004E10F6">
                  <w:rPr>
                    <w:rFonts w:asciiTheme="minorHAnsi" w:eastAsiaTheme="minorHAnsi" w:hAnsiTheme="minorHAnsi" w:cstheme="minorBidi"/>
                    <w:noProof/>
                    <w:color w:val="auto"/>
                    <w:sz w:val="22"/>
                    <w:szCs w:val="22"/>
                  </w:rPr>
                  <w:instrText xml:space="preserve"> IF "ARGENTINA MINING ENVIRONMENTAL RESTORATION PROJECT ( P110462 )" &lt;&gt; "" "ARGENTINA MINING ENVIRONMENTAL RESTORATION PROJECT ( P110462 )" </w:instrText>
                </w:r>
                <w:r w:rsidRPr="004E10F6">
                  <w:rPr>
                    <w:rFonts w:asciiTheme="minorHAnsi" w:eastAsiaTheme="minorHAnsi" w:hAnsiTheme="minorHAnsi" w:cstheme="minorBidi"/>
                    <w:noProof/>
                    <w:color w:val="auto"/>
                    <w:sz w:val="22"/>
                    <w:szCs w:val="22"/>
                  </w:rPr>
                  <w:fldChar w:fldCharType="begin"/>
                </w:r>
                <w:r w:rsidRPr="004E10F6">
                  <w:rPr>
                    <w:rFonts w:asciiTheme="minorHAnsi" w:eastAsiaTheme="minorHAnsi" w:hAnsiTheme="minorHAnsi" w:cstheme="minorBidi"/>
                    <w:noProof/>
                    <w:color w:val="auto"/>
                    <w:sz w:val="22"/>
                    <w:szCs w:val="22"/>
                  </w:rPr>
                  <w:instrText xml:space="preserve"> MERGEFIELD  PROJECTINFO~$~TITLE \* Upper  \* MERGEFORMAT </w:instrText>
                </w:r>
                <w:r w:rsidRPr="004E10F6">
                  <w:rPr>
                    <w:rFonts w:asciiTheme="minorHAnsi" w:eastAsiaTheme="minorHAnsi" w:hAnsiTheme="minorHAnsi" w:cstheme="minorBidi"/>
                    <w:noProof/>
                    <w:color w:val="auto"/>
                    <w:sz w:val="22"/>
                    <w:szCs w:val="22"/>
                  </w:rPr>
                  <w:fldChar w:fldCharType="separate"/>
                </w:r>
                <w:r w:rsidRPr="004E10F6">
                  <w:rPr>
                    <w:rFonts w:asciiTheme="minorHAnsi" w:eastAsiaTheme="minorHAnsi" w:hAnsiTheme="minorHAnsi" w:cstheme="minorBidi"/>
                    <w:noProof/>
                    <w:color w:val="auto"/>
                    <w:sz w:val="22"/>
                    <w:szCs w:val="22"/>
                  </w:rPr>
                  <w:instrText>«PROJECTINFO~$~TITLE»</w:instrText>
                </w:r>
                <w:r w:rsidRPr="004E10F6">
                  <w:rPr>
                    <w:rFonts w:asciiTheme="minorHAnsi" w:eastAsiaTheme="minorHAnsi" w:hAnsiTheme="minorHAnsi" w:cstheme="minorBidi"/>
                    <w:noProof/>
                    <w:color w:val="auto"/>
                    <w:sz w:val="22"/>
                    <w:szCs w:val="22"/>
                  </w:rPr>
                  <w:fldChar w:fldCharType="end"/>
                </w:r>
                <w:r w:rsidRPr="004E10F6">
                  <w:rPr>
                    <w:rFonts w:asciiTheme="minorHAnsi" w:eastAsiaTheme="minorHAnsi" w:hAnsiTheme="minorHAnsi" w:cstheme="minorBidi"/>
                    <w:noProof/>
                    <w:color w:val="auto"/>
                    <w:sz w:val="22"/>
                    <w:szCs w:val="22"/>
                  </w:rPr>
                  <w:fldChar w:fldCharType="separate"/>
                </w:r>
                <w:r w:rsidRPr="004E10F6">
                  <w:rPr>
                    <w:rFonts w:asciiTheme="minorHAnsi" w:eastAsiaTheme="minorHAnsi" w:hAnsiTheme="minorHAnsi" w:cstheme="minorBidi"/>
                    <w:noProof/>
                    <w:color w:val="auto"/>
                    <w:sz w:val="22"/>
                    <w:szCs w:val="22"/>
                  </w:rPr>
                  <w:t>ARGENTINA MINING ENVIRONMENTAL RESTORATION PROJECT ( P110462 )</w:t>
                </w:r>
                <w:r w:rsidRPr="004E10F6">
                  <w:rPr>
                    <w:rFonts w:asciiTheme="minorHAnsi" w:eastAsiaTheme="minorHAnsi" w:hAnsiTheme="minorHAnsi" w:cstheme="minorBidi"/>
                    <w:noProof/>
                    <w:color w:val="auto"/>
                    <w:sz w:val="22"/>
                    <w:szCs w:val="22"/>
                  </w:rPr>
                  <w:fldChar w:fldCharType="end"/>
                </w:r>
              </w:p>
            </w:tc>
          </w:tr>
          <w:tr w:rsidR="00E63776" w14:paraId="71217AFE" w14:textId="77777777" w:rsidTr="000A6656">
            <w:trPr>
              <w:trHeight w:val="432"/>
            </w:trPr>
            <w:tc>
              <w:tcPr>
                <w:tcW w:w="5130" w:type="dxa"/>
                <w:tcBorders>
                  <w:top w:val="single" w:sz="4" w:space="0" w:color="D0CECE"/>
                  <w:right w:val="single" w:sz="4" w:space="0" w:color="D0CECE"/>
                </w:tcBorders>
                <w:shd w:val="clear" w:color="auto" w:fill="F7F7F7"/>
                <w:vAlign w:val="center"/>
              </w:tcPr>
              <w:p w14:paraId="0A06A57A"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Country</w:t>
                </w:r>
              </w:p>
            </w:tc>
            <w:tc>
              <w:tcPr>
                <w:tcW w:w="5490" w:type="dxa"/>
                <w:tcBorders>
                  <w:top w:val="single" w:sz="4" w:space="0" w:color="D0CECE"/>
                  <w:left w:val="single" w:sz="4" w:space="0" w:color="D0CECE"/>
                </w:tcBorders>
                <w:shd w:val="clear" w:color="auto" w:fill="F7F7F7"/>
                <w:vAlign w:val="center"/>
              </w:tcPr>
              <w:p w14:paraId="3C06EF92" w14:textId="77777777" w:rsidR="00B3048D" w:rsidRPr="00D825D9" w:rsidRDefault="002C3F71" w:rsidP="000A6656">
                <w:pPr>
                  <w:pStyle w:val="Normal69"/>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F573CD">
                  <w:rPr>
                    <w:rFonts w:asciiTheme="minorHAnsi" w:eastAsiaTheme="minorHAnsi" w:hAnsiTheme="minorHAnsi" w:cstheme="minorBidi"/>
                    <w:color w:val="767171" w:themeColor="background2" w:themeShade="80"/>
                    <w:sz w:val="22"/>
                    <w:szCs w:val="22"/>
                  </w:rPr>
                  <w:t>Financing Instrument</w:t>
                </w:r>
              </w:p>
            </w:tc>
          </w:tr>
          <w:tr w:rsidR="00E63776" w14:paraId="000695A5" w14:textId="77777777" w:rsidTr="000A6656">
            <w:trPr>
              <w:trHeight w:val="432"/>
            </w:trPr>
            <w:tc>
              <w:tcPr>
                <w:tcW w:w="5130" w:type="dxa"/>
                <w:tcBorders>
                  <w:bottom w:val="single" w:sz="4" w:space="0" w:color="D0CECE"/>
                  <w:right w:val="single" w:sz="4" w:space="0" w:color="D0CECE"/>
                </w:tcBorders>
                <w:shd w:val="clear" w:color="auto" w:fill="F7F7F7"/>
                <w:vAlign w:val="center"/>
              </w:tcPr>
              <w:p w14:paraId="2C786300"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sidRPr="00360093">
                  <w:rPr>
                    <w:rFonts w:asciiTheme="minorHAnsi" w:eastAsiaTheme="minorHAnsi" w:hAnsiTheme="minorHAnsi" w:cstheme="minorBidi"/>
                    <w:noProof/>
                    <w:color w:val="auto"/>
                    <w:sz w:val="22"/>
                    <w:szCs w:val="22"/>
                  </w:rPr>
                  <w:t>Argentina</w:t>
                </w:r>
              </w:p>
            </w:tc>
            <w:tc>
              <w:tcPr>
                <w:tcW w:w="5490" w:type="dxa"/>
                <w:tcBorders>
                  <w:left w:val="single" w:sz="4" w:space="0" w:color="D0CECE"/>
                  <w:bottom w:val="single" w:sz="4" w:space="0" w:color="D0CECE"/>
                </w:tcBorders>
                <w:shd w:val="clear" w:color="auto" w:fill="F7F7F7"/>
                <w:vAlign w:val="center"/>
              </w:tcPr>
              <w:p w14:paraId="217AD33D" w14:textId="77777777" w:rsidR="00B3048D" w:rsidRPr="00D825D9" w:rsidRDefault="002C3F71" w:rsidP="000A6656">
                <w:pPr>
                  <w:pStyle w:val="Normal69"/>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Specific Investment Loan</w:t>
                </w:r>
              </w:p>
            </w:tc>
          </w:tr>
          <w:tr w:rsidR="00E63776" w14:paraId="621A48B0" w14:textId="77777777" w:rsidTr="000A6656">
            <w:trPr>
              <w:trHeight w:val="432"/>
            </w:trPr>
            <w:tc>
              <w:tcPr>
                <w:tcW w:w="5130" w:type="dxa"/>
                <w:tcBorders>
                  <w:top w:val="single" w:sz="4" w:space="0" w:color="D0CECE"/>
                  <w:right w:val="single" w:sz="4" w:space="0" w:color="D0CECE"/>
                </w:tcBorders>
                <w:shd w:val="clear" w:color="auto" w:fill="F7F7F7"/>
                <w:vAlign w:val="center"/>
              </w:tcPr>
              <w:p w14:paraId="17A77D30"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Original EA Category</w:t>
                </w:r>
              </w:p>
            </w:tc>
            <w:tc>
              <w:tcPr>
                <w:tcW w:w="5490" w:type="dxa"/>
                <w:tcBorders>
                  <w:top w:val="single" w:sz="4" w:space="0" w:color="D0CECE"/>
                  <w:left w:val="single" w:sz="4" w:space="0" w:color="D0CECE"/>
                </w:tcBorders>
                <w:shd w:val="clear" w:color="auto" w:fill="F7F7F7"/>
                <w:vAlign w:val="center"/>
              </w:tcPr>
              <w:p w14:paraId="0F7A4E4B" w14:textId="77777777" w:rsidR="00B3048D" w:rsidRPr="00D825D9" w:rsidRDefault="002C3F71" w:rsidP="000A6656">
                <w:pPr>
                  <w:pStyle w:val="Normal69"/>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Revised EA Category</w:t>
                </w:r>
              </w:p>
            </w:tc>
          </w:tr>
          <w:tr w:rsidR="00E63776" w14:paraId="34FEA692" w14:textId="77777777" w:rsidTr="000A6656">
            <w:trPr>
              <w:trHeight w:val="432"/>
            </w:trPr>
            <w:tc>
              <w:tcPr>
                <w:tcW w:w="5130" w:type="dxa"/>
                <w:tcBorders>
                  <w:bottom w:val="single" w:sz="4" w:space="0" w:color="D0CECE"/>
                  <w:right w:val="single" w:sz="4" w:space="0" w:color="D0CECE"/>
                </w:tcBorders>
                <w:shd w:val="clear" w:color="auto" w:fill="F7F7F7"/>
                <w:vAlign w:val="center"/>
              </w:tcPr>
              <w:p w14:paraId="25636D7C" w14:textId="77777777" w:rsidR="00B3048D" w:rsidRPr="00D825D9"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Full Assessment (A)</w:t>
                </w:r>
              </w:p>
            </w:tc>
            <w:tc>
              <w:tcPr>
                <w:tcW w:w="5490" w:type="dxa"/>
                <w:tcBorders>
                  <w:left w:val="single" w:sz="4" w:space="0" w:color="D0CECE"/>
                  <w:bottom w:val="single" w:sz="4" w:space="0" w:color="D0CECE"/>
                </w:tcBorders>
                <w:shd w:val="clear" w:color="auto" w:fill="F7F7F7"/>
                <w:vAlign w:val="center"/>
              </w:tcPr>
              <w:p w14:paraId="726C04BC" w14:textId="77777777" w:rsidR="00B3048D" w:rsidRPr="00D825D9" w:rsidRDefault="002C3F71" w:rsidP="000A6656">
                <w:pPr>
                  <w:pStyle w:val="Normal69"/>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Full Assessment (A)</w:t>
                </w:r>
              </w:p>
            </w:tc>
          </w:tr>
        </w:tbl>
        <w:p w14:paraId="2848F5B3" w14:textId="77777777" w:rsidR="00B3048D" w:rsidRDefault="00B3048D" w:rsidP="00B3048D">
          <w:pPr>
            <w:pStyle w:val="Normal69"/>
            <w:shd w:val="clear" w:color="auto" w:fill="F7F7F7"/>
            <w:ind w:left="-691" w:right="-518"/>
            <w:rPr>
              <w:sz w:val="20"/>
            </w:rPr>
          </w:pPr>
        </w:p>
        <w:p w14:paraId="12069285" w14:textId="77777777" w:rsidR="00B3048D" w:rsidRDefault="00B3048D" w:rsidP="00B3048D">
          <w:pPr>
            <w:pStyle w:val="Normal69"/>
            <w:shd w:val="clear" w:color="auto" w:fill="F7F7F7"/>
            <w:ind w:left="-691" w:right="-518"/>
            <w:rPr>
              <w:sz w:val="20"/>
            </w:rPr>
          </w:pPr>
        </w:p>
        <w:tbl>
          <w:tblPr>
            <w:tblW w:w="10635"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505"/>
          </w:tblGrid>
          <w:tr w:rsidR="00E63776" w14:paraId="3FACFC16" w14:textId="77777777" w:rsidTr="000A6656">
            <w:trPr>
              <w:trHeight w:val="503"/>
            </w:trPr>
            <w:tc>
              <w:tcPr>
                <w:tcW w:w="10635" w:type="dxa"/>
                <w:gridSpan w:val="2"/>
                <w:tcBorders>
                  <w:bottom w:val="single" w:sz="4" w:space="0" w:color="D0CECE"/>
                </w:tcBorders>
                <w:shd w:val="clear" w:color="auto" w:fill="F7F7F7"/>
                <w:vAlign w:val="center"/>
              </w:tcPr>
              <w:p w14:paraId="212FBE87" w14:textId="77777777" w:rsidR="00B3048D" w:rsidRPr="00BF628C"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sidRPr="00BF628C">
                  <w:rPr>
                    <w:rFonts w:asciiTheme="minorHAnsi" w:eastAsiaTheme="minorHAnsi" w:hAnsiTheme="minorHAnsi" w:cstheme="minorBidi"/>
                    <w:b/>
                    <w:color w:val="002060"/>
                    <w:sz w:val="22"/>
                    <w:szCs w:val="22"/>
                  </w:rPr>
                  <w:t>Organizations</w:t>
                </w:r>
              </w:p>
            </w:tc>
          </w:tr>
          <w:tr w:rsidR="00E63776" w14:paraId="46508EAD" w14:textId="77777777" w:rsidTr="000A6656">
            <w:trPr>
              <w:trHeight w:val="380"/>
            </w:trPr>
            <w:tc>
              <w:tcPr>
                <w:tcW w:w="5130" w:type="dxa"/>
                <w:tcBorders>
                  <w:top w:val="single" w:sz="4" w:space="0" w:color="D0CECE"/>
                  <w:right w:val="single" w:sz="4" w:space="0" w:color="D0CECE"/>
                </w:tcBorders>
                <w:shd w:val="clear" w:color="auto" w:fill="F7F7F7"/>
                <w:vAlign w:val="center"/>
              </w:tcPr>
              <w:p w14:paraId="6A4FB6ED" w14:textId="77777777" w:rsidR="00B3048D" w:rsidRPr="00BF628C" w:rsidRDefault="002C3F71" w:rsidP="000A6656">
                <w:pPr>
                  <w:pStyle w:val="Normal69"/>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Borrower</w:t>
                </w:r>
              </w:p>
            </w:tc>
            <w:tc>
              <w:tcPr>
                <w:tcW w:w="5505" w:type="dxa"/>
                <w:tcBorders>
                  <w:top w:val="single" w:sz="4" w:space="0" w:color="D0CECE"/>
                  <w:left w:val="single" w:sz="4" w:space="0" w:color="D0CECE"/>
                </w:tcBorders>
                <w:shd w:val="clear" w:color="auto" w:fill="F7F7F7"/>
                <w:vAlign w:val="center"/>
              </w:tcPr>
              <w:p w14:paraId="0F298143" w14:textId="77777777" w:rsidR="00B3048D" w:rsidRPr="00BF628C" w:rsidRDefault="002C3F71" w:rsidP="000A6656">
                <w:pPr>
                  <w:pStyle w:val="Normal69"/>
                  <w:widowControl/>
                  <w:autoSpaceDE/>
                  <w:autoSpaceDN/>
                  <w:adjustRightInd/>
                  <w:spacing w:after="160" w:line="259" w:lineRule="auto"/>
                  <w:ind w:left="100"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Implementing Agency</w:t>
                </w:r>
              </w:p>
            </w:tc>
          </w:tr>
          <w:tr w:rsidR="00E63776" w14:paraId="7EABC8D5" w14:textId="77777777" w:rsidTr="000A6656">
            <w:trPr>
              <w:trHeight w:val="439"/>
            </w:trPr>
            <w:tc>
              <w:tcPr>
                <w:tcW w:w="5130" w:type="dxa"/>
                <w:tcBorders>
                  <w:bottom w:val="single" w:sz="4" w:space="0" w:color="D0CECE"/>
                  <w:right w:val="single" w:sz="4" w:space="0" w:color="D0CECE"/>
                </w:tcBorders>
                <w:shd w:val="clear" w:color="auto" w:fill="F7F7F7"/>
                <w:vAlign w:val="center"/>
              </w:tcPr>
              <w:p w14:paraId="1B7E6A8D" w14:textId="77777777" w:rsidR="00B3048D" w:rsidRPr="00BF628C" w:rsidRDefault="002C3F71" w:rsidP="000A6656">
                <w:pPr>
                  <w:pStyle w:val="Normal69"/>
                  <w:widowControl/>
                  <w:autoSpaceDE/>
                  <w:autoSpaceDN/>
                  <w:adjustRightInd/>
                  <w:spacing w:after="160" w:line="259" w:lineRule="auto"/>
                  <w:ind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Argentine Republic</w:t>
                </w:r>
              </w:p>
            </w:tc>
            <w:tc>
              <w:tcPr>
                <w:tcW w:w="5505" w:type="dxa"/>
                <w:tcBorders>
                  <w:left w:val="single" w:sz="4" w:space="0" w:color="D0CECE"/>
                  <w:bottom w:val="single" w:sz="2" w:space="0" w:color="DFDFDF"/>
                </w:tcBorders>
                <w:shd w:val="clear" w:color="auto" w:fill="F7F7F7"/>
                <w:vAlign w:val="center"/>
              </w:tcPr>
              <w:p w14:paraId="5BCA65AF" w14:textId="77777777" w:rsidR="00B3048D" w:rsidRPr="00BF628C" w:rsidRDefault="002C3F71" w:rsidP="000A6656">
                <w:pPr>
                  <w:pStyle w:val="Normal69"/>
                  <w:widowControl/>
                  <w:autoSpaceDE/>
                  <w:autoSpaceDN/>
                  <w:adjustRightInd/>
                  <w:spacing w:after="160" w:line="259" w:lineRule="auto"/>
                  <w:ind w:left="100" w:hanging="14"/>
                  <w:rPr>
                    <w:rFonts w:asciiTheme="minorHAnsi" w:eastAsiaTheme="minorHAnsi" w:hAnsiTheme="minorHAnsi" w:cstheme="minorBidi"/>
                    <w:noProof/>
                    <w:color w:val="auto"/>
                    <w:sz w:val="22"/>
                    <w:szCs w:val="22"/>
                    <w:lang w:val="es-VE"/>
                  </w:rPr>
                </w:pPr>
                <w:r>
                  <w:rPr>
                    <w:rFonts w:asciiTheme="minorHAnsi" w:eastAsiaTheme="minorHAnsi" w:hAnsiTheme="minorHAnsi" w:cstheme="minorBidi"/>
                    <w:noProof/>
                    <w:color w:val="auto"/>
                    <w:sz w:val="22"/>
                    <w:szCs w:val="22"/>
                    <w:lang w:val="es-VE"/>
                  </w:rPr>
                  <w:t>National Atomic Energy Commission</w:t>
                </w:r>
              </w:p>
            </w:tc>
          </w:tr>
        </w:tbl>
        <w:p w14:paraId="1F44808D" w14:textId="77777777" w:rsidR="00B3048D" w:rsidRDefault="00B3048D" w:rsidP="00B3048D">
          <w:pPr>
            <w:pStyle w:val="Normal69"/>
            <w:shd w:val="clear" w:color="auto" w:fill="F7F7F7"/>
            <w:ind w:left="-691" w:right="-518"/>
            <w:rPr>
              <w:sz w:val="20"/>
            </w:rPr>
          </w:pPr>
        </w:p>
        <w:tbl>
          <w:tblPr>
            <w:tblStyle w:val="TableGrid75"/>
            <w:tblW w:w="10602" w:type="dxa"/>
            <w:tblInd w:w="-702" w:type="dxa"/>
            <w:shd w:val="clear" w:color="auto" w:fill="F7F7F7"/>
            <w:tblLayout w:type="fixed"/>
            <w:tblLook w:val="04A0" w:firstRow="1" w:lastRow="0" w:firstColumn="1" w:lastColumn="0" w:noHBand="0" w:noVBand="1"/>
          </w:tblPr>
          <w:tblGrid>
            <w:gridCol w:w="10602"/>
          </w:tblGrid>
          <w:tr w:rsidR="00E63776" w14:paraId="1EF23D82" w14:textId="77777777" w:rsidTr="00A835DE">
            <w:trPr>
              <w:trHeight w:val="80"/>
            </w:trPr>
            <w:tc>
              <w:tcPr>
                <w:tcW w:w="10602" w:type="dxa"/>
                <w:tcBorders>
                  <w:top w:val="nil"/>
                  <w:left w:val="nil"/>
                  <w:bottom w:val="nil"/>
                  <w:right w:val="nil"/>
                </w:tcBorders>
                <w:shd w:val="clear" w:color="auto" w:fill="F7F7F7"/>
                <w:hideMark/>
              </w:tcPr>
              <w:p w14:paraId="22046DBA" w14:textId="77777777" w:rsidR="00B3048D" w:rsidRDefault="002C3F71" w:rsidP="000A6656">
                <w:pPr>
                  <w:pStyle w:val="Normal69"/>
                  <w:keepNext/>
                  <w:widowControl/>
                  <w:shd w:val="clear" w:color="auto" w:fill="F7F7F7"/>
                  <w:tabs>
                    <w:tab w:val="left" w:pos="3709"/>
                  </w:tabs>
                  <w:rPr>
                    <w:rFonts w:asciiTheme="minorHAnsi" w:hAnsiTheme="minorHAnsi"/>
                    <w:b/>
                    <w:color w:val="172D5F"/>
                    <w:sz w:val="22"/>
                    <w:szCs w:val="22"/>
                  </w:rPr>
                </w:pPr>
                <w:r>
                  <w:rPr>
                    <w:rFonts w:asciiTheme="minorHAnsi" w:hAnsiTheme="minorHAnsi"/>
                    <w:b/>
                    <w:color w:val="172D5F"/>
                    <w:sz w:val="22"/>
                    <w:szCs w:val="22"/>
                  </w:rPr>
                  <w:t>Project Development Objective (PDO)</w:t>
                </w:r>
              </w:p>
            </w:tc>
          </w:tr>
        </w:tbl>
        <w:p w14:paraId="4E2E5BE6" w14:textId="77777777" w:rsidR="00B3048D" w:rsidRPr="00C40572" w:rsidRDefault="00B3048D" w:rsidP="00A835DE">
          <w:pPr>
            <w:pStyle w:val="Normal69"/>
            <w:keepNext/>
            <w:widowControl/>
            <w:shd w:val="clear" w:color="auto" w:fill="F7F7F7"/>
            <w:spacing w:line="120" w:lineRule="auto"/>
            <w:ind w:left="-691" w:right="-518"/>
            <w:rPr>
              <w:rFonts w:asciiTheme="minorHAnsi" w:hAnsiTheme="minorHAnsi"/>
              <w:noProof/>
              <w:sz w:val="22"/>
              <w:szCs w:val="22"/>
            </w:rPr>
          </w:pPr>
        </w:p>
        <w:tbl>
          <w:tblPr>
            <w:tblStyle w:val="TableGrid75"/>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Look w:val="04A0" w:firstRow="1" w:lastRow="0" w:firstColumn="1" w:lastColumn="0" w:noHBand="0" w:noVBand="1"/>
          </w:tblPr>
          <w:tblGrid>
            <w:gridCol w:w="10602"/>
          </w:tblGrid>
          <w:tr w:rsidR="00E63776" w14:paraId="01AA7715" w14:textId="77777777" w:rsidTr="009E4BBB">
            <w:trPr>
              <w:trHeight w:val="144"/>
            </w:trPr>
            <w:tc>
              <w:tcPr>
                <w:tcW w:w="10602" w:type="dxa"/>
                <w:shd w:val="clear" w:color="auto" w:fill="F2F2F2"/>
                <w:vAlign w:val="center"/>
              </w:tcPr>
              <w:p w14:paraId="63885ED2" w14:textId="77777777" w:rsidR="00B3048D" w:rsidRPr="00501672" w:rsidRDefault="002C3F71" w:rsidP="00BA43FF">
                <w:pPr>
                  <w:pStyle w:val="Normal69"/>
                  <w:keepNext/>
                  <w:widowControl/>
                  <w:autoSpaceDE/>
                  <w:autoSpaceDN/>
                  <w:adjustRightInd/>
                  <w:spacing w:line="259" w:lineRule="auto"/>
                  <w:ind w:hanging="14"/>
                  <w:rPr>
                    <w:rFonts w:asciiTheme="minorHAnsi" w:hAnsiTheme="minorHAnsi"/>
                    <w:noProof/>
                    <w:sz w:val="22"/>
                    <w:szCs w:val="18"/>
                  </w:rPr>
                </w:pPr>
                <w:r w:rsidRPr="00126542">
                  <w:rPr>
                    <w:rFonts w:asciiTheme="minorHAnsi" w:eastAsiaTheme="minorHAnsi" w:hAnsiTheme="minorHAnsi" w:cstheme="minorBidi"/>
                    <w:color w:val="767171" w:themeColor="background2" w:themeShade="80"/>
                    <w:sz w:val="22"/>
                    <w:szCs w:val="22"/>
                  </w:rPr>
                  <w:t>Original PDO</w:t>
                </w:r>
              </w:p>
            </w:tc>
          </w:tr>
          <w:tr w:rsidR="00E63776" w14:paraId="3D227151" w14:textId="77777777" w:rsidTr="009E4BBB">
            <w:trPr>
              <w:trHeight w:val="144"/>
            </w:trPr>
            <w:tc>
              <w:tcPr>
                <w:tcW w:w="10602" w:type="dxa"/>
                <w:shd w:val="clear" w:color="auto" w:fill="F2F2F2"/>
                <w:hideMark/>
              </w:tcPr>
              <w:p w14:paraId="03A71D7A" w14:textId="77777777" w:rsidR="00B3048D" w:rsidRDefault="002C3F71" w:rsidP="00BA43FF">
                <w:pPr>
                  <w:pStyle w:val="Normal69"/>
                  <w:keepNext/>
                  <w:widowControl/>
                  <w:shd w:val="clear" w:color="auto" w:fill="F7F7F7"/>
                  <w:rPr>
                    <w:rFonts w:asciiTheme="minorHAnsi" w:hAnsiTheme="minorHAnsi"/>
                    <w:bCs/>
                    <w:color w:val="002060"/>
                    <w:sz w:val="22"/>
                    <w:szCs w:val="22"/>
                  </w:rPr>
                </w:pPr>
                <w:r>
                  <w:rPr>
                    <w:rFonts w:asciiTheme="minorHAnsi" w:hAnsiTheme="minorHAnsi"/>
                    <w:noProof/>
                    <w:sz w:val="22"/>
                    <w:szCs w:val="18"/>
                  </w:rPr>
                  <w:t>The development objectives of the project are to: (a) strengthen Government of Argentina's capacity to assess and mitigate environmental risks associated with closed uranium mines, processing sites, and related mining sector investments in accordance with international good practice; and (b) reduce potential economic and health damages associated with a closed uranium mining site in Malargue, Mendoza.</w:t>
                </w:r>
              </w:p>
            </w:tc>
          </w:tr>
          <w:tr w:rsidR="00E63776" w14:paraId="661BFDC2" w14:textId="77777777" w:rsidTr="009E4BBB">
            <w:trPr>
              <w:trHeight w:val="144"/>
            </w:trPr>
            <w:tc>
              <w:tcPr>
                <w:tcW w:w="10602" w:type="dxa"/>
                <w:shd w:val="clear" w:color="auto" w:fill="F2F2F2"/>
              </w:tcPr>
              <w:p w14:paraId="6D621066" w14:textId="77777777" w:rsidR="00B3048D" w:rsidRPr="00501672" w:rsidRDefault="00B3048D" w:rsidP="000A6656">
                <w:pPr>
                  <w:pStyle w:val="Normal69"/>
                  <w:shd w:val="clear" w:color="auto" w:fill="F7F7F7"/>
                  <w:rPr>
                    <w:rFonts w:asciiTheme="minorHAnsi" w:hAnsiTheme="minorHAnsi"/>
                    <w:noProof/>
                    <w:sz w:val="22"/>
                    <w:szCs w:val="18"/>
                  </w:rPr>
                </w:pPr>
              </w:p>
            </w:tc>
          </w:tr>
          <w:tr w:rsidR="00E63776" w14:paraId="4BD64DD2" w14:textId="77777777" w:rsidTr="009E4BBB">
            <w:trPr>
              <w:trHeight w:val="144"/>
            </w:trPr>
            <w:tc>
              <w:tcPr>
                <w:tcW w:w="10602" w:type="dxa"/>
                <w:shd w:val="clear" w:color="auto" w:fill="F2F2F2"/>
              </w:tcPr>
              <w:p w14:paraId="5AE2DA1C" w14:textId="77777777" w:rsidR="0085204B" w:rsidRPr="00E3145D" w:rsidRDefault="002C3F71" w:rsidP="00FF3CA5">
                <w:pPr>
                  <w:pStyle w:val="Normal69"/>
                  <w:keepNext/>
                  <w:widowControl/>
                  <w:autoSpaceDE/>
                  <w:autoSpaceDN/>
                  <w:adjustRightInd/>
                  <w:spacing w:line="259" w:lineRule="auto"/>
                  <w:ind w:hanging="14"/>
                  <w:rPr>
                    <w:rFonts w:asciiTheme="minorHAnsi" w:eastAsiaTheme="minorHAnsi" w:hAnsiTheme="minorHAnsi" w:cstheme="minorBidi"/>
                    <w:color w:val="767171" w:themeColor="background2" w:themeShade="80"/>
                    <w:sz w:val="22"/>
                    <w:szCs w:val="22"/>
                  </w:rPr>
                </w:pPr>
                <w:bookmarkStart w:id="4" w:name="_GoBack_1" w:colFirst="0" w:colLast="0"/>
                <w:r w:rsidRPr="000C74DC">
                  <w:rPr>
                    <w:rFonts w:asciiTheme="minorHAnsi" w:eastAsiaTheme="minorHAnsi" w:hAnsiTheme="minorHAnsi" w:cstheme="minorBidi"/>
                    <w:color w:val="767171" w:themeColor="background2" w:themeShade="80"/>
                    <w:sz w:val="22"/>
                    <w:szCs w:val="22"/>
                  </w:rPr>
                  <w:t>PDO as stated in the legal agreement</w:t>
                </w:r>
              </w:p>
            </w:tc>
          </w:tr>
          <w:tr w:rsidR="00E63776" w14:paraId="4419BB29" w14:textId="77777777" w:rsidTr="009E4BBB">
            <w:trPr>
              <w:trHeight w:val="144"/>
            </w:trPr>
            <w:tc>
              <w:tcPr>
                <w:tcW w:w="10602" w:type="dxa"/>
                <w:shd w:val="clear" w:color="auto" w:fill="F2F2F2"/>
              </w:tcPr>
              <w:p w14:paraId="77744F79" w14:textId="77777777" w:rsidR="0085204B" w:rsidRPr="00501672" w:rsidRDefault="002C3F71" w:rsidP="00FF3CA5">
                <w:pPr>
                  <w:pStyle w:val="Normal69"/>
                  <w:keepNext/>
                  <w:widowControl/>
                  <w:shd w:val="clear" w:color="auto" w:fill="F7F7F7"/>
                  <w:rPr>
                    <w:rFonts w:asciiTheme="minorHAnsi" w:hAnsiTheme="minorHAnsi"/>
                    <w:noProof/>
                    <w:sz w:val="22"/>
                    <w:szCs w:val="18"/>
                  </w:rPr>
                </w:pPr>
                <w:r>
                  <w:rPr>
                    <w:rFonts w:asciiTheme="minorHAnsi" w:hAnsiTheme="minorHAnsi"/>
                    <w:noProof/>
                    <w:sz w:val="22"/>
                    <w:szCs w:val="18"/>
                  </w:rPr>
                  <w:t>The objectives of the Project are: (a) to strengthen the Borrower’s capacity to assess and mitigate environmental risks associated with closed uranium mines, processing sites, and related mining sector investments, in accordance with international good practice; and (b) to reduce potential economic and health damages associated with the Malargüe Site.</w:t>
                </w:r>
              </w:p>
            </w:tc>
          </w:tr>
          <w:bookmarkEnd w:id="4"/>
        </w:tbl>
        <w:p w14:paraId="2A2DE472" w14:textId="77777777" w:rsidR="00B3048D" w:rsidRPr="00C40572"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50" w:type="dxa"/>
            <w:shd w:val="clear" w:color="auto" w:fill="F7F7F7"/>
            <w:tblLayout w:type="fixed"/>
            <w:tblLook w:val="04A0" w:firstRow="1" w:lastRow="0" w:firstColumn="1" w:lastColumn="0" w:noHBand="0" w:noVBand="1"/>
          </w:tblPr>
          <w:tblGrid>
            <w:gridCol w:w="10620"/>
          </w:tblGrid>
          <w:tr w:rsidR="00E63776" w14:paraId="7D90B70A"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3DA1A701" w14:textId="77777777" w:rsidR="00B3048D" w:rsidRPr="000C19EF" w:rsidRDefault="002C3F71" w:rsidP="000A6656">
                <w:pPr>
                  <w:pStyle w:val="Normal69"/>
                  <w:keepNext/>
                  <w:widowControl/>
                  <w:rPr>
                    <w:rFonts w:asciiTheme="minorHAnsi" w:eastAsia="Times New Roman" w:hAnsiTheme="minorHAnsi"/>
                  </w:rPr>
                </w:pPr>
                <w:r>
                  <w:rPr>
                    <w:rFonts w:asciiTheme="minorHAnsi" w:hAnsiTheme="minorHAnsi"/>
                    <w:b/>
                    <w:bCs/>
                    <w:sz w:val="22"/>
                    <w:szCs w:val="22"/>
                  </w:rPr>
                  <w:t>FINANCING</w:t>
                </w:r>
              </w:p>
            </w:tc>
          </w:tr>
        </w:tbl>
        <w:p w14:paraId="33CAE721" w14:textId="77777777" w:rsidR="00B3048D"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shd w:val="clear" w:color="auto" w:fill="F7F7F7"/>
            <w:tblLayout w:type="fixed"/>
            <w:tblLook w:val="04A0" w:firstRow="1" w:lastRow="0" w:firstColumn="1" w:lastColumn="0" w:noHBand="0" w:noVBand="1"/>
          </w:tblPr>
          <w:tblGrid>
            <w:gridCol w:w="18"/>
            <w:gridCol w:w="10602"/>
          </w:tblGrid>
          <w:tr w:rsidR="00E63776" w14:paraId="17C5FC5D" w14:textId="77777777" w:rsidTr="000A6656">
            <w:trPr>
              <w:gridBefore w:val="1"/>
              <w:wBefore w:w="18" w:type="dxa"/>
              <w:trHeight w:val="342"/>
            </w:trPr>
            <w:tc>
              <w:tcPr>
                <w:tcW w:w="10602" w:type="dxa"/>
                <w:tcBorders>
                  <w:top w:val="nil"/>
                  <w:left w:val="nil"/>
                  <w:bottom w:val="nil"/>
                  <w:right w:val="nil"/>
                </w:tcBorders>
                <w:shd w:val="clear" w:color="auto" w:fill="F7F7F7"/>
                <w:vAlign w:val="center"/>
              </w:tcPr>
              <w:tbl>
                <w:tblPr>
                  <w:tblStyle w:val="TableGrid95"/>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58" w:type="dxa"/>
                    <w:right w:w="58" w:type="dxa"/>
                  </w:tblCellMar>
                  <w:tblLook w:val="04A0" w:firstRow="1" w:lastRow="0" w:firstColumn="1" w:lastColumn="0" w:noHBand="0" w:noVBand="1"/>
                </w:tblPr>
                <w:tblGrid>
                  <w:gridCol w:w="1377"/>
                  <w:gridCol w:w="1305"/>
                  <w:gridCol w:w="2591"/>
                  <w:gridCol w:w="2591"/>
                  <w:gridCol w:w="2591"/>
                </w:tblGrid>
                <w:tr w:rsidR="00E63776" w14:paraId="52E098BA" w14:textId="77777777" w:rsidTr="000A6656">
                  <w:trPr>
                    <w:trHeight w:val="319"/>
                  </w:trPr>
                  <w:tc>
                    <w:tcPr>
                      <w:tcW w:w="1283" w:type="pct"/>
                      <w:gridSpan w:val="2"/>
                      <w:tcBorders>
                        <w:bottom w:val="single" w:sz="12" w:space="0" w:color="D0CECE"/>
                      </w:tcBorders>
                      <w:shd w:val="clear" w:color="auto" w:fill="F7F7F7"/>
                      <w:vAlign w:val="center"/>
                    </w:tcPr>
                    <w:p w14:paraId="0A11B76E" w14:textId="77777777" w:rsidR="00B3048D" w:rsidRPr="000C19EF" w:rsidRDefault="00B3048D" w:rsidP="000A6656">
                      <w:pPr>
                        <w:pStyle w:val="Normal69"/>
                        <w:keepNext/>
                        <w:widowControl/>
                        <w:rPr>
                          <w:rFonts w:asciiTheme="minorHAnsi" w:hAnsiTheme="minorHAnsi"/>
                          <w:b/>
                          <w:sz w:val="22"/>
                          <w:szCs w:val="22"/>
                        </w:rPr>
                      </w:pPr>
                    </w:p>
                  </w:tc>
                  <w:tc>
                    <w:tcPr>
                      <w:tcW w:w="1239" w:type="pct"/>
                      <w:tcBorders>
                        <w:bottom w:val="single" w:sz="12" w:space="0" w:color="D0CECE"/>
                      </w:tcBorders>
                      <w:shd w:val="clear" w:color="auto" w:fill="F7F7F7"/>
                      <w:vAlign w:val="center"/>
                    </w:tcPr>
                    <w:p w14:paraId="64B6B3A7" w14:textId="77777777" w:rsidR="00B3048D" w:rsidRPr="000C19EF" w:rsidRDefault="002C3F71" w:rsidP="000A6656">
                      <w:pPr>
                        <w:pStyle w:val="Normal69"/>
                        <w:keepNext/>
                        <w:widowControl/>
                        <w:tabs>
                          <w:tab w:val="left" w:pos="984"/>
                        </w:tabs>
                        <w:jc w:val="right"/>
                        <w:rPr>
                          <w:rFonts w:asciiTheme="minorHAnsi" w:hAnsiTheme="minorHAnsi"/>
                          <w:b/>
                          <w:sz w:val="22"/>
                          <w:szCs w:val="22"/>
                        </w:rPr>
                      </w:pPr>
                      <w:r w:rsidRPr="000C19EF">
                        <w:rPr>
                          <w:rFonts w:asciiTheme="minorHAnsi" w:hAnsiTheme="minorHAnsi"/>
                          <w:b/>
                          <w:sz w:val="22"/>
                          <w:szCs w:val="22"/>
                        </w:rPr>
                        <w:t xml:space="preserve">Original Amount (US$) </w:t>
                      </w:r>
                    </w:p>
                  </w:tc>
                  <w:tc>
                    <w:tcPr>
                      <w:tcW w:w="1239" w:type="pct"/>
                      <w:tcBorders>
                        <w:bottom w:val="single" w:sz="12" w:space="0" w:color="D0CECE"/>
                      </w:tcBorders>
                      <w:shd w:val="clear" w:color="auto" w:fill="F7F7F7"/>
                      <w:vAlign w:val="center"/>
                    </w:tcPr>
                    <w:p w14:paraId="5016EC74" w14:textId="77777777" w:rsidR="00B3048D" w:rsidRPr="000C19EF" w:rsidRDefault="002C3F71" w:rsidP="000A6656">
                      <w:pPr>
                        <w:pStyle w:val="Normal69"/>
                        <w:keepNext/>
                        <w:widowControl/>
                        <w:jc w:val="right"/>
                        <w:rPr>
                          <w:rFonts w:asciiTheme="minorHAnsi" w:hAnsiTheme="minorHAnsi"/>
                          <w:b/>
                          <w:sz w:val="22"/>
                          <w:szCs w:val="22"/>
                        </w:rPr>
                      </w:pPr>
                      <w:r w:rsidRPr="000C19EF">
                        <w:rPr>
                          <w:rFonts w:asciiTheme="minorHAnsi" w:hAnsiTheme="minorHAnsi"/>
                          <w:b/>
                          <w:sz w:val="22"/>
                          <w:szCs w:val="22"/>
                        </w:rPr>
                        <w:t>Revised Amount (US$)</w:t>
                      </w:r>
                    </w:p>
                  </w:tc>
                  <w:tc>
                    <w:tcPr>
                      <w:tcW w:w="1239" w:type="pct"/>
                      <w:tcBorders>
                        <w:bottom w:val="single" w:sz="12" w:space="0" w:color="D0CECE"/>
                      </w:tcBorders>
                      <w:shd w:val="clear" w:color="auto" w:fill="F7F7F7"/>
                      <w:vAlign w:val="center"/>
                    </w:tcPr>
                    <w:p w14:paraId="1A79EF5E" w14:textId="77777777" w:rsidR="00B3048D" w:rsidRPr="000C19EF" w:rsidRDefault="002C3F71" w:rsidP="000A6656">
                      <w:pPr>
                        <w:pStyle w:val="Normal69"/>
                        <w:keepNext/>
                        <w:widowControl/>
                        <w:jc w:val="right"/>
                        <w:rPr>
                          <w:rFonts w:asciiTheme="minorHAnsi" w:hAnsiTheme="minorHAnsi"/>
                          <w:b/>
                          <w:sz w:val="22"/>
                          <w:szCs w:val="22"/>
                        </w:rPr>
                      </w:pPr>
                      <w:r w:rsidRPr="000C19EF">
                        <w:rPr>
                          <w:rFonts w:asciiTheme="minorHAnsi" w:hAnsiTheme="minorHAnsi"/>
                          <w:b/>
                          <w:sz w:val="22"/>
                          <w:szCs w:val="22"/>
                        </w:rPr>
                        <w:t>Actual Disbursed (US$)</w:t>
                      </w:r>
                    </w:p>
                  </w:tc>
                </w:tr>
                <w:tr w:rsidR="00E63776" w14:paraId="6A4CDDFE" w14:textId="77777777" w:rsidTr="000A6656">
                  <w:trPr>
                    <w:trHeight w:val="254"/>
                  </w:trPr>
                  <w:tc>
                    <w:tcPr>
                      <w:tcW w:w="1283" w:type="pct"/>
                      <w:gridSpan w:val="2"/>
                      <w:tcBorders>
                        <w:top w:val="single" w:sz="12" w:space="0" w:color="D0CECE"/>
                      </w:tcBorders>
                      <w:shd w:val="clear" w:color="auto" w:fill="F7F7F7"/>
                      <w:vAlign w:val="center"/>
                    </w:tcPr>
                    <w:p w14:paraId="0D4FFE86"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World Bank Financing</w:t>
                      </w:r>
                    </w:p>
                  </w:tc>
                  <w:tc>
                    <w:tcPr>
                      <w:tcW w:w="1239" w:type="pct"/>
                      <w:tcBorders>
                        <w:top w:val="single" w:sz="12" w:space="0" w:color="D0CECE"/>
                      </w:tcBorders>
                      <w:shd w:val="clear" w:color="auto" w:fill="F7F7F7"/>
                      <w:vAlign w:val="center"/>
                    </w:tcPr>
                    <w:p w14:paraId="50E4242F" w14:textId="77777777" w:rsidR="00B3048D" w:rsidRPr="000C19EF" w:rsidRDefault="00B3048D" w:rsidP="000A6656">
                      <w:pPr>
                        <w:pStyle w:val="Normal69"/>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14:paraId="5B4D002E" w14:textId="77777777" w:rsidR="00B3048D" w:rsidRPr="000C19EF" w:rsidRDefault="00B3048D" w:rsidP="000A6656">
                      <w:pPr>
                        <w:pStyle w:val="Normal69"/>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14:paraId="340CCE23" w14:textId="77777777" w:rsidR="00B3048D" w:rsidRPr="000C19EF" w:rsidRDefault="00B3048D" w:rsidP="000A6656">
                      <w:pPr>
                        <w:pStyle w:val="Normal69"/>
                        <w:keepNext/>
                        <w:widowControl/>
                        <w:rPr>
                          <w:rFonts w:asciiTheme="minorHAnsi" w:hAnsiTheme="minorHAnsi"/>
                          <w:b/>
                          <w:sz w:val="22"/>
                          <w:szCs w:val="22"/>
                        </w:rPr>
                      </w:pPr>
                    </w:p>
                  </w:tc>
                </w:tr>
                <w:tr w:rsidR="00E63776" w14:paraId="660B91B8" w14:textId="77777777" w:rsidTr="000A6656">
                  <w:trPr>
                    <w:trHeight w:val="383"/>
                  </w:trPr>
                  <w:tc>
                    <w:tcPr>
                      <w:tcW w:w="1283" w:type="pct"/>
                      <w:gridSpan w:val="2"/>
                      <w:shd w:val="clear" w:color="auto" w:fill="F7F7F7"/>
                      <w:vAlign w:val="center"/>
                    </w:tcPr>
                    <w:p w14:paraId="21ED4BD7" w14:textId="77777777" w:rsidR="00B3048D" w:rsidRPr="000C19EF" w:rsidRDefault="00B3048D" w:rsidP="000A6656">
                      <w:pPr>
                        <w:pStyle w:val="Normal69"/>
                        <w:keepNext/>
                        <w:widowControl/>
                        <w:rPr>
                          <w:rFonts w:asciiTheme="minorHAnsi" w:hAnsiTheme="minorHAnsi"/>
                          <w:noProof/>
                          <w:sz w:val="22"/>
                          <w:szCs w:val="22"/>
                        </w:rPr>
                      </w:pPr>
                    </w:p>
                    <w:p w14:paraId="27834688" w14:textId="77777777" w:rsidR="00B3048D" w:rsidRPr="000C19EF" w:rsidRDefault="002C3F71" w:rsidP="000A6656">
                      <w:pPr>
                        <w:pStyle w:val="Normal69"/>
                        <w:keepNext/>
                        <w:widowControl/>
                        <w:rPr>
                          <w:rFonts w:asciiTheme="minorHAnsi" w:hAnsiTheme="minorHAnsi"/>
                          <w:noProof/>
                          <w:sz w:val="22"/>
                          <w:szCs w:val="22"/>
                        </w:rPr>
                      </w:pPr>
                      <w:r>
                        <w:rPr>
                          <w:rFonts w:asciiTheme="minorHAnsi" w:hAnsiTheme="minorHAnsi"/>
                          <w:bCs/>
                          <w:noProof/>
                          <w:sz w:val="22"/>
                          <w:szCs w:val="22"/>
                        </w:rPr>
                        <w:t>IBRD-75830</w:t>
                      </w:r>
                    </w:p>
                  </w:tc>
                  <w:tc>
                    <w:tcPr>
                      <w:tcW w:w="1239" w:type="pct"/>
                      <w:shd w:val="clear" w:color="auto" w:fill="F7F7F7"/>
                      <w:vAlign w:val="center"/>
                    </w:tcPr>
                    <w:p w14:paraId="7235978F"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30,000,000</w:t>
                      </w:r>
                    </w:p>
                  </w:tc>
                  <w:tc>
                    <w:tcPr>
                      <w:tcW w:w="1239" w:type="pct"/>
                      <w:shd w:val="clear" w:color="auto" w:fill="F7F7F7"/>
                      <w:vAlign w:val="center"/>
                    </w:tcPr>
                    <w:p w14:paraId="0D044615"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30,000,000</w:t>
                      </w:r>
                    </w:p>
                  </w:tc>
                  <w:tc>
                    <w:tcPr>
                      <w:tcW w:w="1239" w:type="pct"/>
                      <w:shd w:val="clear" w:color="auto" w:fill="F7F7F7"/>
                      <w:vAlign w:val="center"/>
                    </w:tcPr>
                    <w:p w14:paraId="7801544A"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29,663,347</w:t>
                      </w:r>
                    </w:p>
                  </w:tc>
                </w:tr>
                <w:tr w:rsidR="00E63776" w14:paraId="230FCB5E" w14:textId="77777777" w:rsidTr="000A6656">
                  <w:trPr>
                    <w:trHeight w:val="383"/>
                  </w:trPr>
                  <w:tc>
                    <w:tcPr>
                      <w:tcW w:w="659" w:type="pct"/>
                      <w:shd w:val="clear" w:color="auto" w:fill="F7F7F7"/>
                      <w:vAlign w:val="center"/>
                    </w:tcPr>
                    <w:p w14:paraId="64E21CFA" w14:textId="77777777" w:rsidR="00B3048D" w:rsidRPr="000C19EF" w:rsidRDefault="002C3F71" w:rsidP="000A6656">
                      <w:pPr>
                        <w:pStyle w:val="Normal69"/>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624" w:type="pct"/>
                      <w:shd w:val="clear" w:color="auto" w:fill="F7F7F7"/>
                      <w:vAlign w:val="center"/>
                    </w:tcPr>
                    <w:p w14:paraId="517E9A8E" w14:textId="77777777" w:rsidR="00B3048D" w:rsidRPr="000C19EF" w:rsidRDefault="00B3048D" w:rsidP="000A6656">
                      <w:pPr>
                        <w:pStyle w:val="Normal69"/>
                        <w:keepNext/>
                        <w:widowControl/>
                        <w:rPr>
                          <w:rFonts w:asciiTheme="minorHAnsi" w:hAnsiTheme="minorHAnsi"/>
                          <w:b/>
                          <w:bCs/>
                          <w:noProof/>
                          <w:sz w:val="22"/>
                          <w:szCs w:val="22"/>
                        </w:rPr>
                      </w:pPr>
                    </w:p>
                  </w:tc>
                  <w:tc>
                    <w:tcPr>
                      <w:tcW w:w="1239" w:type="pct"/>
                      <w:shd w:val="clear" w:color="auto" w:fill="F7F7F7"/>
                      <w:vAlign w:val="center"/>
                    </w:tcPr>
                    <w:p w14:paraId="00FC1D78"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30,000,000</w:t>
                      </w:r>
                      <w:r>
                        <w:rPr>
                          <w:rFonts w:asciiTheme="minorHAnsi" w:hAnsiTheme="minorHAnsi"/>
                          <w:b/>
                          <w:sz w:val="22"/>
                          <w:szCs w:val="22"/>
                        </w:rPr>
                        <w:fldChar w:fldCharType="end"/>
                      </w:r>
                    </w:p>
                  </w:tc>
                  <w:tc>
                    <w:tcPr>
                      <w:tcW w:w="1239" w:type="pct"/>
                      <w:shd w:val="clear" w:color="auto" w:fill="F7F7F7"/>
                      <w:vAlign w:val="center"/>
                    </w:tcPr>
                    <w:p w14:paraId="63033CF0"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30,000,000</w:t>
                      </w:r>
                      <w:r>
                        <w:rPr>
                          <w:rFonts w:asciiTheme="minorHAnsi" w:hAnsiTheme="minorHAnsi"/>
                          <w:b/>
                          <w:sz w:val="22"/>
                          <w:szCs w:val="22"/>
                        </w:rPr>
                        <w:fldChar w:fldCharType="end"/>
                      </w:r>
                    </w:p>
                  </w:tc>
                  <w:tc>
                    <w:tcPr>
                      <w:tcW w:w="1239" w:type="pct"/>
                      <w:shd w:val="clear" w:color="auto" w:fill="F7F7F7"/>
                      <w:vAlign w:val="center"/>
                    </w:tcPr>
                    <w:p w14:paraId="0E45B3CF"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29,663,347</w:t>
                      </w:r>
                      <w:r>
                        <w:rPr>
                          <w:rFonts w:asciiTheme="minorHAnsi" w:hAnsiTheme="minorHAnsi"/>
                          <w:b/>
                          <w:sz w:val="22"/>
                          <w:szCs w:val="22"/>
                        </w:rPr>
                        <w:fldChar w:fldCharType="end"/>
                      </w:r>
                    </w:p>
                  </w:tc>
                </w:tr>
                <w:tr w:rsidR="00E63776" w14:paraId="369A39A5" w14:textId="77777777" w:rsidTr="000A6656">
                  <w:trPr>
                    <w:trHeight w:val="388"/>
                  </w:trPr>
                  <w:tc>
                    <w:tcPr>
                      <w:tcW w:w="1283" w:type="pct"/>
                      <w:gridSpan w:val="2"/>
                      <w:shd w:val="clear" w:color="auto" w:fill="F7F7F7"/>
                      <w:vAlign w:val="center"/>
                    </w:tcPr>
                    <w:p w14:paraId="2FF98D59"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Non-World Bank Financing</w:t>
                      </w:r>
                    </w:p>
                  </w:tc>
                  <w:tc>
                    <w:tcPr>
                      <w:tcW w:w="1239" w:type="pct"/>
                      <w:shd w:val="clear" w:color="auto" w:fill="F7F7F7"/>
                      <w:vAlign w:val="bottom"/>
                    </w:tcPr>
                    <w:p w14:paraId="13B04BA7" w14:textId="77777777" w:rsidR="00B3048D" w:rsidRPr="000C19EF" w:rsidRDefault="00B3048D" w:rsidP="000A6656">
                      <w:pPr>
                        <w:pStyle w:val="Normal69"/>
                        <w:keepNext/>
                        <w:widowControl/>
                        <w:jc w:val="right"/>
                        <w:rPr>
                          <w:rFonts w:asciiTheme="minorHAnsi" w:hAnsiTheme="minorHAnsi"/>
                          <w:b/>
                          <w:sz w:val="22"/>
                          <w:szCs w:val="22"/>
                        </w:rPr>
                      </w:pPr>
                    </w:p>
                  </w:tc>
                  <w:tc>
                    <w:tcPr>
                      <w:tcW w:w="1239" w:type="pct"/>
                      <w:shd w:val="clear" w:color="auto" w:fill="F7F7F7"/>
                      <w:vAlign w:val="bottom"/>
                    </w:tcPr>
                    <w:p w14:paraId="6D53019C" w14:textId="77777777" w:rsidR="00B3048D" w:rsidRPr="000C19EF" w:rsidRDefault="00B3048D" w:rsidP="000A6656">
                      <w:pPr>
                        <w:pStyle w:val="Normal69"/>
                        <w:keepNext/>
                        <w:widowControl/>
                        <w:jc w:val="right"/>
                        <w:rPr>
                          <w:rFonts w:asciiTheme="minorHAnsi" w:hAnsiTheme="minorHAnsi"/>
                          <w:b/>
                          <w:sz w:val="22"/>
                          <w:szCs w:val="22"/>
                        </w:rPr>
                      </w:pPr>
                    </w:p>
                  </w:tc>
                  <w:tc>
                    <w:tcPr>
                      <w:tcW w:w="1239" w:type="pct"/>
                      <w:shd w:val="clear" w:color="auto" w:fill="F7F7F7"/>
                      <w:vAlign w:val="bottom"/>
                    </w:tcPr>
                    <w:p w14:paraId="2471A380" w14:textId="77777777" w:rsidR="00B3048D" w:rsidRPr="000C19EF" w:rsidRDefault="00B3048D" w:rsidP="000A6656">
                      <w:pPr>
                        <w:pStyle w:val="Normal69"/>
                        <w:keepNext/>
                        <w:widowControl/>
                        <w:jc w:val="right"/>
                        <w:rPr>
                          <w:rFonts w:asciiTheme="minorHAnsi" w:hAnsiTheme="minorHAnsi"/>
                          <w:b/>
                          <w:sz w:val="22"/>
                          <w:szCs w:val="22"/>
                        </w:rPr>
                      </w:pPr>
                    </w:p>
                  </w:tc>
                </w:tr>
                <w:tr w:rsidR="00E63776" w14:paraId="56729FA8" w14:textId="77777777" w:rsidTr="000A6656">
                  <w:trPr>
                    <w:trHeight w:val="383"/>
                  </w:trPr>
                  <w:tc>
                    <w:tcPr>
                      <w:tcW w:w="1283" w:type="pct"/>
                      <w:gridSpan w:val="2"/>
                      <w:shd w:val="clear" w:color="auto" w:fill="F7F7F7"/>
                      <w:vAlign w:val="center"/>
                    </w:tcPr>
                    <w:p w14:paraId="55A2481B" w14:textId="77777777" w:rsidR="00B3048D" w:rsidRPr="000C19EF" w:rsidRDefault="002C3F71" w:rsidP="000A6656">
                      <w:pPr>
                        <w:pStyle w:val="Normal69"/>
                        <w:keepNext/>
                        <w:widowControl/>
                        <w:rPr>
                          <w:rFonts w:asciiTheme="minorHAnsi" w:hAnsiTheme="minorHAnsi"/>
                          <w:noProof/>
                          <w:sz w:val="22"/>
                          <w:szCs w:val="22"/>
                        </w:rPr>
                      </w:pPr>
                      <w:r>
                        <w:rPr>
                          <w:rFonts w:asciiTheme="minorHAnsi" w:hAnsiTheme="minorHAnsi"/>
                          <w:noProof/>
                          <w:sz w:val="22"/>
                          <w:szCs w:val="22"/>
                        </w:rPr>
                        <w:t>Borrower</w:t>
                      </w:r>
                    </w:p>
                  </w:tc>
                  <w:tc>
                    <w:tcPr>
                      <w:tcW w:w="1239" w:type="pct"/>
                      <w:shd w:val="clear" w:color="auto" w:fill="F7F7F7"/>
                      <w:vAlign w:val="center"/>
                    </w:tcPr>
                    <w:p w14:paraId="4DB5137E"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4,250,000</w:t>
                      </w:r>
                    </w:p>
                  </w:tc>
                  <w:tc>
                    <w:tcPr>
                      <w:tcW w:w="1239" w:type="pct"/>
                      <w:shd w:val="clear" w:color="auto" w:fill="F7F7F7"/>
                      <w:vAlign w:val="center"/>
                    </w:tcPr>
                    <w:p w14:paraId="36B9A0E4"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 xml:space="preserve">   0</w:t>
                      </w:r>
                    </w:p>
                  </w:tc>
                  <w:tc>
                    <w:tcPr>
                      <w:tcW w:w="1239" w:type="pct"/>
                      <w:shd w:val="clear" w:color="auto" w:fill="F7F7F7"/>
                      <w:vAlign w:val="center"/>
                    </w:tcPr>
                    <w:p w14:paraId="0A5E15AF" w14:textId="77777777" w:rsidR="00B3048D" w:rsidRPr="000C19EF" w:rsidRDefault="002C3F71" w:rsidP="000A6656">
                      <w:pPr>
                        <w:pStyle w:val="Normal69"/>
                        <w:keepNext/>
                        <w:widowControl/>
                        <w:jc w:val="right"/>
                        <w:rPr>
                          <w:rFonts w:asciiTheme="minorHAnsi" w:hAnsiTheme="minorHAnsi"/>
                          <w:noProof/>
                          <w:sz w:val="22"/>
                          <w:szCs w:val="22"/>
                        </w:rPr>
                      </w:pPr>
                      <w:r>
                        <w:rPr>
                          <w:rFonts w:asciiTheme="minorHAnsi" w:hAnsiTheme="minorHAnsi"/>
                          <w:noProof/>
                          <w:sz w:val="22"/>
                          <w:szCs w:val="22"/>
                        </w:rPr>
                        <w:t xml:space="preserve">   0</w:t>
                      </w:r>
                    </w:p>
                  </w:tc>
                </w:tr>
                <w:tr w:rsidR="00E63776" w14:paraId="55706E0D" w14:textId="77777777" w:rsidTr="000A6656">
                  <w:trPr>
                    <w:trHeight w:val="383"/>
                  </w:trPr>
                  <w:tc>
                    <w:tcPr>
                      <w:tcW w:w="1283" w:type="pct"/>
                      <w:gridSpan w:val="2"/>
                      <w:tcBorders>
                        <w:bottom w:val="single" w:sz="4" w:space="0" w:color="D9D9D9"/>
                      </w:tcBorders>
                      <w:shd w:val="clear" w:color="auto" w:fill="F7F7F7"/>
                      <w:vAlign w:val="center"/>
                    </w:tcPr>
                    <w:p w14:paraId="0663DC02" w14:textId="77777777" w:rsidR="00B3048D" w:rsidRPr="000C19EF" w:rsidRDefault="002C3F71" w:rsidP="000A6656">
                      <w:pPr>
                        <w:pStyle w:val="Normal69"/>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1239" w:type="pct"/>
                      <w:tcBorders>
                        <w:bottom w:val="single" w:sz="4" w:space="0" w:color="D9D9D9"/>
                      </w:tcBorders>
                      <w:shd w:val="clear" w:color="auto" w:fill="F7F7F7"/>
                      <w:vAlign w:val="center"/>
                    </w:tcPr>
                    <w:p w14:paraId="3FFBE263"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4,250,000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14:paraId="3D28C981"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 xml:space="preserve">   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14:paraId="60C73606" w14:textId="77777777" w:rsidR="00B3048D" w:rsidRPr="000C19EF" w:rsidRDefault="002C3F71" w:rsidP="000A6656">
                      <w:pPr>
                        <w:pStyle w:val="Normal69"/>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 xml:space="preserve">   0</w:t>
                      </w:r>
                      <w:r>
                        <w:rPr>
                          <w:rFonts w:asciiTheme="minorHAnsi" w:hAnsiTheme="minorHAnsi"/>
                          <w:b/>
                          <w:sz w:val="22"/>
                          <w:szCs w:val="22"/>
                        </w:rPr>
                        <w:fldChar w:fldCharType="end"/>
                      </w:r>
                    </w:p>
                  </w:tc>
                </w:tr>
                <w:tr w:rsidR="00E63776" w14:paraId="2D50999D" w14:textId="77777777" w:rsidTr="000A6656">
                  <w:trPr>
                    <w:trHeight w:val="383"/>
                  </w:trPr>
                  <w:tc>
                    <w:tcPr>
                      <w:tcW w:w="1283" w:type="pct"/>
                      <w:gridSpan w:val="2"/>
                      <w:tcBorders>
                        <w:top w:val="single" w:sz="4" w:space="0" w:color="D9D9D9"/>
                        <w:bottom w:val="single" w:sz="4" w:space="0" w:color="D9D9D9"/>
                      </w:tcBorders>
                      <w:shd w:val="clear" w:color="auto" w:fill="F7F7F7"/>
                      <w:vAlign w:val="center"/>
                    </w:tcPr>
                    <w:p w14:paraId="553ADBD0" w14:textId="77777777" w:rsidR="00B3048D" w:rsidRPr="00B63285" w:rsidRDefault="002C3F71" w:rsidP="000A6656">
                      <w:pPr>
                        <w:pStyle w:val="Normal69"/>
                        <w:keepNext/>
                        <w:widowControl/>
                        <w:rPr>
                          <w:rFonts w:asciiTheme="minorHAnsi" w:hAnsiTheme="minorHAnsi"/>
                          <w:b/>
                          <w:bCs/>
                          <w:noProof/>
                          <w:sz w:val="22"/>
                          <w:szCs w:val="22"/>
                        </w:rPr>
                      </w:pPr>
                      <w:r w:rsidRPr="00B63285">
                        <w:rPr>
                          <w:rFonts w:asciiTheme="minorHAnsi" w:hAnsiTheme="minorHAnsi"/>
                          <w:b/>
                          <w:noProof/>
                          <w:sz w:val="22"/>
                          <w:szCs w:val="22"/>
                        </w:rPr>
                        <w:t>Total Project Cost</w:t>
                      </w:r>
                    </w:p>
                  </w:tc>
                  <w:tc>
                    <w:tcPr>
                      <w:tcW w:w="1239" w:type="pct"/>
                      <w:tcBorders>
                        <w:top w:val="single" w:sz="4" w:space="0" w:color="D9D9D9"/>
                        <w:bottom w:val="single" w:sz="4" w:space="0" w:color="D9D9D9"/>
                      </w:tcBorders>
                      <w:shd w:val="clear" w:color="auto" w:fill="F7F7F7"/>
                      <w:vAlign w:val="center"/>
                    </w:tcPr>
                    <w:p w14:paraId="4E0F9467" w14:textId="77777777" w:rsidR="00B3048D" w:rsidRPr="00B63285" w:rsidRDefault="002C3F71" w:rsidP="000A6656">
                      <w:pPr>
                        <w:pStyle w:val="Normal69"/>
                        <w:keepNext/>
                        <w:widowControl/>
                        <w:jc w:val="right"/>
                        <w:rPr>
                          <w:rFonts w:asciiTheme="minorHAnsi" w:hAnsiTheme="minorHAnsi"/>
                          <w:b/>
                          <w:noProof/>
                          <w:sz w:val="22"/>
                          <w:szCs w:val="22"/>
                        </w:rPr>
                      </w:pPr>
                      <w:r>
                        <w:rPr>
                          <w:rFonts w:asciiTheme="minorHAnsi" w:hAnsiTheme="minorHAnsi"/>
                          <w:b/>
                          <w:noProof/>
                          <w:sz w:val="22"/>
                          <w:szCs w:val="22"/>
                        </w:rPr>
                        <w:t>34,250,000</w:t>
                      </w:r>
                    </w:p>
                  </w:tc>
                  <w:tc>
                    <w:tcPr>
                      <w:tcW w:w="1239" w:type="pct"/>
                      <w:tcBorders>
                        <w:top w:val="single" w:sz="4" w:space="0" w:color="D9D9D9"/>
                        <w:bottom w:val="single" w:sz="4" w:space="0" w:color="D9D9D9"/>
                      </w:tcBorders>
                      <w:shd w:val="clear" w:color="auto" w:fill="F7F7F7"/>
                      <w:vAlign w:val="center"/>
                    </w:tcPr>
                    <w:p w14:paraId="46BD0517" w14:textId="77777777" w:rsidR="00B3048D" w:rsidRPr="00B63285" w:rsidRDefault="002C3F71" w:rsidP="000A6656">
                      <w:pPr>
                        <w:pStyle w:val="Normal69"/>
                        <w:keepNext/>
                        <w:widowControl/>
                        <w:jc w:val="right"/>
                        <w:rPr>
                          <w:rFonts w:asciiTheme="minorHAnsi" w:hAnsiTheme="minorHAnsi"/>
                          <w:b/>
                          <w:noProof/>
                          <w:sz w:val="22"/>
                          <w:szCs w:val="22"/>
                        </w:rPr>
                      </w:pPr>
                      <w:r>
                        <w:rPr>
                          <w:rFonts w:asciiTheme="minorHAnsi" w:hAnsiTheme="minorHAnsi"/>
                          <w:b/>
                          <w:noProof/>
                          <w:sz w:val="22"/>
                          <w:szCs w:val="22"/>
                        </w:rPr>
                        <w:t>30,000,000</w:t>
                      </w:r>
                    </w:p>
                  </w:tc>
                  <w:tc>
                    <w:tcPr>
                      <w:tcW w:w="1239" w:type="pct"/>
                      <w:tcBorders>
                        <w:top w:val="single" w:sz="4" w:space="0" w:color="D9D9D9"/>
                        <w:bottom w:val="single" w:sz="4" w:space="0" w:color="D9D9D9"/>
                      </w:tcBorders>
                      <w:shd w:val="clear" w:color="auto" w:fill="F7F7F7"/>
                      <w:vAlign w:val="center"/>
                    </w:tcPr>
                    <w:p w14:paraId="5C791CBE" w14:textId="77777777" w:rsidR="00B3048D" w:rsidRPr="00B63285" w:rsidRDefault="002C3F71" w:rsidP="000A6656">
                      <w:pPr>
                        <w:pStyle w:val="Normal69"/>
                        <w:keepNext/>
                        <w:widowControl/>
                        <w:jc w:val="right"/>
                        <w:rPr>
                          <w:rFonts w:asciiTheme="minorHAnsi" w:hAnsiTheme="minorHAnsi"/>
                          <w:b/>
                          <w:noProof/>
                          <w:sz w:val="22"/>
                          <w:szCs w:val="22"/>
                        </w:rPr>
                      </w:pPr>
                      <w:r>
                        <w:rPr>
                          <w:rFonts w:asciiTheme="minorHAnsi" w:hAnsiTheme="minorHAnsi"/>
                          <w:b/>
                          <w:noProof/>
                          <w:sz w:val="22"/>
                          <w:szCs w:val="22"/>
                        </w:rPr>
                        <w:t>29,663,347</w:t>
                      </w:r>
                    </w:p>
                  </w:tc>
                </w:tr>
              </w:tbl>
              <w:p w14:paraId="0821E7CB" w14:textId="77777777" w:rsidR="00B3048D" w:rsidRPr="007D4E7E" w:rsidRDefault="00B3048D" w:rsidP="000A6656">
                <w:pPr>
                  <w:pStyle w:val="Normal69"/>
                  <w:keepNext/>
                  <w:widowControl/>
                  <w:autoSpaceDE/>
                  <w:autoSpaceDN/>
                  <w:adjustRightInd/>
                  <w:spacing w:after="160" w:line="259" w:lineRule="auto"/>
                  <w:rPr>
                    <w:rFonts w:asciiTheme="minorHAnsi" w:hAnsiTheme="minorHAnsi"/>
                    <w:color w:val="000000" w:themeColor="text1"/>
                    <w:sz w:val="22"/>
                    <w:szCs w:val="22"/>
                  </w:rPr>
                </w:pPr>
              </w:p>
            </w:tc>
          </w:tr>
          <w:tr w:rsidR="00E63776" w14:paraId="428322DB" w14:textId="77777777" w:rsidTr="000A6656">
            <w:trPr>
              <w:gridBefore w:val="1"/>
              <w:wBefore w:w="18" w:type="dxa"/>
              <w:trHeight w:val="342"/>
            </w:trPr>
            <w:tc>
              <w:tcPr>
                <w:tcW w:w="10602" w:type="dxa"/>
                <w:tcBorders>
                  <w:top w:val="nil"/>
                  <w:left w:val="nil"/>
                  <w:bottom w:val="nil"/>
                  <w:right w:val="nil"/>
                </w:tcBorders>
                <w:shd w:val="clear" w:color="auto" w:fill="F7F7F7"/>
                <w:vAlign w:val="center"/>
              </w:tcPr>
              <w:p w14:paraId="216F364E" w14:textId="77777777" w:rsidR="00B3048D" w:rsidRPr="007D4E7E" w:rsidRDefault="00B3048D" w:rsidP="000A6656">
                <w:pPr>
                  <w:pStyle w:val="Normal69"/>
                  <w:rPr>
                    <w:rFonts w:asciiTheme="minorHAnsi" w:hAnsiTheme="minorHAnsi"/>
                    <w:color w:val="000000" w:themeColor="text1"/>
                    <w:sz w:val="22"/>
                    <w:szCs w:val="22"/>
                  </w:rPr>
                </w:pPr>
              </w:p>
            </w:tc>
          </w:tr>
          <w:tr w:rsidR="00E63776" w14:paraId="6982A44E" w14:textId="77777777" w:rsidTr="000A6656">
            <w:tblPrEx>
              <w:tblBorders>
                <w:top w:val="nil"/>
                <w:left w:val="nil"/>
                <w:bottom w:val="nil"/>
                <w:right w:val="nil"/>
                <w:insideH w:val="nil"/>
                <w:insideV w:val="nil"/>
              </w:tblBorders>
              <w:tblCellMar>
                <w:left w:w="0" w:type="dxa"/>
                <w:right w:w="0" w:type="dxa"/>
              </w:tblCellMar>
            </w:tblPrEx>
            <w:trPr>
              <w:trHeight w:val="450"/>
            </w:trPr>
            <w:tc>
              <w:tcPr>
                <w:tcW w:w="10620" w:type="dxa"/>
                <w:gridSpan w:val="2"/>
                <w:shd w:val="clear" w:color="auto" w:fill="F7F7F7"/>
                <w:vAlign w:val="center"/>
              </w:tcPr>
              <w:p w14:paraId="3BDD0134" w14:textId="77777777" w:rsidR="00B3048D" w:rsidRDefault="00B3048D" w:rsidP="000A6656">
                <w:pPr>
                  <w:pStyle w:val="Normal69"/>
                  <w:keepNext/>
                  <w:widowControl/>
                  <w:spacing w:line="14" w:lineRule="exact"/>
                  <w:rPr>
                    <w:rFonts w:asciiTheme="minorHAnsi" w:hAnsiTheme="minorHAnsi"/>
                    <w:b/>
                    <w:bCs/>
                    <w:sz w:val="22"/>
                    <w:szCs w:val="22"/>
                  </w:rPr>
                </w:pPr>
              </w:p>
              <w:tbl>
                <w:tblPr>
                  <w:tblStyle w:val="TableGrid75"/>
                  <w:tblW w:w="10620" w:type="dxa"/>
                  <w:shd w:val="clear" w:color="auto" w:fill="F7F7F7"/>
                  <w:tblLayout w:type="fixed"/>
                  <w:tblLook w:val="04A0" w:firstRow="1" w:lastRow="0" w:firstColumn="1" w:lastColumn="0" w:noHBand="0" w:noVBand="1"/>
                </w:tblPr>
                <w:tblGrid>
                  <w:gridCol w:w="10620"/>
                </w:tblGrid>
                <w:tr w:rsidR="00E63776" w14:paraId="690CEE15"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2883F2F8" w14:textId="77777777" w:rsidR="00B3048D" w:rsidRPr="000C19EF" w:rsidRDefault="002C3F71" w:rsidP="000A6656">
                      <w:pPr>
                        <w:pStyle w:val="Normal69"/>
                        <w:keepNext/>
                        <w:widowControl/>
                        <w:rPr>
                          <w:rFonts w:asciiTheme="minorHAnsi" w:eastAsia="Times New Roman" w:hAnsiTheme="minorHAnsi"/>
                        </w:rPr>
                      </w:pPr>
                      <w:r w:rsidRPr="000C19EF">
                        <w:rPr>
                          <w:rFonts w:asciiTheme="minorHAnsi" w:hAnsiTheme="minorHAnsi"/>
                          <w:b/>
                          <w:bCs/>
                          <w:sz w:val="22"/>
                          <w:szCs w:val="22"/>
                        </w:rPr>
                        <w:t>KEY DATES</w:t>
                      </w:r>
                    </w:p>
                  </w:tc>
                </w:tr>
              </w:tbl>
              <w:p w14:paraId="30167B3D" w14:textId="77777777" w:rsidR="00B3048D" w:rsidRPr="00692E93" w:rsidRDefault="00B3048D" w:rsidP="000A6656">
                <w:pPr>
                  <w:pStyle w:val="Normal69"/>
                  <w:keepNext/>
                  <w:widowControl/>
                  <w:rPr>
                    <w:rFonts w:asciiTheme="minorHAnsi" w:hAnsiTheme="minorHAnsi"/>
                    <w:sz w:val="22"/>
                    <w:szCs w:val="22"/>
                  </w:rPr>
                </w:pPr>
              </w:p>
            </w:tc>
          </w:tr>
        </w:tbl>
        <w:p w14:paraId="53E639AC" w14:textId="77777777" w:rsidR="00B3048D" w:rsidRPr="00D52CF0" w:rsidRDefault="00B3048D" w:rsidP="00B3048D">
          <w:pPr>
            <w:pStyle w:val="Normal69"/>
            <w:keepNext/>
            <w:widowControl/>
            <w:shd w:val="clear" w:color="auto" w:fill="F7F7F7"/>
            <w:spacing w:line="14" w:lineRule="exact"/>
            <w:ind w:left="-691" w:right="-518"/>
            <w:rPr>
              <w:rFonts w:asciiTheme="minorHAnsi" w:hAnsiTheme="minorHAnsi"/>
              <w:color w:val="F7F7F7"/>
              <w:sz w:val="22"/>
              <w:szCs w:val="22"/>
            </w:rPr>
          </w:pPr>
        </w:p>
        <w:tbl>
          <w:tblPr>
            <w:tblStyle w:val="TableGrid75"/>
            <w:tblW w:w="10620" w:type="dxa"/>
            <w:tblInd w:w="-720" w:type="dxa"/>
            <w:tblBorders>
              <w:top w:val="none" w:sz="0" w:space="0" w:color="auto"/>
              <w:left w:val="none" w:sz="0" w:space="0" w:color="auto"/>
              <w:bottom w:val="none" w:sz="0" w:space="0" w:color="auto"/>
              <w:right w:val="none" w:sz="0" w:space="0" w:color="auto"/>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1710"/>
            <w:gridCol w:w="1170"/>
            <w:gridCol w:w="2430"/>
            <w:gridCol w:w="2430"/>
            <w:gridCol w:w="1620"/>
            <w:gridCol w:w="1260"/>
          </w:tblGrid>
          <w:tr w:rsidR="00E63776" w14:paraId="3FA4C6EF" w14:textId="77777777" w:rsidTr="000A6656">
            <w:trPr>
              <w:trHeight w:hRule="exact" w:val="20"/>
            </w:trPr>
            <w:tc>
              <w:tcPr>
                <w:tcW w:w="1710" w:type="dxa"/>
                <w:tcBorders>
                  <w:top w:val="nil"/>
                  <w:left w:val="nil"/>
                  <w:bottom w:val="nil"/>
                  <w:right w:val="nil"/>
                </w:tcBorders>
                <w:shd w:val="clear" w:color="auto" w:fill="F7F7F7"/>
                <w:tcMar>
                  <w:top w:w="115" w:type="dxa"/>
                  <w:left w:w="115" w:type="dxa"/>
                  <w:bottom w:w="115" w:type="dxa"/>
                  <w:right w:w="115" w:type="dxa"/>
                </w:tcMar>
              </w:tcPr>
              <w:p w14:paraId="423F668F" w14:textId="77777777" w:rsidR="00B3048D" w:rsidRDefault="002C3F71" w:rsidP="000A6656">
                <w:pPr>
                  <w:pStyle w:val="Normal69"/>
                  <w:keepNext/>
                  <w:widowControl/>
                  <w:rPr>
                    <w:rFonts w:asciiTheme="minorHAnsi" w:hAnsiTheme="minorHAnsi"/>
                    <w:sz w:val="22"/>
                    <w:szCs w:val="22"/>
                  </w:rPr>
                </w:pPr>
                <w:r>
                  <w:rPr>
                    <w:rFonts w:asciiTheme="minorHAnsi" w:hAnsiTheme="minorHAnsi"/>
                    <w:sz w:val="22"/>
                    <w:szCs w:val="22"/>
                  </w:rPr>
                  <w:t>FIN_TABLE_DATA</w:t>
                </w:r>
              </w:p>
              <w:p w14:paraId="154E4515" w14:textId="77777777" w:rsidR="00B3048D" w:rsidRDefault="00B3048D" w:rsidP="000A6656">
                <w:pPr>
                  <w:pStyle w:val="Normal69"/>
                  <w:keepNext/>
                  <w:widowControl/>
                  <w:rPr>
                    <w:rFonts w:asciiTheme="minorHAnsi" w:hAnsiTheme="minorHAnsi"/>
                    <w:sz w:val="22"/>
                    <w:szCs w:val="22"/>
                  </w:rPr>
                </w:pPr>
              </w:p>
            </w:tc>
            <w:tc>
              <w:tcPr>
                <w:tcW w:w="1170" w:type="dxa"/>
                <w:tcBorders>
                  <w:top w:val="nil"/>
                  <w:left w:val="nil"/>
                  <w:bottom w:val="nil"/>
                  <w:right w:val="nil"/>
                </w:tcBorders>
                <w:shd w:val="clear" w:color="auto" w:fill="F7F7F7"/>
              </w:tcPr>
              <w:p w14:paraId="76BCF4E4" w14:textId="77777777" w:rsidR="00B3048D" w:rsidRDefault="00B3048D" w:rsidP="000A6656">
                <w:pPr>
                  <w:pStyle w:val="Normal69"/>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14:paraId="4A0BCCDB" w14:textId="77777777" w:rsidR="00B3048D" w:rsidRDefault="00B3048D" w:rsidP="000A6656">
                <w:pPr>
                  <w:pStyle w:val="Normal69"/>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14:paraId="41BEDB7B" w14:textId="77777777" w:rsidR="00B3048D" w:rsidRDefault="00B3048D" w:rsidP="000A6656">
                <w:pPr>
                  <w:pStyle w:val="Normal69"/>
                  <w:keepNext/>
                  <w:widowControl/>
                  <w:rPr>
                    <w:rFonts w:asciiTheme="minorHAnsi" w:hAnsiTheme="minorHAnsi"/>
                    <w:sz w:val="22"/>
                    <w:szCs w:val="22"/>
                  </w:rPr>
                </w:pPr>
              </w:p>
            </w:tc>
            <w:tc>
              <w:tcPr>
                <w:tcW w:w="1620" w:type="dxa"/>
                <w:tcBorders>
                  <w:top w:val="nil"/>
                  <w:left w:val="nil"/>
                  <w:bottom w:val="nil"/>
                  <w:right w:val="nil"/>
                </w:tcBorders>
                <w:shd w:val="clear" w:color="auto" w:fill="F7F7F7"/>
              </w:tcPr>
              <w:p w14:paraId="51F6C311" w14:textId="77777777" w:rsidR="00B3048D" w:rsidRDefault="00B3048D" w:rsidP="000A6656">
                <w:pPr>
                  <w:pStyle w:val="Normal69"/>
                  <w:keepNext/>
                  <w:widowControl/>
                  <w:rPr>
                    <w:rFonts w:asciiTheme="minorHAnsi" w:hAnsiTheme="minorHAnsi"/>
                    <w:sz w:val="22"/>
                    <w:szCs w:val="22"/>
                  </w:rPr>
                </w:pPr>
              </w:p>
            </w:tc>
            <w:tc>
              <w:tcPr>
                <w:tcW w:w="1260" w:type="dxa"/>
                <w:tcBorders>
                  <w:top w:val="nil"/>
                  <w:left w:val="nil"/>
                  <w:bottom w:val="nil"/>
                  <w:right w:val="nil"/>
                </w:tcBorders>
                <w:shd w:val="clear" w:color="auto" w:fill="F7F7F7"/>
              </w:tcPr>
              <w:p w14:paraId="02A644A9" w14:textId="77777777" w:rsidR="00B3048D" w:rsidRDefault="00B3048D" w:rsidP="000A6656">
                <w:pPr>
                  <w:pStyle w:val="Normal69"/>
                  <w:keepNext/>
                  <w:widowControl/>
                  <w:rPr>
                    <w:rFonts w:asciiTheme="minorHAnsi" w:hAnsiTheme="minorHAnsi"/>
                    <w:sz w:val="22"/>
                    <w:szCs w:val="22"/>
                  </w:rPr>
                </w:pPr>
              </w:p>
            </w:tc>
          </w:tr>
        </w:tbl>
        <w:tbl>
          <w:tblPr>
            <w:tblStyle w:val="TableGrid95"/>
            <w:tblW w:w="10620" w:type="dxa"/>
            <w:tblInd w:w="-725"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2160"/>
            <w:gridCol w:w="2160"/>
            <w:gridCol w:w="2160"/>
            <w:gridCol w:w="2070"/>
            <w:gridCol w:w="2070"/>
          </w:tblGrid>
          <w:tr w:rsidR="00E63776" w14:paraId="5F889752" w14:textId="77777777" w:rsidTr="000A6656">
            <w:trPr>
              <w:trHeight w:val="353"/>
            </w:trPr>
            <w:tc>
              <w:tcPr>
                <w:tcW w:w="2160" w:type="dxa"/>
                <w:tcBorders>
                  <w:top w:val="nil"/>
                  <w:left w:val="single" w:sz="4" w:space="0" w:color="D9D9D9"/>
                  <w:bottom w:val="single" w:sz="12" w:space="0" w:color="D0CECE"/>
                  <w:right w:val="single" w:sz="4" w:space="0" w:color="D9D9D9"/>
                </w:tcBorders>
                <w:shd w:val="clear" w:color="auto" w:fill="F7F7F7"/>
                <w:vAlign w:val="center"/>
              </w:tcPr>
              <w:p w14:paraId="2F7099DE"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Approval</w:t>
                </w:r>
              </w:p>
            </w:tc>
            <w:tc>
              <w:tcPr>
                <w:tcW w:w="2160" w:type="dxa"/>
                <w:tcBorders>
                  <w:top w:val="nil"/>
                  <w:left w:val="single" w:sz="4" w:space="0" w:color="D9D9D9"/>
                  <w:bottom w:val="single" w:sz="12" w:space="0" w:color="D0CECE"/>
                  <w:right w:val="single" w:sz="4" w:space="0" w:color="D9D9D9"/>
                </w:tcBorders>
                <w:shd w:val="clear" w:color="auto" w:fill="F7F7F7"/>
                <w:vAlign w:val="center"/>
              </w:tcPr>
              <w:p w14:paraId="0DCB985E"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Effectiveness</w:t>
                </w:r>
              </w:p>
            </w:tc>
            <w:tc>
              <w:tcPr>
                <w:tcW w:w="2160" w:type="dxa"/>
                <w:tcBorders>
                  <w:top w:val="nil"/>
                  <w:left w:val="single" w:sz="4" w:space="0" w:color="D9D9D9"/>
                  <w:bottom w:val="single" w:sz="12" w:space="0" w:color="D0CECE"/>
                  <w:right w:val="single" w:sz="4" w:space="0" w:color="D9D9D9"/>
                </w:tcBorders>
                <w:shd w:val="clear" w:color="auto" w:fill="F7F7F7"/>
                <w:vAlign w:val="center"/>
              </w:tcPr>
              <w:p w14:paraId="56A102E6"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MTR Review</w:t>
                </w:r>
              </w:p>
            </w:tc>
            <w:tc>
              <w:tcPr>
                <w:tcW w:w="2070" w:type="dxa"/>
                <w:tcBorders>
                  <w:top w:val="nil"/>
                  <w:left w:val="single" w:sz="4" w:space="0" w:color="D9D9D9"/>
                  <w:bottom w:val="single" w:sz="12" w:space="0" w:color="D0CECE"/>
                  <w:right w:val="single" w:sz="4" w:space="0" w:color="D9D9D9"/>
                </w:tcBorders>
                <w:shd w:val="clear" w:color="auto" w:fill="F7F7F7"/>
                <w:vAlign w:val="center"/>
              </w:tcPr>
              <w:p w14:paraId="79F90698"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Original Closing</w:t>
                </w:r>
              </w:p>
            </w:tc>
            <w:tc>
              <w:tcPr>
                <w:tcW w:w="2070" w:type="dxa"/>
                <w:tcBorders>
                  <w:top w:val="nil"/>
                  <w:left w:val="single" w:sz="4" w:space="0" w:color="D9D9D9"/>
                  <w:bottom w:val="single" w:sz="12" w:space="0" w:color="D0CECE"/>
                </w:tcBorders>
                <w:shd w:val="clear" w:color="auto" w:fill="F7F7F7"/>
                <w:vAlign w:val="center"/>
              </w:tcPr>
              <w:p w14:paraId="617EFBA3" w14:textId="77777777" w:rsidR="00B3048D" w:rsidRPr="000C19EF" w:rsidRDefault="002C3F71" w:rsidP="000A6656">
                <w:pPr>
                  <w:pStyle w:val="Normal69"/>
                  <w:keepNext/>
                  <w:widowControl/>
                  <w:rPr>
                    <w:rFonts w:asciiTheme="minorHAnsi" w:hAnsiTheme="minorHAnsi"/>
                    <w:b/>
                    <w:sz w:val="22"/>
                    <w:szCs w:val="22"/>
                  </w:rPr>
                </w:pPr>
                <w:r w:rsidRPr="000C19EF">
                  <w:rPr>
                    <w:rFonts w:asciiTheme="minorHAnsi" w:hAnsiTheme="minorHAnsi"/>
                    <w:b/>
                    <w:sz w:val="22"/>
                    <w:szCs w:val="22"/>
                  </w:rPr>
                  <w:t>Actual Closing</w:t>
                </w:r>
              </w:p>
            </w:tc>
          </w:tr>
          <w:tr w:rsidR="00E63776" w14:paraId="55581410" w14:textId="77777777" w:rsidTr="000A6656">
            <w:trPr>
              <w:trHeight w:val="353"/>
            </w:trPr>
            <w:tc>
              <w:tcPr>
                <w:tcW w:w="2160" w:type="dxa"/>
                <w:tcBorders>
                  <w:top w:val="single" w:sz="4" w:space="0" w:color="D0CECE"/>
                  <w:left w:val="single" w:sz="4" w:space="0" w:color="D9D9D9"/>
                  <w:bottom w:val="single" w:sz="4" w:space="0" w:color="D0CECE"/>
                  <w:right w:val="single" w:sz="4" w:space="0" w:color="D9D9D9"/>
                </w:tcBorders>
                <w:shd w:val="clear" w:color="auto" w:fill="F7F7F7"/>
              </w:tcPr>
              <w:p w14:paraId="16220F57" w14:textId="77777777" w:rsidR="00B3048D" w:rsidRPr="000C19EF" w:rsidRDefault="002C3F71" w:rsidP="000A6656">
                <w:pPr>
                  <w:pStyle w:val="Normal69"/>
                  <w:rPr>
                    <w:rFonts w:asciiTheme="minorHAnsi" w:hAnsiTheme="minorHAnsi"/>
                    <w:sz w:val="22"/>
                    <w:szCs w:val="22"/>
                  </w:rPr>
                </w:pPr>
                <w:r>
                  <w:rPr>
                    <w:rFonts w:asciiTheme="minorHAnsi" w:hAnsiTheme="minorHAnsi"/>
                    <w:noProof/>
                    <w:sz w:val="22"/>
                    <w:szCs w:val="22"/>
                  </w:rPr>
                  <w:t>31-Jul-2008</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14:paraId="33B33B52" w14:textId="77777777" w:rsidR="00B3048D" w:rsidRPr="000C19EF" w:rsidRDefault="002C3F71" w:rsidP="000A6656">
                <w:pPr>
                  <w:pStyle w:val="Normal69"/>
                  <w:rPr>
                    <w:rFonts w:asciiTheme="minorHAnsi" w:hAnsiTheme="minorHAnsi"/>
                    <w:sz w:val="22"/>
                    <w:szCs w:val="22"/>
                  </w:rPr>
                </w:pPr>
                <w:r>
                  <w:rPr>
                    <w:rFonts w:asciiTheme="minorHAnsi" w:hAnsiTheme="minorHAnsi"/>
                    <w:noProof/>
                    <w:sz w:val="22"/>
                    <w:szCs w:val="22"/>
                  </w:rPr>
                  <w:t>28-Apr-2010</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14:paraId="7DF793E6" w14:textId="77777777" w:rsidR="00B3048D" w:rsidRPr="000C19EF" w:rsidRDefault="002C3F71" w:rsidP="000A6656">
                <w:pPr>
                  <w:pStyle w:val="Normal69"/>
                  <w:rPr>
                    <w:rFonts w:asciiTheme="minorHAnsi" w:hAnsiTheme="minorHAnsi"/>
                    <w:sz w:val="22"/>
                    <w:szCs w:val="22"/>
                  </w:rPr>
                </w:pPr>
                <w:r>
                  <w:rPr>
                    <w:rFonts w:asciiTheme="minorHAnsi" w:hAnsiTheme="minorHAnsi"/>
                    <w:noProof/>
                    <w:sz w:val="22"/>
                    <w:szCs w:val="22"/>
                  </w:rPr>
                  <w:t>03-Dec-2012</w:t>
                </w:r>
              </w:p>
            </w:tc>
            <w:tc>
              <w:tcPr>
                <w:tcW w:w="2070" w:type="dxa"/>
                <w:tcBorders>
                  <w:top w:val="single" w:sz="4" w:space="0" w:color="D0CECE"/>
                  <w:left w:val="single" w:sz="4" w:space="0" w:color="D9D9D9"/>
                  <w:bottom w:val="single" w:sz="4" w:space="0" w:color="D0CECE"/>
                  <w:right w:val="single" w:sz="4" w:space="0" w:color="D9D9D9"/>
                </w:tcBorders>
                <w:shd w:val="clear" w:color="auto" w:fill="F7F7F7"/>
              </w:tcPr>
              <w:p w14:paraId="1DF1D9F7" w14:textId="77777777" w:rsidR="00B3048D" w:rsidRPr="000C19EF" w:rsidRDefault="002C3F71" w:rsidP="000A6656">
                <w:pPr>
                  <w:pStyle w:val="Normal69"/>
                  <w:rPr>
                    <w:rFonts w:asciiTheme="minorHAnsi" w:hAnsiTheme="minorHAnsi"/>
                    <w:sz w:val="22"/>
                    <w:szCs w:val="22"/>
                  </w:rPr>
                </w:pPr>
                <w:r>
                  <w:rPr>
                    <w:rFonts w:asciiTheme="minorHAnsi" w:hAnsiTheme="minorHAnsi"/>
                    <w:noProof/>
                    <w:sz w:val="22"/>
                    <w:szCs w:val="22"/>
                  </w:rPr>
                  <w:t>30-Nov-2013</w:t>
                </w:r>
              </w:p>
            </w:tc>
            <w:tc>
              <w:tcPr>
                <w:tcW w:w="2070" w:type="dxa"/>
                <w:tcBorders>
                  <w:top w:val="single" w:sz="4" w:space="0" w:color="D0CECE"/>
                  <w:left w:val="single" w:sz="4" w:space="0" w:color="D9D9D9"/>
                  <w:bottom w:val="single" w:sz="4" w:space="0" w:color="D0CECE"/>
                </w:tcBorders>
                <w:shd w:val="clear" w:color="auto" w:fill="F7F7F7"/>
              </w:tcPr>
              <w:p w14:paraId="62439280" w14:textId="77777777" w:rsidR="00B3048D" w:rsidRPr="000C19EF" w:rsidRDefault="002C3F71" w:rsidP="000A6656">
                <w:pPr>
                  <w:pStyle w:val="Normal69"/>
                  <w:rPr>
                    <w:rFonts w:asciiTheme="minorHAnsi" w:hAnsiTheme="minorHAnsi"/>
                    <w:b/>
                    <w:sz w:val="22"/>
                    <w:szCs w:val="22"/>
                  </w:rPr>
                </w:pPr>
                <w:r>
                  <w:rPr>
                    <w:rFonts w:asciiTheme="minorHAnsi" w:hAnsiTheme="minorHAnsi"/>
                    <w:noProof/>
                    <w:sz w:val="22"/>
                    <w:szCs w:val="22"/>
                  </w:rPr>
                  <w:t>27-Jun-2017</w:t>
                </w:r>
              </w:p>
            </w:tc>
          </w:tr>
        </w:tbl>
        <w:p w14:paraId="2F06824E"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p w14:paraId="27C1B1AB"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E63776" w14:paraId="60BDF0A5" w14:textId="77777777" w:rsidTr="000A6656">
            <w:trPr>
              <w:trHeight w:val="450"/>
            </w:trPr>
            <w:tc>
              <w:tcPr>
                <w:tcW w:w="10620" w:type="dxa"/>
                <w:shd w:val="clear" w:color="auto" w:fill="F7F7F7"/>
                <w:vAlign w:val="center"/>
              </w:tcPr>
              <w:p w14:paraId="4CC9C3F6" w14:textId="77777777" w:rsidR="00B3048D" w:rsidRDefault="00B3048D" w:rsidP="000A6656">
                <w:pPr>
                  <w:pStyle w:val="Normal69"/>
                  <w:keepNext/>
                  <w:widowControl/>
                  <w:spacing w:line="14" w:lineRule="exact"/>
                  <w:rPr>
                    <w:rFonts w:asciiTheme="minorHAnsi" w:hAnsiTheme="minorHAnsi"/>
                    <w:b/>
                    <w:bCs/>
                    <w:sz w:val="22"/>
                    <w:szCs w:val="22"/>
                  </w:rPr>
                </w:pPr>
              </w:p>
              <w:tbl>
                <w:tblPr>
                  <w:tblStyle w:val="TableGrid75"/>
                  <w:tblW w:w="10620" w:type="dxa"/>
                  <w:shd w:val="clear" w:color="auto" w:fill="F7F7F7"/>
                  <w:tblLayout w:type="fixed"/>
                  <w:tblLook w:val="04A0" w:firstRow="1" w:lastRow="0" w:firstColumn="1" w:lastColumn="0" w:noHBand="0" w:noVBand="1"/>
                </w:tblPr>
                <w:tblGrid>
                  <w:gridCol w:w="10620"/>
                </w:tblGrid>
                <w:tr w:rsidR="00E63776" w14:paraId="1CAED666"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736FA236" w14:textId="77777777" w:rsidR="00B3048D" w:rsidRPr="00E166E7" w:rsidRDefault="002C3F71" w:rsidP="000A6656">
                      <w:pPr>
                        <w:pStyle w:val="Normal69"/>
                        <w:keepNext/>
                        <w:widowControl/>
                        <w:rPr>
                          <w:rFonts w:asciiTheme="minorHAnsi" w:eastAsia="Times New Roman" w:hAnsiTheme="minorHAnsi"/>
                        </w:rPr>
                      </w:pPr>
                      <w:r w:rsidRPr="00CD2DFE">
                        <w:rPr>
                          <w:rFonts w:asciiTheme="minorHAnsi" w:hAnsiTheme="minorHAnsi"/>
                          <w:b/>
                          <w:bCs/>
                          <w:sz w:val="22"/>
                          <w:szCs w:val="22"/>
                        </w:rPr>
                        <w:t>RESTRUCTURING AND/OR ADDITIONAL FINANCING</w:t>
                      </w:r>
                    </w:p>
                  </w:tc>
                </w:tr>
              </w:tbl>
              <w:p w14:paraId="7A63C65E" w14:textId="77777777" w:rsidR="00B3048D" w:rsidRPr="00692E93" w:rsidRDefault="00B3048D" w:rsidP="000A6656">
                <w:pPr>
                  <w:pStyle w:val="Normal69"/>
                  <w:keepNext/>
                  <w:widowControl/>
                  <w:rPr>
                    <w:rFonts w:asciiTheme="minorHAnsi" w:hAnsiTheme="minorHAnsi"/>
                    <w:sz w:val="22"/>
                    <w:szCs w:val="22"/>
                  </w:rPr>
                </w:pPr>
              </w:p>
            </w:tc>
          </w:tr>
        </w:tbl>
        <w:p w14:paraId="71C5C461" w14:textId="77777777" w:rsidR="00B3048D" w:rsidRPr="00E14432"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95"/>
            <w:tblW w:w="5674" w:type="pct"/>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7F7F7"/>
            <w:tblLayout w:type="fixed"/>
            <w:tblCellMar>
              <w:left w:w="72" w:type="dxa"/>
              <w:right w:w="115" w:type="dxa"/>
            </w:tblCellMar>
            <w:tblLook w:val="04A0" w:firstRow="1" w:lastRow="0" w:firstColumn="1" w:lastColumn="0" w:noHBand="0" w:noVBand="1"/>
          </w:tblPr>
          <w:tblGrid>
            <w:gridCol w:w="2576"/>
            <w:gridCol w:w="2648"/>
            <w:gridCol w:w="5386"/>
          </w:tblGrid>
          <w:tr w:rsidR="00E63776" w14:paraId="43222BB6" w14:textId="77777777" w:rsidTr="000A6656">
            <w:trPr>
              <w:trHeight w:val="281"/>
            </w:trPr>
            <w:tc>
              <w:tcPr>
                <w:tcW w:w="1214" w:type="pct"/>
                <w:shd w:val="clear" w:color="auto" w:fill="F7F7F7"/>
                <w:vAlign w:val="center"/>
              </w:tcPr>
              <w:p w14:paraId="4B0BA04B"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Date(s)</w:t>
                </w:r>
              </w:p>
            </w:tc>
            <w:tc>
              <w:tcPr>
                <w:tcW w:w="1248" w:type="pct"/>
                <w:shd w:val="clear" w:color="auto" w:fill="F7F7F7"/>
                <w:vAlign w:val="center"/>
              </w:tcPr>
              <w:p w14:paraId="18113C2F" w14:textId="77777777" w:rsidR="00B3048D" w:rsidRPr="00D21396" w:rsidRDefault="002C3F71" w:rsidP="000A6656">
                <w:pPr>
                  <w:pStyle w:val="Normal69"/>
                  <w:keepNext/>
                  <w:widowControl/>
                  <w:autoSpaceDE/>
                  <w:autoSpaceDN/>
                  <w:adjustRightInd/>
                  <w:jc w:val="right"/>
                  <w:rPr>
                    <w:rFonts w:asciiTheme="minorHAnsi" w:hAnsiTheme="minorHAnsi" w:cstheme="minorBidi"/>
                    <w:b/>
                    <w:color w:val="auto"/>
                    <w:sz w:val="22"/>
                    <w:szCs w:val="22"/>
                  </w:rPr>
                </w:pPr>
                <w:r w:rsidRPr="00D21396">
                  <w:rPr>
                    <w:rFonts w:asciiTheme="minorHAnsi" w:hAnsiTheme="minorHAnsi" w:cstheme="minorBidi"/>
                    <w:b/>
                    <w:color w:val="auto"/>
                    <w:sz w:val="22"/>
                    <w:szCs w:val="22"/>
                  </w:rPr>
                  <w:t>Amount Disbursed (US$M)</w:t>
                </w:r>
              </w:p>
            </w:tc>
            <w:tc>
              <w:tcPr>
                <w:tcW w:w="2538" w:type="pct"/>
                <w:shd w:val="clear" w:color="auto" w:fill="F7F7F7"/>
                <w:vAlign w:val="center"/>
              </w:tcPr>
              <w:p w14:paraId="683E8FDE"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Key Revisions</w:t>
                </w:r>
              </w:p>
            </w:tc>
          </w:tr>
          <w:tr w:rsidR="00E63776" w14:paraId="24892ABA" w14:textId="77777777" w:rsidTr="000A6656">
            <w:trPr>
              <w:trHeight w:val="281"/>
            </w:trPr>
            <w:tc>
              <w:tcPr>
                <w:tcW w:w="1214" w:type="pct"/>
                <w:shd w:val="clear" w:color="auto" w:fill="F7F7F7"/>
              </w:tcPr>
              <w:p w14:paraId="10F3CCD2"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25-Jul-2013</w:t>
                </w:r>
              </w:p>
            </w:tc>
            <w:tc>
              <w:tcPr>
                <w:tcW w:w="1248" w:type="pct"/>
                <w:shd w:val="clear" w:color="auto" w:fill="F7F7F7"/>
              </w:tcPr>
              <w:p w14:paraId="740556BF" w14:textId="77777777" w:rsidR="00B3048D" w:rsidRPr="00D21396" w:rsidRDefault="002C3F71" w:rsidP="000A6656">
                <w:pPr>
                  <w:pStyle w:val="Normal69"/>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7.49</w:t>
                </w:r>
              </w:p>
            </w:tc>
            <w:tc>
              <w:tcPr>
                <w:tcW w:w="2538" w:type="pct"/>
                <w:shd w:val="clear" w:color="auto" w:fill="F7F7F7"/>
              </w:tcPr>
              <w:p w14:paraId="0BDDE203"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Results Framework</w:t>
                </w:r>
              </w:p>
              <w:p w14:paraId="5A34540C" w14:textId="77777777" w:rsidR="00E63776" w:rsidRDefault="002C3F71" w:rsidP="000A6656">
                <w:pPr>
                  <w:pStyle w:val="Normal69"/>
                  <w:keepNext/>
                  <w:widowControl/>
                  <w:autoSpaceDE/>
                  <w:autoSpaceDN/>
                  <w:adjustRightInd/>
                  <w:rPr>
                    <w:rFonts w:asciiTheme="minorHAnsi" w:hAnsiTheme="minorHAnsi"/>
                    <w:sz w:val="22"/>
                    <w:szCs w:val="22"/>
                  </w:rPr>
                </w:pPr>
                <w:r>
                  <w:rPr>
                    <w:rFonts w:asciiTheme="minorHAnsi" w:hAnsiTheme="minorHAnsi"/>
                    <w:noProof/>
                    <w:sz w:val="22"/>
                    <w:szCs w:val="22"/>
                  </w:rPr>
                  <w:t>Change in Loan Closing Date(s)</w:t>
                </w:r>
              </w:p>
            </w:tc>
          </w:tr>
          <w:tr w:rsidR="00E63776" w14:paraId="7A902AEA" w14:textId="77777777" w:rsidTr="000A6656">
            <w:trPr>
              <w:trHeight w:val="281"/>
            </w:trPr>
            <w:tc>
              <w:tcPr>
                <w:tcW w:w="1214" w:type="pct"/>
                <w:shd w:val="clear" w:color="auto" w:fill="F7F7F7"/>
              </w:tcPr>
              <w:p w14:paraId="3D38D74B"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28-Aug-2015</w:t>
                </w:r>
              </w:p>
            </w:tc>
            <w:tc>
              <w:tcPr>
                <w:tcW w:w="1248" w:type="pct"/>
                <w:shd w:val="clear" w:color="auto" w:fill="F7F7F7"/>
              </w:tcPr>
              <w:p w14:paraId="48A83B27" w14:textId="77777777" w:rsidR="00B3048D" w:rsidRPr="00D21396" w:rsidRDefault="002C3F71" w:rsidP="000A6656">
                <w:pPr>
                  <w:pStyle w:val="Normal69"/>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19.96</w:t>
                </w:r>
              </w:p>
            </w:tc>
            <w:tc>
              <w:tcPr>
                <w:tcW w:w="2538" w:type="pct"/>
                <w:shd w:val="clear" w:color="auto" w:fill="F7F7F7"/>
              </w:tcPr>
              <w:p w14:paraId="78F21803"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Loan Closing Date(s)</w:t>
                </w:r>
              </w:p>
            </w:tc>
          </w:tr>
          <w:tr w:rsidR="00E63776" w14:paraId="5327CDD9" w14:textId="77777777" w:rsidTr="000A6656">
            <w:trPr>
              <w:trHeight w:val="281"/>
            </w:trPr>
            <w:tc>
              <w:tcPr>
                <w:tcW w:w="1214" w:type="pct"/>
                <w:shd w:val="clear" w:color="auto" w:fill="F7F7F7"/>
              </w:tcPr>
              <w:p w14:paraId="07CB4EB8"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24-Nov-2015</w:t>
                </w:r>
              </w:p>
            </w:tc>
            <w:tc>
              <w:tcPr>
                <w:tcW w:w="1248" w:type="pct"/>
                <w:shd w:val="clear" w:color="auto" w:fill="F7F7F7"/>
              </w:tcPr>
              <w:p w14:paraId="1D979820" w14:textId="77777777" w:rsidR="00B3048D" w:rsidRPr="00D21396" w:rsidRDefault="002C3F71" w:rsidP="000A6656">
                <w:pPr>
                  <w:pStyle w:val="Normal69"/>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23.06</w:t>
                </w:r>
              </w:p>
            </w:tc>
            <w:tc>
              <w:tcPr>
                <w:tcW w:w="2538" w:type="pct"/>
                <w:shd w:val="clear" w:color="auto" w:fill="F7F7F7"/>
              </w:tcPr>
              <w:p w14:paraId="5BB3CEB4"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Results Framework</w:t>
                </w:r>
              </w:p>
              <w:p w14:paraId="1C0DA962" w14:textId="77777777" w:rsidR="00E63776" w:rsidRDefault="002C3F71" w:rsidP="000A6656">
                <w:pPr>
                  <w:pStyle w:val="Normal69"/>
                  <w:keepNext/>
                  <w:widowControl/>
                  <w:autoSpaceDE/>
                  <w:autoSpaceDN/>
                  <w:adjustRightInd/>
                  <w:rPr>
                    <w:rFonts w:asciiTheme="minorHAnsi" w:hAnsiTheme="minorHAnsi"/>
                    <w:sz w:val="22"/>
                    <w:szCs w:val="22"/>
                  </w:rPr>
                </w:pPr>
                <w:r>
                  <w:rPr>
                    <w:rFonts w:asciiTheme="minorHAnsi" w:hAnsiTheme="minorHAnsi"/>
                    <w:noProof/>
                    <w:sz w:val="22"/>
                    <w:szCs w:val="22"/>
                  </w:rPr>
                  <w:t>Change in Loan Closing Date(s)</w:t>
                </w:r>
              </w:p>
            </w:tc>
          </w:tr>
          <w:tr w:rsidR="00E63776" w14:paraId="702F7A70" w14:textId="77777777" w:rsidTr="000A6656">
            <w:trPr>
              <w:trHeight w:val="281"/>
            </w:trPr>
            <w:tc>
              <w:tcPr>
                <w:tcW w:w="1214" w:type="pct"/>
                <w:shd w:val="clear" w:color="auto" w:fill="F7F7F7"/>
              </w:tcPr>
              <w:p w14:paraId="3910CEFB"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26-Sep-2016</w:t>
                </w:r>
              </w:p>
            </w:tc>
            <w:tc>
              <w:tcPr>
                <w:tcW w:w="1248" w:type="pct"/>
                <w:shd w:val="clear" w:color="auto" w:fill="F7F7F7"/>
              </w:tcPr>
              <w:p w14:paraId="54E14228" w14:textId="77777777" w:rsidR="00B3048D" w:rsidRPr="00D21396" w:rsidRDefault="002C3F71" w:rsidP="000A6656">
                <w:pPr>
                  <w:pStyle w:val="Normal69"/>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24.55</w:t>
                </w:r>
              </w:p>
            </w:tc>
            <w:tc>
              <w:tcPr>
                <w:tcW w:w="2538" w:type="pct"/>
                <w:shd w:val="clear" w:color="auto" w:fill="F7F7F7"/>
              </w:tcPr>
              <w:p w14:paraId="60B3E39A" w14:textId="77777777" w:rsidR="00B3048D" w:rsidRPr="00D21396" w:rsidRDefault="002C3F71" w:rsidP="000A6656">
                <w:pPr>
                  <w:pStyle w:val="Normal69"/>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Loan Closing Date(s)</w:t>
                </w:r>
              </w:p>
            </w:tc>
          </w:tr>
        </w:tbl>
        <w:p w14:paraId="6878FF50"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p w14:paraId="04E79E2C"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E63776" w14:paraId="23D1F3E2" w14:textId="77777777" w:rsidTr="000A6656">
            <w:trPr>
              <w:trHeight w:val="450"/>
            </w:trPr>
            <w:tc>
              <w:tcPr>
                <w:tcW w:w="10620" w:type="dxa"/>
                <w:shd w:val="clear" w:color="auto" w:fill="F7F7F7"/>
                <w:vAlign w:val="center"/>
              </w:tcPr>
              <w:tbl>
                <w:tblPr>
                  <w:tblStyle w:val="TableGrid75"/>
                  <w:tblW w:w="10620" w:type="dxa"/>
                  <w:shd w:val="clear" w:color="auto" w:fill="F7F7F7"/>
                  <w:tblLayout w:type="fixed"/>
                  <w:tblLook w:val="04A0" w:firstRow="1" w:lastRow="0" w:firstColumn="1" w:lastColumn="0" w:noHBand="0" w:noVBand="1"/>
                </w:tblPr>
                <w:tblGrid>
                  <w:gridCol w:w="10620"/>
                </w:tblGrid>
                <w:tr w:rsidR="00E63776" w14:paraId="080C0154"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44ABA5FF" w14:textId="77777777" w:rsidR="00B3048D" w:rsidRPr="00A71781" w:rsidRDefault="002C3F71" w:rsidP="000A6656">
                      <w:pPr>
                        <w:pStyle w:val="Normal69"/>
                        <w:keepNext/>
                        <w:widowControl/>
                        <w:tabs>
                          <w:tab w:val="center" w:pos="4680"/>
                          <w:tab w:val="right" w:pos="9360"/>
                        </w:tabs>
                        <w:rPr>
                          <w:rFonts w:asciiTheme="minorHAnsi" w:hAnsiTheme="minorHAnsi"/>
                          <w:b/>
                          <w:sz w:val="22"/>
                          <w:szCs w:val="22"/>
                        </w:rPr>
                      </w:pPr>
                      <w:r w:rsidRPr="00A71781">
                        <w:rPr>
                          <w:rFonts w:asciiTheme="minorHAnsi" w:hAnsiTheme="minorHAnsi"/>
                          <w:b/>
                          <w:bCs/>
                          <w:sz w:val="22"/>
                          <w:szCs w:val="22"/>
                        </w:rPr>
                        <w:t>KEY RATINGS</w:t>
                      </w:r>
                    </w:p>
                  </w:tc>
                </w:tr>
              </w:tbl>
              <w:p w14:paraId="4F9BB740" w14:textId="77777777" w:rsidR="00B3048D" w:rsidRPr="00692E93" w:rsidRDefault="00B3048D" w:rsidP="000A6656">
                <w:pPr>
                  <w:pStyle w:val="Normal69"/>
                  <w:keepNext/>
                  <w:widowControl/>
                  <w:rPr>
                    <w:rFonts w:asciiTheme="minorHAnsi" w:hAnsiTheme="minorHAnsi"/>
                    <w:sz w:val="22"/>
                    <w:szCs w:val="22"/>
                  </w:rPr>
                </w:pPr>
              </w:p>
            </w:tc>
          </w:tr>
        </w:tbl>
        <w:p w14:paraId="4885F294" w14:textId="77777777" w:rsidR="00B3048D" w:rsidRPr="00E14432"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915"/>
            <w:tblW w:w="5673" w:type="pct"/>
            <w:tblInd w:w="-720"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3630"/>
            <w:gridCol w:w="3632"/>
            <w:gridCol w:w="3358"/>
          </w:tblGrid>
          <w:tr w:rsidR="00E63776" w14:paraId="68419891" w14:textId="77777777" w:rsidTr="000A6656">
            <w:trPr>
              <w:trHeight w:val="281"/>
            </w:trPr>
            <w:tc>
              <w:tcPr>
                <w:tcW w:w="1709" w:type="pct"/>
                <w:tcBorders>
                  <w:top w:val="nil"/>
                  <w:bottom w:val="single" w:sz="12" w:space="0" w:color="D9D9D9"/>
                </w:tcBorders>
                <w:shd w:val="clear" w:color="auto" w:fill="F7F7F7"/>
                <w:vAlign w:val="center"/>
              </w:tcPr>
              <w:p w14:paraId="55B7EA8F" w14:textId="77777777" w:rsidR="00B3048D" w:rsidRPr="00F62555" w:rsidRDefault="002C3F71" w:rsidP="000A6656">
                <w:pPr>
                  <w:pStyle w:val="Normal69"/>
                  <w:keepNext/>
                  <w:widowControl/>
                  <w:rPr>
                    <w:rFonts w:asciiTheme="minorHAnsi" w:hAnsiTheme="minorHAnsi"/>
                    <w:b/>
                    <w:sz w:val="22"/>
                    <w:szCs w:val="22"/>
                  </w:rPr>
                </w:pPr>
                <w:r w:rsidRPr="00F62555">
                  <w:rPr>
                    <w:rFonts w:asciiTheme="minorHAnsi" w:hAnsiTheme="minorHAnsi"/>
                    <w:b/>
                    <w:sz w:val="22"/>
                    <w:szCs w:val="22"/>
                  </w:rPr>
                  <w:t>Outcome</w:t>
                </w:r>
              </w:p>
            </w:tc>
            <w:tc>
              <w:tcPr>
                <w:tcW w:w="1710" w:type="pct"/>
                <w:tcBorders>
                  <w:top w:val="nil"/>
                  <w:bottom w:val="single" w:sz="12" w:space="0" w:color="D9D9D9"/>
                </w:tcBorders>
                <w:shd w:val="clear" w:color="auto" w:fill="F7F7F7"/>
                <w:vAlign w:val="center"/>
              </w:tcPr>
              <w:p w14:paraId="0BAE6524" w14:textId="77777777" w:rsidR="00B3048D" w:rsidRPr="00F62555" w:rsidRDefault="002C3F71" w:rsidP="000A6656">
                <w:pPr>
                  <w:pStyle w:val="Normal69"/>
                  <w:keepNext/>
                  <w:widowControl/>
                  <w:rPr>
                    <w:rFonts w:asciiTheme="minorHAnsi" w:hAnsiTheme="minorHAnsi"/>
                    <w:b/>
                    <w:sz w:val="22"/>
                    <w:szCs w:val="22"/>
                  </w:rPr>
                </w:pPr>
                <w:r w:rsidRPr="00F62555">
                  <w:rPr>
                    <w:rFonts w:asciiTheme="minorHAnsi" w:hAnsiTheme="minorHAnsi"/>
                    <w:b/>
                    <w:sz w:val="22"/>
                    <w:szCs w:val="22"/>
                  </w:rPr>
                  <w:t>Bank Performance</w:t>
                </w:r>
              </w:p>
            </w:tc>
            <w:tc>
              <w:tcPr>
                <w:tcW w:w="1581" w:type="pct"/>
                <w:tcBorders>
                  <w:top w:val="nil"/>
                  <w:bottom w:val="single" w:sz="12" w:space="0" w:color="D9D9D9"/>
                </w:tcBorders>
                <w:shd w:val="clear" w:color="auto" w:fill="F7F7F7"/>
                <w:vAlign w:val="center"/>
              </w:tcPr>
              <w:p w14:paraId="3C6ACCDA" w14:textId="77777777" w:rsidR="00B3048D" w:rsidRPr="00F62555" w:rsidRDefault="002C3F71" w:rsidP="000A6656">
                <w:pPr>
                  <w:pStyle w:val="Normal69"/>
                  <w:keepNext/>
                  <w:widowControl/>
                  <w:rPr>
                    <w:rFonts w:asciiTheme="minorHAnsi" w:hAnsiTheme="minorHAnsi"/>
                    <w:b/>
                    <w:sz w:val="22"/>
                    <w:szCs w:val="22"/>
                  </w:rPr>
                </w:pPr>
                <w:r w:rsidRPr="00F62555">
                  <w:rPr>
                    <w:rFonts w:asciiTheme="minorHAnsi" w:hAnsiTheme="minorHAnsi"/>
                    <w:b/>
                    <w:sz w:val="22"/>
                    <w:szCs w:val="22"/>
                  </w:rPr>
                  <w:t>M&amp;E Quality</w:t>
                </w:r>
              </w:p>
            </w:tc>
          </w:tr>
          <w:tr w:rsidR="00E63776" w14:paraId="3654555A" w14:textId="77777777" w:rsidTr="000A6656">
            <w:trPr>
              <w:trHeight w:val="422"/>
            </w:trPr>
            <w:tc>
              <w:tcPr>
                <w:tcW w:w="1709" w:type="pct"/>
                <w:tcBorders>
                  <w:top w:val="single" w:sz="12" w:space="0" w:color="D9D9D9"/>
                  <w:bottom w:val="single" w:sz="4" w:space="0" w:color="D0CECE"/>
                </w:tcBorders>
                <w:shd w:val="clear" w:color="auto" w:fill="F7F7F7"/>
                <w:vAlign w:val="center"/>
              </w:tcPr>
              <w:p w14:paraId="3786D68E" w14:textId="77777777" w:rsidR="00B3048D" w:rsidRPr="00F62555" w:rsidRDefault="002C3F71" w:rsidP="000A6656">
                <w:pPr>
                  <w:pStyle w:val="Normal69"/>
                  <w:rPr>
                    <w:rFonts w:asciiTheme="minorHAnsi" w:hAnsiTheme="minorHAnsi"/>
                    <w:sz w:val="22"/>
                    <w:szCs w:val="22"/>
                  </w:rPr>
                </w:pPr>
                <w:r>
                  <w:rPr>
                    <w:rFonts w:asciiTheme="minorHAnsi" w:hAnsiTheme="minorHAnsi"/>
                    <w:noProof/>
                    <w:sz w:val="22"/>
                    <w:szCs w:val="22"/>
                  </w:rPr>
                  <w:t>Moderately Satisfactory</w:t>
                </w:r>
              </w:p>
            </w:tc>
            <w:tc>
              <w:tcPr>
                <w:tcW w:w="1710" w:type="pct"/>
                <w:tcBorders>
                  <w:top w:val="single" w:sz="12" w:space="0" w:color="D9D9D9"/>
                  <w:bottom w:val="single" w:sz="4" w:space="0" w:color="D0CECE"/>
                </w:tcBorders>
                <w:shd w:val="clear" w:color="auto" w:fill="F7F7F7"/>
                <w:vAlign w:val="center"/>
              </w:tcPr>
              <w:p w14:paraId="4AE1E44C" w14:textId="77777777" w:rsidR="00B3048D" w:rsidRPr="00F62555" w:rsidRDefault="002C3F71" w:rsidP="000A6656">
                <w:pPr>
                  <w:pStyle w:val="Normal69"/>
                  <w:rPr>
                    <w:rFonts w:asciiTheme="minorHAnsi" w:hAnsiTheme="minorHAnsi"/>
                    <w:sz w:val="22"/>
                    <w:szCs w:val="22"/>
                  </w:rPr>
                </w:pPr>
                <w:r>
                  <w:rPr>
                    <w:rFonts w:asciiTheme="minorHAnsi" w:hAnsiTheme="minorHAnsi"/>
                    <w:noProof/>
                    <w:sz w:val="22"/>
                    <w:szCs w:val="22"/>
                  </w:rPr>
                  <w:t>Moderately Satisfactory</w:t>
                </w:r>
              </w:p>
            </w:tc>
            <w:tc>
              <w:tcPr>
                <w:tcW w:w="1581" w:type="pct"/>
                <w:tcBorders>
                  <w:top w:val="single" w:sz="12" w:space="0" w:color="D9D9D9"/>
                  <w:bottom w:val="single" w:sz="4" w:space="0" w:color="D0CECE"/>
                </w:tcBorders>
                <w:shd w:val="clear" w:color="auto" w:fill="F7F7F7"/>
                <w:vAlign w:val="center"/>
              </w:tcPr>
              <w:p w14:paraId="570001DD" w14:textId="77777777" w:rsidR="00B3048D" w:rsidRPr="00F62555" w:rsidRDefault="002C3F71" w:rsidP="000A6656">
                <w:pPr>
                  <w:pStyle w:val="Normal69"/>
                  <w:rPr>
                    <w:rFonts w:asciiTheme="minorHAnsi" w:hAnsiTheme="minorHAnsi"/>
                    <w:sz w:val="22"/>
                    <w:szCs w:val="22"/>
                  </w:rPr>
                </w:pPr>
                <w:r>
                  <w:rPr>
                    <w:rFonts w:asciiTheme="minorHAnsi" w:hAnsiTheme="minorHAnsi"/>
                    <w:noProof/>
                    <w:sz w:val="22"/>
                    <w:szCs w:val="22"/>
                  </w:rPr>
                  <w:t>Modest</w:t>
                </w:r>
              </w:p>
            </w:tc>
          </w:tr>
        </w:tbl>
        <w:p w14:paraId="5C5B1DE8"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E63776" w14:paraId="6CE50C7F" w14:textId="77777777" w:rsidTr="000A6656">
            <w:trPr>
              <w:trHeight w:val="450"/>
            </w:trPr>
            <w:tc>
              <w:tcPr>
                <w:tcW w:w="10620" w:type="dxa"/>
                <w:shd w:val="clear" w:color="auto" w:fill="F7F7F7"/>
                <w:vAlign w:val="center"/>
              </w:tcPr>
              <w:tbl>
                <w:tblPr>
                  <w:tblStyle w:val="TableGrid75"/>
                  <w:tblW w:w="10620" w:type="dxa"/>
                  <w:shd w:val="clear" w:color="auto" w:fill="F7F7F7"/>
                  <w:tblLayout w:type="fixed"/>
                  <w:tblLook w:val="04A0" w:firstRow="1" w:lastRow="0" w:firstColumn="1" w:lastColumn="0" w:noHBand="0" w:noVBand="1"/>
                </w:tblPr>
                <w:tblGrid>
                  <w:gridCol w:w="10620"/>
                </w:tblGrid>
                <w:tr w:rsidR="00E63776" w14:paraId="7B98D5D5"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2E9740AC" w14:textId="77777777" w:rsidR="00B3048D" w:rsidRPr="00275670" w:rsidRDefault="002C3F71" w:rsidP="000A6656">
                      <w:pPr>
                        <w:pStyle w:val="Normal69"/>
                        <w:keepNext/>
                        <w:widowControl/>
                        <w:rPr>
                          <w:rFonts w:asciiTheme="minorHAnsi" w:eastAsia="Times New Roman" w:hAnsiTheme="minorHAnsi"/>
                        </w:rPr>
                      </w:pPr>
                      <w:r w:rsidRPr="00275670">
                        <w:rPr>
                          <w:rFonts w:asciiTheme="minorHAnsi" w:hAnsiTheme="minorHAnsi"/>
                          <w:b/>
                          <w:bCs/>
                          <w:sz w:val="22"/>
                          <w:szCs w:val="22"/>
                        </w:rPr>
                        <w:t>RATINGS OF PROJECT PERFORMANCE IN ISRs</w:t>
                      </w:r>
                    </w:p>
                  </w:tc>
                </w:tr>
              </w:tbl>
              <w:p w14:paraId="315033EE" w14:textId="77777777" w:rsidR="00B3048D" w:rsidRPr="00692E93" w:rsidRDefault="00B3048D" w:rsidP="000A6656">
                <w:pPr>
                  <w:pStyle w:val="Normal69"/>
                  <w:keepNext/>
                  <w:widowControl/>
                  <w:rPr>
                    <w:rFonts w:asciiTheme="minorHAnsi" w:hAnsiTheme="minorHAnsi"/>
                    <w:sz w:val="22"/>
                    <w:szCs w:val="22"/>
                  </w:rPr>
                </w:pPr>
              </w:p>
            </w:tc>
          </w:tr>
        </w:tbl>
        <w:p w14:paraId="2A1D5894" w14:textId="77777777" w:rsidR="00B3048D" w:rsidRPr="00E14432"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145"/>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1440"/>
            <w:gridCol w:w="2160"/>
            <w:gridCol w:w="2520"/>
            <w:gridCol w:w="2610"/>
            <w:gridCol w:w="1890"/>
          </w:tblGrid>
          <w:tr w:rsidR="00E63776" w14:paraId="347E324E" w14:textId="77777777" w:rsidTr="000A6656">
            <w:trPr>
              <w:trHeight w:val="372"/>
            </w:trPr>
            <w:tc>
              <w:tcPr>
                <w:tcW w:w="1440" w:type="dxa"/>
                <w:tcBorders>
                  <w:top w:val="nil"/>
                  <w:bottom w:val="single" w:sz="12" w:space="0" w:color="DFDFDF"/>
                  <w:right w:val="single" w:sz="4" w:space="0" w:color="DFDFDF"/>
                </w:tcBorders>
                <w:shd w:val="clear" w:color="auto" w:fill="F7F7F7"/>
                <w:vAlign w:val="center"/>
              </w:tcPr>
              <w:p w14:paraId="42DBE3BB" w14:textId="77777777" w:rsidR="00B3048D" w:rsidRPr="00113F16" w:rsidRDefault="002C3F71" w:rsidP="000A6656">
                <w:pPr>
                  <w:pStyle w:val="Normal69"/>
                  <w:keepNext/>
                  <w:widowControl/>
                  <w:autoSpaceDE/>
                  <w:autoSpaceDN/>
                  <w:adjustRightInd/>
                  <w:ind w:left="65"/>
                  <w:rPr>
                    <w:rFonts w:asciiTheme="minorHAnsi" w:hAnsiTheme="minorHAnsi" w:cstheme="minorBidi"/>
                    <w:b/>
                    <w:color w:val="auto"/>
                    <w:sz w:val="22"/>
                    <w:szCs w:val="22"/>
                  </w:rPr>
                </w:pPr>
                <w:r w:rsidRPr="00113F16">
                  <w:rPr>
                    <w:rFonts w:asciiTheme="minorHAnsi" w:hAnsiTheme="minorHAnsi" w:cstheme="minorBidi"/>
                    <w:b/>
                    <w:color w:val="auto"/>
                    <w:sz w:val="22"/>
                    <w:szCs w:val="22"/>
                  </w:rPr>
                  <w:t>No.</w:t>
                </w:r>
              </w:p>
            </w:tc>
            <w:tc>
              <w:tcPr>
                <w:tcW w:w="2160" w:type="dxa"/>
                <w:tcBorders>
                  <w:top w:val="nil"/>
                  <w:left w:val="single" w:sz="4" w:space="0" w:color="DFDFDF"/>
                  <w:bottom w:val="single" w:sz="12" w:space="0" w:color="DFDFDF"/>
                  <w:right w:val="single" w:sz="4" w:space="0" w:color="DFDFDF"/>
                </w:tcBorders>
                <w:shd w:val="clear" w:color="auto" w:fill="F7F7F7"/>
                <w:vAlign w:val="center"/>
              </w:tcPr>
              <w:p w14:paraId="08BC5F18" w14:textId="77777777" w:rsidR="00B3048D" w:rsidRPr="00113F16" w:rsidRDefault="002C3F71" w:rsidP="000A6656">
                <w:pPr>
                  <w:pStyle w:val="Normal69"/>
                  <w:keepNext/>
                  <w:widowControl/>
                  <w:autoSpaceDE/>
                  <w:autoSpaceDN/>
                  <w:adjustRightInd/>
                  <w:ind w:left="-115" w:firstLine="97"/>
                  <w:jc w:val="center"/>
                  <w:rPr>
                    <w:rFonts w:asciiTheme="minorHAnsi" w:hAnsiTheme="minorHAnsi" w:cstheme="minorBidi"/>
                    <w:b/>
                    <w:bCs/>
                    <w:color w:val="auto"/>
                    <w:sz w:val="22"/>
                    <w:szCs w:val="22"/>
                  </w:rPr>
                </w:pPr>
                <w:r w:rsidRPr="00113F16">
                  <w:rPr>
                    <w:rFonts w:asciiTheme="minorHAnsi" w:hAnsiTheme="minorHAnsi" w:cstheme="minorBidi"/>
                    <w:b/>
                    <w:bCs/>
                    <w:color w:val="auto"/>
                    <w:sz w:val="22"/>
                    <w:szCs w:val="22"/>
                  </w:rPr>
                  <w:t>Date ISR Archived</w:t>
                </w:r>
              </w:p>
            </w:tc>
            <w:tc>
              <w:tcPr>
                <w:tcW w:w="2520" w:type="dxa"/>
                <w:tcBorders>
                  <w:top w:val="nil"/>
                  <w:left w:val="single" w:sz="4" w:space="0" w:color="DFDFDF"/>
                  <w:bottom w:val="single" w:sz="12" w:space="0" w:color="DFDFDF"/>
                </w:tcBorders>
                <w:shd w:val="clear" w:color="auto" w:fill="F7F7F7"/>
                <w:vAlign w:val="center"/>
              </w:tcPr>
              <w:p w14:paraId="3D98CD3F" w14:textId="77777777" w:rsidR="00B3048D" w:rsidRPr="00113F16" w:rsidRDefault="002C3F71" w:rsidP="000A6656">
                <w:pPr>
                  <w:pStyle w:val="Normal69"/>
                  <w:keepNext/>
                  <w:widowControl/>
                  <w:autoSpaceDE/>
                  <w:autoSpaceDN/>
                  <w:adjustRightInd/>
                  <w:ind w:left="-133" w:firstLine="97"/>
                  <w:jc w:val="center"/>
                  <w:rPr>
                    <w:rFonts w:asciiTheme="minorHAnsi" w:hAnsiTheme="minorHAnsi" w:cstheme="minorBidi"/>
                    <w:b/>
                    <w:color w:val="auto"/>
                    <w:sz w:val="22"/>
                    <w:szCs w:val="22"/>
                  </w:rPr>
                </w:pPr>
                <w:r w:rsidRPr="00113F16">
                  <w:rPr>
                    <w:rFonts w:asciiTheme="minorHAnsi" w:hAnsiTheme="minorHAnsi" w:cstheme="minorBidi"/>
                    <w:b/>
                    <w:color w:val="auto"/>
                    <w:sz w:val="22"/>
                    <w:szCs w:val="22"/>
                  </w:rPr>
                  <w:t>DO Rating</w:t>
                </w:r>
              </w:p>
            </w:tc>
            <w:tc>
              <w:tcPr>
                <w:tcW w:w="2610" w:type="dxa"/>
                <w:tcBorders>
                  <w:top w:val="nil"/>
                  <w:left w:val="single" w:sz="4" w:space="0" w:color="DFDFDF"/>
                  <w:bottom w:val="single" w:sz="12" w:space="0" w:color="DFDFDF"/>
                </w:tcBorders>
                <w:shd w:val="clear" w:color="auto" w:fill="F7F7F7"/>
                <w:vAlign w:val="center"/>
              </w:tcPr>
              <w:p w14:paraId="2A06C633" w14:textId="77777777" w:rsidR="00B3048D" w:rsidRPr="00113F16" w:rsidRDefault="002C3F71" w:rsidP="000A6656">
                <w:pPr>
                  <w:pStyle w:val="Normal69"/>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IP Rating</w:t>
                </w:r>
              </w:p>
            </w:tc>
            <w:tc>
              <w:tcPr>
                <w:tcW w:w="1890" w:type="dxa"/>
                <w:tcBorders>
                  <w:top w:val="nil"/>
                  <w:left w:val="single" w:sz="4" w:space="0" w:color="DFDFDF"/>
                  <w:bottom w:val="single" w:sz="12" w:space="0" w:color="DFDFDF"/>
                </w:tcBorders>
                <w:shd w:val="clear" w:color="auto" w:fill="F7F7F7"/>
                <w:vAlign w:val="center"/>
              </w:tcPr>
              <w:p w14:paraId="60EE63F9" w14:textId="77777777" w:rsidR="00B3048D" w:rsidRPr="00113F16" w:rsidRDefault="002C3F71" w:rsidP="000A6656">
                <w:pPr>
                  <w:pStyle w:val="Normal69"/>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Actual Disbursements (US$M)</w:t>
                </w:r>
              </w:p>
            </w:tc>
          </w:tr>
          <w:tr w:rsidR="00E63776" w14:paraId="47146BBB"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685CB4EC"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01</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4795B2BA"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18-Dec-2008</w:t>
                </w:r>
              </w:p>
            </w:tc>
            <w:tc>
              <w:tcPr>
                <w:tcW w:w="2520" w:type="dxa"/>
                <w:tcBorders>
                  <w:top w:val="single" w:sz="12" w:space="0" w:color="DFDFDF"/>
                  <w:left w:val="single" w:sz="4" w:space="0" w:color="DFDFDF"/>
                  <w:bottom w:val="single" w:sz="4" w:space="0" w:color="D0CECE"/>
                </w:tcBorders>
                <w:shd w:val="clear" w:color="auto" w:fill="F7F7F7"/>
                <w:vAlign w:val="center"/>
              </w:tcPr>
              <w:p w14:paraId="54F6601D"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0AD20A83"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36E9EC20"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0</w:t>
                </w:r>
              </w:p>
            </w:tc>
          </w:tr>
          <w:tr w:rsidR="00E63776" w14:paraId="0787B283"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7575B22F"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02</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3F419954"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19-Jun-2009</w:t>
                </w:r>
              </w:p>
            </w:tc>
            <w:tc>
              <w:tcPr>
                <w:tcW w:w="2520" w:type="dxa"/>
                <w:tcBorders>
                  <w:top w:val="single" w:sz="12" w:space="0" w:color="DFDFDF"/>
                  <w:left w:val="single" w:sz="4" w:space="0" w:color="DFDFDF"/>
                  <w:bottom w:val="single" w:sz="4" w:space="0" w:color="D0CECE"/>
                </w:tcBorders>
                <w:shd w:val="clear" w:color="auto" w:fill="F7F7F7"/>
                <w:vAlign w:val="center"/>
              </w:tcPr>
              <w:p w14:paraId="52A406DA"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Unsatisfactory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79A7C324"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Unsatisfactory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33F63623"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0</w:t>
                </w:r>
              </w:p>
            </w:tc>
          </w:tr>
          <w:tr w:rsidR="00E63776" w14:paraId="391EC3B8"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7BD7FE3D"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03</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2841624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19-Dec-2009</w:t>
                </w:r>
              </w:p>
            </w:tc>
            <w:tc>
              <w:tcPr>
                <w:tcW w:w="2520" w:type="dxa"/>
                <w:tcBorders>
                  <w:top w:val="single" w:sz="12" w:space="0" w:color="DFDFDF"/>
                  <w:left w:val="single" w:sz="4" w:space="0" w:color="DFDFDF"/>
                  <w:bottom w:val="single" w:sz="4" w:space="0" w:color="D0CECE"/>
                </w:tcBorders>
                <w:shd w:val="clear" w:color="auto" w:fill="F7F7F7"/>
                <w:vAlign w:val="center"/>
              </w:tcPr>
              <w:p w14:paraId="6F63D17F"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Unsatisfactory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6368EC92"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Unsatisfactory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4B488B8F"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0</w:t>
                </w:r>
              </w:p>
            </w:tc>
          </w:tr>
          <w:tr w:rsidR="00E63776" w14:paraId="4BAF97DA"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6C472A5B"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04</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0130CDF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17-May-2010</w:t>
                </w:r>
              </w:p>
            </w:tc>
            <w:tc>
              <w:tcPr>
                <w:tcW w:w="2520" w:type="dxa"/>
                <w:tcBorders>
                  <w:top w:val="single" w:sz="12" w:space="0" w:color="DFDFDF"/>
                  <w:left w:val="single" w:sz="4" w:space="0" w:color="DFDFDF"/>
                  <w:bottom w:val="single" w:sz="4" w:space="0" w:color="D0CECE"/>
                </w:tcBorders>
                <w:shd w:val="clear" w:color="auto" w:fill="F7F7F7"/>
                <w:vAlign w:val="center"/>
              </w:tcPr>
              <w:p w14:paraId="485A153B"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42ED617C"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27C1AA50"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0</w:t>
                </w:r>
              </w:p>
            </w:tc>
          </w:tr>
          <w:tr w:rsidR="00E63776" w14:paraId="61A1F892"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2A616967"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05</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76155AC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21-Feb-2011</w:t>
                </w:r>
              </w:p>
            </w:tc>
            <w:tc>
              <w:tcPr>
                <w:tcW w:w="2520" w:type="dxa"/>
                <w:tcBorders>
                  <w:top w:val="single" w:sz="12" w:space="0" w:color="DFDFDF"/>
                  <w:left w:val="single" w:sz="4" w:space="0" w:color="DFDFDF"/>
                  <w:bottom w:val="single" w:sz="4" w:space="0" w:color="D0CECE"/>
                </w:tcBorders>
                <w:shd w:val="clear" w:color="auto" w:fill="F7F7F7"/>
                <w:vAlign w:val="center"/>
              </w:tcPr>
              <w:p w14:paraId="2C484D4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6CC94D45"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01A63DEA"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2.97</w:t>
                </w:r>
              </w:p>
            </w:tc>
          </w:tr>
          <w:tr w:rsidR="00E63776" w14:paraId="1523C7AD"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1DC9EC95"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06</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6685D283"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08-Jan-2012</w:t>
                </w:r>
              </w:p>
            </w:tc>
            <w:tc>
              <w:tcPr>
                <w:tcW w:w="2520" w:type="dxa"/>
                <w:tcBorders>
                  <w:top w:val="single" w:sz="12" w:space="0" w:color="DFDFDF"/>
                  <w:left w:val="single" w:sz="4" w:space="0" w:color="DFDFDF"/>
                  <w:bottom w:val="single" w:sz="4" w:space="0" w:color="D0CECE"/>
                </w:tcBorders>
                <w:shd w:val="clear" w:color="auto" w:fill="F7F7F7"/>
                <w:vAlign w:val="center"/>
              </w:tcPr>
              <w:p w14:paraId="36E9E93F"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Unsatisfactory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46A5E0D1"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Unsatisfactory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64AE7DFA"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2.97</w:t>
                </w:r>
              </w:p>
            </w:tc>
          </w:tr>
          <w:tr w:rsidR="00E63776" w14:paraId="4C1ED6B5"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18AFE1E3"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07</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2E79711F"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19-Jun-2012</w:t>
                </w:r>
              </w:p>
            </w:tc>
            <w:tc>
              <w:tcPr>
                <w:tcW w:w="2520" w:type="dxa"/>
                <w:tcBorders>
                  <w:top w:val="single" w:sz="12" w:space="0" w:color="DFDFDF"/>
                  <w:left w:val="single" w:sz="4" w:space="0" w:color="DFDFDF"/>
                  <w:bottom w:val="single" w:sz="4" w:space="0" w:color="D0CECE"/>
                </w:tcBorders>
                <w:shd w:val="clear" w:color="auto" w:fill="F7F7F7"/>
                <w:vAlign w:val="center"/>
              </w:tcPr>
              <w:p w14:paraId="03F579D2"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7B4F32AB"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2857D1F8"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2.97</w:t>
                </w:r>
              </w:p>
            </w:tc>
          </w:tr>
          <w:tr w:rsidR="00E63776" w14:paraId="18670987"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561FBFC2"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08</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1B0C65CC"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01-Jan-2013</w:t>
                </w:r>
              </w:p>
            </w:tc>
            <w:tc>
              <w:tcPr>
                <w:tcW w:w="2520" w:type="dxa"/>
                <w:tcBorders>
                  <w:top w:val="single" w:sz="12" w:space="0" w:color="DFDFDF"/>
                  <w:left w:val="single" w:sz="4" w:space="0" w:color="DFDFDF"/>
                  <w:bottom w:val="single" w:sz="4" w:space="0" w:color="D0CECE"/>
                </w:tcBorders>
                <w:shd w:val="clear" w:color="auto" w:fill="F7F7F7"/>
                <w:vAlign w:val="center"/>
              </w:tcPr>
              <w:p w14:paraId="45AA014D"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2600B7AC"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04930D04"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4.45</w:t>
                </w:r>
              </w:p>
            </w:tc>
          </w:tr>
          <w:tr w:rsidR="00E63776" w14:paraId="1340E3C7"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43E546ED"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09</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4DDEC57E"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09-Jul-2013</w:t>
                </w:r>
              </w:p>
            </w:tc>
            <w:tc>
              <w:tcPr>
                <w:tcW w:w="2520" w:type="dxa"/>
                <w:tcBorders>
                  <w:top w:val="single" w:sz="12" w:space="0" w:color="DFDFDF"/>
                  <w:left w:val="single" w:sz="4" w:space="0" w:color="DFDFDF"/>
                  <w:bottom w:val="single" w:sz="4" w:space="0" w:color="D0CECE"/>
                </w:tcBorders>
                <w:shd w:val="clear" w:color="auto" w:fill="F7F7F7"/>
                <w:vAlign w:val="center"/>
              </w:tcPr>
              <w:p w14:paraId="764B52FA"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42BB49B7"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2607C5ED"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7.57</w:t>
                </w:r>
              </w:p>
            </w:tc>
          </w:tr>
          <w:tr w:rsidR="00E63776" w14:paraId="0EE986BF"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3B6EF221"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10</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2A4BB59B"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10-Mar-2014</w:t>
                </w:r>
              </w:p>
            </w:tc>
            <w:tc>
              <w:tcPr>
                <w:tcW w:w="2520" w:type="dxa"/>
                <w:tcBorders>
                  <w:top w:val="single" w:sz="12" w:space="0" w:color="DFDFDF"/>
                  <w:left w:val="single" w:sz="4" w:space="0" w:color="DFDFDF"/>
                  <w:bottom w:val="single" w:sz="4" w:space="0" w:color="D0CECE"/>
                </w:tcBorders>
                <w:shd w:val="clear" w:color="auto" w:fill="F7F7F7"/>
                <w:vAlign w:val="center"/>
              </w:tcPr>
              <w:p w14:paraId="3582B814"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72DC96A7"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138C7823"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9.85</w:t>
                </w:r>
              </w:p>
            </w:tc>
          </w:tr>
          <w:tr w:rsidR="00E63776" w14:paraId="1AA3CFEE"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2FE3116C"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11</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35203361"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26-Oct-2014</w:t>
                </w:r>
              </w:p>
            </w:tc>
            <w:tc>
              <w:tcPr>
                <w:tcW w:w="2520" w:type="dxa"/>
                <w:tcBorders>
                  <w:top w:val="single" w:sz="12" w:space="0" w:color="DFDFDF"/>
                  <w:left w:val="single" w:sz="4" w:space="0" w:color="DFDFDF"/>
                  <w:bottom w:val="single" w:sz="4" w:space="0" w:color="D0CECE"/>
                </w:tcBorders>
                <w:shd w:val="clear" w:color="auto" w:fill="F7F7F7"/>
                <w:vAlign w:val="center"/>
              </w:tcPr>
              <w:p w14:paraId="2F5FCD3B"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Unsatisfactory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095124BB"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08FADAAD"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13.51</w:t>
                </w:r>
              </w:p>
            </w:tc>
          </w:tr>
          <w:tr w:rsidR="00E63776" w14:paraId="673CFD68"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196C8FF7"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12</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74DBBA8A"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26-Feb-2015</w:t>
                </w:r>
              </w:p>
            </w:tc>
            <w:tc>
              <w:tcPr>
                <w:tcW w:w="2520" w:type="dxa"/>
                <w:tcBorders>
                  <w:top w:val="single" w:sz="12" w:space="0" w:color="DFDFDF"/>
                  <w:left w:val="single" w:sz="4" w:space="0" w:color="DFDFDF"/>
                  <w:bottom w:val="single" w:sz="4" w:space="0" w:color="D0CECE"/>
                </w:tcBorders>
                <w:shd w:val="clear" w:color="auto" w:fill="F7F7F7"/>
                <w:vAlign w:val="center"/>
              </w:tcPr>
              <w:p w14:paraId="2C9028BC"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31777DA7"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501C42D6"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16.64</w:t>
                </w:r>
              </w:p>
            </w:tc>
          </w:tr>
          <w:tr w:rsidR="00E63776" w14:paraId="217E34EA"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29D26DAD"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13</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08C65919"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20-Aug-2015</w:t>
                </w:r>
              </w:p>
            </w:tc>
            <w:tc>
              <w:tcPr>
                <w:tcW w:w="2520" w:type="dxa"/>
                <w:tcBorders>
                  <w:top w:val="single" w:sz="12" w:space="0" w:color="DFDFDF"/>
                  <w:left w:val="single" w:sz="4" w:space="0" w:color="DFDFDF"/>
                  <w:bottom w:val="single" w:sz="4" w:space="0" w:color="D0CECE"/>
                </w:tcBorders>
                <w:shd w:val="clear" w:color="auto" w:fill="F7F7F7"/>
                <w:vAlign w:val="center"/>
              </w:tcPr>
              <w:p w14:paraId="3C54BFFE"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1A5637B0"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Unsatisfactory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78A30831"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20.04</w:t>
                </w:r>
              </w:p>
            </w:tc>
          </w:tr>
          <w:tr w:rsidR="00E63776" w14:paraId="708820B1"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01C0CB41"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14</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5C4232B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05-Nov-2015</w:t>
                </w:r>
              </w:p>
            </w:tc>
            <w:tc>
              <w:tcPr>
                <w:tcW w:w="2520" w:type="dxa"/>
                <w:tcBorders>
                  <w:top w:val="single" w:sz="12" w:space="0" w:color="DFDFDF"/>
                  <w:left w:val="single" w:sz="4" w:space="0" w:color="DFDFDF"/>
                  <w:bottom w:val="single" w:sz="4" w:space="0" w:color="D0CECE"/>
                </w:tcBorders>
                <w:shd w:val="clear" w:color="auto" w:fill="F7F7F7"/>
                <w:vAlign w:val="center"/>
              </w:tcPr>
              <w:p w14:paraId="72A04F80"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0B16DB1D"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06E09386"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23.14</w:t>
                </w:r>
              </w:p>
            </w:tc>
          </w:tr>
          <w:tr w:rsidR="00E63776" w14:paraId="6B341CDC"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315B1C2A"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15</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0F544676"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08-Jul-2016</w:t>
                </w:r>
              </w:p>
            </w:tc>
            <w:tc>
              <w:tcPr>
                <w:tcW w:w="2520" w:type="dxa"/>
                <w:tcBorders>
                  <w:top w:val="single" w:sz="12" w:space="0" w:color="DFDFDF"/>
                  <w:left w:val="single" w:sz="4" w:space="0" w:color="DFDFDF"/>
                  <w:bottom w:val="single" w:sz="4" w:space="0" w:color="D0CECE"/>
                </w:tcBorders>
                <w:shd w:val="clear" w:color="auto" w:fill="F7F7F7"/>
                <w:vAlign w:val="center"/>
              </w:tcPr>
              <w:p w14:paraId="2F1FD01F"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Moderately 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727FF207"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Unsatisfactory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3174DC4C"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24.62</w:t>
                </w:r>
              </w:p>
            </w:tc>
          </w:tr>
          <w:tr w:rsidR="00E63776" w14:paraId="79FB1943"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4944082D"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16</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51FA81AF"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11-Feb-2017</w:t>
                </w:r>
              </w:p>
            </w:tc>
            <w:tc>
              <w:tcPr>
                <w:tcW w:w="2520" w:type="dxa"/>
                <w:tcBorders>
                  <w:top w:val="single" w:sz="12" w:space="0" w:color="DFDFDF"/>
                  <w:left w:val="single" w:sz="4" w:space="0" w:color="DFDFDF"/>
                  <w:bottom w:val="single" w:sz="4" w:space="0" w:color="D0CECE"/>
                </w:tcBorders>
                <w:shd w:val="clear" w:color="auto" w:fill="F7F7F7"/>
                <w:vAlign w:val="center"/>
              </w:tcPr>
              <w:p w14:paraId="124E0087"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5576E860"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4DBD8098"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27.91</w:t>
                </w:r>
              </w:p>
            </w:tc>
          </w:tr>
          <w:tr w:rsidR="00E63776" w14:paraId="4DD41162" w14:textId="77777777"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14:paraId="31051B92" w14:textId="77777777" w:rsidR="00B3048D" w:rsidRPr="00113F16" w:rsidRDefault="002C3F71" w:rsidP="000A6656">
                <w:pPr>
                  <w:pStyle w:val="Normal69"/>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17</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14:paraId="2BFF902C"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28-Jun-2017</w:t>
                </w:r>
              </w:p>
            </w:tc>
            <w:tc>
              <w:tcPr>
                <w:tcW w:w="2520" w:type="dxa"/>
                <w:tcBorders>
                  <w:top w:val="single" w:sz="12" w:space="0" w:color="DFDFDF"/>
                  <w:left w:val="single" w:sz="4" w:space="0" w:color="DFDFDF"/>
                  <w:bottom w:val="single" w:sz="4" w:space="0" w:color="D0CECE"/>
                </w:tcBorders>
                <w:shd w:val="clear" w:color="auto" w:fill="F7F7F7"/>
                <w:vAlign w:val="center"/>
              </w:tcPr>
              <w:p w14:paraId="064AC38D" w14:textId="77777777" w:rsidR="00B3048D" w:rsidRPr="00113F16" w:rsidRDefault="002C3F71" w:rsidP="000A6656">
                <w:pPr>
                  <w:pStyle w:val="Normal69"/>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14:paraId="7D3CAA59" w14:textId="77777777" w:rsidR="00B3048D" w:rsidRPr="00113F16" w:rsidRDefault="002C3F71" w:rsidP="000A6656">
                <w:pPr>
                  <w:pStyle w:val="Normal69"/>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Moderately Satisfactory</w:t>
                </w:r>
              </w:p>
            </w:tc>
            <w:tc>
              <w:tcPr>
                <w:tcW w:w="1890" w:type="dxa"/>
                <w:tcBorders>
                  <w:top w:val="single" w:sz="12" w:space="0" w:color="DFDFDF"/>
                  <w:left w:val="single" w:sz="4" w:space="0" w:color="DFDFDF"/>
                  <w:bottom w:val="single" w:sz="4" w:space="0" w:color="D0CECE"/>
                </w:tcBorders>
                <w:shd w:val="clear" w:color="auto" w:fill="F7F7F7"/>
                <w:vAlign w:val="center"/>
              </w:tcPr>
              <w:p w14:paraId="1B600608" w14:textId="77777777" w:rsidR="00B3048D" w:rsidRPr="00113F16" w:rsidRDefault="002C3F71" w:rsidP="000A6656">
                <w:pPr>
                  <w:pStyle w:val="Normal69"/>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27.91</w:t>
                </w:r>
              </w:p>
            </w:tc>
          </w:tr>
        </w:tbl>
        <w:p w14:paraId="5BABCA72"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E63776" w14:paraId="164C578D" w14:textId="77777777" w:rsidTr="000A6656">
            <w:trPr>
              <w:trHeight w:val="450"/>
            </w:trPr>
            <w:tc>
              <w:tcPr>
                <w:tcW w:w="10620" w:type="dxa"/>
                <w:shd w:val="clear" w:color="auto" w:fill="F7F7F7"/>
                <w:vAlign w:val="center"/>
              </w:tcPr>
              <w:tbl>
                <w:tblPr>
                  <w:tblStyle w:val="TableGrid75"/>
                  <w:tblW w:w="10620" w:type="dxa"/>
                  <w:shd w:val="clear" w:color="auto" w:fill="F7F7F7"/>
                  <w:tblLayout w:type="fixed"/>
                  <w:tblLook w:val="04A0" w:firstRow="1" w:lastRow="0" w:firstColumn="1" w:lastColumn="0" w:noHBand="0" w:noVBand="1"/>
                </w:tblPr>
                <w:tblGrid>
                  <w:gridCol w:w="10620"/>
                </w:tblGrid>
                <w:tr w:rsidR="00E63776" w14:paraId="6C17A967"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68825C31" w14:textId="77777777" w:rsidR="00B3048D" w:rsidRPr="002F6FFF" w:rsidRDefault="002C3F71" w:rsidP="000A6656">
                      <w:pPr>
                        <w:pStyle w:val="Normal69"/>
                        <w:keepNext/>
                        <w:widowControl/>
                        <w:rPr>
                          <w:rFonts w:asciiTheme="minorHAnsi" w:eastAsia="Times New Roman" w:hAnsiTheme="minorHAnsi"/>
                        </w:rPr>
                      </w:pPr>
                      <w:r w:rsidRPr="002F6FFF">
                        <w:rPr>
                          <w:rFonts w:asciiTheme="minorHAnsi" w:hAnsiTheme="minorHAnsi"/>
                          <w:b/>
                          <w:sz w:val="22"/>
                          <w:szCs w:val="22"/>
                        </w:rPr>
                        <w:t>SECTORS AND THEMES</w:t>
                      </w:r>
                    </w:p>
                  </w:tc>
                </w:tr>
              </w:tbl>
              <w:p w14:paraId="62CAB9F2" w14:textId="77777777" w:rsidR="00B3048D" w:rsidRPr="00692E93" w:rsidRDefault="00B3048D" w:rsidP="000A6656">
                <w:pPr>
                  <w:pStyle w:val="Normal69"/>
                  <w:keepNext/>
                  <w:widowControl/>
                  <w:rPr>
                    <w:rFonts w:asciiTheme="minorHAnsi" w:hAnsiTheme="minorHAnsi"/>
                    <w:sz w:val="22"/>
                    <w:szCs w:val="22"/>
                  </w:rPr>
                </w:pPr>
              </w:p>
            </w:tc>
          </w:tr>
        </w:tbl>
        <w:p w14:paraId="09C77F83" w14:textId="77777777" w:rsidR="00B3048D"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145"/>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445"/>
            <w:gridCol w:w="5175"/>
          </w:tblGrid>
          <w:tr w:rsidR="00E63776" w14:paraId="7A78AE58" w14:textId="77777777" w:rsidTr="000A6656">
            <w:trPr>
              <w:trHeight w:val="243"/>
            </w:trPr>
            <w:tc>
              <w:tcPr>
                <w:tcW w:w="10620" w:type="dxa"/>
                <w:gridSpan w:val="2"/>
                <w:tcBorders>
                  <w:top w:val="nil"/>
                  <w:bottom w:val="nil"/>
                </w:tcBorders>
                <w:shd w:val="clear" w:color="auto" w:fill="F7F7F7"/>
                <w:vAlign w:val="center"/>
              </w:tcPr>
              <w:p w14:paraId="45737C69" w14:textId="77777777" w:rsidR="00B3048D" w:rsidRPr="00A14B41" w:rsidRDefault="002C3F71" w:rsidP="000A6656">
                <w:pPr>
                  <w:pStyle w:val="Normal69"/>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002060"/>
                    <w:sz w:val="21"/>
                    <w:szCs w:val="21"/>
                  </w:rPr>
                  <w:t>Sectors</w:t>
                </w:r>
              </w:p>
            </w:tc>
          </w:tr>
          <w:tr w:rsidR="00E63776" w14:paraId="6BFBD6D9" w14:textId="77777777" w:rsidTr="000A6656">
            <w:trPr>
              <w:trHeight w:val="243"/>
            </w:trPr>
            <w:tc>
              <w:tcPr>
                <w:tcW w:w="5445" w:type="dxa"/>
                <w:tcBorders>
                  <w:top w:val="nil"/>
                  <w:bottom w:val="single" w:sz="12" w:space="0" w:color="D9D9D9"/>
                </w:tcBorders>
                <w:shd w:val="clear" w:color="auto" w:fill="F7F7F7"/>
                <w:vAlign w:val="center"/>
              </w:tcPr>
              <w:p w14:paraId="02C55CE2" w14:textId="77777777" w:rsidR="00B3048D" w:rsidRPr="00A14B41" w:rsidRDefault="002C3F71" w:rsidP="000A6656">
                <w:pPr>
                  <w:pStyle w:val="Normal69"/>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767171" w:themeColor="background2" w:themeShade="80"/>
                    <w:sz w:val="21"/>
                    <w:szCs w:val="21"/>
                  </w:rPr>
                  <w:t>Major Sector/Sector</w:t>
                </w:r>
              </w:p>
            </w:tc>
            <w:tc>
              <w:tcPr>
                <w:tcW w:w="5175" w:type="dxa"/>
                <w:tcBorders>
                  <w:top w:val="nil"/>
                  <w:bottom w:val="single" w:sz="12" w:space="0" w:color="D9D9D9"/>
                </w:tcBorders>
                <w:shd w:val="clear" w:color="auto" w:fill="F7F7F7"/>
                <w:vAlign w:val="center"/>
              </w:tcPr>
              <w:p w14:paraId="688907C4" w14:textId="77777777" w:rsidR="00B3048D" w:rsidRPr="00A14B41" w:rsidRDefault="002C3F71" w:rsidP="000A6656">
                <w:pPr>
                  <w:pStyle w:val="Normal69"/>
                  <w:keepNext/>
                  <w:widowControl/>
                  <w:autoSpaceDE/>
                  <w:autoSpaceDN/>
                  <w:adjustRightInd/>
                  <w:ind w:left="-115" w:firstLine="101"/>
                  <w:jc w:val="right"/>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w:t>
                </w:r>
              </w:p>
            </w:tc>
          </w:tr>
        </w:tbl>
        <w:p w14:paraId="376E4236" w14:textId="77777777" w:rsidR="00B3048D" w:rsidRDefault="00B3048D" w:rsidP="00B3048D">
          <w:pPr>
            <w:pStyle w:val="Normal69"/>
            <w:keepNext/>
            <w:widowControl/>
            <w:shd w:val="clear" w:color="auto" w:fill="F7F7F7"/>
            <w:ind w:left="-691" w:right="-518"/>
            <w:rPr>
              <w:rFonts w:asciiTheme="minorHAnsi" w:hAnsiTheme="minorHAnsi"/>
              <w:color w:val="767171" w:themeColor="background2" w:themeShade="80"/>
              <w:sz w:val="22"/>
              <w:szCs w:val="22"/>
            </w:rPr>
          </w:pPr>
        </w:p>
        <w:tbl>
          <w:tblPr>
            <w:tblStyle w:val="TableGrid145"/>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E63776" w14:paraId="17D7208C" w14:textId="77777777" w:rsidTr="000A6656">
            <w:trPr>
              <w:trHeight w:val="372"/>
            </w:trPr>
            <w:tc>
              <w:tcPr>
                <w:tcW w:w="5554" w:type="dxa"/>
                <w:tcBorders>
                  <w:top w:val="nil"/>
                  <w:bottom w:val="single" w:sz="4" w:space="0" w:color="D0CECE"/>
                </w:tcBorders>
                <w:shd w:val="clear" w:color="auto" w:fill="F7F7F7"/>
                <w:vAlign w:val="center"/>
              </w:tcPr>
              <w:p w14:paraId="1BEEE35E" w14:textId="77777777" w:rsidR="00B3048D" w:rsidRPr="00A14B41" w:rsidRDefault="002C3F71" w:rsidP="000A6656">
                <w:pPr>
                  <w:pStyle w:val="Normal69"/>
                  <w:keepNext/>
                  <w:widowControl/>
                  <w:autoSpaceDE/>
                  <w:autoSpaceDN/>
                  <w:adjustRightInd/>
                  <w:rPr>
                    <w:rFonts w:asciiTheme="minorHAnsi" w:hAnsiTheme="minorHAnsi" w:cstheme="minorBidi"/>
                    <w:b/>
                    <w:color w:val="auto"/>
                    <w:sz w:val="21"/>
                    <w:szCs w:val="21"/>
                  </w:rPr>
                </w:pPr>
                <w:r>
                  <w:rPr>
                    <w:rFonts w:asciiTheme="minorHAnsi" w:hAnsiTheme="minorHAnsi" w:cstheme="minorBidi"/>
                    <w:b/>
                    <w:noProof/>
                    <w:color w:val="auto"/>
                    <w:sz w:val="22"/>
                    <w:szCs w:val="22"/>
                  </w:rPr>
                  <w:t>Energy and Extractives</w:t>
                </w:r>
              </w:p>
            </w:tc>
            <w:tc>
              <w:tcPr>
                <w:tcW w:w="5066" w:type="dxa"/>
                <w:tcBorders>
                  <w:top w:val="nil"/>
                  <w:bottom w:val="single" w:sz="4" w:space="0" w:color="D0CECE"/>
                </w:tcBorders>
                <w:shd w:val="clear" w:color="auto" w:fill="F7F7F7"/>
                <w:vAlign w:val="center"/>
              </w:tcPr>
              <w:p w14:paraId="36954725" w14:textId="77777777" w:rsidR="00B3048D" w:rsidRPr="00A14B41" w:rsidRDefault="002C3F71" w:rsidP="000A6656">
                <w:pPr>
                  <w:pStyle w:val="Normal69"/>
                  <w:keepNext/>
                  <w:widowControl/>
                  <w:autoSpaceDE/>
                  <w:autoSpaceDN/>
                  <w:adjustRightInd/>
                  <w:jc w:val="right"/>
                  <w:rPr>
                    <w:rFonts w:asciiTheme="minorHAnsi" w:hAnsiTheme="minorHAnsi" w:cstheme="minorBidi"/>
                    <w:b/>
                    <w:color w:val="auto"/>
                    <w:sz w:val="22"/>
                    <w:szCs w:val="22"/>
                  </w:rPr>
                </w:pPr>
                <w:r w:rsidRPr="00A14B41">
                  <w:rPr>
                    <w:rFonts w:asciiTheme="minorHAnsi" w:hAnsiTheme="minorHAnsi" w:cstheme="minorBidi"/>
                    <w:b/>
                    <w:color w:val="auto"/>
                    <w:sz w:val="22"/>
                    <w:szCs w:val="22"/>
                  </w:rPr>
                  <w:t>100</w:t>
                </w:r>
              </w:p>
            </w:tc>
          </w:tr>
          <w:tr w:rsidR="00E63776" w14:paraId="61D7A26C" w14:textId="77777777" w:rsidTr="000A6656">
            <w:trPr>
              <w:trHeight w:val="184"/>
            </w:trPr>
            <w:tc>
              <w:tcPr>
                <w:tcW w:w="5554" w:type="dxa"/>
                <w:tcBorders>
                  <w:top w:val="single" w:sz="4" w:space="0" w:color="D0CECE"/>
                  <w:bottom w:val="single" w:sz="4" w:space="0" w:color="D0CECE"/>
                </w:tcBorders>
                <w:shd w:val="clear" w:color="auto" w:fill="F7F7F7"/>
                <w:vAlign w:val="center"/>
              </w:tcPr>
              <w:p w14:paraId="330866FD" w14:textId="77777777" w:rsidR="00B3048D" w:rsidRPr="00A14B41" w:rsidRDefault="002C3F71" w:rsidP="000A6656">
                <w:pPr>
                  <w:pStyle w:val="Normal69"/>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Mining</w:t>
                </w:r>
              </w:p>
            </w:tc>
            <w:tc>
              <w:tcPr>
                <w:tcW w:w="5066" w:type="dxa"/>
                <w:tcBorders>
                  <w:top w:val="single" w:sz="4" w:space="0" w:color="D0CECE"/>
                  <w:bottom w:val="single" w:sz="4" w:space="0" w:color="D0CECE"/>
                </w:tcBorders>
                <w:shd w:val="clear" w:color="auto" w:fill="F7F7F7"/>
                <w:vAlign w:val="center"/>
              </w:tcPr>
              <w:p w14:paraId="6463C05D"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57</w:t>
                </w:r>
              </w:p>
            </w:tc>
          </w:tr>
          <w:tr w:rsidR="00E63776" w14:paraId="55739ED7" w14:textId="77777777" w:rsidTr="000A6656">
            <w:trPr>
              <w:trHeight w:val="184"/>
            </w:trPr>
            <w:tc>
              <w:tcPr>
                <w:tcW w:w="5554" w:type="dxa"/>
                <w:tcBorders>
                  <w:top w:val="single" w:sz="4" w:space="0" w:color="D0CECE"/>
                  <w:bottom w:val="single" w:sz="4" w:space="0" w:color="D0CECE"/>
                </w:tcBorders>
                <w:shd w:val="clear" w:color="auto" w:fill="F7F7F7"/>
                <w:vAlign w:val="center"/>
              </w:tcPr>
              <w:p w14:paraId="287F05FE" w14:textId="77777777" w:rsidR="00B3048D" w:rsidRPr="00A14B41" w:rsidRDefault="002C3F71" w:rsidP="000A6656">
                <w:pPr>
                  <w:pStyle w:val="Normal69"/>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Public Administration - Energy and Extractives</w:t>
                </w:r>
              </w:p>
            </w:tc>
            <w:tc>
              <w:tcPr>
                <w:tcW w:w="5066" w:type="dxa"/>
                <w:tcBorders>
                  <w:top w:val="single" w:sz="4" w:space="0" w:color="D0CECE"/>
                  <w:bottom w:val="single" w:sz="4" w:space="0" w:color="D0CECE"/>
                </w:tcBorders>
                <w:shd w:val="clear" w:color="auto" w:fill="F7F7F7"/>
                <w:vAlign w:val="center"/>
              </w:tcPr>
              <w:p w14:paraId="2C15A54F"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43</w:t>
                </w:r>
              </w:p>
            </w:tc>
          </w:tr>
        </w:tbl>
        <w:p w14:paraId="4FA18176"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p w14:paraId="01F0602A"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145"/>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E63776" w14:paraId="0B748823" w14:textId="77777777" w:rsidTr="000A6656">
            <w:trPr>
              <w:trHeight w:val="184"/>
            </w:trPr>
            <w:tc>
              <w:tcPr>
                <w:tcW w:w="5554" w:type="dxa"/>
                <w:tcBorders>
                  <w:top w:val="nil"/>
                  <w:bottom w:val="nil"/>
                </w:tcBorders>
                <w:shd w:val="clear" w:color="auto" w:fill="F7F7F7"/>
                <w:vAlign w:val="center"/>
              </w:tcPr>
              <w:p w14:paraId="7DA5EBFE" w14:textId="77777777" w:rsidR="00B3048D" w:rsidRPr="00A14B41" w:rsidRDefault="002C3F71" w:rsidP="000A6656">
                <w:pPr>
                  <w:pStyle w:val="Normal69"/>
                  <w:keepNext/>
                  <w:widowControl/>
                  <w:autoSpaceDE/>
                  <w:autoSpaceDN/>
                  <w:adjustRightInd/>
                  <w:ind w:left="-115" w:firstLine="101"/>
                  <w:rPr>
                    <w:rFonts w:asciiTheme="minorHAnsi" w:hAnsiTheme="minorHAnsi" w:cstheme="minorBidi"/>
                    <w:color w:val="auto"/>
                    <w:sz w:val="21"/>
                    <w:szCs w:val="21"/>
                  </w:rPr>
                </w:pPr>
                <w:r w:rsidRPr="00A14B41">
                  <w:rPr>
                    <w:rFonts w:asciiTheme="minorHAnsi" w:hAnsiTheme="minorHAnsi" w:cstheme="minorBidi"/>
                    <w:b/>
                    <w:color w:val="002060"/>
                    <w:sz w:val="21"/>
                    <w:szCs w:val="21"/>
                  </w:rPr>
                  <w:t>Themes</w:t>
                </w:r>
              </w:p>
            </w:tc>
            <w:tc>
              <w:tcPr>
                <w:tcW w:w="5066" w:type="dxa"/>
                <w:tcBorders>
                  <w:top w:val="nil"/>
                  <w:bottom w:val="nil"/>
                </w:tcBorders>
                <w:shd w:val="clear" w:color="auto" w:fill="F7F7F7"/>
                <w:vAlign w:val="center"/>
              </w:tcPr>
              <w:p w14:paraId="615B6D14" w14:textId="77777777" w:rsidR="00B3048D" w:rsidRPr="00A14B41" w:rsidRDefault="00B3048D" w:rsidP="000A6656">
                <w:pPr>
                  <w:pStyle w:val="Normal69"/>
                  <w:keepNext/>
                  <w:widowControl/>
                  <w:autoSpaceDE/>
                  <w:autoSpaceDN/>
                  <w:adjustRightInd/>
                  <w:rPr>
                    <w:rFonts w:asciiTheme="minorHAnsi" w:hAnsiTheme="minorHAnsi" w:cstheme="minorBidi"/>
                    <w:color w:val="auto"/>
                    <w:sz w:val="21"/>
                    <w:szCs w:val="21"/>
                  </w:rPr>
                </w:pPr>
              </w:p>
            </w:tc>
          </w:tr>
          <w:tr w:rsidR="00E63776" w14:paraId="227DA9BE" w14:textId="77777777" w:rsidTr="000A6656">
            <w:trPr>
              <w:trHeight w:val="184"/>
            </w:trPr>
            <w:tc>
              <w:tcPr>
                <w:tcW w:w="5554" w:type="dxa"/>
                <w:tcBorders>
                  <w:top w:val="nil"/>
                  <w:bottom w:val="single" w:sz="12" w:space="0" w:color="D9D9D9"/>
                </w:tcBorders>
                <w:shd w:val="clear" w:color="auto" w:fill="F7F7F7"/>
                <w:vAlign w:val="center"/>
              </w:tcPr>
              <w:p w14:paraId="10976176" w14:textId="77777777" w:rsidR="00B3048D" w:rsidRPr="00A14B41" w:rsidRDefault="002C3F71" w:rsidP="000A6656">
                <w:pPr>
                  <w:pStyle w:val="Normal69"/>
                  <w:keepNext/>
                  <w:widowControl/>
                  <w:autoSpaceDE/>
                  <w:autoSpaceDN/>
                  <w:adjustRightInd/>
                  <w:ind w:left="-115" w:firstLine="101"/>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Major Theme/ Theme (Level 2)/ Theme (Level 3)</w:t>
                </w:r>
              </w:p>
            </w:tc>
            <w:tc>
              <w:tcPr>
                <w:tcW w:w="5066" w:type="dxa"/>
                <w:tcBorders>
                  <w:top w:val="nil"/>
                  <w:bottom w:val="single" w:sz="12" w:space="0" w:color="D9D9D9"/>
                </w:tcBorders>
                <w:shd w:val="clear" w:color="auto" w:fill="F7F7F7"/>
                <w:vAlign w:val="center"/>
              </w:tcPr>
              <w:p w14:paraId="1A82AEEE"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sidRPr="00A14B41">
                  <w:rPr>
                    <w:rFonts w:asciiTheme="minorHAnsi" w:hAnsiTheme="minorHAnsi" w:cstheme="minorBidi"/>
                    <w:b/>
                    <w:color w:val="767171" w:themeColor="background2" w:themeShade="80"/>
                    <w:sz w:val="21"/>
                    <w:szCs w:val="21"/>
                  </w:rPr>
                  <w:t>(%)</w:t>
                </w:r>
              </w:p>
            </w:tc>
          </w:tr>
        </w:tbl>
        <w:p w14:paraId="49E5AA3A" w14:textId="77777777" w:rsidR="00B3048D" w:rsidRDefault="00B3048D" w:rsidP="00B3048D">
          <w:pPr>
            <w:pStyle w:val="Normal69"/>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5"/>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E63776" w14:paraId="4E347603" w14:textId="77777777" w:rsidTr="000A6656">
            <w:trPr>
              <w:trHeight w:val="184"/>
            </w:trPr>
            <w:tc>
              <w:tcPr>
                <w:tcW w:w="6027" w:type="dxa"/>
                <w:tcBorders>
                  <w:bottom w:val="single" w:sz="12" w:space="0" w:color="BFBFBF"/>
                </w:tcBorders>
                <w:shd w:val="clear" w:color="auto" w:fill="F7F7F7"/>
                <w:vAlign w:val="center"/>
              </w:tcPr>
              <w:p w14:paraId="0AC0427F" w14:textId="77777777" w:rsidR="00B3048D" w:rsidRPr="00A14B41" w:rsidRDefault="002C3F71" w:rsidP="000A6656">
                <w:pPr>
                  <w:pStyle w:val="Normal69"/>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Environment and Natural Resource Management</w:t>
                </w:r>
              </w:p>
            </w:tc>
            <w:tc>
              <w:tcPr>
                <w:tcW w:w="4593" w:type="dxa"/>
                <w:tcBorders>
                  <w:bottom w:val="single" w:sz="12" w:space="0" w:color="BFBFBF"/>
                </w:tcBorders>
                <w:shd w:val="clear" w:color="auto" w:fill="F7F7F7"/>
                <w:vAlign w:val="center"/>
              </w:tcPr>
              <w:p w14:paraId="0CC3CA4C" w14:textId="77777777" w:rsidR="00B3048D" w:rsidRPr="00A14B41" w:rsidRDefault="002C3F71" w:rsidP="000A6656">
                <w:pPr>
                  <w:pStyle w:val="Normal69"/>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0</w:t>
                </w:r>
              </w:p>
            </w:tc>
          </w:tr>
          <w:tr w:rsidR="00E63776" w14:paraId="00B09F3D" w14:textId="77777777" w:rsidTr="000A6656">
            <w:trPr>
              <w:trHeight w:val="184"/>
            </w:trPr>
            <w:tc>
              <w:tcPr>
                <w:tcW w:w="10620" w:type="dxa"/>
                <w:gridSpan w:val="2"/>
                <w:tcBorders>
                  <w:top w:val="single" w:sz="12" w:space="0" w:color="BFBFBF"/>
                </w:tcBorders>
                <w:shd w:val="clear" w:color="auto" w:fill="F7F7F7"/>
                <w:vAlign w:val="center"/>
              </w:tcPr>
              <w:p w14:paraId="4DA037F7" w14:textId="77777777" w:rsidR="00B3048D"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tbl>
                <w:tblPr>
                  <w:tblStyle w:val="TableGrid145"/>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E63776" w14:paraId="43E08588" w14:textId="77777777" w:rsidTr="000A6656">
                  <w:trPr>
                    <w:trHeight w:val="184"/>
                  </w:trPr>
                  <w:tc>
                    <w:tcPr>
                      <w:tcW w:w="5905" w:type="dxa"/>
                      <w:tcBorders>
                        <w:bottom w:val="single" w:sz="8" w:space="0" w:color="D9D9D9"/>
                      </w:tcBorders>
                      <w:shd w:val="clear" w:color="auto" w:fill="F7F7F7"/>
                      <w:vAlign w:val="center"/>
                    </w:tcPr>
                    <w:p w14:paraId="168FE7A2" w14:textId="77777777" w:rsidR="00B3048D" w:rsidRPr="00A14B41" w:rsidRDefault="002C3F71" w:rsidP="000A6656">
                      <w:pPr>
                        <w:pStyle w:val="Normal69"/>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Environmental Health and Pollution Management</w:t>
                      </w:r>
                    </w:p>
                  </w:tc>
                  <w:tc>
                    <w:tcPr>
                      <w:tcW w:w="4590" w:type="dxa"/>
                      <w:tcBorders>
                        <w:bottom w:val="single" w:sz="8" w:space="0" w:color="D9D9D9"/>
                      </w:tcBorders>
                      <w:shd w:val="clear" w:color="auto" w:fill="F7F7F7"/>
                      <w:vAlign w:val="center"/>
                    </w:tcPr>
                    <w:p w14:paraId="29B5F0B8"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81</w:t>
                      </w:r>
                    </w:p>
                  </w:tc>
                </w:tr>
                <w:tr w:rsidR="00E63776" w14:paraId="599A0AD3" w14:textId="77777777" w:rsidTr="000A6656">
                  <w:trPr>
                    <w:trHeight w:val="183"/>
                  </w:trPr>
                  <w:tc>
                    <w:tcPr>
                      <w:tcW w:w="10495" w:type="dxa"/>
                      <w:gridSpan w:val="2"/>
                      <w:tcBorders>
                        <w:top w:val="single" w:sz="8" w:space="0" w:color="D9D9D9"/>
                      </w:tcBorders>
                      <w:shd w:val="clear" w:color="auto" w:fill="F7F7F7"/>
                      <w:vAlign w:val="center"/>
                    </w:tcPr>
                    <w:p w14:paraId="176F7F36" w14:textId="77777777" w:rsidR="00B3048D" w:rsidRDefault="00B3048D" w:rsidP="000A6656">
                      <w:pPr>
                        <w:pStyle w:val="Normal69"/>
                        <w:keepNext/>
                        <w:widowControl/>
                        <w:autoSpaceDE/>
                        <w:autoSpaceDN/>
                        <w:adjustRightInd/>
                        <w:spacing w:line="14" w:lineRule="exact"/>
                        <w:rPr>
                          <w:rFonts w:asciiTheme="minorHAnsi" w:hAnsiTheme="minorHAnsi"/>
                          <w:sz w:val="22"/>
                          <w:szCs w:val="22"/>
                        </w:rPr>
                      </w:pPr>
                    </w:p>
                    <w:tbl>
                      <w:tblPr>
                        <w:tblStyle w:val="TableGrid75"/>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E63776" w14:paraId="3EFAAD8D" w14:textId="77777777" w:rsidTr="000A6656">
                        <w:trPr>
                          <w:trHeight w:val="440"/>
                        </w:trPr>
                        <w:tc>
                          <w:tcPr>
                            <w:tcW w:w="5790" w:type="dxa"/>
                            <w:vAlign w:val="center"/>
                          </w:tcPr>
                          <w:p w14:paraId="2B6FF510" w14:textId="77777777" w:rsidR="00B3048D" w:rsidRPr="00A14B41" w:rsidRDefault="002C3F71" w:rsidP="000A6656">
                            <w:pPr>
                              <w:pStyle w:val="Normal69"/>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Air quality management</w:t>
                            </w:r>
                          </w:p>
                        </w:tc>
                        <w:tc>
                          <w:tcPr>
                            <w:tcW w:w="4590" w:type="dxa"/>
                            <w:vAlign w:val="center"/>
                          </w:tcPr>
                          <w:p w14:paraId="0119345E"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27</w:t>
                            </w:r>
                          </w:p>
                        </w:tc>
                      </w:tr>
                    </w:tbl>
                    <w:p w14:paraId="31E0C4EE"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p w14:paraId="16EFA113" w14:textId="77777777" w:rsidR="00B3048D" w:rsidRDefault="00B3048D" w:rsidP="000A6656">
                      <w:pPr>
                        <w:pStyle w:val="Normal69"/>
                        <w:keepNext/>
                        <w:widowControl/>
                        <w:autoSpaceDE/>
                        <w:autoSpaceDN/>
                        <w:adjustRightInd/>
                        <w:spacing w:line="14" w:lineRule="exact"/>
                        <w:rPr>
                          <w:rFonts w:asciiTheme="minorHAnsi" w:hAnsiTheme="minorHAnsi"/>
                          <w:sz w:val="22"/>
                          <w:szCs w:val="22"/>
                        </w:rPr>
                      </w:pPr>
                    </w:p>
                    <w:tbl>
                      <w:tblPr>
                        <w:tblStyle w:val="TableGrid75"/>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E63776" w14:paraId="15E5DE40" w14:textId="77777777" w:rsidTr="000A6656">
                        <w:trPr>
                          <w:trHeight w:val="440"/>
                        </w:trPr>
                        <w:tc>
                          <w:tcPr>
                            <w:tcW w:w="5790" w:type="dxa"/>
                            <w:vAlign w:val="center"/>
                          </w:tcPr>
                          <w:p w14:paraId="02031BBD" w14:textId="77777777" w:rsidR="00B3048D" w:rsidRPr="00A14B41" w:rsidRDefault="002C3F71" w:rsidP="000A6656">
                            <w:pPr>
                              <w:pStyle w:val="Normal69"/>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Water Pollution</w:t>
                            </w:r>
                          </w:p>
                        </w:tc>
                        <w:tc>
                          <w:tcPr>
                            <w:tcW w:w="4590" w:type="dxa"/>
                            <w:vAlign w:val="center"/>
                          </w:tcPr>
                          <w:p w14:paraId="4C4BE03A"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27</w:t>
                            </w:r>
                          </w:p>
                        </w:tc>
                      </w:tr>
                    </w:tbl>
                    <w:p w14:paraId="2E8C0B2D"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p w14:paraId="4D959397" w14:textId="77777777" w:rsidR="00B3048D" w:rsidRDefault="00B3048D" w:rsidP="000A6656">
                      <w:pPr>
                        <w:pStyle w:val="Normal69"/>
                        <w:keepNext/>
                        <w:widowControl/>
                        <w:autoSpaceDE/>
                        <w:autoSpaceDN/>
                        <w:adjustRightInd/>
                        <w:spacing w:line="14" w:lineRule="exact"/>
                        <w:rPr>
                          <w:rFonts w:asciiTheme="minorHAnsi" w:hAnsiTheme="minorHAnsi"/>
                          <w:sz w:val="22"/>
                          <w:szCs w:val="22"/>
                        </w:rPr>
                      </w:pPr>
                    </w:p>
                    <w:tbl>
                      <w:tblPr>
                        <w:tblStyle w:val="TableGrid75"/>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E63776" w14:paraId="7677A5E0" w14:textId="77777777" w:rsidTr="000A6656">
                        <w:trPr>
                          <w:trHeight w:val="440"/>
                        </w:trPr>
                        <w:tc>
                          <w:tcPr>
                            <w:tcW w:w="5790" w:type="dxa"/>
                            <w:vAlign w:val="center"/>
                          </w:tcPr>
                          <w:p w14:paraId="7E4BE450" w14:textId="77777777" w:rsidR="00B3048D" w:rsidRPr="00A14B41" w:rsidRDefault="002C3F71" w:rsidP="000A6656">
                            <w:pPr>
                              <w:pStyle w:val="Normal69"/>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Soil Pollution</w:t>
                            </w:r>
                          </w:p>
                        </w:tc>
                        <w:tc>
                          <w:tcPr>
                            <w:tcW w:w="4590" w:type="dxa"/>
                            <w:vAlign w:val="center"/>
                          </w:tcPr>
                          <w:p w14:paraId="4082D6CF"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27</w:t>
                            </w:r>
                          </w:p>
                        </w:tc>
                      </w:tr>
                    </w:tbl>
                    <w:p w14:paraId="67238B0B"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tc>
                </w:tr>
              </w:tbl>
              <w:p w14:paraId="059E14BA"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p w14:paraId="1C8DCF68" w14:textId="77777777" w:rsidR="00B3048D"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tbl>
                <w:tblPr>
                  <w:tblStyle w:val="TableGrid145"/>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E63776" w14:paraId="336FDA27" w14:textId="77777777" w:rsidTr="000A6656">
                  <w:trPr>
                    <w:trHeight w:val="184"/>
                  </w:trPr>
                  <w:tc>
                    <w:tcPr>
                      <w:tcW w:w="5905" w:type="dxa"/>
                      <w:tcBorders>
                        <w:bottom w:val="single" w:sz="8" w:space="0" w:color="D9D9D9"/>
                      </w:tcBorders>
                      <w:shd w:val="clear" w:color="auto" w:fill="F7F7F7"/>
                      <w:vAlign w:val="center"/>
                    </w:tcPr>
                    <w:p w14:paraId="075A863A" w14:textId="77777777" w:rsidR="00B3048D" w:rsidRPr="00A14B41" w:rsidRDefault="002C3F71" w:rsidP="000A6656">
                      <w:pPr>
                        <w:pStyle w:val="Normal69"/>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Environmental policies and institutions</w:t>
                      </w:r>
                    </w:p>
                  </w:tc>
                  <w:tc>
                    <w:tcPr>
                      <w:tcW w:w="4590" w:type="dxa"/>
                      <w:tcBorders>
                        <w:bottom w:val="single" w:sz="8" w:space="0" w:color="D9D9D9"/>
                      </w:tcBorders>
                      <w:shd w:val="clear" w:color="auto" w:fill="F7F7F7"/>
                      <w:vAlign w:val="center"/>
                    </w:tcPr>
                    <w:p w14:paraId="36DC1073" w14:textId="77777777" w:rsidR="00B3048D" w:rsidRPr="00A14B41" w:rsidRDefault="002C3F71" w:rsidP="000A6656">
                      <w:pPr>
                        <w:pStyle w:val="Normal69"/>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20</w:t>
                      </w:r>
                    </w:p>
                  </w:tc>
                </w:tr>
                <w:tr w:rsidR="00E63776" w14:paraId="540232A8" w14:textId="77777777" w:rsidTr="000A6656">
                  <w:trPr>
                    <w:trHeight w:val="183"/>
                  </w:trPr>
                  <w:tc>
                    <w:tcPr>
                      <w:tcW w:w="10495" w:type="dxa"/>
                      <w:gridSpan w:val="2"/>
                      <w:tcBorders>
                        <w:top w:val="single" w:sz="8" w:space="0" w:color="D9D9D9"/>
                      </w:tcBorders>
                      <w:shd w:val="clear" w:color="auto" w:fill="F7F7F7"/>
                      <w:vAlign w:val="center"/>
                    </w:tcPr>
                    <w:p w14:paraId="6510E3DB"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tc>
                </w:tr>
              </w:tbl>
              <w:p w14:paraId="735E38A9" w14:textId="77777777" w:rsidR="00B3048D" w:rsidRPr="00A14B41" w:rsidRDefault="00B3048D" w:rsidP="000A6656">
                <w:pPr>
                  <w:pStyle w:val="Normal69"/>
                  <w:keepNext/>
                  <w:widowControl/>
                  <w:autoSpaceDE/>
                  <w:autoSpaceDN/>
                  <w:adjustRightInd/>
                  <w:spacing w:line="14" w:lineRule="exact"/>
                  <w:rPr>
                    <w:rFonts w:asciiTheme="minorHAnsi" w:hAnsiTheme="minorHAnsi" w:cstheme="minorBidi"/>
                    <w:color w:val="auto"/>
                    <w:sz w:val="21"/>
                    <w:szCs w:val="21"/>
                  </w:rPr>
                </w:pPr>
              </w:p>
            </w:tc>
          </w:tr>
        </w:tbl>
        <w:p w14:paraId="12D993BF" w14:textId="77777777" w:rsidR="00B3048D" w:rsidRDefault="00B3048D" w:rsidP="00B3048D">
          <w:pPr>
            <w:pStyle w:val="Normal69"/>
            <w:shd w:val="clear" w:color="auto" w:fill="F7F7F7"/>
            <w:spacing w:line="14" w:lineRule="exact"/>
            <w:ind w:left="-691" w:right="-518"/>
            <w:rPr>
              <w:rFonts w:asciiTheme="minorHAnsi" w:hAnsiTheme="minorHAnsi"/>
              <w:color w:val="767171" w:themeColor="background2" w:themeShade="80"/>
              <w:sz w:val="22"/>
              <w:szCs w:val="22"/>
            </w:rPr>
          </w:pPr>
        </w:p>
        <w:p w14:paraId="4005BCC9"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tbl>
          <w:tblPr>
            <w:tblStyle w:val="TableGrid75"/>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E63776" w14:paraId="08CF1297" w14:textId="77777777" w:rsidTr="000A6656">
            <w:trPr>
              <w:trHeight w:val="450"/>
            </w:trPr>
            <w:tc>
              <w:tcPr>
                <w:tcW w:w="10620" w:type="dxa"/>
                <w:shd w:val="clear" w:color="auto" w:fill="F7F7F7"/>
                <w:vAlign w:val="center"/>
              </w:tcPr>
              <w:tbl>
                <w:tblPr>
                  <w:tblStyle w:val="TableGrid75"/>
                  <w:tblW w:w="10620" w:type="dxa"/>
                  <w:shd w:val="clear" w:color="auto" w:fill="F7F7F7"/>
                  <w:tblLayout w:type="fixed"/>
                  <w:tblLook w:val="04A0" w:firstRow="1" w:lastRow="0" w:firstColumn="1" w:lastColumn="0" w:noHBand="0" w:noVBand="1"/>
                </w:tblPr>
                <w:tblGrid>
                  <w:gridCol w:w="10620"/>
                </w:tblGrid>
                <w:tr w:rsidR="00E63776" w14:paraId="1FE20251" w14:textId="77777777" w:rsidTr="000A6656">
                  <w:trPr>
                    <w:trHeight w:val="378"/>
                  </w:trPr>
                  <w:tc>
                    <w:tcPr>
                      <w:tcW w:w="10620" w:type="dxa"/>
                      <w:tcBorders>
                        <w:top w:val="nil"/>
                        <w:left w:val="single" w:sz="24" w:space="0" w:color="BFBFBF"/>
                        <w:bottom w:val="nil"/>
                        <w:right w:val="nil"/>
                      </w:tcBorders>
                      <w:shd w:val="clear" w:color="auto" w:fill="E7E6E6"/>
                      <w:vAlign w:val="center"/>
                      <w:hideMark/>
                    </w:tcPr>
                    <w:p w14:paraId="37284B6A" w14:textId="77777777" w:rsidR="00B3048D" w:rsidRPr="00A14B41" w:rsidRDefault="002C3F71" w:rsidP="000A6656">
                      <w:pPr>
                        <w:pStyle w:val="Normal69"/>
                        <w:keepNext/>
                        <w:widowControl/>
                        <w:rPr>
                          <w:rFonts w:asciiTheme="minorHAnsi" w:eastAsia="Times New Roman" w:hAnsiTheme="minorHAnsi"/>
                        </w:rPr>
                      </w:pPr>
                      <w:r>
                        <w:rPr>
                          <w:rFonts w:asciiTheme="minorHAnsi" w:hAnsiTheme="minorHAnsi"/>
                          <w:b/>
                          <w:bCs/>
                        </w:rPr>
                        <w:t xml:space="preserve">ADM </w:t>
                      </w:r>
                      <w:r w:rsidRPr="00A14B41">
                        <w:rPr>
                          <w:rFonts w:asciiTheme="minorHAnsi" w:hAnsiTheme="minorHAnsi"/>
                          <w:b/>
                          <w:bCs/>
                        </w:rPr>
                        <w:t>STAFF</w:t>
                      </w:r>
                    </w:p>
                  </w:tc>
                </w:tr>
              </w:tbl>
              <w:p w14:paraId="3C7FAAFA" w14:textId="77777777" w:rsidR="00B3048D" w:rsidRPr="00692E93" w:rsidRDefault="00B3048D" w:rsidP="000A6656">
                <w:pPr>
                  <w:pStyle w:val="Normal69"/>
                  <w:keepNext/>
                  <w:widowControl/>
                  <w:rPr>
                    <w:rFonts w:asciiTheme="minorHAnsi" w:hAnsiTheme="minorHAnsi"/>
                    <w:sz w:val="22"/>
                    <w:szCs w:val="22"/>
                  </w:rPr>
                </w:pPr>
              </w:p>
            </w:tc>
          </w:tr>
        </w:tbl>
        <w:tbl>
          <w:tblPr>
            <w:tblStyle w:val="TableGrid45"/>
            <w:tblW w:w="10604" w:type="dxa"/>
            <w:tblInd w:w="-720" w:type="dxa"/>
            <w:tblBorders>
              <w:top w:val="nil"/>
              <w:left w:val="nil"/>
              <w:bottom w:val="nil"/>
              <w:right w:val="nil"/>
              <w:insideH w:val="nil"/>
              <w:insideV w:val="nil"/>
            </w:tblBorders>
            <w:shd w:val="clear" w:color="auto" w:fill="F7F7F7"/>
            <w:tblLayout w:type="fixed"/>
            <w:tblLook w:val="04A0" w:firstRow="1" w:lastRow="0" w:firstColumn="1" w:lastColumn="0" w:noHBand="0" w:noVBand="1"/>
          </w:tblPr>
          <w:tblGrid>
            <w:gridCol w:w="4200"/>
            <w:gridCol w:w="3330"/>
            <w:gridCol w:w="3074"/>
          </w:tblGrid>
          <w:tr w:rsidR="00E63776" w14:paraId="1CE3B261" w14:textId="77777777" w:rsidTr="000A6656">
            <w:trPr>
              <w:trHeight w:val="413"/>
            </w:trPr>
            <w:tc>
              <w:tcPr>
                <w:tcW w:w="4200" w:type="dxa"/>
                <w:tcBorders>
                  <w:top w:val="nil"/>
                  <w:left w:val="nil"/>
                  <w:bottom w:val="single" w:sz="12" w:space="0" w:color="D9D9D9"/>
                  <w:right w:val="nil"/>
                </w:tcBorders>
                <w:shd w:val="clear" w:color="auto" w:fill="F7F7F7"/>
                <w:vAlign w:val="center"/>
              </w:tcPr>
              <w:p w14:paraId="0B08CF33" w14:textId="77777777" w:rsidR="00B3048D" w:rsidRPr="00B03C9A" w:rsidRDefault="002C3F71" w:rsidP="000A6656">
                <w:pPr>
                  <w:pStyle w:val="Normal69"/>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Role</w:t>
                </w:r>
              </w:p>
            </w:tc>
            <w:tc>
              <w:tcPr>
                <w:tcW w:w="3330" w:type="dxa"/>
                <w:tcBorders>
                  <w:top w:val="nil"/>
                  <w:left w:val="nil"/>
                  <w:bottom w:val="single" w:sz="12" w:space="0" w:color="D9D9D9"/>
                  <w:right w:val="nil"/>
                </w:tcBorders>
                <w:shd w:val="clear" w:color="auto" w:fill="F7F7F7"/>
                <w:vAlign w:val="center"/>
              </w:tcPr>
              <w:p w14:paraId="6C018EAC" w14:textId="77777777" w:rsidR="00B3048D" w:rsidRPr="00B03C9A" w:rsidRDefault="002C3F71" w:rsidP="000A6656">
                <w:pPr>
                  <w:pStyle w:val="Normal69"/>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Approval</w:t>
                </w:r>
              </w:p>
            </w:tc>
            <w:tc>
              <w:tcPr>
                <w:tcW w:w="3074" w:type="dxa"/>
                <w:tcBorders>
                  <w:top w:val="nil"/>
                  <w:left w:val="nil"/>
                  <w:bottom w:val="single" w:sz="12" w:space="0" w:color="D9D9D9"/>
                  <w:right w:val="nil"/>
                </w:tcBorders>
                <w:shd w:val="clear" w:color="auto" w:fill="F7F7F7"/>
                <w:vAlign w:val="center"/>
              </w:tcPr>
              <w:p w14:paraId="12CB50B4" w14:textId="77777777" w:rsidR="00B3048D" w:rsidRPr="00B03C9A" w:rsidRDefault="002C3F71" w:rsidP="000A6656">
                <w:pPr>
                  <w:pStyle w:val="Normal69"/>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ICR</w:t>
                </w:r>
              </w:p>
            </w:tc>
          </w:tr>
          <w:tr w:rsidR="00E63776" w14:paraId="12090A49"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663EF46D"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Regional Vice President:</w:t>
                </w:r>
              </w:p>
            </w:tc>
            <w:tc>
              <w:tcPr>
                <w:tcW w:w="3330" w:type="dxa"/>
                <w:tcBorders>
                  <w:top w:val="single" w:sz="12" w:space="0" w:color="D9D9D9"/>
                  <w:left w:val="nil"/>
                  <w:bottom w:val="single" w:sz="8" w:space="0" w:color="D9D9D9"/>
                  <w:right w:val="nil"/>
                </w:tcBorders>
                <w:shd w:val="clear" w:color="auto" w:fill="F7F7F7"/>
                <w:vAlign w:val="center"/>
              </w:tcPr>
              <w:p w14:paraId="1833D47D"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Pamela Cox</w:t>
                </w:r>
              </w:p>
            </w:tc>
            <w:tc>
              <w:tcPr>
                <w:tcW w:w="3074" w:type="dxa"/>
                <w:tcBorders>
                  <w:top w:val="single" w:sz="12" w:space="0" w:color="D9D9D9"/>
                  <w:left w:val="nil"/>
                  <w:bottom w:val="single" w:sz="8" w:space="0" w:color="D9D9D9"/>
                  <w:right w:val="nil"/>
                </w:tcBorders>
                <w:shd w:val="clear" w:color="auto" w:fill="F7F7F7"/>
                <w:vAlign w:val="center"/>
              </w:tcPr>
              <w:p w14:paraId="176B7F8D"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Jorge Familiar Calderon</w:t>
                </w:r>
              </w:p>
            </w:tc>
          </w:tr>
          <w:tr w:rsidR="00E63776" w14:paraId="79031037"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7FDC3F9F"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Country Director:</w:t>
                </w:r>
              </w:p>
            </w:tc>
            <w:tc>
              <w:tcPr>
                <w:tcW w:w="3330" w:type="dxa"/>
                <w:tcBorders>
                  <w:top w:val="single" w:sz="12" w:space="0" w:color="D9D9D9"/>
                  <w:left w:val="nil"/>
                  <w:bottom w:val="single" w:sz="8" w:space="0" w:color="D9D9D9"/>
                  <w:right w:val="nil"/>
                </w:tcBorders>
                <w:shd w:val="clear" w:color="auto" w:fill="F7F7F7"/>
                <w:vAlign w:val="center"/>
              </w:tcPr>
              <w:p w14:paraId="3F81C44D"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Pedro Alba</w:t>
                </w:r>
              </w:p>
            </w:tc>
            <w:tc>
              <w:tcPr>
                <w:tcW w:w="3074" w:type="dxa"/>
                <w:tcBorders>
                  <w:top w:val="single" w:sz="12" w:space="0" w:color="D9D9D9"/>
                  <w:left w:val="nil"/>
                  <w:bottom w:val="single" w:sz="8" w:space="0" w:color="D9D9D9"/>
                  <w:right w:val="nil"/>
                </w:tcBorders>
                <w:shd w:val="clear" w:color="auto" w:fill="F7F7F7"/>
                <w:vAlign w:val="center"/>
              </w:tcPr>
              <w:p w14:paraId="70549C74"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Jesko S. Hentschel</w:t>
                </w:r>
              </w:p>
            </w:tc>
          </w:tr>
          <w:tr w:rsidR="00E63776" w14:paraId="7193DEA8"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0591F469"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Senior Global Practice Director:</w:t>
                </w:r>
              </w:p>
            </w:tc>
            <w:tc>
              <w:tcPr>
                <w:tcW w:w="3330" w:type="dxa"/>
                <w:tcBorders>
                  <w:top w:val="single" w:sz="12" w:space="0" w:color="D9D9D9"/>
                  <w:left w:val="nil"/>
                  <w:bottom w:val="single" w:sz="8" w:space="0" w:color="D9D9D9"/>
                  <w:right w:val="nil"/>
                </w:tcBorders>
                <w:shd w:val="clear" w:color="auto" w:fill="F7F7F7"/>
                <w:vAlign w:val="center"/>
              </w:tcPr>
              <w:p w14:paraId="4B5A1F4F"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Laura Tuck</w:t>
                </w:r>
              </w:p>
            </w:tc>
            <w:tc>
              <w:tcPr>
                <w:tcW w:w="3074" w:type="dxa"/>
                <w:tcBorders>
                  <w:top w:val="single" w:sz="12" w:space="0" w:color="D9D9D9"/>
                  <w:left w:val="nil"/>
                  <w:bottom w:val="single" w:sz="8" w:space="0" w:color="D9D9D9"/>
                  <w:right w:val="nil"/>
                </w:tcBorders>
                <w:shd w:val="clear" w:color="auto" w:fill="F7F7F7"/>
                <w:vAlign w:val="center"/>
              </w:tcPr>
              <w:p w14:paraId="5B6FF842"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Karin Erika Kemper</w:t>
                </w:r>
              </w:p>
            </w:tc>
          </w:tr>
          <w:tr w:rsidR="00E63776" w14:paraId="1DD03ADF"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50D1B556"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Practice Manager:</w:t>
                </w:r>
              </w:p>
            </w:tc>
            <w:tc>
              <w:tcPr>
                <w:tcW w:w="3330" w:type="dxa"/>
                <w:tcBorders>
                  <w:top w:val="single" w:sz="12" w:space="0" w:color="D9D9D9"/>
                  <w:left w:val="nil"/>
                  <w:bottom w:val="single" w:sz="8" w:space="0" w:color="D9D9D9"/>
                  <w:right w:val="nil"/>
                </w:tcBorders>
                <w:shd w:val="clear" w:color="auto" w:fill="F7F7F7"/>
                <w:vAlign w:val="center"/>
              </w:tcPr>
              <w:p w14:paraId="18268A13"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Laura E. Tlaiye</w:t>
                </w:r>
              </w:p>
            </w:tc>
            <w:tc>
              <w:tcPr>
                <w:tcW w:w="3074" w:type="dxa"/>
                <w:tcBorders>
                  <w:top w:val="single" w:sz="12" w:space="0" w:color="D9D9D9"/>
                  <w:left w:val="nil"/>
                  <w:bottom w:val="single" w:sz="8" w:space="0" w:color="D9D9D9"/>
                  <w:right w:val="nil"/>
                </w:tcBorders>
                <w:shd w:val="clear" w:color="auto" w:fill="F7F7F7"/>
                <w:vAlign w:val="center"/>
              </w:tcPr>
              <w:p w14:paraId="198BA89C"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Valerie Hickey</w:t>
                </w:r>
              </w:p>
            </w:tc>
          </w:tr>
          <w:tr w:rsidR="00E63776" w14:paraId="77E78102"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586F3A74"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Task Team Leader(s):</w:t>
                </w:r>
              </w:p>
            </w:tc>
            <w:tc>
              <w:tcPr>
                <w:tcW w:w="3330" w:type="dxa"/>
                <w:tcBorders>
                  <w:top w:val="single" w:sz="12" w:space="0" w:color="D9D9D9"/>
                  <w:left w:val="nil"/>
                  <w:bottom w:val="single" w:sz="8" w:space="0" w:color="D9D9D9"/>
                  <w:right w:val="nil"/>
                </w:tcBorders>
                <w:shd w:val="clear" w:color="auto" w:fill="F7F7F7"/>
                <w:vAlign w:val="center"/>
              </w:tcPr>
              <w:p w14:paraId="3E224BE2"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Carter J. Brandon</w:t>
                </w:r>
              </w:p>
            </w:tc>
            <w:tc>
              <w:tcPr>
                <w:tcW w:w="3074" w:type="dxa"/>
                <w:tcBorders>
                  <w:top w:val="single" w:sz="12" w:space="0" w:color="D9D9D9"/>
                  <w:left w:val="nil"/>
                  <w:bottom w:val="single" w:sz="8" w:space="0" w:color="D9D9D9"/>
                  <w:right w:val="nil"/>
                </w:tcBorders>
                <w:shd w:val="clear" w:color="auto" w:fill="F7F7F7"/>
                <w:vAlign w:val="center"/>
              </w:tcPr>
              <w:p w14:paraId="44C5EB7A"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Ruth Tiffer-Sotomayor</w:t>
                </w:r>
              </w:p>
            </w:tc>
          </w:tr>
          <w:tr w:rsidR="00E63776" w14:paraId="2DAA916F" w14:textId="77777777"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14:paraId="074D13D4"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ICR Contributing Author:</w:t>
                </w:r>
              </w:p>
            </w:tc>
            <w:tc>
              <w:tcPr>
                <w:tcW w:w="3330" w:type="dxa"/>
                <w:tcBorders>
                  <w:top w:val="single" w:sz="12" w:space="0" w:color="D9D9D9"/>
                  <w:left w:val="nil"/>
                  <w:bottom w:val="single" w:sz="8" w:space="0" w:color="D9D9D9"/>
                  <w:right w:val="nil"/>
                </w:tcBorders>
                <w:shd w:val="clear" w:color="auto" w:fill="F7F7F7"/>
                <w:vAlign w:val="center"/>
              </w:tcPr>
              <w:p w14:paraId="32FE6749" w14:textId="77777777" w:rsidR="00B3048D" w:rsidRPr="00B03C9A" w:rsidRDefault="00B3048D" w:rsidP="000A6656">
                <w:pPr>
                  <w:pStyle w:val="Normal69"/>
                  <w:widowControl/>
                  <w:autoSpaceDE/>
                  <w:autoSpaceDN/>
                  <w:adjustRightInd/>
                  <w:rPr>
                    <w:rFonts w:asciiTheme="minorHAnsi" w:eastAsiaTheme="minorHAnsi" w:hAnsiTheme="minorHAnsi" w:cstheme="minorBidi"/>
                    <w:color w:val="auto"/>
                    <w:sz w:val="22"/>
                    <w:szCs w:val="22"/>
                  </w:rPr>
                </w:pPr>
              </w:p>
            </w:tc>
            <w:tc>
              <w:tcPr>
                <w:tcW w:w="3074" w:type="dxa"/>
                <w:tcBorders>
                  <w:top w:val="single" w:sz="12" w:space="0" w:color="D9D9D9"/>
                  <w:left w:val="nil"/>
                  <w:bottom w:val="single" w:sz="8" w:space="0" w:color="D9D9D9"/>
                  <w:right w:val="nil"/>
                </w:tcBorders>
                <w:shd w:val="clear" w:color="auto" w:fill="F7F7F7"/>
                <w:vAlign w:val="center"/>
              </w:tcPr>
              <w:p w14:paraId="64CD28FE" w14:textId="77777777" w:rsidR="00B3048D" w:rsidRPr="00B03C9A" w:rsidRDefault="002C3F71" w:rsidP="000A6656">
                <w:pPr>
                  <w:pStyle w:val="Normal69"/>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Renan Alberto Poveda</w:t>
                </w:r>
              </w:p>
            </w:tc>
          </w:tr>
        </w:tbl>
        <w:p w14:paraId="039A1E27" w14:textId="77777777" w:rsidR="00B3048D" w:rsidRDefault="00B3048D" w:rsidP="00B3048D">
          <w:pPr>
            <w:pStyle w:val="Normal69"/>
            <w:shd w:val="clear" w:color="auto" w:fill="F7F7F7"/>
            <w:ind w:left="-691" w:right="-518"/>
            <w:rPr>
              <w:rFonts w:asciiTheme="minorHAnsi" w:hAnsiTheme="minorHAnsi"/>
              <w:color w:val="767171" w:themeColor="background2" w:themeShade="80"/>
              <w:sz w:val="22"/>
              <w:szCs w:val="22"/>
            </w:rPr>
          </w:pPr>
        </w:p>
        <w:p w14:paraId="4A8374F1" w14:textId="77777777" w:rsidR="00B3048D" w:rsidRDefault="00B3048D" w:rsidP="00B3048D">
          <w:pPr>
            <w:pStyle w:val="Normal350"/>
            <w:widowControl w:val="0"/>
            <w:spacing w:after="0" w:line="240" w:lineRule="auto"/>
            <w:ind w:left="-907"/>
          </w:pPr>
        </w:p>
        <w:sdt>
          <w:sdtPr>
            <w:tag w:val="OPS_CORE_SECTION_END_5"/>
            <w:id w:val="969822638"/>
            <w:lock w:val="sdtContentLocked"/>
            <w:placeholder>
              <w:docPart w:val="2996D5764BDF46D986762CDB34C06051"/>
            </w:placeholder>
          </w:sdtPr>
          <w:sdtEndPr/>
          <w:sdtContent>
            <w:p w14:paraId="302A12ED" w14:textId="77777777" w:rsidR="00B3048D" w:rsidRDefault="002C3F71" w:rsidP="00B3048D">
              <w:pPr>
                <w:pStyle w:val="Normal3"/>
                <w:widowControl w:val="0"/>
                <w:spacing w:after="0" w:line="14" w:lineRule="exact"/>
                <w:ind w:left="-907"/>
              </w:pPr>
              <w:r>
                <w:t xml:space="preserve"> </w:t>
              </w:r>
            </w:p>
          </w:sdtContent>
        </w:sdt>
      </w:sdtContent>
    </w:sdt>
    <w:p w14:paraId="5924CB9D" w14:textId="77777777" w:rsidR="00B3048D" w:rsidRDefault="00B3048D" w:rsidP="008F3BB9">
      <w:pPr>
        <w:pStyle w:val="Normal3"/>
        <w:widowControl w:val="0"/>
        <w:spacing w:after="0" w:line="14" w:lineRule="exact"/>
        <w:ind w:left="-907"/>
      </w:pPr>
    </w:p>
    <w:p w14:paraId="73A424BE" w14:textId="77777777" w:rsidR="00B3048D" w:rsidRDefault="00B3048D" w:rsidP="008F3BB9">
      <w:pPr>
        <w:pStyle w:val="Normal3"/>
        <w:widowControl w:val="0"/>
        <w:spacing w:after="0" w:line="14" w:lineRule="exact"/>
        <w:ind w:left="-907"/>
        <w:sectPr w:rsidR="00B3048D" w:rsidSect="003615CB">
          <w:type w:val="continuous"/>
          <w:pgSz w:w="12240" w:h="15840"/>
          <w:pgMar w:top="1440" w:right="1440" w:bottom="1440" w:left="1440" w:header="720" w:footer="720" w:gutter="0"/>
          <w:cols w:space="720"/>
          <w:docGrid w:linePitch="360"/>
        </w:sectPr>
      </w:pPr>
    </w:p>
    <w:p w14:paraId="7B227DA3" w14:textId="77777777" w:rsidR="00B3048D" w:rsidRDefault="002C3F71" w:rsidP="00B3048D">
      <w:pPr>
        <w:pStyle w:val="Normal3"/>
        <w:widowControl w:val="0"/>
        <w:spacing w:after="0" w:line="240" w:lineRule="auto"/>
        <w:ind w:left="-907"/>
      </w:pPr>
      <w:r>
        <w:rPr>
          <w:noProof/>
        </w:rPr>
        <mc:AlternateContent>
          <mc:Choice Requires="wps">
            <w:drawing>
              <wp:anchor distT="0" distB="0" distL="114300" distR="114300" simplePos="0" relativeHeight="251670528" behindDoc="0" locked="0" layoutInCell="1" allowOverlap="1" wp14:anchorId="7C52CF21" wp14:editId="0FE11216">
                <wp:simplePos x="0" y="0"/>
                <wp:positionH relativeFrom="column">
                  <wp:posOffset>-938254</wp:posOffset>
                </wp:positionH>
                <wp:positionV relativeFrom="paragraph">
                  <wp:posOffset>170070</wp:posOffset>
                </wp:positionV>
                <wp:extent cx="7800230" cy="0"/>
                <wp:effectExtent l="0" t="0" r="10795" b="19050"/>
                <wp:wrapNone/>
                <wp:docPr id="22" name="Straight Connector 22"/>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2" o:spid="_x0000_s1028" style="mso-width-percent:0;mso-width-relative:margin;mso-wrap-distance-bottom:0;mso-wrap-distance-left:9pt;mso-wrap-distance-right:9pt;mso-wrap-distance-top:0;mso-wrap-style:square;position:absolute;visibility:visible;z-index:251671552" from="-73.9pt,13.4pt" to="540.3pt,13.4pt" strokecolor="gray">
                <v:stroke joinstyle="miter" dashstyle="dash" opacity="26214f"/>
              </v:line>
            </w:pict>
          </mc:Fallback>
        </mc:AlternateContent>
      </w:r>
    </w:p>
    <w:p w14:paraId="753AD6B7" w14:textId="77777777" w:rsidR="00B3048D" w:rsidRDefault="00B3048D" w:rsidP="00B3048D">
      <w:pPr>
        <w:pStyle w:val="Normal3"/>
        <w:widowControl w:val="0"/>
        <w:spacing w:after="0" w:line="240" w:lineRule="auto"/>
        <w:ind w:left="-907"/>
      </w:pPr>
    </w:p>
    <w:p w14:paraId="6D4C1819" w14:textId="77777777" w:rsidR="00B3048D" w:rsidRDefault="00B3048D" w:rsidP="00B3048D">
      <w:pPr>
        <w:pStyle w:val="Normal3"/>
        <w:widowControl w:val="0"/>
        <w:spacing w:after="0" w:line="240" w:lineRule="auto"/>
        <w:ind w:left="-720"/>
      </w:pPr>
    </w:p>
    <w:sdt>
      <w:sdtPr>
        <w:id w:val="696361357"/>
        <w:lock w:val="sdtContentLocked"/>
        <w:placeholder>
          <w:docPart w:val="A1E930F40544463486232D5111D7EB5B"/>
        </w:placeholder>
        <w:showingPlcHdr/>
      </w:sdtPr>
      <w:sdtEndPr/>
      <w:sdtContent>
        <w:p w14:paraId="1B456D65" w14:textId="77777777" w:rsidR="00B3048D" w:rsidRPr="007F0644" w:rsidRDefault="002C3F71" w:rsidP="00B3048D">
          <w:pPr>
            <w:pStyle w:val="Normal3"/>
            <w:widowControl w:val="0"/>
            <w:spacing w:after="0" w:line="20" w:lineRule="exact"/>
            <w:ind w:left="-907"/>
            <w:sectPr w:rsidR="00B3048D" w:rsidRPr="007F0644" w:rsidSect="003615CB">
              <w:type w:val="continuous"/>
              <w:pgSz w:w="12240" w:h="15840"/>
              <w:pgMar w:top="1440" w:right="1440" w:bottom="1440" w:left="1440" w:header="720" w:footer="720" w:gutter="0"/>
              <w:cols w:space="720"/>
              <w:docGrid w:linePitch="360"/>
            </w:sectPr>
          </w:pPr>
          <w:r>
            <w:t xml:space="preserve"> </w:t>
          </w:r>
        </w:p>
      </w:sdtContent>
    </w:sdt>
    <w:p w14:paraId="51828E56" w14:textId="77777777" w:rsidR="003615CB" w:rsidRDefault="003615CB" w:rsidP="00BE4579">
      <w:pPr>
        <w:ind w:left="-792"/>
        <w:rPr>
          <w:rFonts w:asciiTheme="minorHAnsi" w:hAnsiTheme="minorHAnsi"/>
          <w:b/>
          <w:bCs/>
          <w:color w:val="7F7F7F" w:themeColor="text1" w:themeTint="80"/>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E63776" w14:paraId="1BD1A727" w14:textId="77777777" w:rsidTr="008565D8">
        <w:trPr>
          <w:trHeight w:val="432"/>
        </w:trPr>
        <w:tc>
          <w:tcPr>
            <w:tcW w:w="10962" w:type="dxa"/>
            <w:shd w:val="clear" w:color="auto" w:fill="F2F7FC"/>
            <w:vAlign w:val="center"/>
          </w:tcPr>
          <w:p w14:paraId="189B607F" w14:textId="77777777" w:rsidR="003615CB" w:rsidRPr="00420504" w:rsidRDefault="002C3F71" w:rsidP="00BE4579">
            <w:pPr>
              <w:pStyle w:val="NoSpacing"/>
              <w:numPr>
                <w:ilvl w:val="0"/>
                <w:numId w:val="1"/>
              </w:numPr>
              <w:ind w:left="288" w:hanging="288"/>
              <w:outlineLvl w:val="0"/>
              <w:rPr>
                <w:rFonts w:asciiTheme="minorHAnsi" w:hAnsiTheme="minorHAnsi"/>
                <w:b/>
                <w:sz w:val="22"/>
                <w:szCs w:val="22"/>
              </w:rPr>
            </w:pPr>
            <w:bookmarkStart w:id="5" w:name="_Toc256000002"/>
            <w:bookmarkStart w:id="6" w:name="_Toc485984542"/>
            <w:bookmarkStart w:id="7" w:name="_Toc502164460"/>
            <w:r w:rsidRPr="00420504">
              <w:rPr>
                <w:rFonts w:asciiTheme="minorHAnsi" w:hAnsiTheme="minorHAnsi"/>
                <w:b/>
                <w:sz w:val="22"/>
              </w:rPr>
              <w:t>PROJECT CONTEXT AND DEVELOPMENT OBJECTIVES</w:t>
            </w:r>
            <w:bookmarkEnd w:id="5"/>
            <w:bookmarkEnd w:id="6"/>
            <w:bookmarkEnd w:id="7"/>
          </w:p>
        </w:tc>
      </w:tr>
    </w:tbl>
    <w:p w14:paraId="550653CA" w14:textId="77777777" w:rsidR="003615CB" w:rsidRDefault="003615CB" w:rsidP="00BE4579">
      <w:pPr>
        <w:ind w:left="-810"/>
        <w:rPr>
          <w:rFonts w:asciiTheme="minorHAnsi" w:hAnsiTheme="minorHAnsi"/>
          <w:b/>
          <w:bCs/>
          <w:color w:val="7F7F7F" w:themeColor="text1" w:themeTint="80"/>
          <w:sz w:val="22"/>
          <w:szCs w:val="22"/>
        </w:rPr>
      </w:pPr>
    </w:p>
    <w:p w14:paraId="6EC9574E" w14:textId="77777777" w:rsidR="003615CB" w:rsidRPr="009E631B" w:rsidRDefault="003615CB"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22F213DA" w14:textId="77777777" w:rsidTr="003615CB">
        <w:trPr>
          <w:trHeight w:val="80"/>
        </w:trPr>
        <w:tc>
          <w:tcPr>
            <w:tcW w:w="10710" w:type="dxa"/>
          </w:tcPr>
          <w:p w14:paraId="3D272CE5" w14:textId="77777777" w:rsidR="003615CB" w:rsidRPr="009E631B" w:rsidRDefault="002C3F71" w:rsidP="00F81AC2">
            <w:pPr>
              <w:pStyle w:val="Heading2"/>
              <w:keepLines w:val="0"/>
              <w:outlineLvl w:val="1"/>
              <w:rPr>
                <w:b/>
                <w:bCs/>
                <w:szCs w:val="22"/>
              </w:rPr>
            </w:pPr>
            <w:bookmarkStart w:id="8" w:name="_Toc256000003"/>
            <w:bookmarkStart w:id="9" w:name="_Toc433982405"/>
            <w:bookmarkStart w:id="10" w:name="_Toc460509188"/>
            <w:bookmarkStart w:id="11" w:name="_Toc485984543"/>
            <w:bookmarkStart w:id="12" w:name="_Toc502164461"/>
            <w:r w:rsidRPr="009E631B">
              <w:rPr>
                <w:b/>
                <w:bCs/>
                <w:szCs w:val="22"/>
              </w:rPr>
              <w:t>A.</w:t>
            </w:r>
            <w:r w:rsidRPr="009E631B">
              <w:rPr>
                <w:b/>
                <w:szCs w:val="22"/>
              </w:rPr>
              <w:t xml:space="preserve"> </w:t>
            </w:r>
            <w:r w:rsidR="00271EB3" w:rsidRPr="009E631B">
              <w:rPr>
                <w:b/>
                <w:bCs/>
                <w:szCs w:val="22"/>
              </w:rPr>
              <w:t>CONTEXT AT APPRAISAL</w:t>
            </w:r>
            <w:bookmarkEnd w:id="8"/>
            <w:bookmarkEnd w:id="9"/>
            <w:bookmarkEnd w:id="10"/>
            <w:bookmarkEnd w:id="11"/>
            <w:bookmarkEnd w:id="12"/>
          </w:p>
        </w:tc>
      </w:tr>
    </w:tbl>
    <w:p w14:paraId="3BF050B0" w14:textId="77777777" w:rsidR="003615CB" w:rsidRPr="009E631B" w:rsidRDefault="003615CB" w:rsidP="00F81AC2">
      <w:pPr>
        <w:ind w:left="-634"/>
        <w:rPr>
          <w:rFonts w:asciiTheme="minorHAnsi" w:hAnsiTheme="minorHAnsi"/>
          <w:bCs/>
          <w:color w:val="auto"/>
          <w:sz w:val="22"/>
          <w:szCs w:val="22"/>
        </w:rPr>
      </w:pPr>
    </w:p>
    <w:tbl>
      <w:tblPr>
        <w:tblW w:w="10890" w:type="dxa"/>
        <w:tblInd w:w="-810" w:type="dxa"/>
        <w:tblLayout w:type="fixed"/>
        <w:tblLook w:val="04A0" w:firstRow="1" w:lastRow="0" w:firstColumn="1" w:lastColumn="0" w:noHBand="0" w:noVBand="1"/>
      </w:tblPr>
      <w:tblGrid>
        <w:gridCol w:w="10890"/>
      </w:tblGrid>
      <w:tr w:rsidR="00E63776" w14:paraId="72AE0AD8" w14:textId="77777777" w:rsidTr="00CB7761">
        <w:tc>
          <w:tcPr>
            <w:tcW w:w="10890" w:type="dxa"/>
          </w:tcPr>
          <w:p w14:paraId="0D543626" w14:textId="77777777" w:rsidR="00CB7761" w:rsidRPr="009E631B" w:rsidRDefault="002C3F71" w:rsidP="00343F8D">
            <w:pPr>
              <w:pStyle w:val="Heading3"/>
              <w:ind w:left="342"/>
              <w:rPr>
                <w:color w:val="2E74B5" w:themeColor="accent1" w:themeShade="BF"/>
                <w:szCs w:val="22"/>
              </w:rPr>
            </w:pPr>
            <w:r w:rsidRPr="009E631B">
              <w:rPr>
                <w:szCs w:val="22"/>
              </w:rPr>
              <w:t>Context</w:t>
            </w:r>
            <w:r w:rsidR="008C4FF9">
              <w:rPr>
                <w:szCs w:val="22"/>
              </w:rPr>
              <w:t xml:space="preserve"> </w:t>
            </w:r>
          </w:p>
        </w:tc>
      </w:tr>
      <w:tr w:rsidR="00E63776" w14:paraId="45339187" w14:textId="77777777" w:rsidTr="00CB7761">
        <w:trPr>
          <w:trHeight w:val="882"/>
        </w:trPr>
        <w:tc>
          <w:tcPr>
            <w:tcW w:w="10890" w:type="dxa"/>
          </w:tcPr>
          <w:p w14:paraId="19E305C5" w14:textId="77777777" w:rsidR="00D33859" w:rsidRDefault="002C3F71" w:rsidP="00D33859">
            <w:pPr>
              <w:pStyle w:val="ListParagraph"/>
              <w:widowControl/>
              <w:numPr>
                <w:ilvl w:val="0"/>
                <w:numId w:val="21"/>
              </w:numPr>
              <w:spacing w:after="240" w:line="276" w:lineRule="auto"/>
              <w:jc w:val="both"/>
              <w:rPr>
                <w:rFonts w:eastAsiaTheme="minorHAnsi" w:cstheme="minorHAnsi"/>
                <w:b w:val="0"/>
                <w:color w:val="auto"/>
                <w:szCs w:val="22"/>
              </w:rPr>
            </w:pPr>
            <w:r w:rsidRPr="00352767">
              <w:rPr>
                <w:rFonts w:eastAsiaTheme="minorHAnsi" w:cstheme="minorHAnsi"/>
                <w:b w:val="0"/>
                <w:color w:val="auto"/>
                <w:szCs w:val="22"/>
              </w:rPr>
              <w:t xml:space="preserve">The Argentine mining sector represents an important component of the country’s private sector investment and was booming at the time of appraisal due to high commodity prices, competitive exchange rates, sector liberalization, streamlining of federal and provincial administrative procedures, and relatively “virgin” mining sites where valuable deposits could be found. In 2006, the mining sector employed 170,000 workers and produced minerals worth US$ 3.45 billion. The country has a rich endowment of </w:t>
            </w:r>
            <w:proofErr w:type="spellStart"/>
            <w:r w:rsidRPr="00352767">
              <w:rPr>
                <w:rFonts w:eastAsiaTheme="minorHAnsi" w:cstheme="minorHAnsi"/>
                <w:b w:val="0"/>
                <w:color w:val="auto"/>
                <w:szCs w:val="22"/>
              </w:rPr>
              <w:t>uraniferous</w:t>
            </w:r>
            <w:proofErr w:type="spellEnd"/>
            <w:r w:rsidRPr="00352767">
              <w:rPr>
                <w:rFonts w:eastAsiaTheme="minorHAnsi" w:cstheme="minorHAnsi"/>
                <w:b w:val="0"/>
                <w:color w:val="auto"/>
                <w:szCs w:val="22"/>
              </w:rPr>
              <w:t xml:space="preserve"> ores and, even though it was not producing the mineral at the time, in the past there had been up to ten different uranium mines.</w:t>
            </w:r>
          </w:p>
          <w:p w14:paraId="35610F70" w14:textId="77777777" w:rsidR="00D33859" w:rsidRDefault="00D33859" w:rsidP="00D33859">
            <w:pPr>
              <w:pStyle w:val="ListParagraph"/>
              <w:widowControl/>
              <w:spacing w:line="276" w:lineRule="auto"/>
              <w:ind w:left="720"/>
              <w:jc w:val="both"/>
              <w:rPr>
                <w:rFonts w:eastAsiaTheme="minorHAnsi" w:cstheme="minorHAnsi"/>
                <w:b w:val="0"/>
                <w:color w:val="auto"/>
                <w:szCs w:val="22"/>
              </w:rPr>
            </w:pPr>
          </w:p>
          <w:p w14:paraId="679A105B" w14:textId="77777777" w:rsidR="00B12343" w:rsidRDefault="002C3F71" w:rsidP="00B12343">
            <w:pPr>
              <w:pStyle w:val="ListParagraph"/>
              <w:widowControl/>
              <w:numPr>
                <w:ilvl w:val="0"/>
                <w:numId w:val="21"/>
              </w:numPr>
              <w:spacing w:line="276" w:lineRule="auto"/>
              <w:jc w:val="both"/>
              <w:rPr>
                <w:rFonts w:eastAsiaTheme="minorHAnsi" w:cstheme="minorHAnsi"/>
                <w:b w:val="0"/>
                <w:color w:val="auto"/>
                <w:szCs w:val="22"/>
              </w:rPr>
            </w:pPr>
            <w:r w:rsidRPr="00C03EFC">
              <w:rPr>
                <w:rFonts w:eastAsiaTheme="minorHAnsi" w:cstheme="minorHAnsi"/>
                <w:b w:val="0"/>
                <w:color w:val="auto"/>
                <w:szCs w:val="22"/>
              </w:rPr>
              <w:t>Since mining was a relatively new industry in Argentina, it had little experience with mine closure and clean-up. Years of lax environmental enforcement and management practices in the uranium extraction industry ha</w:t>
            </w:r>
            <w:r>
              <w:rPr>
                <w:rFonts w:eastAsiaTheme="minorHAnsi" w:cstheme="minorHAnsi"/>
                <w:b w:val="0"/>
                <w:color w:val="auto"/>
                <w:szCs w:val="22"/>
              </w:rPr>
              <w:t>d</w:t>
            </w:r>
            <w:r w:rsidRPr="00C03EFC">
              <w:rPr>
                <w:rFonts w:eastAsiaTheme="minorHAnsi" w:cstheme="minorHAnsi"/>
                <w:b w:val="0"/>
                <w:color w:val="auto"/>
                <w:szCs w:val="22"/>
              </w:rPr>
              <w:t xml:space="preserve"> resulted in undesirable environmental legacies consisting of the accumulation of harmful solid and liquid wastes associated with uranium mining and processing, and the generation of waste tailings and low-grade ore containing low levels of radioactivity.</w:t>
            </w:r>
            <w:r>
              <w:rPr>
                <w:rStyle w:val="FootnoteReference"/>
                <w:rFonts w:eastAsiaTheme="minorHAnsi" w:cstheme="minorHAnsi"/>
                <w:b w:val="0"/>
                <w:color w:val="auto"/>
                <w:szCs w:val="22"/>
              </w:rPr>
              <w:footnoteReference w:id="1"/>
            </w:r>
            <w:r w:rsidRPr="00C03EFC">
              <w:rPr>
                <w:rFonts w:eastAsiaTheme="minorHAnsi" w:cstheme="minorHAnsi"/>
                <w:b w:val="0"/>
                <w:color w:val="auto"/>
                <w:szCs w:val="22"/>
              </w:rPr>
              <w:t xml:space="preserve"> </w:t>
            </w:r>
            <w:r>
              <w:rPr>
                <w:rFonts w:eastAsiaTheme="minorHAnsi" w:cstheme="minorHAnsi"/>
                <w:b w:val="0"/>
                <w:color w:val="auto"/>
                <w:szCs w:val="22"/>
              </w:rPr>
              <w:t>T</w:t>
            </w:r>
            <w:r w:rsidRPr="00C03EFC">
              <w:rPr>
                <w:rFonts w:eastAsiaTheme="minorHAnsi" w:cstheme="minorHAnsi"/>
                <w:b w:val="0"/>
                <w:color w:val="auto"/>
                <w:szCs w:val="22"/>
              </w:rPr>
              <w:t>he National Atomic Energy Commission</w:t>
            </w:r>
            <w:r>
              <w:rPr>
                <w:rFonts w:eastAsiaTheme="minorHAnsi" w:cstheme="minorHAnsi"/>
                <w:b w:val="0"/>
                <w:color w:val="auto"/>
                <w:szCs w:val="22"/>
              </w:rPr>
              <w:t xml:space="preserve"> (CNEA</w:t>
            </w:r>
            <w:r w:rsidRPr="00C03EFC">
              <w:rPr>
                <w:rFonts w:eastAsiaTheme="minorHAnsi" w:cstheme="minorHAnsi"/>
                <w:b w:val="0"/>
                <w:color w:val="auto"/>
                <w:szCs w:val="22"/>
              </w:rPr>
              <w:t>) had inventoried eight closed uranium mining and milling sites across the country that had residual low-level radioactive wastes, which raised environmental concerns about long-term public health and use of natural resources. These concerns include</w:t>
            </w:r>
            <w:r>
              <w:rPr>
                <w:rFonts w:eastAsiaTheme="minorHAnsi" w:cstheme="minorHAnsi"/>
                <w:b w:val="0"/>
                <w:color w:val="auto"/>
                <w:szCs w:val="22"/>
              </w:rPr>
              <w:t>d</w:t>
            </w:r>
            <w:r w:rsidRPr="00C03EFC">
              <w:rPr>
                <w:rFonts w:eastAsiaTheme="minorHAnsi" w:cstheme="minorHAnsi"/>
                <w:b w:val="0"/>
                <w:color w:val="auto"/>
                <w:szCs w:val="22"/>
              </w:rPr>
              <w:t>: (a) contaminated ground and surface waters, including potable water supplies, (b) elevated incidence of lung and other cancers, and (c) restricted land use and loss of access. On one site, moreover, legacy toxic chemicals also required proper disposal.</w:t>
            </w:r>
          </w:p>
          <w:p w14:paraId="1C7256A4" w14:textId="77777777" w:rsidR="00B12343" w:rsidRPr="00B12343" w:rsidRDefault="00B12343" w:rsidP="00B12343">
            <w:pPr>
              <w:pStyle w:val="ListParagraph"/>
              <w:rPr>
                <w:rFonts w:eastAsiaTheme="minorHAnsi" w:cstheme="minorHAnsi"/>
                <w:color w:val="auto"/>
                <w:szCs w:val="22"/>
              </w:rPr>
            </w:pPr>
          </w:p>
          <w:p w14:paraId="69729469" w14:textId="77777777" w:rsidR="00D33859" w:rsidRPr="00B12343" w:rsidRDefault="002C3F71" w:rsidP="00B12343">
            <w:pPr>
              <w:pStyle w:val="ListParagraph"/>
              <w:widowControl/>
              <w:numPr>
                <w:ilvl w:val="0"/>
                <w:numId w:val="21"/>
              </w:numPr>
              <w:spacing w:line="276" w:lineRule="auto"/>
              <w:jc w:val="both"/>
              <w:rPr>
                <w:rFonts w:eastAsiaTheme="minorHAnsi" w:cstheme="minorHAnsi"/>
                <w:b w:val="0"/>
                <w:color w:val="auto"/>
                <w:szCs w:val="22"/>
              </w:rPr>
            </w:pPr>
            <w:r w:rsidRPr="00B12343">
              <w:rPr>
                <w:rFonts w:eastAsiaTheme="minorHAnsi" w:cstheme="minorHAnsi"/>
                <w:b w:val="0"/>
                <w:color w:val="auto"/>
                <w:szCs w:val="22"/>
              </w:rPr>
              <w:t xml:space="preserve">Some of the closed uranium processing sites presented additional concerns because of their location close to dense urban areas (e.g., the city of Cordoba and the Municipality of </w:t>
            </w:r>
            <w:proofErr w:type="spellStart"/>
            <w:r w:rsidR="00E52891">
              <w:rPr>
                <w:rFonts w:eastAsiaTheme="minorHAnsi" w:cstheme="minorHAnsi"/>
                <w:b w:val="0"/>
                <w:color w:val="auto"/>
                <w:szCs w:val="22"/>
              </w:rPr>
              <w:t>Malargüe</w:t>
            </w:r>
            <w:proofErr w:type="spellEnd"/>
            <w:r w:rsidRPr="00B12343">
              <w:rPr>
                <w:rFonts w:eastAsiaTheme="minorHAnsi" w:cstheme="minorHAnsi"/>
                <w:b w:val="0"/>
                <w:color w:val="auto"/>
                <w:szCs w:val="22"/>
              </w:rPr>
              <w:t xml:space="preserve"> in Mendoza Province) or close to sites designated for tourism activities (e.g., Los </w:t>
            </w:r>
            <w:proofErr w:type="spellStart"/>
            <w:r w:rsidRPr="00B12343">
              <w:rPr>
                <w:rFonts w:eastAsiaTheme="minorHAnsi" w:cstheme="minorHAnsi"/>
                <w:b w:val="0"/>
                <w:color w:val="auto"/>
                <w:szCs w:val="22"/>
              </w:rPr>
              <w:t>Cardones</w:t>
            </w:r>
            <w:proofErr w:type="spellEnd"/>
            <w:r w:rsidRPr="00B12343">
              <w:rPr>
                <w:rFonts w:eastAsiaTheme="minorHAnsi" w:cstheme="minorHAnsi"/>
                <w:b w:val="0"/>
                <w:color w:val="auto"/>
                <w:szCs w:val="22"/>
              </w:rPr>
              <w:t xml:space="preserve"> National Park in Salta Province and San Roque lake in Cordoba Province).  Furthermore, a high level of anxiety among the local populations concerning the environmental impacts on air, soil, and water quality that could be caused by closed uranium mining and milling sites. </w:t>
            </w:r>
            <w:proofErr w:type="gramStart"/>
            <w:r w:rsidRPr="00B12343">
              <w:rPr>
                <w:rFonts w:eastAsiaTheme="minorHAnsi" w:cstheme="minorHAnsi"/>
                <w:b w:val="0"/>
                <w:color w:val="auto"/>
                <w:szCs w:val="22"/>
              </w:rPr>
              <w:t>In order to</w:t>
            </w:r>
            <w:proofErr w:type="gramEnd"/>
            <w:r w:rsidRPr="00B12343">
              <w:rPr>
                <w:rFonts w:eastAsiaTheme="minorHAnsi" w:cstheme="minorHAnsi"/>
                <w:b w:val="0"/>
                <w:color w:val="auto"/>
                <w:szCs w:val="22"/>
              </w:rPr>
              <w:t xml:space="preserve"> reduce both the economic and public health risks associated with these sites, they needed to be properly remediated consistent with internationally accepted good practices.</w:t>
            </w:r>
          </w:p>
          <w:p w14:paraId="6BB4813E" w14:textId="77777777" w:rsidR="00D33859" w:rsidRPr="00B12343" w:rsidRDefault="002C3F71" w:rsidP="00B12343">
            <w:pPr>
              <w:pStyle w:val="ListParagraph"/>
              <w:widowControl/>
              <w:numPr>
                <w:ilvl w:val="0"/>
                <w:numId w:val="21"/>
              </w:numPr>
              <w:spacing w:line="276" w:lineRule="auto"/>
              <w:jc w:val="both"/>
              <w:rPr>
                <w:rFonts w:eastAsiaTheme="minorHAnsi" w:cstheme="minorBidi"/>
                <w:b w:val="0"/>
                <w:color w:val="000000" w:themeColor="text1"/>
                <w:szCs w:val="22"/>
              </w:rPr>
            </w:pPr>
            <w:r w:rsidRPr="00B12343">
              <w:rPr>
                <w:rFonts w:eastAsiaTheme="minorHAnsi" w:cstheme="minorHAnsi"/>
                <w:b w:val="0"/>
                <w:color w:val="auto"/>
                <w:szCs w:val="22"/>
              </w:rPr>
              <w:t>Even though CNEA had been active in the nuclear energy fuel cycle since the 1950s, it had little experience with mine</w:t>
            </w:r>
            <w:r w:rsidR="000616F3">
              <w:rPr>
                <w:rFonts w:eastAsiaTheme="minorHAnsi" w:cstheme="minorHAnsi"/>
                <w:b w:val="0"/>
                <w:color w:val="auto"/>
                <w:szCs w:val="22"/>
              </w:rPr>
              <w:t xml:space="preserve"> and processing site</w:t>
            </w:r>
            <w:r w:rsidRPr="00B12343">
              <w:rPr>
                <w:rFonts w:eastAsiaTheme="minorHAnsi" w:cstheme="minorHAnsi"/>
                <w:b w:val="0"/>
                <w:color w:val="auto"/>
                <w:szCs w:val="22"/>
              </w:rPr>
              <w:t xml:space="preserve"> closure. The Bank’s involvement with the project was expected to provide a major benefit to CNEA and the government in that it would permit access to international expertise and good practice. The Argentine Federal Government (</w:t>
            </w:r>
            <w:proofErr w:type="spellStart"/>
            <w:r w:rsidRPr="00B12343">
              <w:rPr>
                <w:rFonts w:eastAsiaTheme="minorHAnsi" w:cstheme="minorHAnsi"/>
                <w:b w:val="0"/>
                <w:color w:val="auto"/>
                <w:szCs w:val="22"/>
              </w:rPr>
              <w:t>GoA</w:t>
            </w:r>
            <w:proofErr w:type="spellEnd"/>
            <w:r w:rsidRPr="00B12343">
              <w:rPr>
                <w:rFonts w:eastAsiaTheme="minorHAnsi" w:cstheme="minorHAnsi"/>
                <w:b w:val="0"/>
                <w:color w:val="auto"/>
                <w:szCs w:val="22"/>
              </w:rPr>
              <w:t xml:space="preserve">) as well as provincial and municipal authorities and local communities, felt that the Bank’s involvement would lend credibility to CNEA’s new policy to be more open and inclusive in involving communities in its environmental management activities. Bank assistance was also expected to provide a consistent approach to addressing sector-wide issues, while financing remediation efforts at one site, in </w:t>
            </w:r>
            <w:proofErr w:type="spellStart"/>
            <w:r w:rsidR="00E52891">
              <w:rPr>
                <w:rFonts w:eastAsiaTheme="minorHAnsi" w:cstheme="minorHAnsi"/>
                <w:b w:val="0"/>
                <w:color w:val="auto"/>
                <w:szCs w:val="22"/>
              </w:rPr>
              <w:t>Malargüe</w:t>
            </w:r>
            <w:proofErr w:type="spellEnd"/>
            <w:r w:rsidRPr="00B12343">
              <w:rPr>
                <w:rFonts w:eastAsiaTheme="minorHAnsi" w:cstheme="minorHAnsi"/>
                <w:b w:val="0"/>
                <w:color w:val="auto"/>
                <w:szCs w:val="22"/>
              </w:rPr>
              <w:t>.</w:t>
            </w:r>
          </w:p>
          <w:p w14:paraId="06CF2675" w14:textId="77777777" w:rsidR="00B12343" w:rsidRDefault="00B12343" w:rsidP="00B12343">
            <w:pPr>
              <w:pStyle w:val="ListParagraph"/>
              <w:widowControl/>
              <w:spacing w:line="276" w:lineRule="auto"/>
              <w:ind w:left="360"/>
              <w:jc w:val="both"/>
              <w:rPr>
                <w:rFonts w:eastAsiaTheme="minorHAnsi" w:cstheme="minorHAnsi"/>
                <w:b w:val="0"/>
                <w:color w:val="auto"/>
                <w:szCs w:val="22"/>
              </w:rPr>
            </w:pPr>
          </w:p>
          <w:p w14:paraId="5402FE97" w14:textId="77777777" w:rsidR="00B12343" w:rsidRDefault="002C3F71" w:rsidP="00B12343">
            <w:pPr>
              <w:pStyle w:val="ListParagraph"/>
              <w:widowControl/>
              <w:numPr>
                <w:ilvl w:val="0"/>
                <w:numId w:val="21"/>
              </w:numPr>
              <w:spacing w:line="276" w:lineRule="auto"/>
              <w:jc w:val="both"/>
              <w:rPr>
                <w:rFonts w:eastAsiaTheme="minorHAnsi" w:cstheme="minorHAnsi"/>
                <w:b w:val="0"/>
                <w:color w:val="auto"/>
                <w:szCs w:val="22"/>
              </w:rPr>
            </w:pPr>
            <w:r>
              <w:rPr>
                <w:rFonts w:eastAsiaTheme="minorHAnsi" w:cstheme="minorHAnsi"/>
                <w:b w:val="0"/>
                <w:color w:val="auto"/>
                <w:szCs w:val="22"/>
              </w:rPr>
              <w:t xml:space="preserve">The </w:t>
            </w:r>
            <w:proofErr w:type="spellStart"/>
            <w:r w:rsidR="00E52891">
              <w:rPr>
                <w:rFonts w:eastAsiaTheme="minorHAnsi" w:cstheme="minorHAnsi"/>
                <w:b w:val="0"/>
                <w:color w:val="auto"/>
                <w:szCs w:val="22"/>
              </w:rPr>
              <w:t>Malargüe</w:t>
            </w:r>
            <w:proofErr w:type="spellEnd"/>
            <w:r>
              <w:rPr>
                <w:rFonts w:eastAsiaTheme="minorHAnsi" w:cstheme="minorHAnsi"/>
                <w:b w:val="0"/>
                <w:color w:val="auto"/>
                <w:szCs w:val="22"/>
              </w:rPr>
              <w:t xml:space="preserve"> site was chosen for the pilot remediation project due to serious local water and agricultural crop contamination concerns and because it was the most advanced in terms of completing the rigorous design, consultation, environmental and social assessment, and international validation processes to comply with the </w:t>
            </w:r>
            <w:proofErr w:type="spellStart"/>
            <w:r>
              <w:rPr>
                <w:rFonts w:eastAsiaTheme="minorHAnsi" w:cstheme="minorHAnsi"/>
                <w:b w:val="0"/>
                <w:color w:val="auto"/>
                <w:szCs w:val="22"/>
              </w:rPr>
              <w:t>GoA’s</w:t>
            </w:r>
            <w:proofErr w:type="spellEnd"/>
            <w:r>
              <w:rPr>
                <w:rFonts w:eastAsiaTheme="minorHAnsi" w:cstheme="minorHAnsi"/>
                <w:b w:val="0"/>
                <w:color w:val="auto"/>
                <w:szCs w:val="22"/>
              </w:rPr>
              <w:t xml:space="preserve"> strict technical standards and the World Bank’s lending requirements.</w:t>
            </w:r>
            <w:r>
              <w:rPr>
                <w:rStyle w:val="FootnoteReference"/>
                <w:rFonts w:eastAsiaTheme="minorHAnsi" w:cstheme="minorHAnsi"/>
                <w:b w:val="0"/>
                <w:color w:val="auto"/>
                <w:szCs w:val="22"/>
              </w:rPr>
              <w:footnoteReference w:id="2"/>
            </w:r>
            <w:r>
              <w:rPr>
                <w:rFonts w:eastAsiaTheme="minorHAnsi" w:cstheme="minorHAnsi"/>
                <w:b w:val="0"/>
                <w:color w:val="auto"/>
                <w:szCs w:val="22"/>
              </w:rPr>
              <w:t xml:space="preserve"> These important preparatory activities were undertaken for the </w:t>
            </w:r>
            <w:proofErr w:type="spellStart"/>
            <w:r w:rsidR="00E52891">
              <w:rPr>
                <w:rFonts w:eastAsiaTheme="minorHAnsi" w:cstheme="minorHAnsi"/>
                <w:b w:val="0"/>
                <w:color w:val="auto"/>
                <w:szCs w:val="22"/>
              </w:rPr>
              <w:t>Malargüe</w:t>
            </w:r>
            <w:proofErr w:type="spellEnd"/>
            <w:r>
              <w:rPr>
                <w:rFonts w:eastAsiaTheme="minorHAnsi" w:cstheme="minorHAnsi"/>
                <w:b w:val="0"/>
                <w:color w:val="auto"/>
                <w:szCs w:val="22"/>
              </w:rPr>
              <w:t xml:space="preserve"> site with technical and operational guidance from Bank mining and environmental safeguards specialists and financing from the two Project Preparation Facility (PPF) advances totaling US$ 800,000, which were subsequently incorporated as part of the loan. </w:t>
            </w:r>
          </w:p>
          <w:p w14:paraId="11EDC784" w14:textId="77777777" w:rsidR="00B12343" w:rsidRPr="00F52D76" w:rsidRDefault="00B12343" w:rsidP="00B12343">
            <w:pPr>
              <w:widowControl/>
              <w:spacing w:line="276" w:lineRule="auto"/>
              <w:jc w:val="both"/>
              <w:rPr>
                <w:rFonts w:eastAsiaTheme="minorHAnsi" w:cstheme="minorHAnsi"/>
                <w:b/>
                <w:color w:val="auto"/>
                <w:szCs w:val="22"/>
              </w:rPr>
            </w:pPr>
          </w:p>
          <w:p w14:paraId="6A0BD291" w14:textId="77777777" w:rsidR="00B12343" w:rsidRPr="00C22312" w:rsidRDefault="002C3F71" w:rsidP="00B12343">
            <w:pPr>
              <w:pStyle w:val="ListParagraph"/>
              <w:widowControl/>
              <w:numPr>
                <w:ilvl w:val="0"/>
                <w:numId w:val="21"/>
              </w:numPr>
              <w:spacing w:line="276" w:lineRule="auto"/>
              <w:jc w:val="both"/>
              <w:rPr>
                <w:rFonts w:eastAsiaTheme="minorHAnsi" w:cstheme="minorHAnsi"/>
                <w:b w:val="0"/>
                <w:color w:val="auto"/>
                <w:szCs w:val="22"/>
              </w:rPr>
            </w:pPr>
            <w:r>
              <w:rPr>
                <w:rFonts w:eastAsiaTheme="minorHAnsi" w:cstheme="minorHAnsi"/>
                <w:b w:val="0"/>
                <w:color w:val="auto"/>
                <w:szCs w:val="22"/>
              </w:rPr>
              <w:t xml:space="preserve">At the time of appraisal, the project was intended to contribute to the </w:t>
            </w:r>
            <w:proofErr w:type="spellStart"/>
            <w:r>
              <w:rPr>
                <w:rFonts w:eastAsiaTheme="minorHAnsi" w:cstheme="minorHAnsi"/>
                <w:b w:val="0"/>
                <w:color w:val="auto"/>
                <w:szCs w:val="22"/>
              </w:rPr>
              <w:t>GoA’s</w:t>
            </w:r>
            <w:proofErr w:type="spellEnd"/>
            <w:r>
              <w:rPr>
                <w:rFonts w:eastAsiaTheme="minorHAnsi" w:cstheme="minorHAnsi"/>
                <w:b w:val="0"/>
                <w:color w:val="auto"/>
                <w:szCs w:val="22"/>
              </w:rPr>
              <w:t xml:space="preserve"> higher-level objectives with respect to improving environmental management and governance through increased transparency and a more participatory approach. More specifically the project was expected to build within CNEA the capacity and programs required for a more open and participatory approach to the management of environmental legacies in the form of contaminated former mining-related sites, for which it had a legal responsibility to clean up and manage. The Bank’s Country Partnership Strategy for 2010-2012 specifically mentioned the Government’s efforts with the to address the “brown” environmental agenda (i.e., pollution reduction), including the remediation of closed uranium mining and milling sites through the present project (see also para. 2</w:t>
            </w:r>
            <w:r w:rsidR="0044009B">
              <w:rPr>
                <w:rFonts w:eastAsiaTheme="minorHAnsi" w:cstheme="minorHAnsi"/>
                <w:b w:val="0"/>
                <w:color w:val="auto"/>
                <w:szCs w:val="22"/>
              </w:rPr>
              <w:t>5</w:t>
            </w:r>
            <w:r>
              <w:rPr>
                <w:rFonts w:eastAsiaTheme="minorHAnsi" w:cstheme="minorHAnsi"/>
                <w:b w:val="0"/>
                <w:color w:val="auto"/>
                <w:szCs w:val="22"/>
              </w:rPr>
              <w:t xml:space="preserve"> below).</w:t>
            </w:r>
          </w:p>
          <w:p w14:paraId="6299E6AE" w14:textId="77777777" w:rsidR="00B12343" w:rsidRPr="005E6EAB" w:rsidRDefault="00B12343" w:rsidP="00B12343">
            <w:pPr>
              <w:pStyle w:val="ListParagraph"/>
              <w:widowControl/>
              <w:spacing w:line="276" w:lineRule="auto"/>
              <w:ind w:left="360"/>
              <w:jc w:val="both"/>
              <w:rPr>
                <w:rFonts w:eastAsiaTheme="minorHAnsi" w:cstheme="minorBidi"/>
                <w:color w:val="000000" w:themeColor="text1"/>
                <w:szCs w:val="22"/>
              </w:rPr>
            </w:pPr>
          </w:p>
        </w:tc>
      </w:tr>
      <w:tr w:rsidR="00E63776" w14:paraId="4D75C7AF" w14:textId="77777777" w:rsidTr="00CB7761">
        <w:tc>
          <w:tcPr>
            <w:tcW w:w="10890" w:type="dxa"/>
          </w:tcPr>
          <w:p w14:paraId="6662CC98" w14:textId="77777777" w:rsidR="00D33859" w:rsidRDefault="002C3F71" w:rsidP="00D33859">
            <w:pPr>
              <w:pStyle w:val="Heading3"/>
              <w:ind w:left="342"/>
              <w:rPr>
                <w:szCs w:val="22"/>
              </w:rPr>
            </w:pPr>
            <w:r w:rsidRPr="009E631B">
              <w:rPr>
                <w:szCs w:val="22"/>
              </w:rPr>
              <w:t>Theory of Change (Results Chain)</w:t>
            </w:r>
          </w:p>
          <w:p w14:paraId="774FDA47" w14:textId="77777777" w:rsidR="00D33859" w:rsidRPr="00D33859" w:rsidRDefault="00D33859" w:rsidP="00D33859"/>
        </w:tc>
      </w:tr>
      <w:tr w:rsidR="00E63776" w14:paraId="323AFB97" w14:textId="77777777" w:rsidTr="00CB7761">
        <w:trPr>
          <w:trHeight w:val="1053"/>
        </w:trPr>
        <w:tc>
          <w:tcPr>
            <w:tcW w:w="10890" w:type="dxa"/>
          </w:tcPr>
          <w:p w14:paraId="3A7A6203" w14:textId="1B6D78B1" w:rsidR="0050049A" w:rsidRPr="0050049A" w:rsidRDefault="002C3F71" w:rsidP="0050049A">
            <w:pPr>
              <w:pStyle w:val="ListParagraph"/>
              <w:widowControl/>
              <w:numPr>
                <w:ilvl w:val="0"/>
                <w:numId w:val="21"/>
              </w:numPr>
              <w:spacing w:line="276" w:lineRule="auto"/>
              <w:jc w:val="both"/>
              <w:rPr>
                <w:rFonts w:eastAsiaTheme="minorHAnsi" w:cstheme="minorHAnsi"/>
                <w:b w:val="0"/>
                <w:color w:val="auto"/>
                <w:szCs w:val="22"/>
              </w:rPr>
            </w:pPr>
            <w:r w:rsidRPr="0050049A">
              <w:rPr>
                <w:rFonts w:eastAsiaTheme="minorHAnsi" w:cstheme="minorHAnsi"/>
                <w:b w:val="0"/>
                <w:color w:val="auto"/>
                <w:szCs w:val="22"/>
              </w:rPr>
              <w:t xml:space="preserve">The graphical representation of the Theory of Change provided in Annex 6-B (page </w:t>
            </w:r>
            <w:r w:rsidR="00383F16">
              <w:rPr>
                <w:rFonts w:eastAsiaTheme="minorHAnsi" w:cstheme="minorHAnsi"/>
                <w:b w:val="0"/>
                <w:color w:val="auto"/>
                <w:szCs w:val="22"/>
              </w:rPr>
              <w:t>70</w:t>
            </w:r>
            <w:r w:rsidRPr="0050049A">
              <w:rPr>
                <w:rFonts w:eastAsiaTheme="minorHAnsi" w:cstheme="minorHAnsi"/>
                <w:b w:val="0"/>
                <w:color w:val="auto"/>
                <w:szCs w:val="22"/>
              </w:rPr>
              <w:t xml:space="preserve">), shows that the Project focused on two core areas of remediation and institutional strengthening and capacity building to mitigate environmental risks that helped the country attain the desired outcomes. The first area entails the </w:t>
            </w:r>
            <w:r w:rsidRPr="0050049A">
              <w:rPr>
                <w:rFonts w:eastAsiaTheme="minorHAnsi" w:cstheme="minorHAnsi"/>
                <w:color w:val="auto"/>
                <w:szCs w:val="22"/>
              </w:rPr>
              <w:t xml:space="preserve">Remediation of the </w:t>
            </w:r>
            <w:proofErr w:type="spellStart"/>
            <w:r w:rsidRPr="0050049A">
              <w:rPr>
                <w:rFonts w:eastAsiaTheme="minorHAnsi" w:cstheme="minorHAnsi"/>
                <w:color w:val="auto"/>
                <w:szCs w:val="22"/>
              </w:rPr>
              <w:t>Malarg</w:t>
            </w:r>
            <w:r w:rsidR="00E166B0" w:rsidRPr="00E166B0">
              <w:rPr>
                <w:rFonts w:eastAsiaTheme="minorHAnsi" w:cstheme="minorHAnsi"/>
                <w:color w:val="auto"/>
                <w:szCs w:val="22"/>
              </w:rPr>
              <w:t>ü</w:t>
            </w:r>
            <w:r w:rsidRPr="0050049A">
              <w:rPr>
                <w:rFonts w:eastAsiaTheme="minorHAnsi" w:cstheme="minorHAnsi"/>
                <w:color w:val="auto"/>
                <w:szCs w:val="22"/>
              </w:rPr>
              <w:t>e</w:t>
            </w:r>
            <w:proofErr w:type="spellEnd"/>
            <w:r w:rsidRPr="0050049A">
              <w:rPr>
                <w:rFonts w:eastAsiaTheme="minorHAnsi" w:cstheme="minorHAnsi"/>
                <w:color w:val="auto"/>
                <w:szCs w:val="22"/>
              </w:rPr>
              <w:t xml:space="preserve"> Site</w:t>
            </w:r>
            <w:r w:rsidRPr="0050049A">
              <w:rPr>
                <w:rFonts w:eastAsiaTheme="minorHAnsi" w:cstheme="minorHAnsi"/>
                <w:b w:val="0"/>
                <w:color w:val="auto"/>
                <w:szCs w:val="22"/>
              </w:rPr>
              <w:t xml:space="preserve">, which was supported through the following activities: Implementation of civil works for environmental mediation and site restoration.  The second area involved </w:t>
            </w:r>
            <w:r w:rsidRPr="0050049A">
              <w:rPr>
                <w:rFonts w:eastAsiaTheme="minorHAnsi" w:cstheme="minorHAnsi"/>
                <w:color w:val="auto"/>
                <w:szCs w:val="22"/>
              </w:rPr>
              <w:t>technical assistance and capacity building for Mine Restoration Planning and Institutional Strengthening</w:t>
            </w:r>
            <w:r w:rsidRPr="0050049A">
              <w:rPr>
                <w:rFonts w:eastAsiaTheme="minorHAnsi" w:cstheme="minorHAnsi"/>
                <w:b w:val="0"/>
                <w:color w:val="auto"/>
                <w:szCs w:val="22"/>
              </w:rPr>
              <w:t xml:space="preserve">, which was supported through the following activities: (i) Provision of technical assistance for identifying environmental risk, establishing baselines, and developing remediation plans for sites other than </w:t>
            </w:r>
            <w:proofErr w:type="spellStart"/>
            <w:r w:rsidRPr="0050049A">
              <w:rPr>
                <w:rFonts w:eastAsiaTheme="minorHAnsi" w:cstheme="minorHAnsi"/>
                <w:b w:val="0"/>
                <w:color w:val="auto"/>
                <w:szCs w:val="22"/>
              </w:rPr>
              <w:t>Malarg</w:t>
            </w:r>
            <w:r w:rsidR="00E166B0">
              <w:rPr>
                <w:rFonts w:eastAsiaTheme="minorHAnsi" w:cstheme="minorHAnsi"/>
                <w:b w:val="0"/>
                <w:color w:val="auto"/>
                <w:szCs w:val="22"/>
              </w:rPr>
              <w:t>ü</w:t>
            </w:r>
            <w:r w:rsidRPr="0050049A">
              <w:rPr>
                <w:rFonts w:eastAsiaTheme="minorHAnsi" w:cstheme="minorHAnsi"/>
                <w:b w:val="0"/>
                <w:color w:val="auto"/>
                <w:szCs w:val="22"/>
              </w:rPr>
              <w:t>e</w:t>
            </w:r>
            <w:proofErr w:type="spellEnd"/>
            <w:r w:rsidRPr="0050049A">
              <w:rPr>
                <w:rFonts w:eastAsiaTheme="minorHAnsi" w:cstheme="minorHAnsi"/>
                <w:b w:val="0"/>
                <w:color w:val="auto"/>
                <w:szCs w:val="22"/>
              </w:rPr>
              <w:t xml:space="preserve">; (ii) delivery of technical assistance for identification of environmental risks and undertaking of environmental studies for 5 additional legacy sites; (iii) Purchase of specialized equipment and development of sample assessment protocols to help CNEA attain full ISO 17025 accreditation for the management system of its laboratories in terms of quality and administrative and technical operations; (iv) Capacity building of CNEA, provincial and municipal agencies through training on environmental monitoring procedures for management and supervision of mining operations and uranium legacy sites; (v) development and implementation of an Environmental Management Information System (SIGA) for site-specific monitoring. </w:t>
            </w:r>
          </w:p>
          <w:p w14:paraId="040ED3FA" w14:textId="77777777" w:rsidR="0050049A" w:rsidRPr="0050049A" w:rsidRDefault="0050049A" w:rsidP="0050049A">
            <w:pPr>
              <w:pStyle w:val="ListParagraph"/>
              <w:widowControl/>
              <w:spacing w:line="276" w:lineRule="auto"/>
              <w:ind w:left="360"/>
              <w:jc w:val="both"/>
              <w:rPr>
                <w:rFonts w:eastAsiaTheme="minorHAnsi" w:cstheme="minorHAnsi"/>
                <w:b w:val="0"/>
                <w:color w:val="auto"/>
                <w:szCs w:val="22"/>
              </w:rPr>
            </w:pPr>
          </w:p>
          <w:p w14:paraId="47E6CADA" w14:textId="2CBD023E" w:rsidR="0050049A" w:rsidRPr="0050049A" w:rsidRDefault="002C3F71" w:rsidP="0050049A">
            <w:pPr>
              <w:pStyle w:val="ListParagraph"/>
              <w:widowControl/>
              <w:numPr>
                <w:ilvl w:val="0"/>
                <w:numId w:val="21"/>
              </w:numPr>
              <w:spacing w:line="276" w:lineRule="auto"/>
              <w:jc w:val="both"/>
              <w:rPr>
                <w:rFonts w:eastAsiaTheme="minorHAnsi" w:cstheme="minorHAnsi"/>
                <w:b w:val="0"/>
                <w:color w:val="auto"/>
                <w:szCs w:val="22"/>
              </w:rPr>
            </w:pPr>
            <w:r w:rsidRPr="0050049A">
              <w:rPr>
                <w:rFonts w:eastAsiaTheme="minorHAnsi" w:cstheme="minorHAnsi"/>
                <w:b w:val="0"/>
                <w:color w:val="auto"/>
                <w:szCs w:val="22"/>
              </w:rPr>
              <w:t xml:space="preserve">Through these activities, the following outputs were achieved: With regards to the </w:t>
            </w:r>
            <w:r w:rsidRPr="0050049A">
              <w:rPr>
                <w:rFonts w:eastAsiaTheme="minorHAnsi" w:cstheme="minorHAnsi"/>
                <w:color w:val="auto"/>
                <w:szCs w:val="22"/>
              </w:rPr>
              <w:t xml:space="preserve">Remediation of the </w:t>
            </w:r>
            <w:proofErr w:type="spellStart"/>
            <w:r w:rsidRPr="0050049A">
              <w:rPr>
                <w:rFonts w:eastAsiaTheme="minorHAnsi" w:cstheme="minorHAnsi"/>
                <w:color w:val="auto"/>
                <w:szCs w:val="22"/>
              </w:rPr>
              <w:t>Malarg</w:t>
            </w:r>
            <w:r w:rsidR="00E166B0">
              <w:rPr>
                <w:rFonts w:eastAsiaTheme="minorHAnsi" w:cstheme="minorHAnsi"/>
                <w:color w:val="auto"/>
                <w:szCs w:val="22"/>
              </w:rPr>
              <w:t>ü</w:t>
            </w:r>
            <w:r w:rsidRPr="0050049A">
              <w:rPr>
                <w:rFonts w:eastAsiaTheme="minorHAnsi" w:cstheme="minorHAnsi"/>
                <w:color w:val="auto"/>
                <w:szCs w:val="22"/>
              </w:rPr>
              <w:t>e</w:t>
            </w:r>
            <w:proofErr w:type="spellEnd"/>
            <w:r w:rsidRPr="0050049A">
              <w:rPr>
                <w:rFonts w:eastAsiaTheme="minorHAnsi" w:cstheme="minorHAnsi"/>
                <w:color w:val="auto"/>
                <w:szCs w:val="22"/>
              </w:rPr>
              <w:t xml:space="preserve"> Site</w:t>
            </w:r>
            <w:r w:rsidRPr="0050049A">
              <w:rPr>
                <w:rFonts w:eastAsiaTheme="minorHAnsi" w:cstheme="minorHAnsi"/>
                <w:b w:val="0"/>
                <w:color w:val="auto"/>
                <w:szCs w:val="22"/>
              </w:rPr>
              <w:t xml:space="preserve"> (component 1):  the civil works for the removal and safe storage of contaminated materials were completed</w:t>
            </w:r>
            <w:r>
              <w:rPr>
                <w:rStyle w:val="FootnoteReference"/>
                <w:rFonts w:eastAsiaTheme="minorHAnsi" w:cstheme="minorHAnsi"/>
                <w:b w:val="0"/>
                <w:color w:val="auto"/>
                <w:szCs w:val="22"/>
              </w:rPr>
              <w:footnoteReference w:id="3"/>
            </w:r>
            <w:r w:rsidRPr="0050049A">
              <w:rPr>
                <w:rFonts w:eastAsiaTheme="minorHAnsi" w:cstheme="minorHAnsi"/>
                <w:b w:val="0"/>
                <w:color w:val="auto"/>
                <w:szCs w:val="22"/>
              </w:rPr>
              <w:t xml:space="preserve">, and with regards to </w:t>
            </w:r>
            <w:r w:rsidRPr="0050049A">
              <w:rPr>
                <w:rFonts w:eastAsiaTheme="minorHAnsi" w:cstheme="minorHAnsi"/>
                <w:color w:val="auto"/>
                <w:szCs w:val="22"/>
              </w:rPr>
              <w:t>Mine Restoration Planning and Institutional Strengthening</w:t>
            </w:r>
            <w:r w:rsidRPr="0050049A">
              <w:rPr>
                <w:rFonts w:eastAsiaTheme="minorHAnsi" w:cstheme="minorHAnsi"/>
                <w:b w:val="0"/>
                <w:color w:val="auto"/>
                <w:szCs w:val="22"/>
              </w:rPr>
              <w:t xml:space="preserve"> (component 2): (i) the remediation plans for other sites were completed; (ii) training and capacity building for CNEA and other agencies was delivered; (iii) CNEA Labs obtained specialized equipment and were ISO 17025 certified; (iv) the environmental quality monitoring system (SIGA) became operational; and a communication strategy was implemented.  </w:t>
            </w:r>
          </w:p>
          <w:p w14:paraId="7C00ED66" w14:textId="77777777" w:rsidR="0050049A" w:rsidRPr="0050049A" w:rsidRDefault="0050049A" w:rsidP="0050049A">
            <w:pPr>
              <w:pStyle w:val="ListParagraph"/>
              <w:rPr>
                <w:rFonts w:eastAsiaTheme="minorHAnsi" w:cstheme="minorHAnsi"/>
                <w:b w:val="0"/>
                <w:color w:val="auto"/>
                <w:szCs w:val="22"/>
              </w:rPr>
            </w:pPr>
          </w:p>
          <w:p w14:paraId="4AA06AF3" w14:textId="5CFFC850" w:rsidR="0050049A" w:rsidRPr="0050049A" w:rsidRDefault="002C3F71" w:rsidP="0050049A">
            <w:pPr>
              <w:pStyle w:val="ListParagraph"/>
              <w:widowControl/>
              <w:numPr>
                <w:ilvl w:val="0"/>
                <w:numId w:val="21"/>
              </w:numPr>
              <w:spacing w:line="276" w:lineRule="auto"/>
              <w:jc w:val="both"/>
              <w:rPr>
                <w:rFonts w:eastAsiaTheme="minorHAnsi" w:cstheme="minorHAnsi"/>
                <w:b w:val="0"/>
                <w:color w:val="auto"/>
                <w:szCs w:val="22"/>
              </w:rPr>
            </w:pPr>
            <w:r w:rsidRPr="0050049A">
              <w:rPr>
                <w:rFonts w:eastAsiaTheme="minorHAnsi" w:cstheme="minorHAnsi"/>
                <w:b w:val="0"/>
                <w:color w:val="auto"/>
                <w:szCs w:val="22"/>
              </w:rPr>
              <w:t xml:space="preserve">These outputs have in turn contributed to the attainment of the following </w:t>
            </w:r>
            <w:r w:rsidRPr="0050049A">
              <w:rPr>
                <w:rFonts w:eastAsiaTheme="minorHAnsi" w:cstheme="minorHAnsi"/>
                <w:color w:val="auto"/>
                <w:szCs w:val="22"/>
              </w:rPr>
              <w:t>intermediate outcomes</w:t>
            </w:r>
            <w:r>
              <w:rPr>
                <w:rFonts w:eastAsiaTheme="minorHAnsi" w:cstheme="minorHAnsi"/>
                <w:b w:val="0"/>
                <w:color w:val="auto"/>
                <w:szCs w:val="22"/>
              </w:rPr>
              <w:t xml:space="preserve">:  With regards to </w:t>
            </w:r>
            <w:r w:rsidRPr="0050049A">
              <w:rPr>
                <w:rFonts w:eastAsiaTheme="minorHAnsi" w:cstheme="minorHAnsi"/>
                <w:b w:val="0"/>
                <w:color w:val="auto"/>
                <w:szCs w:val="22"/>
              </w:rPr>
              <w:t xml:space="preserve">Component 1: (i) all the potential health and economic risks associated with the </w:t>
            </w:r>
            <w:proofErr w:type="spellStart"/>
            <w:r w:rsidRPr="0050049A">
              <w:rPr>
                <w:rFonts w:eastAsiaTheme="minorHAnsi" w:cstheme="minorHAnsi"/>
                <w:b w:val="0"/>
                <w:color w:val="auto"/>
                <w:szCs w:val="22"/>
              </w:rPr>
              <w:t>Malarg</w:t>
            </w:r>
            <w:r w:rsidR="00E166B0">
              <w:rPr>
                <w:rFonts w:eastAsiaTheme="minorHAnsi" w:cstheme="minorHAnsi"/>
                <w:b w:val="0"/>
                <w:color w:val="auto"/>
                <w:szCs w:val="22"/>
              </w:rPr>
              <w:t>ü</w:t>
            </w:r>
            <w:r w:rsidRPr="0050049A">
              <w:rPr>
                <w:rFonts w:eastAsiaTheme="minorHAnsi" w:cstheme="minorHAnsi"/>
                <w:b w:val="0"/>
                <w:color w:val="auto"/>
                <w:szCs w:val="22"/>
              </w:rPr>
              <w:t>e</w:t>
            </w:r>
            <w:proofErr w:type="spellEnd"/>
            <w:r w:rsidRPr="0050049A">
              <w:rPr>
                <w:rFonts w:eastAsiaTheme="minorHAnsi" w:cstheme="minorHAnsi"/>
                <w:b w:val="0"/>
                <w:color w:val="auto"/>
                <w:szCs w:val="22"/>
              </w:rPr>
              <w:t xml:space="preserve"> site have been addressed through the removal of tailings </w:t>
            </w:r>
            <w:proofErr w:type="gramStart"/>
            <w:r w:rsidRPr="0050049A">
              <w:rPr>
                <w:rFonts w:eastAsiaTheme="minorHAnsi" w:cstheme="minorHAnsi"/>
                <w:b w:val="0"/>
                <w:color w:val="auto"/>
                <w:szCs w:val="22"/>
              </w:rPr>
              <w:t>according to</w:t>
            </w:r>
            <w:proofErr w:type="gramEnd"/>
            <w:r w:rsidRPr="0050049A">
              <w:rPr>
                <w:rFonts w:eastAsiaTheme="minorHAnsi" w:cstheme="minorHAnsi"/>
                <w:b w:val="0"/>
                <w:color w:val="auto"/>
                <w:szCs w:val="22"/>
              </w:rPr>
              <w:t xml:space="preserve"> the remediation plan agreed with authorities.  With regards to component 2: (i) the environmental risks at Los </w:t>
            </w:r>
            <w:proofErr w:type="spellStart"/>
            <w:r w:rsidRPr="0050049A">
              <w:rPr>
                <w:rFonts w:eastAsiaTheme="minorHAnsi" w:cstheme="minorHAnsi"/>
                <w:b w:val="0"/>
                <w:color w:val="auto"/>
                <w:szCs w:val="22"/>
              </w:rPr>
              <w:t>Gigantes</w:t>
            </w:r>
            <w:proofErr w:type="spellEnd"/>
            <w:r w:rsidRPr="0050049A">
              <w:rPr>
                <w:rFonts w:eastAsiaTheme="minorHAnsi" w:cstheme="minorHAnsi"/>
                <w:b w:val="0"/>
                <w:color w:val="auto"/>
                <w:szCs w:val="22"/>
              </w:rPr>
              <w:t xml:space="preserve"> and El </w:t>
            </w:r>
            <w:proofErr w:type="spellStart"/>
            <w:r w:rsidRPr="0050049A">
              <w:rPr>
                <w:rFonts w:eastAsiaTheme="minorHAnsi" w:cstheme="minorHAnsi"/>
                <w:b w:val="0"/>
                <w:color w:val="auto"/>
                <w:szCs w:val="22"/>
              </w:rPr>
              <w:t>Cichcon</w:t>
            </w:r>
            <w:proofErr w:type="spellEnd"/>
            <w:r w:rsidRPr="0050049A">
              <w:rPr>
                <w:rFonts w:eastAsiaTheme="minorHAnsi" w:cstheme="minorHAnsi"/>
                <w:b w:val="0"/>
                <w:color w:val="auto"/>
                <w:szCs w:val="22"/>
              </w:rPr>
              <w:t xml:space="preserve"> sites have been identified, the baseline studies have been completed and the remediation plans (with engineering designs) have been completed and consulted/agreed with local authorities; (ii) the environmental risks of five other legacy sites (</w:t>
            </w:r>
            <w:proofErr w:type="spellStart"/>
            <w:r w:rsidRPr="0050049A">
              <w:rPr>
                <w:rFonts w:eastAsiaTheme="minorHAnsi" w:cstheme="minorHAnsi"/>
                <w:b w:val="0"/>
                <w:color w:val="auto"/>
                <w:szCs w:val="22"/>
              </w:rPr>
              <w:t>Tonco</w:t>
            </w:r>
            <w:proofErr w:type="spellEnd"/>
            <w:r w:rsidRPr="0050049A">
              <w:rPr>
                <w:rFonts w:eastAsiaTheme="minorHAnsi" w:cstheme="minorHAnsi"/>
                <w:b w:val="0"/>
                <w:color w:val="auto"/>
                <w:szCs w:val="22"/>
              </w:rPr>
              <w:t xml:space="preserve">-Salta, </w:t>
            </w:r>
            <w:proofErr w:type="spellStart"/>
            <w:r w:rsidRPr="0050049A">
              <w:rPr>
                <w:rFonts w:eastAsiaTheme="minorHAnsi" w:cstheme="minorHAnsi"/>
                <w:b w:val="0"/>
                <w:color w:val="auto"/>
                <w:szCs w:val="22"/>
              </w:rPr>
              <w:t>Picanan</w:t>
            </w:r>
            <w:proofErr w:type="spellEnd"/>
            <w:r w:rsidRPr="0050049A">
              <w:rPr>
                <w:rFonts w:eastAsiaTheme="minorHAnsi" w:cstheme="minorHAnsi"/>
                <w:b w:val="0"/>
                <w:color w:val="auto"/>
                <w:szCs w:val="22"/>
              </w:rPr>
              <w:t>-Chubut, La Es</w:t>
            </w:r>
            <w:r w:rsidR="00220D8D">
              <w:rPr>
                <w:rFonts w:eastAsiaTheme="minorHAnsi" w:cstheme="minorHAnsi"/>
                <w:b w:val="0"/>
                <w:color w:val="auto"/>
                <w:szCs w:val="22"/>
              </w:rPr>
              <w:t>t</w:t>
            </w:r>
            <w:r w:rsidRPr="0050049A">
              <w:rPr>
                <w:rFonts w:eastAsiaTheme="minorHAnsi" w:cstheme="minorHAnsi"/>
                <w:b w:val="0"/>
                <w:color w:val="auto"/>
                <w:szCs w:val="22"/>
              </w:rPr>
              <w:t xml:space="preserve">ela-San Luis, Los </w:t>
            </w:r>
            <w:proofErr w:type="spellStart"/>
            <w:r w:rsidRPr="0050049A">
              <w:rPr>
                <w:rFonts w:eastAsiaTheme="minorHAnsi" w:cstheme="minorHAnsi"/>
                <w:b w:val="0"/>
                <w:color w:val="auto"/>
                <w:szCs w:val="22"/>
              </w:rPr>
              <w:t>Colorados</w:t>
            </w:r>
            <w:proofErr w:type="spellEnd"/>
            <w:r w:rsidRPr="0050049A">
              <w:rPr>
                <w:rFonts w:eastAsiaTheme="minorHAnsi" w:cstheme="minorHAnsi"/>
                <w:b w:val="0"/>
                <w:color w:val="auto"/>
                <w:szCs w:val="22"/>
              </w:rPr>
              <w:t>-La Rioja, and Huemul-Mendoza) have been identified and the baseline environmental studies have been completed; (iii) CNEA laboratories were fully equipped and ISO 17025 accredited to monitor water, air, soil, and radiological parameters; and (iv) Government agencies where legacy sites are located have been trained on environmental monitoring procedures for management and supervision of mining operations and uranium legacy sites.</w:t>
            </w:r>
          </w:p>
          <w:p w14:paraId="0733C0BA" w14:textId="77777777" w:rsidR="0050049A" w:rsidRPr="0050049A" w:rsidRDefault="0050049A" w:rsidP="0050049A">
            <w:pPr>
              <w:widowControl/>
              <w:spacing w:line="276" w:lineRule="auto"/>
              <w:jc w:val="both"/>
              <w:rPr>
                <w:rFonts w:eastAsiaTheme="minorHAnsi" w:cstheme="minorHAnsi"/>
                <w:color w:val="auto"/>
                <w:szCs w:val="22"/>
              </w:rPr>
            </w:pPr>
          </w:p>
          <w:p w14:paraId="677547E1" w14:textId="77777777" w:rsidR="0050049A" w:rsidRPr="0050049A" w:rsidRDefault="002C3F71" w:rsidP="0050049A">
            <w:pPr>
              <w:pStyle w:val="ListParagraph"/>
              <w:widowControl/>
              <w:numPr>
                <w:ilvl w:val="0"/>
                <w:numId w:val="21"/>
              </w:numPr>
              <w:spacing w:line="276" w:lineRule="auto"/>
              <w:jc w:val="both"/>
              <w:rPr>
                <w:rFonts w:eastAsiaTheme="minorHAnsi" w:cstheme="minorHAnsi"/>
                <w:b w:val="0"/>
                <w:color w:val="auto"/>
                <w:szCs w:val="22"/>
              </w:rPr>
            </w:pPr>
            <w:r w:rsidRPr="0050049A">
              <w:rPr>
                <w:rFonts w:eastAsiaTheme="minorHAnsi" w:cstheme="minorHAnsi"/>
                <w:b w:val="0"/>
                <w:color w:val="auto"/>
                <w:szCs w:val="22"/>
              </w:rPr>
              <w:t xml:space="preserve">The attainment of these intermediate outcomes have in turn led a substantial achievement of the project’s desired PDO/Outcomes (please see Section II-B (efficacy) below for an analysis of the fulfillment of outcomes): (i) the strengthening of </w:t>
            </w:r>
            <w:proofErr w:type="spellStart"/>
            <w:r w:rsidRPr="0050049A">
              <w:rPr>
                <w:rFonts w:eastAsiaTheme="minorHAnsi" w:cstheme="minorHAnsi"/>
                <w:b w:val="0"/>
                <w:color w:val="auto"/>
                <w:szCs w:val="22"/>
              </w:rPr>
              <w:t>GoA’s</w:t>
            </w:r>
            <w:proofErr w:type="spellEnd"/>
            <w:r w:rsidRPr="0050049A">
              <w:rPr>
                <w:rFonts w:eastAsiaTheme="minorHAnsi" w:cstheme="minorHAnsi"/>
                <w:b w:val="0"/>
                <w:color w:val="auto"/>
                <w:szCs w:val="22"/>
              </w:rPr>
              <w:t xml:space="preserve"> capacity to assess and mitigate environmental risks associated with closed uranium mines, processing sites, and relating mining sector investments, in accordance with international good practice; and (ii) the reduction of potential economic and health risks associated with a closed uranium milling site in </w:t>
            </w:r>
            <w:proofErr w:type="spellStart"/>
            <w:r w:rsidRPr="0050049A">
              <w:rPr>
                <w:rFonts w:eastAsiaTheme="minorHAnsi" w:cstheme="minorHAnsi"/>
                <w:b w:val="0"/>
                <w:color w:val="auto"/>
                <w:szCs w:val="22"/>
              </w:rPr>
              <w:t>Malargüe</w:t>
            </w:r>
            <w:proofErr w:type="spellEnd"/>
            <w:r w:rsidRPr="0050049A">
              <w:rPr>
                <w:rFonts w:eastAsiaTheme="minorHAnsi" w:cstheme="minorHAnsi"/>
                <w:b w:val="0"/>
                <w:color w:val="auto"/>
                <w:szCs w:val="22"/>
              </w:rPr>
              <w:t xml:space="preserve">, Mendoza, which in turn will lead to the reduction in the potential economic and health damages in the long term. By substantially fulfilling these key outcomes, the project has also contributed to the attainment of the higher level long-term goals (beyond the PDO) which include: (i) reducing environmental risks and safeguarding natural resources” as one of its three broader themes (CPS for FY 2015-2018); (ii) sustainable growth of the mining sector which minimizes the impacts on other key sectors (agriculture, tourism, forestry); (iii) improved </w:t>
            </w:r>
            <w:proofErr w:type="spellStart"/>
            <w:r w:rsidRPr="0050049A">
              <w:rPr>
                <w:rFonts w:eastAsiaTheme="minorHAnsi" w:cstheme="minorHAnsi"/>
                <w:b w:val="0"/>
                <w:color w:val="auto"/>
                <w:szCs w:val="22"/>
              </w:rPr>
              <w:t>GoA’s</w:t>
            </w:r>
            <w:proofErr w:type="spellEnd"/>
            <w:r w:rsidRPr="0050049A">
              <w:rPr>
                <w:rFonts w:eastAsiaTheme="minorHAnsi" w:cstheme="minorHAnsi"/>
                <w:b w:val="0"/>
                <w:color w:val="auto"/>
                <w:szCs w:val="22"/>
              </w:rPr>
              <w:t xml:space="preserve"> capacity to undertake environmental planning, remediation and restoration of mining and contaminated sites (not only uranium) in the country.</w:t>
            </w:r>
          </w:p>
          <w:p w14:paraId="1953784E" w14:textId="77777777" w:rsidR="00D33859" w:rsidRPr="00B12343" w:rsidRDefault="00D33859" w:rsidP="0050049A">
            <w:pPr>
              <w:pStyle w:val="ListParagraph"/>
              <w:widowControl/>
              <w:spacing w:line="276" w:lineRule="auto"/>
              <w:ind w:left="360"/>
              <w:jc w:val="both"/>
              <w:rPr>
                <w:rFonts w:eastAsiaTheme="minorHAnsi" w:cstheme="minorHAnsi"/>
                <w:b w:val="0"/>
                <w:color w:val="auto"/>
                <w:szCs w:val="22"/>
              </w:rPr>
            </w:pPr>
          </w:p>
        </w:tc>
      </w:tr>
      <w:tr w:rsidR="00E63776" w14:paraId="2899B60E" w14:textId="77777777" w:rsidTr="00CB7761">
        <w:tc>
          <w:tcPr>
            <w:tcW w:w="10890" w:type="dxa"/>
          </w:tcPr>
          <w:p w14:paraId="1BD28CA0" w14:textId="77777777" w:rsidR="00D33859" w:rsidRDefault="002C3F71" w:rsidP="00D33859">
            <w:pPr>
              <w:pStyle w:val="Heading3"/>
              <w:ind w:left="342"/>
              <w:rPr>
                <w:szCs w:val="22"/>
              </w:rPr>
            </w:pPr>
            <w:r w:rsidRPr="009E631B">
              <w:rPr>
                <w:szCs w:val="22"/>
              </w:rPr>
              <w:t>Project Development Objectives (PDOs)</w:t>
            </w:r>
            <w:r w:rsidR="00A75E11">
              <w:rPr>
                <w:szCs w:val="22"/>
              </w:rPr>
              <w:br/>
            </w:r>
          </w:p>
          <w:p w14:paraId="77699583" w14:textId="77777777" w:rsidR="00D33859" w:rsidRPr="00D33859" w:rsidRDefault="00D33859" w:rsidP="00D33859"/>
        </w:tc>
      </w:tr>
      <w:tr w:rsidR="00E63776" w14:paraId="1046C8FD" w14:textId="77777777" w:rsidTr="00CB7761">
        <w:trPr>
          <w:trHeight w:val="1035"/>
        </w:trPr>
        <w:tc>
          <w:tcPr>
            <w:tcW w:w="10890" w:type="dxa"/>
          </w:tcPr>
          <w:p w14:paraId="2BEA0D7B" w14:textId="77777777" w:rsidR="00A75E11" w:rsidRDefault="002C3F71" w:rsidP="00A75E11">
            <w:pPr>
              <w:pStyle w:val="ListParagraph"/>
              <w:widowControl/>
              <w:numPr>
                <w:ilvl w:val="0"/>
                <w:numId w:val="21"/>
              </w:numPr>
              <w:spacing w:line="276" w:lineRule="auto"/>
              <w:jc w:val="both"/>
              <w:rPr>
                <w:rFonts w:eastAsiaTheme="minorHAnsi" w:cstheme="minorBidi"/>
                <w:b w:val="0"/>
                <w:color w:val="000000" w:themeColor="text1"/>
                <w:szCs w:val="22"/>
              </w:rPr>
            </w:pPr>
            <w:r w:rsidRPr="00D33859">
              <w:rPr>
                <w:rFonts w:eastAsiaTheme="minorHAnsi" w:cstheme="minorBidi"/>
                <w:b w:val="0"/>
                <w:color w:val="000000" w:themeColor="text1"/>
                <w:szCs w:val="22"/>
              </w:rPr>
              <w:t xml:space="preserve">As stated in the Loan Agreement (LA), the PDOs were: (i) </w:t>
            </w:r>
            <w:r w:rsidR="000616F3">
              <w:rPr>
                <w:rFonts w:eastAsiaTheme="minorHAnsi" w:cstheme="minorBidi"/>
                <w:b w:val="0"/>
                <w:color w:val="000000" w:themeColor="text1"/>
                <w:szCs w:val="22"/>
              </w:rPr>
              <w:t xml:space="preserve">to </w:t>
            </w:r>
            <w:r w:rsidRPr="00D33859">
              <w:rPr>
                <w:rFonts w:eastAsiaTheme="minorHAnsi" w:cstheme="minorBidi"/>
                <w:b w:val="0"/>
                <w:color w:val="000000" w:themeColor="text1"/>
                <w:szCs w:val="22"/>
              </w:rPr>
              <w:t xml:space="preserve">strengthen the </w:t>
            </w:r>
            <w:r>
              <w:rPr>
                <w:rFonts w:eastAsiaTheme="minorHAnsi" w:cstheme="minorBidi"/>
                <w:b w:val="0"/>
                <w:color w:val="000000" w:themeColor="text1"/>
                <w:szCs w:val="22"/>
              </w:rPr>
              <w:t xml:space="preserve">Borrower’s </w:t>
            </w:r>
            <w:r w:rsidRPr="00D33859">
              <w:rPr>
                <w:rFonts w:eastAsiaTheme="minorHAnsi" w:cstheme="minorBidi"/>
                <w:b w:val="0"/>
                <w:color w:val="000000" w:themeColor="text1"/>
                <w:szCs w:val="22"/>
              </w:rPr>
              <w:t xml:space="preserve">capacity to assess and mitigate environmental risks associated with closed uranium mines, processing sites, and related mining sector investments, in accordance with international </w:t>
            </w:r>
            <w:r>
              <w:rPr>
                <w:rFonts w:eastAsiaTheme="minorHAnsi" w:cstheme="minorBidi"/>
                <w:b w:val="0"/>
                <w:color w:val="000000" w:themeColor="text1"/>
                <w:szCs w:val="22"/>
              </w:rPr>
              <w:t xml:space="preserve">good </w:t>
            </w:r>
            <w:r w:rsidRPr="00D33859">
              <w:rPr>
                <w:rFonts w:eastAsiaTheme="minorHAnsi" w:cstheme="minorBidi"/>
                <w:b w:val="0"/>
                <w:color w:val="000000" w:themeColor="text1"/>
                <w:szCs w:val="22"/>
              </w:rPr>
              <w:t xml:space="preserve">practice; and (ii) </w:t>
            </w:r>
            <w:r w:rsidR="000616F3">
              <w:rPr>
                <w:rFonts w:eastAsiaTheme="minorHAnsi" w:cstheme="minorBidi"/>
                <w:b w:val="0"/>
                <w:color w:val="000000" w:themeColor="text1"/>
                <w:szCs w:val="22"/>
              </w:rPr>
              <w:t xml:space="preserve">to </w:t>
            </w:r>
            <w:r w:rsidRPr="00D33859">
              <w:rPr>
                <w:rFonts w:eastAsiaTheme="minorHAnsi" w:cstheme="minorBidi"/>
                <w:b w:val="0"/>
                <w:color w:val="000000" w:themeColor="text1"/>
                <w:szCs w:val="22"/>
              </w:rPr>
              <w:t xml:space="preserve">reduce potential economic and health damages associated with </w:t>
            </w:r>
            <w:r>
              <w:rPr>
                <w:rFonts w:eastAsiaTheme="minorHAnsi" w:cstheme="minorBidi"/>
                <w:b w:val="0"/>
                <w:color w:val="000000" w:themeColor="text1"/>
                <w:szCs w:val="22"/>
              </w:rPr>
              <w:t xml:space="preserve">the </w:t>
            </w:r>
            <w:proofErr w:type="spellStart"/>
            <w:r w:rsidR="00E52891">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 xml:space="preserve"> site.</w:t>
            </w:r>
            <w:r>
              <w:rPr>
                <w:rStyle w:val="FootnoteReference"/>
                <w:rFonts w:eastAsiaTheme="minorHAnsi" w:cstheme="minorBidi"/>
                <w:b w:val="0"/>
                <w:color w:val="000000" w:themeColor="text1"/>
                <w:szCs w:val="22"/>
              </w:rPr>
              <w:footnoteReference w:id="4"/>
            </w:r>
          </w:p>
          <w:p w14:paraId="4D13EBB8" w14:textId="77777777" w:rsidR="00A75E11" w:rsidRPr="00D33859" w:rsidRDefault="00A75E11" w:rsidP="00A75E11">
            <w:pPr>
              <w:pStyle w:val="ListParagraph"/>
              <w:widowControl/>
              <w:spacing w:line="276" w:lineRule="auto"/>
              <w:ind w:left="720"/>
              <w:jc w:val="both"/>
              <w:rPr>
                <w:rFonts w:eastAsiaTheme="minorHAnsi" w:cstheme="minorBidi"/>
                <w:b w:val="0"/>
                <w:color w:val="000000" w:themeColor="text1"/>
                <w:szCs w:val="22"/>
              </w:rPr>
            </w:pPr>
          </w:p>
        </w:tc>
      </w:tr>
      <w:tr w:rsidR="00E63776" w14:paraId="1E0BA163" w14:textId="77777777" w:rsidTr="00CB7761">
        <w:tc>
          <w:tcPr>
            <w:tcW w:w="10890" w:type="dxa"/>
          </w:tcPr>
          <w:p w14:paraId="06994EE8" w14:textId="77777777" w:rsidR="00A75E11" w:rsidRDefault="002C3F71" w:rsidP="00A75E11">
            <w:pPr>
              <w:pStyle w:val="Heading3"/>
              <w:rPr>
                <w:szCs w:val="22"/>
              </w:rPr>
            </w:pPr>
            <w:r w:rsidRPr="009E631B">
              <w:rPr>
                <w:szCs w:val="22"/>
              </w:rPr>
              <w:t>Key Expected Outcomes and Outcome Indicators</w:t>
            </w:r>
          </w:p>
          <w:p w14:paraId="4274C836" w14:textId="77777777" w:rsidR="00A75E11" w:rsidRDefault="00A75E11" w:rsidP="00A75E11"/>
          <w:p w14:paraId="1531A6B9" w14:textId="77777777" w:rsidR="00A75E11" w:rsidRPr="00D33859" w:rsidRDefault="002C3F71" w:rsidP="00A75E11">
            <w:pPr>
              <w:pStyle w:val="ListParagraph"/>
              <w:widowControl/>
              <w:numPr>
                <w:ilvl w:val="0"/>
                <w:numId w:val="21"/>
              </w:numPr>
              <w:spacing w:line="276" w:lineRule="auto"/>
              <w:jc w:val="both"/>
              <w:rPr>
                <w:rFonts w:eastAsiaTheme="minorHAnsi" w:cstheme="minorBidi"/>
                <w:b w:val="0"/>
                <w:color w:val="000000" w:themeColor="text1"/>
                <w:szCs w:val="22"/>
              </w:rPr>
            </w:pPr>
            <w:r w:rsidRPr="00D33859">
              <w:rPr>
                <w:rFonts w:eastAsiaTheme="minorHAnsi" w:cstheme="minorBidi"/>
                <w:b w:val="0"/>
                <w:color w:val="000000" w:themeColor="text1"/>
                <w:szCs w:val="22"/>
              </w:rPr>
              <w:t>The key expected project outcome</w:t>
            </w:r>
            <w:r>
              <w:rPr>
                <w:rFonts w:eastAsiaTheme="minorHAnsi" w:cstheme="minorBidi"/>
                <w:b w:val="0"/>
                <w:color w:val="000000" w:themeColor="text1"/>
                <w:szCs w:val="22"/>
              </w:rPr>
              <w:t>s stated above were achievement of the two objectives (strengthen the Borrower’s capacity to assess and mitigate environmental risks associated with closed uranium mines, etc., and reduce potential</w:t>
            </w:r>
            <w:r w:rsidRPr="00D33859">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economic and health damages associated with the </w:t>
            </w:r>
            <w:proofErr w:type="spellStart"/>
            <w:r w:rsidR="00320C2B">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 xml:space="preserve"> site).  The outcome </w:t>
            </w:r>
            <w:r w:rsidRPr="00D33859">
              <w:rPr>
                <w:rFonts w:eastAsiaTheme="minorHAnsi" w:cstheme="minorBidi"/>
                <w:b w:val="0"/>
                <w:color w:val="000000" w:themeColor="text1"/>
                <w:szCs w:val="22"/>
              </w:rPr>
              <w:t>indicators at the time of appraisal, as indicated in the PAD and th</w:t>
            </w:r>
            <w:r>
              <w:rPr>
                <w:rFonts w:eastAsiaTheme="minorHAnsi" w:cstheme="minorBidi"/>
                <w:b w:val="0"/>
                <w:color w:val="000000" w:themeColor="text1"/>
                <w:szCs w:val="22"/>
              </w:rPr>
              <w:t>e</w:t>
            </w:r>
            <w:r w:rsidRPr="00D33859">
              <w:rPr>
                <w:rFonts w:eastAsiaTheme="minorHAnsi" w:cstheme="minorBidi"/>
                <w:b w:val="0"/>
                <w:color w:val="000000" w:themeColor="text1"/>
                <w:szCs w:val="22"/>
              </w:rPr>
              <w:t xml:space="preserve"> Results Framework, </w:t>
            </w:r>
            <w:r>
              <w:rPr>
                <w:rFonts w:eastAsiaTheme="minorHAnsi" w:cstheme="minorBidi"/>
                <w:b w:val="0"/>
                <w:color w:val="000000" w:themeColor="text1"/>
                <w:szCs w:val="22"/>
              </w:rPr>
              <w:t>concerned</w:t>
            </w:r>
            <w:r w:rsidRPr="00D33859">
              <w:rPr>
                <w:rFonts w:eastAsiaTheme="minorHAnsi" w:cstheme="minorBidi"/>
                <w:b w:val="0"/>
                <w:color w:val="000000" w:themeColor="text1"/>
                <w:szCs w:val="22"/>
              </w:rPr>
              <w:t xml:space="preserve"> environmental works (</w:t>
            </w:r>
            <w:r>
              <w:rPr>
                <w:rFonts w:eastAsiaTheme="minorHAnsi" w:cstheme="minorBidi"/>
                <w:b w:val="0"/>
                <w:color w:val="000000" w:themeColor="text1"/>
                <w:szCs w:val="22"/>
              </w:rPr>
              <w:t xml:space="preserve">indicators </w:t>
            </w:r>
            <w:r w:rsidR="00541167">
              <w:rPr>
                <w:rFonts w:eastAsiaTheme="minorHAnsi" w:cstheme="minorBidi"/>
                <w:b w:val="0"/>
                <w:color w:val="000000" w:themeColor="text1"/>
                <w:szCs w:val="22"/>
              </w:rPr>
              <w:t>1</w:t>
            </w:r>
            <w:r w:rsidR="00541167" w:rsidRPr="00D33859">
              <w:rPr>
                <w:rFonts w:eastAsiaTheme="minorHAnsi" w:cstheme="minorBidi"/>
                <w:b w:val="0"/>
                <w:color w:val="000000" w:themeColor="text1"/>
                <w:szCs w:val="22"/>
              </w:rPr>
              <w:t xml:space="preserve"> </w:t>
            </w:r>
            <w:r w:rsidRPr="00D33859">
              <w:rPr>
                <w:rFonts w:eastAsiaTheme="minorHAnsi" w:cstheme="minorBidi"/>
                <w:b w:val="0"/>
                <w:color w:val="000000" w:themeColor="text1"/>
                <w:szCs w:val="22"/>
              </w:rPr>
              <w:t xml:space="preserve">and </w:t>
            </w:r>
            <w:r w:rsidR="00541167">
              <w:rPr>
                <w:rFonts w:eastAsiaTheme="minorHAnsi" w:cstheme="minorBidi"/>
                <w:b w:val="0"/>
                <w:color w:val="000000" w:themeColor="text1"/>
                <w:szCs w:val="22"/>
              </w:rPr>
              <w:t>2</w:t>
            </w:r>
            <w:r>
              <w:rPr>
                <w:rFonts w:eastAsiaTheme="minorHAnsi" w:cstheme="minorBidi"/>
                <w:b w:val="0"/>
                <w:color w:val="000000" w:themeColor="text1"/>
                <w:szCs w:val="22"/>
              </w:rPr>
              <w:t xml:space="preserve"> below</w:t>
            </w:r>
            <w:r w:rsidRPr="00D33859">
              <w:rPr>
                <w:rFonts w:eastAsiaTheme="minorHAnsi" w:cstheme="minorBidi"/>
                <w:b w:val="0"/>
                <w:color w:val="000000" w:themeColor="text1"/>
                <w:szCs w:val="22"/>
              </w:rPr>
              <w:t>) and mine restoration planning and environmental institutional strengthen</w:t>
            </w:r>
            <w:r>
              <w:rPr>
                <w:rFonts w:eastAsiaTheme="minorHAnsi" w:cstheme="minorBidi"/>
                <w:b w:val="0"/>
                <w:color w:val="000000" w:themeColor="text1"/>
                <w:szCs w:val="22"/>
              </w:rPr>
              <w:t>ing</w:t>
            </w:r>
            <w:r w:rsidRPr="00D33859">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indicators </w:t>
            </w:r>
            <w:r w:rsidR="00541167">
              <w:rPr>
                <w:rFonts w:eastAsiaTheme="minorHAnsi" w:cstheme="minorBidi"/>
                <w:b w:val="0"/>
                <w:color w:val="000000" w:themeColor="text1"/>
                <w:szCs w:val="22"/>
              </w:rPr>
              <w:t>3</w:t>
            </w:r>
            <w:r w:rsidR="00541167" w:rsidRPr="00D33859">
              <w:rPr>
                <w:rFonts w:eastAsiaTheme="minorHAnsi" w:cstheme="minorBidi"/>
                <w:b w:val="0"/>
                <w:color w:val="000000" w:themeColor="text1"/>
                <w:szCs w:val="22"/>
              </w:rPr>
              <w:t xml:space="preserve"> </w:t>
            </w:r>
            <w:r w:rsidRPr="00D33859">
              <w:rPr>
                <w:rFonts w:eastAsiaTheme="minorHAnsi" w:cstheme="minorBidi"/>
                <w:b w:val="0"/>
                <w:color w:val="000000" w:themeColor="text1"/>
                <w:szCs w:val="22"/>
              </w:rPr>
              <w:t xml:space="preserve">and </w:t>
            </w:r>
            <w:r w:rsidR="00541167">
              <w:rPr>
                <w:rFonts w:eastAsiaTheme="minorHAnsi" w:cstheme="minorBidi"/>
                <w:b w:val="0"/>
                <w:color w:val="000000" w:themeColor="text1"/>
                <w:szCs w:val="22"/>
              </w:rPr>
              <w:t>4</w:t>
            </w:r>
            <w:r w:rsidRPr="00D33859">
              <w:rPr>
                <w:rFonts w:eastAsiaTheme="minorHAnsi" w:cstheme="minorBidi"/>
                <w:b w:val="0"/>
                <w:color w:val="000000" w:themeColor="text1"/>
                <w:szCs w:val="22"/>
              </w:rPr>
              <w:t>)</w:t>
            </w:r>
            <w:r w:rsidR="00541167">
              <w:rPr>
                <w:rFonts w:eastAsiaTheme="minorHAnsi" w:cstheme="minorBidi"/>
                <w:b w:val="0"/>
                <w:color w:val="000000" w:themeColor="text1"/>
                <w:szCs w:val="22"/>
              </w:rPr>
              <w:t xml:space="preserve">. Indicators </w:t>
            </w:r>
            <w:r>
              <w:rPr>
                <w:rFonts w:eastAsiaTheme="minorHAnsi" w:cstheme="minorBidi"/>
                <w:b w:val="0"/>
                <w:color w:val="000000" w:themeColor="text1"/>
                <w:szCs w:val="22"/>
              </w:rPr>
              <w:t>one</w:t>
            </w:r>
            <w:r w:rsidR="00541167">
              <w:rPr>
                <w:rFonts w:eastAsiaTheme="minorHAnsi" w:cstheme="minorBidi"/>
                <w:b w:val="0"/>
                <w:color w:val="000000" w:themeColor="text1"/>
                <w:szCs w:val="22"/>
              </w:rPr>
              <w:t xml:space="preserve"> and </w:t>
            </w:r>
            <w:r>
              <w:rPr>
                <w:rFonts w:eastAsiaTheme="minorHAnsi" w:cstheme="minorBidi"/>
                <w:b w:val="0"/>
                <w:color w:val="000000" w:themeColor="text1"/>
                <w:szCs w:val="22"/>
              </w:rPr>
              <w:t>two were directly associated with objective (</w:t>
            </w:r>
            <w:r w:rsidR="00923F95">
              <w:rPr>
                <w:rFonts w:eastAsiaTheme="minorHAnsi" w:cstheme="minorBidi"/>
                <w:b w:val="0"/>
                <w:color w:val="000000" w:themeColor="text1"/>
                <w:szCs w:val="22"/>
              </w:rPr>
              <w:t>i</w:t>
            </w:r>
            <w:r>
              <w:rPr>
                <w:rFonts w:eastAsiaTheme="minorHAnsi" w:cstheme="minorBidi"/>
                <w:b w:val="0"/>
                <w:color w:val="000000" w:themeColor="text1"/>
                <w:szCs w:val="22"/>
              </w:rPr>
              <w:t xml:space="preserve">i) and indicator three </w:t>
            </w:r>
            <w:r w:rsidR="00541167">
              <w:rPr>
                <w:rFonts w:eastAsiaTheme="minorHAnsi" w:cstheme="minorBidi"/>
                <w:b w:val="0"/>
                <w:color w:val="000000" w:themeColor="text1"/>
                <w:szCs w:val="22"/>
              </w:rPr>
              <w:t xml:space="preserve">and four </w:t>
            </w:r>
            <w:r>
              <w:rPr>
                <w:rFonts w:eastAsiaTheme="minorHAnsi" w:cstheme="minorBidi"/>
                <w:b w:val="0"/>
                <w:color w:val="000000" w:themeColor="text1"/>
                <w:szCs w:val="22"/>
              </w:rPr>
              <w:t>with objective (i):</w:t>
            </w:r>
          </w:p>
          <w:p w14:paraId="2CD5B849" w14:textId="77777777" w:rsidR="00A75E11" w:rsidRPr="00D33859" w:rsidRDefault="00A75E11" w:rsidP="00A75E11"/>
        </w:tc>
      </w:tr>
      <w:tr w:rsidR="00E63776" w14:paraId="42B36E8B" w14:textId="77777777" w:rsidTr="00CB7761">
        <w:trPr>
          <w:trHeight w:val="1053"/>
        </w:trPr>
        <w:tc>
          <w:tcPr>
            <w:tcW w:w="10890" w:type="dxa"/>
          </w:tcPr>
          <w:p w14:paraId="3F3B16C6" w14:textId="77777777" w:rsidR="00541167" w:rsidRPr="00D33859" w:rsidRDefault="002C3F71" w:rsidP="00210CF6">
            <w:pPr>
              <w:pStyle w:val="ListParagraph"/>
              <w:widowControl/>
              <w:numPr>
                <w:ilvl w:val="0"/>
                <w:numId w:val="39"/>
              </w:numPr>
              <w:spacing w:line="276" w:lineRule="auto"/>
              <w:jc w:val="both"/>
              <w:rPr>
                <w:rFonts w:eastAsiaTheme="minorHAnsi" w:cstheme="minorBidi"/>
                <w:b w:val="0"/>
                <w:color w:val="000000" w:themeColor="text1"/>
                <w:szCs w:val="22"/>
              </w:rPr>
            </w:pPr>
            <w:r w:rsidRPr="00D33859">
              <w:rPr>
                <w:rFonts w:eastAsiaTheme="minorHAnsi" w:cstheme="minorBidi"/>
                <w:b w:val="0"/>
                <w:color w:val="000000" w:themeColor="text1"/>
                <w:szCs w:val="22"/>
              </w:rPr>
              <w:t xml:space="preserve">All potential health and economic risks associated with the </w:t>
            </w:r>
            <w:proofErr w:type="spellStart"/>
            <w:r w:rsidRPr="00D33859">
              <w:rPr>
                <w:rFonts w:eastAsiaTheme="minorHAnsi" w:cstheme="minorBidi"/>
                <w:b w:val="0"/>
                <w:color w:val="000000" w:themeColor="text1"/>
                <w:szCs w:val="22"/>
              </w:rPr>
              <w:t>Malargüe</w:t>
            </w:r>
            <w:proofErr w:type="spellEnd"/>
            <w:r w:rsidRPr="00D33859">
              <w:rPr>
                <w:rFonts w:eastAsiaTheme="minorHAnsi" w:cstheme="minorBidi"/>
                <w:b w:val="0"/>
                <w:color w:val="000000" w:themeColor="text1"/>
                <w:szCs w:val="22"/>
              </w:rPr>
              <w:t xml:space="preserve"> site reduced to acceptable and verified levels;</w:t>
            </w:r>
          </w:p>
          <w:p w14:paraId="58E59287" w14:textId="77777777" w:rsidR="00A75E11" w:rsidRPr="00D33859" w:rsidRDefault="002C3F71" w:rsidP="00210CF6">
            <w:pPr>
              <w:pStyle w:val="ListParagraph"/>
              <w:widowControl/>
              <w:numPr>
                <w:ilvl w:val="0"/>
                <w:numId w:val="39"/>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A</w:t>
            </w:r>
            <w:r w:rsidRPr="00D33859">
              <w:rPr>
                <w:rFonts w:eastAsiaTheme="minorHAnsi" w:cstheme="minorBidi"/>
                <w:b w:val="0"/>
                <w:color w:val="000000" w:themeColor="text1"/>
                <w:szCs w:val="22"/>
              </w:rPr>
              <w:t>ll potential health and economic risks associated with at least four closed uranium sites to be addressed through credible implementation, with stakeholder buy-in, off site-specific remediation</w:t>
            </w:r>
            <w:r>
              <w:rPr>
                <w:rStyle w:val="FootnoteReference"/>
                <w:rFonts w:eastAsiaTheme="minorHAnsi" w:cstheme="minorBidi"/>
                <w:b w:val="0"/>
                <w:color w:val="000000" w:themeColor="text1"/>
                <w:szCs w:val="22"/>
              </w:rPr>
              <w:footnoteReference w:id="5"/>
            </w:r>
            <w:r w:rsidRPr="00D33859">
              <w:rPr>
                <w:rFonts w:eastAsiaTheme="minorHAnsi" w:cstheme="minorBidi"/>
                <w:b w:val="0"/>
                <w:color w:val="000000" w:themeColor="text1"/>
                <w:szCs w:val="22"/>
              </w:rPr>
              <w:t xml:space="preserve"> plans</w:t>
            </w:r>
            <w:r>
              <w:rPr>
                <w:rFonts w:eastAsiaTheme="minorHAnsi" w:cstheme="minorBidi"/>
                <w:b w:val="0"/>
                <w:color w:val="000000" w:themeColor="text1"/>
                <w:szCs w:val="22"/>
              </w:rPr>
              <w:t>;</w:t>
            </w:r>
            <w:r w:rsidRPr="00D33859">
              <w:rPr>
                <w:rFonts w:eastAsiaTheme="minorHAnsi" w:cstheme="minorBidi"/>
                <w:b w:val="0"/>
                <w:color w:val="000000" w:themeColor="text1"/>
                <w:szCs w:val="22"/>
              </w:rPr>
              <w:t xml:space="preserve"> </w:t>
            </w:r>
          </w:p>
          <w:p w14:paraId="7A3334C2" w14:textId="77777777" w:rsidR="00A75E11" w:rsidRPr="00D33859" w:rsidRDefault="002C3F71" w:rsidP="00210CF6">
            <w:pPr>
              <w:pStyle w:val="ListParagraph"/>
              <w:widowControl/>
              <w:numPr>
                <w:ilvl w:val="0"/>
                <w:numId w:val="39"/>
              </w:numPr>
              <w:spacing w:line="276" w:lineRule="auto"/>
              <w:jc w:val="both"/>
              <w:rPr>
                <w:rFonts w:eastAsiaTheme="minorHAnsi" w:cstheme="minorBidi"/>
                <w:b w:val="0"/>
                <w:color w:val="000000" w:themeColor="text1"/>
                <w:szCs w:val="22"/>
              </w:rPr>
            </w:pPr>
            <w:r w:rsidRPr="00D33859">
              <w:rPr>
                <w:rFonts w:eastAsiaTheme="minorHAnsi" w:cstheme="minorBidi"/>
                <w:b w:val="0"/>
                <w:color w:val="000000" w:themeColor="text1"/>
                <w:szCs w:val="22"/>
              </w:rPr>
              <w:t>Measurable environmental risks reduced to acceptable levels in other sites or mining sector investments, particularly as relates to siting, monitoring and compliance, public disclosure, and management plans for future closings; and</w:t>
            </w:r>
          </w:p>
          <w:p w14:paraId="197BF003" w14:textId="77777777" w:rsidR="00A75E11" w:rsidRPr="00D33859" w:rsidRDefault="002C3F71" w:rsidP="00210CF6">
            <w:pPr>
              <w:pStyle w:val="ListParagraph"/>
              <w:widowControl/>
              <w:numPr>
                <w:ilvl w:val="0"/>
                <w:numId w:val="39"/>
              </w:numPr>
              <w:spacing w:line="276" w:lineRule="auto"/>
              <w:jc w:val="both"/>
              <w:rPr>
                <w:rFonts w:eastAsiaTheme="minorHAnsi" w:cstheme="minorBidi"/>
                <w:b w:val="0"/>
                <w:color w:val="000000" w:themeColor="text1"/>
                <w:szCs w:val="22"/>
              </w:rPr>
            </w:pPr>
            <w:r w:rsidRPr="00D33859">
              <w:rPr>
                <w:rFonts w:eastAsiaTheme="minorHAnsi" w:cstheme="minorBidi"/>
                <w:b w:val="0"/>
                <w:color w:val="000000" w:themeColor="text1"/>
                <w:szCs w:val="22"/>
              </w:rPr>
              <w:t>CNEA laboratories receive full IS0 17025 management system accreditation for its quality, administrative, and technical operations.</w:t>
            </w:r>
          </w:p>
        </w:tc>
      </w:tr>
      <w:tr w:rsidR="00E63776" w14:paraId="04367565" w14:textId="77777777" w:rsidTr="00CB7761">
        <w:tc>
          <w:tcPr>
            <w:tcW w:w="10890" w:type="dxa"/>
          </w:tcPr>
          <w:p w14:paraId="78A4A0F6" w14:textId="77777777" w:rsidR="00A75E11" w:rsidRDefault="00A75E11" w:rsidP="00A75E11">
            <w:pPr>
              <w:pStyle w:val="Heading3"/>
              <w:ind w:left="342"/>
              <w:rPr>
                <w:szCs w:val="22"/>
              </w:rPr>
            </w:pPr>
          </w:p>
          <w:p w14:paraId="5EBFEEBB" w14:textId="77777777" w:rsidR="00A75E11" w:rsidRPr="009E631B" w:rsidRDefault="002C3F71" w:rsidP="00A75E11">
            <w:pPr>
              <w:pStyle w:val="Heading3"/>
              <w:ind w:left="342"/>
              <w:rPr>
                <w:color w:val="auto"/>
                <w:szCs w:val="22"/>
              </w:rPr>
            </w:pPr>
            <w:r w:rsidRPr="009E631B">
              <w:rPr>
                <w:szCs w:val="22"/>
              </w:rPr>
              <w:t>Components</w:t>
            </w:r>
          </w:p>
        </w:tc>
      </w:tr>
      <w:tr w:rsidR="00E63776" w14:paraId="1FA02B1D" w14:textId="77777777" w:rsidTr="00CB7761">
        <w:tc>
          <w:tcPr>
            <w:tcW w:w="10890" w:type="dxa"/>
          </w:tcPr>
          <w:p w14:paraId="38426807" w14:textId="77777777" w:rsidR="00A75E11" w:rsidRPr="009212C0" w:rsidRDefault="00A75E11" w:rsidP="00A75E11">
            <w:pPr>
              <w:widowControl/>
              <w:autoSpaceDE/>
              <w:autoSpaceDN/>
              <w:adjustRightInd/>
              <w:spacing w:after="160" w:line="259" w:lineRule="auto"/>
              <w:ind w:left="342" w:hanging="3"/>
              <w:rPr>
                <w:rFonts w:asciiTheme="minorHAnsi" w:eastAsiaTheme="minorHAnsi" w:hAnsiTheme="minorHAnsi" w:cstheme="minorBidi"/>
                <w:color w:val="000000" w:themeColor="text1"/>
                <w:sz w:val="22"/>
                <w:szCs w:val="22"/>
              </w:rPr>
            </w:pPr>
          </w:p>
          <w:p w14:paraId="669DA131" w14:textId="77777777" w:rsidR="00A75E11" w:rsidRPr="009212C0" w:rsidRDefault="002C3F71" w:rsidP="00A75E11">
            <w:pPr>
              <w:pStyle w:val="ListParagraph"/>
              <w:widowControl/>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P</w:t>
            </w:r>
            <w:r w:rsidRPr="009212C0">
              <w:rPr>
                <w:rFonts w:eastAsiaTheme="minorHAnsi" w:cstheme="minorBidi"/>
                <w:b w:val="0"/>
                <w:color w:val="000000" w:themeColor="text1"/>
                <w:szCs w:val="22"/>
              </w:rPr>
              <w:t xml:space="preserve">roject components included the following: </w:t>
            </w:r>
          </w:p>
          <w:p w14:paraId="483DCE09" w14:textId="77777777" w:rsidR="00A75E11" w:rsidRPr="009212C0" w:rsidRDefault="00A75E11" w:rsidP="00A75E11">
            <w:pPr>
              <w:pStyle w:val="ListParagraph"/>
              <w:widowControl/>
              <w:spacing w:line="276" w:lineRule="auto"/>
              <w:ind w:left="720"/>
              <w:jc w:val="both"/>
              <w:rPr>
                <w:rFonts w:eastAsiaTheme="minorHAnsi" w:cstheme="minorBidi"/>
                <w:b w:val="0"/>
                <w:color w:val="000000" w:themeColor="text1"/>
                <w:szCs w:val="22"/>
              </w:rPr>
            </w:pPr>
          </w:p>
          <w:p w14:paraId="06160511" w14:textId="77777777" w:rsidR="00A75E11" w:rsidRPr="002318A9" w:rsidRDefault="002C3F71" w:rsidP="00A75E11">
            <w:pPr>
              <w:pStyle w:val="ListParagraph"/>
              <w:widowControl/>
              <w:numPr>
                <w:ilvl w:val="0"/>
                <w:numId w:val="21"/>
              </w:numPr>
              <w:spacing w:line="276" w:lineRule="auto"/>
              <w:jc w:val="both"/>
              <w:rPr>
                <w:rFonts w:eastAsiaTheme="minorHAnsi"/>
                <w:b w:val="0"/>
                <w:color w:val="auto"/>
              </w:rPr>
            </w:pPr>
            <w:r w:rsidRPr="002318A9">
              <w:rPr>
                <w:rFonts w:eastAsiaTheme="minorHAnsi" w:cstheme="minorBidi"/>
                <w:color w:val="000000" w:themeColor="text1"/>
                <w:szCs w:val="22"/>
              </w:rPr>
              <w:t xml:space="preserve">Component 1. Remediation of the </w:t>
            </w:r>
            <w:proofErr w:type="spellStart"/>
            <w:r w:rsidR="00320C2B" w:rsidRPr="002318A9">
              <w:rPr>
                <w:rFonts w:eastAsiaTheme="minorHAnsi" w:cstheme="minorBidi"/>
                <w:color w:val="000000" w:themeColor="text1"/>
                <w:szCs w:val="22"/>
              </w:rPr>
              <w:t>Malargüe</w:t>
            </w:r>
            <w:proofErr w:type="spellEnd"/>
            <w:r w:rsidRPr="002318A9">
              <w:rPr>
                <w:rFonts w:eastAsiaTheme="minorHAnsi" w:cstheme="minorBidi"/>
                <w:color w:val="000000" w:themeColor="text1"/>
                <w:szCs w:val="22"/>
              </w:rPr>
              <w:t xml:space="preserve"> Site</w:t>
            </w:r>
            <w:r w:rsidRPr="002318A9">
              <w:rPr>
                <w:rFonts w:eastAsiaTheme="minorHAnsi" w:cstheme="minorBidi"/>
                <w:b w:val="0"/>
                <w:color w:val="000000" w:themeColor="text1"/>
                <w:szCs w:val="22"/>
              </w:rPr>
              <w:t xml:space="preserve">. </w:t>
            </w:r>
            <w:r>
              <w:rPr>
                <w:rFonts w:eastAsiaTheme="minorHAnsi" w:cstheme="minorBidi"/>
                <w:b w:val="0"/>
                <w:color w:val="000000" w:themeColor="text1"/>
                <w:szCs w:val="22"/>
              </w:rPr>
              <w:t>(Appraisal Cost: US$ 17.75 million; Actual Cost: US$ 22.23 million)</w:t>
            </w:r>
            <w:r w:rsidRPr="009212C0">
              <w:rPr>
                <w:rFonts w:eastAsiaTheme="minorHAnsi" w:cstheme="minorBidi"/>
                <w:b w:val="0"/>
                <w:color w:val="000000" w:themeColor="text1"/>
                <w:szCs w:val="22"/>
              </w:rPr>
              <w:t xml:space="preserve"> This site, which was donated by the Province of Mendoza to CNEA, is located at the northern limit of the city of </w:t>
            </w:r>
            <w:proofErr w:type="spellStart"/>
            <w:r w:rsidR="00320C2B" w:rsidRPr="009212C0">
              <w:rPr>
                <w:rFonts w:eastAsiaTheme="minorHAnsi" w:cstheme="minorBidi"/>
                <w:b w:val="0"/>
                <w:color w:val="000000" w:themeColor="text1"/>
                <w:szCs w:val="22"/>
              </w:rPr>
              <w:t>Malargüe</w:t>
            </w:r>
            <w:proofErr w:type="spellEnd"/>
            <w:r w:rsidRPr="009212C0">
              <w:rPr>
                <w:rFonts w:eastAsiaTheme="minorHAnsi" w:cstheme="minorBidi"/>
                <w:b w:val="0"/>
                <w:color w:val="000000" w:themeColor="text1"/>
                <w:szCs w:val="22"/>
              </w:rPr>
              <w:t xml:space="preserve"> (about </w:t>
            </w:r>
            <w:r w:rsidR="005A3087">
              <w:rPr>
                <w:rFonts w:eastAsiaTheme="minorHAnsi" w:cstheme="minorBidi"/>
                <w:b w:val="0"/>
                <w:color w:val="000000" w:themeColor="text1"/>
                <w:szCs w:val="22"/>
              </w:rPr>
              <w:t>353</w:t>
            </w:r>
            <w:r w:rsidR="005A3087" w:rsidRPr="009212C0">
              <w:rPr>
                <w:rFonts w:eastAsiaTheme="minorHAnsi" w:cstheme="minorBidi"/>
                <w:b w:val="0"/>
                <w:color w:val="000000" w:themeColor="text1"/>
                <w:szCs w:val="22"/>
              </w:rPr>
              <w:t xml:space="preserve"> </w:t>
            </w:r>
            <w:r w:rsidRPr="009212C0">
              <w:rPr>
                <w:rFonts w:eastAsiaTheme="minorHAnsi" w:cstheme="minorBidi"/>
                <w:b w:val="0"/>
                <w:color w:val="000000" w:themeColor="text1"/>
                <w:szCs w:val="22"/>
              </w:rPr>
              <w:t xml:space="preserve">km south of Mendoza City). An Environmental Impact Assessment (EIA) following the requirements of the applicable national and provincial legislation and detailed engineering plans for the site had been prepared and approved by provincial authorities and the national Nuclear Regulatory Authority (ARN). The technical remediation approach selected for the site </w:t>
            </w:r>
            <w:proofErr w:type="gramStart"/>
            <w:r w:rsidRPr="009212C0">
              <w:rPr>
                <w:rFonts w:eastAsiaTheme="minorHAnsi" w:cstheme="minorBidi"/>
                <w:b w:val="0"/>
                <w:color w:val="000000" w:themeColor="text1"/>
                <w:szCs w:val="22"/>
              </w:rPr>
              <w:t>was considered to be</w:t>
            </w:r>
            <w:proofErr w:type="gramEnd"/>
            <w:r w:rsidRPr="009212C0">
              <w:rPr>
                <w:rFonts w:eastAsiaTheme="minorHAnsi" w:cstheme="minorBidi"/>
                <w:b w:val="0"/>
                <w:color w:val="000000" w:themeColor="text1"/>
                <w:szCs w:val="22"/>
              </w:rPr>
              <w:t xml:space="preserve"> the most cost-effective alternative consistent with the health and safety standards established in Argentine law, which are more conservative than international standards.</w:t>
            </w:r>
            <w:r>
              <w:rPr>
                <w:rFonts w:cstheme="minorBidi"/>
                <w:b w:val="0"/>
                <w:color w:val="000000" w:themeColor="text1"/>
                <w:vertAlign w:val="superscript"/>
              </w:rPr>
              <w:footnoteReference w:id="6"/>
            </w:r>
            <w:r w:rsidRPr="009212C0">
              <w:rPr>
                <w:rFonts w:eastAsiaTheme="minorHAnsi" w:cstheme="minorBidi"/>
                <w:b w:val="0"/>
                <w:color w:val="000000" w:themeColor="text1"/>
                <w:szCs w:val="22"/>
              </w:rPr>
              <w:t xml:space="preserve"> The project would fund remediation works, including the safe disposal of 710,000 tons of tailings and soil structures to prevent groundwater contamination and dust, and measures to abate radiation and radon emissions. Contracting had occurred in conformance with World Bank procedures, civil works had already begun, and, as of May 2008, the required investment was about 30 percent complete. Independent construction supervision conducted by a Bank-hired technical expert had reviewed the design and certified the quality of construction up to the time of appraisal.</w:t>
            </w:r>
            <w:r w:rsidRPr="009212C0">
              <w:rPr>
                <w:rFonts w:eastAsiaTheme="minorHAnsi"/>
                <w:b w:val="0"/>
              </w:rPr>
              <w:t xml:space="preserve"> </w:t>
            </w:r>
            <w:r w:rsidRPr="002318A9">
              <w:rPr>
                <w:rFonts w:eastAsiaTheme="minorHAnsi"/>
                <w:b w:val="0"/>
                <w:color w:val="auto"/>
              </w:rPr>
              <w:t xml:space="preserve">Planned activities for this component consisted of completion of the remediation works at </w:t>
            </w:r>
            <w:proofErr w:type="spellStart"/>
            <w:r w:rsidR="00320C2B" w:rsidRPr="002318A9">
              <w:rPr>
                <w:rFonts w:eastAsiaTheme="minorHAnsi"/>
                <w:b w:val="0"/>
                <w:color w:val="auto"/>
              </w:rPr>
              <w:t>Malargüe</w:t>
            </w:r>
            <w:proofErr w:type="spellEnd"/>
            <w:r w:rsidRPr="002318A9">
              <w:rPr>
                <w:rFonts w:eastAsiaTheme="minorHAnsi"/>
                <w:b w:val="0"/>
                <w:color w:val="auto"/>
              </w:rPr>
              <w:t>, which involved the removal and safe storage of the contaminated materials at the site. Based on a recommendation of the Environmental Management Plan that had resulted from the EIA, a green park was later added to the component, which increased its overall cost by US$ 1.2 million.  Remediation costs were also re-estimated based on the findings of the Mid-Term Review (MTR) at the time of the first restructuring in July 2013 and resources were also added to Component 1 through reallocation of the entire amount reserved for contingencies at appraisal (US$ 2.77 million) and part of the resources for both Components 2 and 3 (see below).</w:t>
            </w:r>
          </w:p>
          <w:p w14:paraId="15CD0FD5" w14:textId="77777777" w:rsidR="00A75E11" w:rsidRPr="002318A9" w:rsidRDefault="00A75E11" w:rsidP="00A75E11">
            <w:pPr>
              <w:pStyle w:val="ListParagraph"/>
              <w:widowControl/>
              <w:spacing w:line="276" w:lineRule="auto"/>
              <w:ind w:left="360"/>
              <w:jc w:val="both"/>
              <w:rPr>
                <w:rFonts w:eastAsiaTheme="minorHAnsi" w:cstheme="minorBidi"/>
                <w:b w:val="0"/>
                <w:color w:val="000000" w:themeColor="text1"/>
                <w:szCs w:val="22"/>
              </w:rPr>
            </w:pPr>
          </w:p>
          <w:p w14:paraId="76E509C2" w14:textId="77777777" w:rsidR="00A75E11" w:rsidRPr="005A5FF3" w:rsidRDefault="002C3F71" w:rsidP="00A75E11">
            <w:pPr>
              <w:pStyle w:val="ListParagraph"/>
              <w:widowControl/>
              <w:numPr>
                <w:ilvl w:val="0"/>
                <w:numId w:val="21"/>
              </w:numPr>
              <w:spacing w:line="276" w:lineRule="auto"/>
              <w:jc w:val="both"/>
              <w:rPr>
                <w:rFonts w:eastAsiaTheme="minorHAnsi" w:cstheme="minorHAnsi"/>
                <w:b w:val="0"/>
                <w:bCs/>
                <w:color w:val="auto"/>
                <w:szCs w:val="22"/>
              </w:rPr>
            </w:pPr>
            <w:r w:rsidRPr="005A5FF3">
              <w:rPr>
                <w:rFonts w:eastAsiaTheme="minorHAnsi" w:cstheme="minorBidi"/>
                <w:color w:val="000000" w:themeColor="text1"/>
                <w:szCs w:val="22"/>
              </w:rPr>
              <w:t>Component 2. Mine Restoration Planning and Institutional Strengthening.</w:t>
            </w:r>
            <w:r w:rsidRPr="005A5FF3">
              <w:rPr>
                <w:rFonts w:eastAsiaTheme="minorHAnsi" w:cstheme="minorBidi"/>
                <w:b w:val="0"/>
                <w:color w:val="000000" w:themeColor="text1"/>
                <w:szCs w:val="22"/>
              </w:rPr>
              <w:t xml:space="preserve"> (Appraisal Cost: US$ 11.6 million; Actual Cost: US$ 9.82 million) This component had three subcomponents:</w:t>
            </w:r>
          </w:p>
          <w:p w14:paraId="4BB45E32" w14:textId="77777777" w:rsidR="00A75E11" w:rsidRPr="002318A9" w:rsidRDefault="00A75E11" w:rsidP="00A75E11">
            <w:pPr>
              <w:pStyle w:val="ListParagraph"/>
              <w:rPr>
                <w:rFonts w:eastAsiaTheme="minorHAnsi" w:cstheme="minorHAnsi"/>
                <w:bCs/>
                <w:color w:val="auto"/>
                <w:szCs w:val="22"/>
              </w:rPr>
            </w:pPr>
          </w:p>
          <w:p w14:paraId="618E94C8" w14:textId="77777777" w:rsidR="00A75E11" w:rsidRPr="009212C0" w:rsidRDefault="002C3F71" w:rsidP="00A75E11">
            <w:pPr>
              <w:widowControl/>
              <w:spacing w:line="276" w:lineRule="auto"/>
              <w:ind w:left="720"/>
              <w:jc w:val="both"/>
              <w:rPr>
                <w:rFonts w:asciiTheme="minorHAnsi" w:eastAsiaTheme="minorHAnsi" w:hAnsiTheme="minorHAnsi" w:cstheme="minorHAnsi"/>
                <w:color w:val="auto"/>
                <w:sz w:val="22"/>
                <w:szCs w:val="22"/>
              </w:rPr>
            </w:pPr>
            <w:r w:rsidRPr="009212C0">
              <w:rPr>
                <w:rFonts w:asciiTheme="minorHAnsi" w:eastAsiaTheme="minorHAnsi" w:hAnsiTheme="minorHAnsi" w:cstheme="minorHAnsi"/>
                <w:i/>
                <w:iCs/>
                <w:color w:val="auto"/>
                <w:sz w:val="22"/>
                <w:szCs w:val="22"/>
              </w:rPr>
              <w:t xml:space="preserve">(i) Develop remediation options for other sites. </w:t>
            </w:r>
            <w:r w:rsidRPr="009212C0">
              <w:rPr>
                <w:rFonts w:asciiTheme="minorHAnsi" w:eastAsiaTheme="minorHAnsi" w:hAnsiTheme="minorHAnsi" w:cstheme="minorHAnsi"/>
                <w:color w:val="auto"/>
                <w:sz w:val="22"/>
                <w:szCs w:val="22"/>
              </w:rPr>
              <w:t xml:space="preserve">In addition to </w:t>
            </w:r>
            <w:proofErr w:type="spellStart"/>
            <w:r w:rsidR="00320C2B" w:rsidRPr="009212C0">
              <w:rPr>
                <w:rFonts w:asciiTheme="minorHAnsi" w:eastAsiaTheme="minorHAnsi" w:hAnsiTheme="minorHAnsi" w:cstheme="minorHAnsi"/>
                <w:color w:val="auto"/>
                <w:sz w:val="22"/>
                <w:szCs w:val="22"/>
              </w:rPr>
              <w:t>Malargüe</w:t>
            </w:r>
            <w:proofErr w:type="spellEnd"/>
            <w:r w:rsidRPr="009212C0">
              <w:rPr>
                <w:rFonts w:asciiTheme="minorHAnsi" w:eastAsiaTheme="minorHAnsi" w:hAnsiTheme="minorHAnsi" w:cstheme="minorHAnsi"/>
                <w:color w:val="auto"/>
                <w:sz w:val="22"/>
                <w:szCs w:val="22"/>
              </w:rPr>
              <w:t>, seven other closed uranium sites had been inventoried</w:t>
            </w:r>
            <w:r>
              <w:rPr>
                <w:rStyle w:val="FootnoteReference"/>
                <w:rFonts w:asciiTheme="minorHAnsi" w:eastAsiaTheme="minorHAnsi" w:hAnsiTheme="minorHAnsi" w:cstheme="minorHAnsi"/>
                <w:color w:val="auto"/>
                <w:sz w:val="22"/>
                <w:szCs w:val="22"/>
              </w:rPr>
              <w:footnoteReference w:id="7"/>
            </w:r>
            <w:r w:rsidRPr="009212C0">
              <w:rPr>
                <w:rFonts w:asciiTheme="minorHAnsi" w:eastAsiaTheme="minorHAnsi" w:hAnsiTheme="minorHAnsi" w:cstheme="minorHAnsi"/>
                <w:color w:val="auto"/>
                <w:sz w:val="22"/>
                <w:szCs w:val="22"/>
              </w:rPr>
              <w:t>. The project would provide technical assistance to study and design remediation options to clean up the additional sites, and support the environmental and social consultation processes required as per international best practice. It would also fund an international advisory group to advise on the approaches being suggested for each site.</w:t>
            </w:r>
            <w:r>
              <w:rPr>
                <w:rStyle w:val="FootnoteReference"/>
                <w:rFonts w:asciiTheme="minorHAnsi" w:eastAsiaTheme="minorHAnsi" w:hAnsiTheme="minorHAnsi" w:cstheme="minorHAnsi"/>
                <w:color w:val="auto"/>
                <w:sz w:val="22"/>
                <w:szCs w:val="22"/>
              </w:rPr>
              <w:footnoteReference w:id="8"/>
            </w:r>
            <w:r w:rsidRPr="009212C0">
              <w:rPr>
                <w:rFonts w:asciiTheme="minorHAnsi" w:eastAsiaTheme="minorHAnsi" w:hAnsiTheme="minorHAnsi" w:cstheme="minorHAnsi"/>
                <w:color w:val="auto"/>
                <w:sz w:val="22"/>
                <w:szCs w:val="22"/>
              </w:rPr>
              <w:t xml:space="preserve"> </w:t>
            </w:r>
          </w:p>
          <w:p w14:paraId="35EE96B9" w14:textId="77777777" w:rsidR="00A75E11" w:rsidRPr="009212C0" w:rsidRDefault="00A75E11" w:rsidP="00A75E11">
            <w:pPr>
              <w:pStyle w:val="ListParagraph"/>
              <w:widowControl/>
              <w:spacing w:line="276" w:lineRule="auto"/>
              <w:ind w:left="720"/>
              <w:jc w:val="both"/>
              <w:rPr>
                <w:rFonts w:eastAsiaTheme="minorHAnsi" w:cstheme="minorHAnsi"/>
                <w:b w:val="0"/>
                <w:color w:val="auto"/>
                <w:szCs w:val="22"/>
              </w:rPr>
            </w:pPr>
          </w:p>
          <w:p w14:paraId="1D18F76C" w14:textId="77777777" w:rsidR="00A75E11" w:rsidRPr="009212C0" w:rsidRDefault="002C3F71" w:rsidP="00A75E11">
            <w:pPr>
              <w:widowControl/>
              <w:spacing w:line="276" w:lineRule="auto"/>
              <w:ind w:left="720"/>
              <w:jc w:val="both"/>
              <w:rPr>
                <w:rFonts w:asciiTheme="minorHAnsi" w:eastAsiaTheme="minorHAnsi" w:hAnsiTheme="minorHAnsi" w:cstheme="minorHAnsi"/>
                <w:color w:val="auto"/>
                <w:sz w:val="22"/>
                <w:szCs w:val="22"/>
              </w:rPr>
            </w:pPr>
            <w:r w:rsidRPr="009212C0">
              <w:rPr>
                <w:rFonts w:asciiTheme="minorHAnsi" w:eastAsiaTheme="minorHAnsi" w:hAnsiTheme="minorHAnsi" w:cstheme="minorHAnsi"/>
                <w:i/>
                <w:iCs/>
                <w:color w:val="auto"/>
                <w:sz w:val="22"/>
                <w:szCs w:val="22"/>
              </w:rPr>
              <w:t xml:space="preserve">(ii) Strengthen the CNEA Environmental Management Unit (GP). </w:t>
            </w:r>
            <w:r w:rsidRPr="009212C0">
              <w:rPr>
                <w:rFonts w:asciiTheme="minorHAnsi" w:eastAsiaTheme="minorHAnsi" w:hAnsiTheme="minorHAnsi" w:cstheme="minorHAnsi"/>
                <w:color w:val="auto"/>
                <w:sz w:val="22"/>
                <w:szCs w:val="22"/>
              </w:rPr>
              <w:t>The GP is CNEA’s relatively new Environmental and Waste Management Department. This component would: (a)</w:t>
            </w:r>
            <w:r w:rsidRPr="009212C0">
              <w:rPr>
                <w:rFonts w:asciiTheme="minorHAnsi" w:eastAsiaTheme="minorHAnsi" w:hAnsiTheme="minorHAnsi" w:cstheme="minorHAnsi"/>
                <w:i/>
                <w:iCs/>
                <w:color w:val="auto"/>
                <w:sz w:val="22"/>
                <w:szCs w:val="22"/>
              </w:rPr>
              <w:t xml:space="preserve"> </w:t>
            </w:r>
            <w:r w:rsidRPr="009212C0">
              <w:rPr>
                <w:rFonts w:asciiTheme="minorHAnsi" w:eastAsiaTheme="minorHAnsi" w:hAnsiTheme="minorHAnsi" w:cstheme="minorHAnsi"/>
                <w:color w:val="auto"/>
                <w:sz w:val="22"/>
                <w:szCs w:val="22"/>
              </w:rPr>
              <w:t>support its organization, staffing, financial resources, work methodology, providing</w:t>
            </w:r>
            <w:r w:rsidRPr="009212C0">
              <w:rPr>
                <w:rFonts w:eastAsiaTheme="minorHAnsi" w:cstheme="minorHAnsi"/>
                <w:color w:val="auto"/>
                <w:szCs w:val="22"/>
              </w:rPr>
              <w:t xml:space="preserve"> </w:t>
            </w:r>
            <w:r w:rsidRPr="009212C0">
              <w:rPr>
                <w:rFonts w:asciiTheme="minorHAnsi" w:eastAsiaTheme="minorHAnsi" w:hAnsiTheme="minorHAnsi" w:cstheme="minorHAnsi"/>
                <w:color w:val="auto"/>
                <w:sz w:val="22"/>
                <w:szCs w:val="22"/>
              </w:rPr>
              <w:t>training as needed in any of these areas; (b) develop and implement an Environmental Management and Information System (SIGA)</w:t>
            </w:r>
            <w:r w:rsidRPr="009212C0">
              <w:rPr>
                <w:rFonts w:eastAsiaTheme="minorHAnsi" w:cstheme="minorHAnsi"/>
                <w:color w:val="auto"/>
                <w:szCs w:val="22"/>
              </w:rPr>
              <w:t xml:space="preserve"> </w:t>
            </w:r>
            <w:r w:rsidRPr="009212C0">
              <w:rPr>
                <w:rFonts w:asciiTheme="minorHAnsi" w:eastAsiaTheme="minorHAnsi" w:hAnsiTheme="minorHAnsi" w:cstheme="minorHAnsi"/>
                <w:color w:val="auto"/>
                <w:sz w:val="22"/>
                <w:szCs w:val="22"/>
              </w:rPr>
              <w:t>including a Geographic Information System (GIS) and site-specific monitoring; and (c) develop and implement improved and systematized public consultation and information processes under the responsibility of the newly created Community Relations Unit.</w:t>
            </w:r>
          </w:p>
          <w:p w14:paraId="61D8B742" w14:textId="77777777" w:rsidR="00A75E11" w:rsidRPr="009212C0" w:rsidRDefault="00A75E11" w:rsidP="00A75E11">
            <w:pPr>
              <w:widowControl/>
              <w:spacing w:line="276" w:lineRule="auto"/>
              <w:ind w:left="720"/>
              <w:jc w:val="both"/>
              <w:rPr>
                <w:rFonts w:asciiTheme="minorHAnsi" w:eastAsiaTheme="minorHAnsi" w:hAnsiTheme="minorHAnsi" w:cstheme="minorHAnsi"/>
                <w:color w:val="auto"/>
                <w:sz w:val="22"/>
                <w:szCs w:val="22"/>
              </w:rPr>
            </w:pPr>
          </w:p>
          <w:p w14:paraId="51FB54B0" w14:textId="77777777" w:rsidR="00A75E11" w:rsidRPr="009212C0" w:rsidRDefault="002C3F71" w:rsidP="00A75E11">
            <w:pPr>
              <w:widowControl/>
              <w:spacing w:line="276" w:lineRule="auto"/>
              <w:ind w:left="720"/>
              <w:jc w:val="both"/>
              <w:rPr>
                <w:rFonts w:asciiTheme="minorHAnsi" w:eastAsiaTheme="minorHAnsi" w:hAnsiTheme="minorHAnsi" w:cstheme="minorHAnsi"/>
                <w:color w:val="auto"/>
                <w:sz w:val="22"/>
                <w:szCs w:val="22"/>
              </w:rPr>
            </w:pPr>
            <w:r w:rsidRPr="009212C0">
              <w:rPr>
                <w:rFonts w:asciiTheme="minorHAnsi" w:eastAsiaTheme="minorHAnsi" w:hAnsiTheme="minorHAnsi" w:cstheme="minorHAnsi"/>
                <w:i/>
                <w:iCs/>
                <w:color w:val="auto"/>
                <w:sz w:val="22"/>
                <w:szCs w:val="22"/>
              </w:rPr>
              <w:t xml:space="preserve">(iii) Strengthen environmental management in the mining sector. </w:t>
            </w:r>
            <w:r w:rsidRPr="009212C0">
              <w:rPr>
                <w:rFonts w:asciiTheme="minorHAnsi" w:eastAsiaTheme="minorHAnsi" w:hAnsiTheme="minorHAnsi" w:cstheme="minorHAnsi"/>
                <w:color w:val="auto"/>
                <w:sz w:val="22"/>
                <w:szCs w:val="22"/>
              </w:rPr>
              <w:t xml:space="preserve">This subcomponent would fund the promotion of good environmental practices more broadly in the mining sector by strengthening the environmental entities in the two key national agencies involved in the sector, (i.e., the Secretariat of Mining and the Secretariat of Environment) and selected provincial mining and environmental agencies; specific activities would cover a range of technical assistance topics related to environmental risk and risk management, such as: (a) good practice for closings of both uranium mines and other minerals, in such areas as: tailings dumps and tailings dam restoration, land reclamation, and processing liquid and solid  waste  remediation; this subcomponent could include study tours and elaboration of a best practice manual based on the </w:t>
            </w:r>
            <w:proofErr w:type="spellStart"/>
            <w:r w:rsidR="00320C2B" w:rsidRPr="009212C0">
              <w:rPr>
                <w:rFonts w:asciiTheme="minorHAnsi" w:eastAsiaTheme="minorHAnsi" w:hAnsiTheme="minorHAnsi" w:cstheme="minorHAnsi"/>
                <w:color w:val="auto"/>
                <w:sz w:val="22"/>
                <w:szCs w:val="22"/>
              </w:rPr>
              <w:t>Malargüe</w:t>
            </w:r>
            <w:proofErr w:type="spellEnd"/>
            <w:r w:rsidRPr="009212C0">
              <w:rPr>
                <w:rFonts w:asciiTheme="minorHAnsi" w:eastAsiaTheme="minorHAnsi" w:hAnsiTheme="minorHAnsi" w:cstheme="minorHAnsi"/>
                <w:color w:val="auto"/>
                <w:sz w:val="22"/>
                <w:szCs w:val="22"/>
              </w:rPr>
              <w:t xml:space="preserve"> experience; (b) completion of general baseline surveys and site-specific baseline data requirements for on-going monitoring and compliance; handling and treatment of mine tailings and effluents for operating mines; design of monitoring and control mechanisms; and early-warning impact evaluation methodologies and more detailed impact evaluations as part of site-specific risk analysis; and (c) public awareness and communication strategies concerning sustainable mining practices, such as land use management, risk management, community consultation, and public disclosure of data from site remediation monitoring.</w:t>
            </w:r>
          </w:p>
          <w:p w14:paraId="31ECCB7D" w14:textId="77777777" w:rsidR="00A75E11" w:rsidRPr="009212C0" w:rsidRDefault="00A75E11" w:rsidP="00A75E11">
            <w:pPr>
              <w:widowControl/>
              <w:spacing w:line="276" w:lineRule="auto"/>
              <w:ind w:left="720"/>
              <w:jc w:val="both"/>
              <w:rPr>
                <w:rFonts w:cstheme="minorHAnsi"/>
                <w:szCs w:val="22"/>
              </w:rPr>
            </w:pPr>
          </w:p>
          <w:p w14:paraId="6447554C" w14:textId="77777777" w:rsidR="00A75E11" w:rsidRPr="009212C0" w:rsidRDefault="002C3F71" w:rsidP="00A75E11">
            <w:pPr>
              <w:pStyle w:val="ListParagraph"/>
              <w:widowControl/>
              <w:numPr>
                <w:ilvl w:val="0"/>
                <w:numId w:val="21"/>
              </w:numPr>
              <w:spacing w:line="276" w:lineRule="auto"/>
              <w:jc w:val="both"/>
              <w:rPr>
                <w:rFonts w:eastAsiaTheme="minorHAnsi" w:cstheme="minorBidi"/>
                <w:b w:val="0"/>
                <w:color w:val="000000" w:themeColor="text1"/>
                <w:szCs w:val="22"/>
              </w:rPr>
            </w:pPr>
            <w:r w:rsidRPr="009212C0">
              <w:rPr>
                <w:rFonts w:eastAsiaTheme="minorHAnsi" w:cstheme="minorBidi"/>
                <w:color w:val="000000" w:themeColor="text1"/>
                <w:szCs w:val="22"/>
              </w:rPr>
              <w:t>Component 3. Project Management</w:t>
            </w:r>
            <w:r w:rsidRPr="009212C0">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(Appraisal Cost: US$ 1.25 million; Actual Cost: US$ 0.24 million). </w:t>
            </w:r>
            <w:r w:rsidRPr="009212C0">
              <w:rPr>
                <w:rFonts w:eastAsiaTheme="minorHAnsi" w:cstheme="minorBidi"/>
                <w:b w:val="0"/>
                <w:color w:val="000000" w:themeColor="text1"/>
                <w:szCs w:val="22"/>
              </w:rPr>
              <w:t>The project implementation unit of the GP would be responsible for project implementation, reporting, monitoring, and impact evaluation of key interventions.</w:t>
            </w:r>
          </w:p>
        </w:tc>
      </w:tr>
    </w:tbl>
    <w:p w14:paraId="5EA2BD97" w14:textId="77777777" w:rsidR="003615CB" w:rsidRPr="009E631B" w:rsidRDefault="003615CB" w:rsidP="00F81AC2">
      <w:pPr>
        <w:ind w:left="-634"/>
        <w:rPr>
          <w:rFonts w:asciiTheme="minorHAnsi" w:hAnsiTheme="minorHAnsi"/>
          <w:bCs/>
          <w:color w:val="auto"/>
          <w:sz w:val="22"/>
          <w:szCs w:val="22"/>
        </w:rPr>
      </w:pPr>
    </w:p>
    <w:p w14:paraId="245043B1" w14:textId="77777777" w:rsidR="003615CB" w:rsidRPr="009E631B" w:rsidRDefault="003615CB"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0E5B9CF3" w14:textId="77777777" w:rsidTr="003615CB">
        <w:trPr>
          <w:trHeight w:val="80"/>
        </w:trPr>
        <w:tc>
          <w:tcPr>
            <w:tcW w:w="10710" w:type="dxa"/>
          </w:tcPr>
          <w:p w14:paraId="36419E1D" w14:textId="77777777" w:rsidR="003615CB" w:rsidRPr="009E631B" w:rsidRDefault="002C3F71" w:rsidP="00F81AC2">
            <w:pPr>
              <w:pStyle w:val="Heading2"/>
              <w:keepLines w:val="0"/>
              <w:outlineLvl w:val="1"/>
              <w:rPr>
                <w:b/>
                <w:szCs w:val="22"/>
              </w:rPr>
            </w:pPr>
            <w:bookmarkStart w:id="13" w:name="_Toc256000004"/>
            <w:bookmarkStart w:id="14" w:name="_Toc433982407"/>
            <w:bookmarkStart w:id="15" w:name="_Toc460509189"/>
            <w:bookmarkStart w:id="16" w:name="_Toc485984544"/>
            <w:bookmarkStart w:id="17" w:name="_Toc502164462"/>
            <w:r w:rsidRPr="009E631B">
              <w:rPr>
                <w:b/>
                <w:bCs/>
                <w:szCs w:val="22"/>
              </w:rPr>
              <w:t>B.</w:t>
            </w:r>
            <w:r w:rsidRPr="009E631B">
              <w:rPr>
                <w:b/>
                <w:szCs w:val="22"/>
              </w:rPr>
              <w:t xml:space="preserve"> </w:t>
            </w:r>
            <w:r w:rsidR="00271EB3" w:rsidRPr="009E631B">
              <w:rPr>
                <w:b/>
                <w:szCs w:val="22"/>
              </w:rPr>
              <w:t>SIGNIFICANT CHANGES DURING IMPLEMENTATION (IF APPLICABLE)</w:t>
            </w:r>
            <w:bookmarkEnd w:id="13"/>
            <w:bookmarkEnd w:id="14"/>
            <w:bookmarkEnd w:id="15"/>
            <w:bookmarkEnd w:id="16"/>
            <w:bookmarkEnd w:id="17"/>
          </w:p>
        </w:tc>
      </w:tr>
    </w:tbl>
    <w:p w14:paraId="6BA0C4A8" w14:textId="77777777" w:rsidR="003615CB" w:rsidRPr="009E631B" w:rsidRDefault="003615CB" w:rsidP="00F81AC2">
      <w:pPr>
        <w:ind w:left="-634"/>
        <w:rPr>
          <w:rFonts w:asciiTheme="minorHAnsi" w:hAnsiTheme="minorHAnsi"/>
          <w:bCs/>
          <w:color w:val="auto"/>
          <w:sz w:val="22"/>
          <w:szCs w:val="22"/>
        </w:rPr>
      </w:pPr>
    </w:p>
    <w:tbl>
      <w:tblPr>
        <w:tblW w:w="10980" w:type="dxa"/>
        <w:tblInd w:w="-81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0D5151FF" w14:textId="77777777" w:rsidTr="007A3304">
        <w:trPr>
          <w:trHeight w:val="252"/>
        </w:trPr>
        <w:tc>
          <w:tcPr>
            <w:tcW w:w="10980" w:type="dxa"/>
            <w:shd w:val="clear" w:color="auto" w:fill="auto"/>
          </w:tcPr>
          <w:p w14:paraId="11A54B95" w14:textId="77777777" w:rsidR="007A3304" w:rsidRPr="009E631B" w:rsidRDefault="002C3F71" w:rsidP="009E712C">
            <w:pPr>
              <w:pStyle w:val="Heading3"/>
              <w:ind w:left="342"/>
              <w:rPr>
                <w:color w:val="auto"/>
                <w:szCs w:val="22"/>
              </w:rPr>
            </w:pPr>
            <w:r>
              <w:rPr>
                <w:szCs w:val="22"/>
              </w:rPr>
              <w:t xml:space="preserve">Revised </w:t>
            </w:r>
            <w:r w:rsidRPr="009E631B">
              <w:rPr>
                <w:szCs w:val="22"/>
              </w:rPr>
              <w:t>PDOs</w:t>
            </w:r>
            <w:r w:rsidR="009E712C">
              <w:t xml:space="preserve"> </w:t>
            </w:r>
            <w:r w:rsidR="009E712C" w:rsidRPr="009E712C">
              <w:rPr>
                <w:szCs w:val="22"/>
              </w:rPr>
              <w:t>and Outcome Targets</w:t>
            </w:r>
            <w:r w:rsidR="009E712C">
              <w:rPr>
                <w:szCs w:val="22"/>
              </w:rPr>
              <w:t xml:space="preserve"> </w:t>
            </w:r>
          </w:p>
        </w:tc>
      </w:tr>
      <w:tr w:rsidR="00E63776" w14:paraId="3685E048" w14:textId="77777777" w:rsidTr="007A3304">
        <w:trPr>
          <w:trHeight w:val="765"/>
        </w:trPr>
        <w:tc>
          <w:tcPr>
            <w:tcW w:w="10980" w:type="dxa"/>
            <w:shd w:val="clear" w:color="auto" w:fill="auto"/>
          </w:tcPr>
          <w:p w14:paraId="03C36654" w14:textId="77777777" w:rsidR="007A3304" w:rsidRPr="00CD2A9A" w:rsidRDefault="007A3304" w:rsidP="007F0FDF">
            <w:pPr>
              <w:widowControl/>
              <w:autoSpaceDE/>
              <w:autoSpaceDN/>
              <w:adjustRightInd/>
              <w:spacing w:after="160" w:line="259" w:lineRule="auto"/>
              <w:ind w:left="342" w:hanging="3"/>
              <w:rPr>
                <w:rFonts w:asciiTheme="minorHAnsi" w:eastAsiaTheme="minorHAnsi" w:hAnsiTheme="minorHAnsi" w:cstheme="minorBidi"/>
                <w:color w:val="000000" w:themeColor="text1"/>
                <w:sz w:val="22"/>
                <w:szCs w:val="22"/>
              </w:rPr>
            </w:pPr>
          </w:p>
          <w:p w14:paraId="7A394AF3" w14:textId="77777777" w:rsidR="00404F3E" w:rsidRDefault="002C3F71" w:rsidP="00404F3E">
            <w:pPr>
              <w:pStyle w:val="ListParagraph"/>
              <w:widowControl/>
              <w:numPr>
                <w:ilvl w:val="0"/>
                <w:numId w:val="21"/>
              </w:numPr>
              <w:spacing w:line="276" w:lineRule="auto"/>
              <w:jc w:val="both"/>
              <w:rPr>
                <w:rFonts w:eastAsiaTheme="minorHAnsi" w:cstheme="minorBidi"/>
                <w:b w:val="0"/>
                <w:color w:val="000000" w:themeColor="text1"/>
                <w:szCs w:val="22"/>
              </w:rPr>
            </w:pPr>
            <w:r w:rsidRPr="00404F3E">
              <w:rPr>
                <w:rFonts w:eastAsiaTheme="minorHAnsi" w:cstheme="minorBidi"/>
                <w:b w:val="0"/>
                <w:color w:val="000000" w:themeColor="text1"/>
                <w:szCs w:val="22"/>
              </w:rPr>
              <w:t>The</w:t>
            </w:r>
            <w:r w:rsidRPr="00CD2A9A">
              <w:rPr>
                <w:rFonts w:eastAsiaTheme="minorHAnsi" w:cstheme="minorBidi"/>
                <w:b w:val="0"/>
                <w:color w:val="000000" w:themeColor="text1"/>
                <w:szCs w:val="22"/>
              </w:rPr>
              <w:t xml:space="preserve"> project’s development objectives were not revised during implementation.  </w:t>
            </w:r>
            <w:r w:rsidR="002D62DD">
              <w:rPr>
                <w:rFonts w:eastAsiaTheme="minorHAnsi" w:cstheme="minorBidi"/>
                <w:b w:val="0"/>
                <w:color w:val="000000" w:themeColor="text1"/>
                <w:szCs w:val="22"/>
              </w:rPr>
              <w:t>However, t</w:t>
            </w:r>
            <w:r w:rsidRPr="00CD2A9A">
              <w:rPr>
                <w:rFonts w:eastAsiaTheme="minorHAnsi" w:cstheme="minorBidi"/>
                <w:b w:val="0"/>
                <w:color w:val="000000" w:themeColor="text1"/>
                <w:szCs w:val="22"/>
              </w:rPr>
              <w:t xml:space="preserve">he outcome targets were changed due to the revision of the PDO indicators.  </w:t>
            </w:r>
            <w:r w:rsidRPr="00404F3E">
              <w:rPr>
                <w:rFonts w:eastAsiaTheme="minorHAnsi" w:cstheme="minorBidi"/>
                <w:b w:val="0"/>
                <w:color w:val="000000" w:themeColor="text1"/>
                <w:szCs w:val="22"/>
              </w:rPr>
              <w:t xml:space="preserve">The table </w:t>
            </w:r>
            <w:r>
              <w:rPr>
                <w:rFonts w:eastAsiaTheme="minorHAnsi" w:cstheme="minorBidi"/>
                <w:b w:val="0"/>
                <w:color w:val="000000" w:themeColor="text1"/>
                <w:szCs w:val="22"/>
              </w:rPr>
              <w:t xml:space="preserve">below </w:t>
            </w:r>
            <w:r w:rsidRPr="00404F3E">
              <w:rPr>
                <w:rFonts w:eastAsiaTheme="minorHAnsi" w:cstheme="minorBidi"/>
                <w:b w:val="0"/>
                <w:color w:val="000000" w:themeColor="text1"/>
                <w:szCs w:val="22"/>
              </w:rPr>
              <w:t>reflects the key revisions to the PDO indicators undertaken during the restructurings of July 25, 2013</w:t>
            </w:r>
            <w:r w:rsidR="002A5E13">
              <w:rPr>
                <w:rFonts w:eastAsiaTheme="minorHAnsi" w:cstheme="minorBidi"/>
                <w:b w:val="0"/>
                <w:color w:val="000000" w:themeColor="text1"/>
                <w:szCs w:val="22"/>
              </w:rPr>
              <w:t xml:space="preserve">, </w:t>
            </w:r>
            <w:r w:rsidRPr="00404F3E">
              <w:rPr>
                <w:rFonts w:eastAsiaTheme="minorHAnsi" w:cstheme="minorBidi"/>
                <w:b w:val="0"/>
                <w:color w:val="000000" w:themeColor="text1"/>
                <w:szCs w:val="22"/>
              </w:rPr>
              <w:t xml:space="preserve">and of November 24, 2015. For a detailed explanation behind each of these revisions and for the </w:t>
            </w:r>
            <w:r w:rsidR="0036643C">
              <w:rPr>
                <w:rFonts w:eastAsiaTheme="minorHAnsi" w:cstheme="minorBidi"/>
                <w:b w:val="0"/>
                <w:color w:val="000000" w:themeColor="text1"/>
                <w:szCs w:val="22"/>
              </w:rPr>
              <w:t>modifications</w:t>
            </w:r>
            <w:r>
              <w:rPr>
                <w:rFonts w:eastAsiaTheme="minorHAnsi" w:cstheme="minorBidi"/>
                <w:b w:val="0"/>
                <w:color w:val="000000" w:themeColor="text1"/>
                <w:szCs w:val="22"/>
              </w:rPr>
              <w:t xml:space="preserve"> to the </w:t>
            </w:r>
            <w:r w:rsidRPr="00404F3E">
              <w:rPr>
                <w:rFonts w:eastAsiaTheme="minorHAnsi" w:cstheme="minorBidi"/>
                <w:b w:val="0"/>
                <w:color w:val="000000" w:themeColor="text1"/>
                <w:szCs w:val="22"/>
              </w:rPr>
              <w:t xml:space="preserve">intermediate results indicators, please refer to Annex 1-B.  </w:t>
            </w:r>
          </w:p>
          <w:p w14:paraId="02FD5374" w14:textId="77777777" w:rsidR="00D33859" w:rsidRDefault="00D33859" w:rsidP="00404F3E">
            <w:pPr>
              <w:pStyle w:val="ListParagraph"/>
              <w:widowControl/>
              <w:spacing w:line="276" w:lineRule="auto"/>
              <w:ind w:left="360"/>
              <w:jc w:val="both"/>
              <w:rPr>
                <w:rFonts w:eastAsiaTheme="minorHAnsi" w:cstheme="minorBidi"/>
                <w:b w:val="0"/>
                <w:color w:val="000000" w:themeColor="text1"/>
                <w:szCs w:val="22"/>
              </w:rPr>
            </w:pPr>
          </w:p>
          <w:p w14:paraId="4B773054" w14:textId="77777777" w:rsidR="00CD2A9A" w:rsidRPr="00CD2A9A" w:rsidRDefault="00CD2A9A" w:rsidP="00CD2A9A">
            <w:pPr>
              <w:pStyle w:val="ListParagraph"/>
              <w:widowControl/>
              <w:spacing w:line="276" w:lineRule="auto"/>
              <w:ind w:left="720"/>
              <w:jc w:val="both"/>
              <w:rPr>
                <w:rFonts w:eastAsiaTheme="minorHAnsi" w:cstheme="minorBidi"/>
                <w:b w:val="0"/>
                <w:color w:val="000000" w:themeColor="text1"/>
                <w:szCs w:val="22"/>
              </w:rPr>
            </w:pPr>
            <w:bookmarkStart w:id="18" w:name="_GoBack"/>
            <w:bookmarkEnd w:id="18"/>
          </w:p>
        </w:tc>
      </w:tr>
      <w:tr w:rsidR="00E63776" w14:paraId="0BE4BE43" w14:textId="77777777" w:rsidTr="007A3304">
        <w:trPr>
          <w:trHeight w:val="270"/>
        </w:trPr>
        <w:tc>
          <w:tcPr>
            <w:tcW w:w="10980" w:type="dxa"/>
            <w:shd w:val="clear" w:color="auto" w:fill="auto"/>
          </w:tcPr>
          <w:p w14:paraId="48FA0BDD" w14:textId="77777777" w:rsidR="007A3304" w:rsidRDefault="002C3F71" w:rsidP="00DC32C1">
            <w:pPr>
              <w:pStyle w:val="Heading3"/>
              <w:ind w:left="342"/>
              <w:rPr>
                <w:szCs w:val="22"/>
              </w:rPr>
            </w:pPr>
            <w:r>
              <w:rPr>
                <w:szCs w:val="22"/>
              </w:rPr>
              <w:t xml:space="preserve">Revised </w:t>
            </w:r>
            <w:r w:rsidR="006B37CD" w:rsidRPr="006B37CD">
              <w:rPr>
                <w:szCs w:val="22"/>
              </w:rPr>
              <w:t xml:space="preserve">PDO </w:t>
            </w:r>
            <w:r w:rsidRPr="009E631B">
              <w:rPr>
                <w:szCs w:val="22"/>
              </w:rPr>
              <w:t>Indicators</w:t>
            </w:r>
            <w:r w:rsidR="00E74FBB">
              <w:rPr>
                <w:szCs w:val="22"/>
              </w:rPr>
              <w:t xml:space="preserve"> </w:t>
            </w:r>
            <w:r w:rsidR="000B56C5">
              <w:rPr>
                <w:szCs w:val="22"/>
              </w:rPr>
              <w:t xml:space="preserve"> </w:t>
            </w:r>
          </w:p>
          <w:p w14:paraId="3BA5F1BB" w14:textId="77777777" w:rsidR="000B56C5" w:rsidRDefault="000B56C5" w:rsidP="00404F3E"/>
          <w:tbl>
            <w:tblPr>
              <w:tblStyle w:val="TableGrid"/>
              <w:tblW w:w="0" w:type="auto"/>
              <w:tblLayout w:type="fixed"/>
              <w:tblLook w:val="04A0" w:firstRow="1" w:lastRow="0" w:firstColumn="1" w:lastColumn="0" w:noHBand="0" w:noVBand="1"/>
            </w:tblPr>
            <w:tblGrid>
              <w:gridCol w:w="3116"/>
              <w:gridCol w:w="3117"/>
              <w:gridCol w:w="3117"/>
            </w:tblGrid>
            <w:tr w:rsidR="00E63776" w14:paraId="60125470" w14:textId="77777777" w:rsidTr="000269B1">
              <w:tc>
                <w:tcPr>
                  <w:tcW w:w="3116" w:type="dxa"/>
                  <w:shd w:val="clear" w:color="auto" w:fill="BFBFBF" w:themeFill="background1" w:themeFillShade="BF"/>
                </w:tcPr>
                <w:p w14:paraId="6837619B" w14:textId="77777777" w:rsidR="000B56C5" w:rsidRPr="00DB21F8" w:rsidRDefault="002C3F71" w:rsidP="000B56C5">
                  <w:pPr>
                    <w:rPr>
                      <w:b/>
                      <w:sz w:val="19"/>
                      <w:szCs w:val="19"/>
                    </w:rPr>
                  </w:pPr>
                  <w:r w:rsidRPr="00DB21F8">
                    <w:rPr>
                      <w:b/>
                      <w:sz w:val="19"/>
                      <w:szCs w:val="19"/>
                    </w:rPr>
                    <w:t xml:space="preserve">Project Outcome Indicator </w:t>
                  </w:r>
                </w:p>
              </w:tc>
              <w:tc>
                <w:tcPr>
                  <w:tcW w:w="3117" w:type="dxa"/>
                  <w:shd w:val="clear" w:color="auto" w:fill="BFBFBF" w:themeFill="background1" w:themeFillShade="BF"/>
                </w:tcPr>
                <w:p w14:paraId="2FA86CDF" w14:textId="77777777" w:rsidR="000B56C5" w:rsidRDefault="002C3F71" w:rsidP="000B56C5">
                  <w:pPr>
                    <w:rPr>
                      <w:b/>
                      <w:sz w:val="19"/>
                      <w:szCs w:val="19"/>
                    </w:rPr>
                  </w:pPr>
                  <w:r>
                    <w:rPr>
                      <w:b/>
                      <w:sz w:val="19"/>
                      <w:szCs w:val="19"/>
                    </w:rPr>
                    <w:t>Revisions</w:t>
                  </w:r>
                  <w:r w:rsidRPr="00DB21F8">
                    <w:rPr>
                      <w:b/>
                      <w:sz w:val="19"/>
                      <w:szCs w:val="19"/>
                    </w:rPr>
                    <w:t xml:space="preserve"> during first Project Restructuring (July 2013) </w:t>
                  </w:r>
                </w:p>
                <w:p w14:paraId="6B6580A0" w14:textId="77777777" w:rsidR="0036643C" w:rsidRDefault="0036643C" w:rsidP="000B56C5">
                  <w:pPr>
                    <w:rPr>
                      <w:b/>
                      <w:sz w:val="19"/>
                      <w:szCs w:val="19"/>
                    </w:rPr>
                  </w:pPr>
                </w:p>
                <w:p w14:paraId="30045D42" w14:textId="77777777" w:rsidR="0036643C" w:rsidRDefault="0036643C" w:rsidP="000B56C5">
                  <w:pPr>
                    <w:rPr>
                      <w:b/>
                      <w:sz w:val="19"/>
                      <w:szCs w:val="19"/>
                    </w:rPr>
                  </w:pPr>
                </w:p>
                <w:p w14:paraId="327A6C71" w14:textId="77777777" w:rsidR="0036643C" w:rsidRPr="0082486A" w:rsidRDefault="002C3F71" w:rsidP="000B56C5">
                  <w:pPr>
                    <w:rPr>
                      <w:b/>
                      <w:i/>
                      <w:sz w:val="19"/>
                      <w:szCs w:val="19"/>
                    </w:rPr>
                  </w:pPr>
                  <w:r w:rsidRPr="0082486A">
                    <w:rPr>
                      <w:b/>
                      <w:i/>
                      <w:sz w:val="19"/>
                      <w:szCs w:val="19"/>
                    </w:rPr>
                    <w:t xml:space="preserve">(US$ 7.57 million, or 25.2 percent, of the loan had been disbursed) </w:t>
                  </w:r>
                </w:p>
              </w:tc>
              <w:tc>
                <w:tcPr>
                  <w:tcW w:w="3117" w:type="dxa"/>
                  <w:shd w:val="clear" w:color="auto" w:fill="BFBFBF" w:themeFill="background1" w:themeFillShade="BF"/>
                </w:tcPr>
                <w:p w14:paraId="1D9EFF1F" w14:textId="77777777" w:rsidR="000B56C5" w:rsidRDefault="002C3F71" w:rsidP="000B56C5">
                  <w:pPr>
                    <w:rPr>
                      <w:b/>
                      <w:sz w:val="19"/>
                      <w:szCs w:val="19"/>
                    </w:rPr>
                  </w:pPr>
                  <w:r>
                    <w:rPr>
                      <w:b/>
                      <w:sz w:val="19"/>
                      <w:szCs w:val="19"/>
                    </w:rPr>
                    <w:t>Revisions</w:t>
                  </w:r>
                  <w:r w:rsidRPr="00DB21F8">
                    <w:rPr>
                      <w:b/>
                      <w:sz w:val="19"/>
                      <w:szCs w:val="19"/>
                    </w:rPr>
                    <w:t xml:space="preserve"> during </w:t>
                  </w:r>
                  <w:r w:rsidR="0036643C">
                    <w:rPr>
                      <w:b/>
                      <w:sz w:val="19"/>
                      <w:szCs w:val="19"/>
                    </w:rPr>
                    <w:t>second</w:t>
                  </w:r>
                  <w:r w:rsidR="0036643C" w:rsidRPr="00DB21F8">
                    <w:rPr>
                      <w:b/>
                      <w:sz w:val="19"/>
                      <w:szCs w:val="19"/>
                    </w:rPr>
                    <w:t xml:space="preserve"> </w:t>
                  </w:r>
                  <w:r w:rsidRPr="00DB21F8">
                    <w:rPr>
                      <w:b/>
                      <w:sz w:val="19"/>
                      <w:szCs w:val="19"/>
                    </w:rPr>
                    <w:t>Project Restructuring (November 2015)</w:t>
                  </w:r>
                  <w:r w:rsidR="0036643C">
                    <w:rPr>
                      <w:b/>
                      <w:sz w:val="19"/>
                      <w:szCs w:val="19"/>
                    </w:rPr>
                    <w:t>.</w:t>
                  </w:r>
                </w:p>
                <w:p w14:paraId="77AE1A74" w14:textId="77777777" w:rsidR="000B56C5" w:rsidRDefault="000B56C5" w:rsidP="000B56C5">
                  <w:pPr>
                    <w:rPr>
                      <w:b/>
                      <w:sz w:val="19"/>
                      <w:szCs w:val="19"/>
                    </w:rPr>
                  </w:pPr>
                </w:p>
                <w:p w14:paraId="6D39DE4E" w14:textId="77777777" w:rsidR="0036643C" w:rsidRPr="0082486A" w:rsidRDefault="002C3F71" w:rsidP="000B56C5">
                  <w:pPr>
                    <w:rPr>
                      <w:b/>
                      <w:i/>
                      <w:sz w:val="19"/>
                      <w:szCs w:val="19"/>
                    </w:rPr>
                  </w:pPr>
                  <w:r w:rsidRPr="0082486A">
                    <w:rPr>
                      <w:b/>
                      <w:i/>
                      <w:sz w:val="19"/>
                      <w:szCs w:val="19"/>
                    </w:rPr>
                    <w:t>(US$ 23.14 million, or 77.1 percent, of the loan had been disbursed)</w:t>
                  </w:r>
                </w:p>
              </w:tc>
            </w:tr>
            <w:tr w:rsidR="00E63776" w14:paraId="67D06082" w14:textId="77777777" w:rsidTr="000269B1">
              <w:tc>
                <w:tcPr>
                  <w:tcW w:w="9350" w:type="dxa"/>
                  <w:gridSpan w:val="3"/>
                </w:tcPr>
                <w:p w14:paraId="3A3E4180" w14:textId="77777777" w:rsidR="000B56C5" w:rsidRPr="008E5DD6" w:rsidRDefault="002C3F71" w:rsidP="000B56C5">
                  <w:pPr>
                    <w:jc w:val="both"/>
                    <w:rPr>
                      <w:i/>
                      <w:color w:val="000000" w:themeColor="text1"/>
                      <w:sz w:val="19"/>
                      <w:szCs w:val="19"/>
                    </w:rPr>
                  </w:pPr>
                  <w:r>
                    <w:rPr>
                      <w:b/>
                      <w:color w:val="7F7F7F" w:themeColor="text1" w:themeTint="80"/>
                      <w:sz w:val="19"/>
                      <w:szCs w:val="19"/>
                    </w:rPr>
                    <w:t xml:space="preserve">Objective/Outcome </w:t>
                  </w:r>
                  <w:r w:rsidRPr="00BA756A">
                    <w:rPr>
                      <w:rFonts w:eastAsiaTheme="minorHAnsi"/>
                      <w:b/>
                      <w:color w:val="7F7F7F" w:themeColor="text1" w:themeTint="80"/>
                      <w:sz w:val="19"/>
                      <w:szCs w:val="19"/>
                    </w:rPr>
                    <w:t xml:space="preserve">1: </w:t>
                  </w:r>
                  <w:r w:rsidRPr="008E5DD6">
                    <w:rPr>
                      <w:rFonts w:eastAsiaTheme="minorHAnsi"/>
                      <w:i/>
                      <w:color w:val="000000" w:themeColor="text1"/>
                      <w:sz w:val="19"/>
                      <w:szCs w:val="19"/>
                    </w:rPr>
                    <w:t>Strengthen the Government of Argentina’s capacity to assess and mitigate environmental risks associated with closed uranium mines, processing sites, and related mining sector investments, in accordance with international best practice.</w:t>
                  </w:r>
                </w:p>
                <w:p w14:paraId="0163AC29" w14:textId="77777777" w:rsidR="000B56C5" w:rsidRPr="004C57C9" w:rsidRDefault="000B56C5" w:rsidP="000B56C5">
                  <w:pPr>
                    <w:jc w:val="both"/>
                    <w:rPr>
                      <w:sz w:val="19"/>
                      <w:szCs w:val="19"/>
                    </w:rPr>
                  </w:pPr>
                </w:p>
              </w:tc>
            </w:tr>
            <w:tr w:rsidR="00E63776" w14:paraId="709B8F1F" w14:textId="77777777" w:rsidTr="000269B1">
              <w:tc>
                <w:tcPr>
                  <w:tcW w:w="3116" w:type="dxa"/>
                </w:tcPr>
                <w:p w14:paraId="40133D3C" w14:textId="77777777" w:rsidR="000B56C5" w:rsidRDefault="002C3F71" w:rsidP="000B56C5">
                  <w:pPr>
                    <w:rPr>
                      <w:sz w:val="19"/>
                      <w:szCs w:val="19"/>
                    </w:rPr>
                  </w:pPr>
                  <w:r>
                    <w:rPr>
                      <w:sz w:val="19"/>
                      <w:szCs w:val="19"/>
                    </w:rPr>
                    <w:t xml:space="preserve">1. </w:t>
                  </w:r>
                  <w:r w:rsidRPr="004C57C9">
                    <w:rPr>
                      <w:sz w:val="19"/>
                      <w:szCs w:val="19"/>
                    </w:rPr>
                    <w:t xml:space="preserve">All </w:t>
                  </w:r>
                  <w:r>
                    <w:rPr>
                      <w:sz w:val="19"/>
                      <w:szCs w:val="19"/>
                    </w:rPr>
                    <w:t>potential health and economic</w:t>
                  </w:r>
                </w:p>
                <w:p w14:paraId="3D20FC37" w14:textId="77777777" w:rsidR="000B56C5" w:rsidRDefault="002C3F71" w:rsidP="000B56C5">
                  <w:pPr>
                    <w:rPr>
                      <w:sz w:val="19"/>
                      <w:szCs w:val="19"/>
                    </w:rPr>
                  </w:pPr>
                  <w:r w:rsidRPr="004C57C9">
                    <w:rPr>
                      <w:sz w:val="19"/>
                      <w:szCs w:val="19"/>
                    </w:rPr>
                    <w:t xml:space="preserve">risks </w:t>
                  </w:r>
                  <w:r>
                    <w:rPr>
                      <w:sz w:val="19"/>
                      <w:szCs w:val="19"/>
                    </w:rPr>
                    <w:t>associated with at least four</w:t>
                  </w:r>
                </w:p>
                <w:p w14:paraId="3578A685" w14:textId="77777777" w:rsidR="000B56C5" w:rsidRDefault="002C3F71" w:rsidP="000B56C5">
                  <w:pPr>
                    <w:rPr>
                      <w:sz w:val="19"/>
                      <w:szCs w:val="19"/>
                    </w:rPr>
                  </w:pPr>
                  <w:r>
                    <w:rPr>
                      <w:sz w:val="19"/>
                      <w:szCs w:val="19"/>
                    </w:rPr>
                    <w:t>closed uranium sites to be</w:t>
                  </w:r>
                </w:p>
                <w:p w14:paraId="7098FC4D" w14:textId="77777777" w:rsidR="000B56C5" w:rsidRDefault="002C3F71" w:rsidP="000B56C5">
                  <w:pPr>
                    <w:rPr>
                      <w:sz w:val="19"/>
                      <w:szCs w:val="19"/>
                    </w:rPr>
                  </w:pPr>
                  <w:r>
                    <w:rPr>
                      <w:sz w:val="19"/>
                      <w:szCs w:val="19"/>
                    </w:rPr>
                    <w:t>addressed through credible</w:t>
                  </w:r>
                </w:p>
                <w:p w14:paraId="38141AD2" w14:textId="77777777" w:rsidR="000B56C5" w:rsidRDefault="002C3F71" w:rsidP="000B56C5">
                  <w:pPr>
                    <w:rPr>
                      <w:sz w:val="19"/>
                      <w:szCs w:val="19"/>
                    </w:rPr>
                  </w:pPr>
                  <w:r>
                    <w:rPr>
                      <w:sz w:val="19"/>
                      <w:szCs w:val="19"/>
                    </w:rPr>
                    <w:t>implementation, with stakeholder</w:t>
                  </w:r>
                </w:p>
                <w:p w14:paraId="7655C613" w14:textId="77777777" w:rsidR="000B56C5" w:rsidRDefault="002C3F71" w:rsidP="000B56C5">
                  <w:pPr>
                    <w:rPr>
                      <w:sz w:val="19"/>
                      <w:szCs w:val="19"/>
                    </w:rPr>
                  </w:pPr>
                  <w:r>
                    <w:rPr>
                      <w:sz w:val="19"/>
                      <w:szCs w:val="19"/>
                    </w:rPr>
                    <w:t>buy-in, of site-specific</w:t>
                  </w:r>
                </w:p>
                <w:p w14:paraId="539CB44C" w14:textId="77777777" w:rsidR="000B56C5" w:rsidRDefault="002C3F71" w:rsidP="000B56C5">
                  <w:pPr>
                    <w:rPr>
                      <w:sz w:val="19"/>
                      <w:szCs w:val="19"/>
                    </w:rPr>
                  </w:pPr>
                  <w:r>
                    <w:rPr>
                      <w:sz w:val="19"/>
                      <w:szCs w:val="19"/>
                    </w:rPr>
                    <w:t xml:space="preserve">remediation plans. </w:t>
                  </w:r>
                </w:p>
                <w:p w14:paraId="3DBDA8F1" w14:textId="77777777" w:rsidR="000B56C5" w:rsidRPr="004C57C9" w:rsidRDefault="000B56C5" w:rsidP="000B56C5">
                  <w:pPr>
                    <w:rPr>
                      <w:sz w:val="19"/>
                      <w:szCs w:val="19"/>
                    </w:rPr>
                  </w:pPr>
                </w:p>
              </w:tc>
              <w:tc>
                <w:tcPr>
                  <w:tcW w:w="3117" w:type="dxa"/>
                </w:tcPr>
                <w:p w14:paraId="3006FD85" w14:textId="77777777" w:rsidR="000B56C5" w:rsidRPr="004C57C9" w:rsidRDefault="002C3F71" w:rsidP="000B56C5">
                  <w:pPr>
                    <w:rPr>
                      <w:sz w:val="19"/>
                      <w:szCs w:val="19"/>
                    </w:rPr>
                  </w:pPr>
                  <w:r>
                    <w:rPr>
                      <w:sz w:val="18"/>
                      <w:szCs w:val="18"/>
                    </w:rPr>
                    <w:t>Indicator d</w:t>
                  </w:r>
                  <w:r w:rsidRPr="007D6506">
                    <w:rPr>
                      <w:sz w:val="18"/>
                      <w:szCs w:val="18"/>
                    </w:rPr>
                    <w:t>ropped (</w:t>
                  </w:r>
                  <w:r>
                    <w:rPr>
                      <w:sz w:val="18"/>
                      <w:szCs w:val="18"/>
                    </w:rPr>
                    <w:t xml:space="preserve">as </w:t>
                  </w:r>
                  <w:r w:rsidRPr="007D6506">
                    <w:rPr>
                      <w:sz w:val="18"/>
                      <w:szCs w:val="18"/>
                    </w:rPr>
                    <w:t xml:space="preserve">the project never intended to undertake financial remediation works in any site other than </w:t>
                  </w:r>
                  <w:proofErr w:type="spellStart"/>
                  <w:r w:rsidR="00E52891">
                    <w:rPr>
                      <w:sz w:val="18"/>
                      <w:szCs w:val="18"/>
                    </w:rPr>
                    <w:t>Malargüe</w:t>
                  </w:r>
                  <w:proofErr w:type="spellEnd"/>
                  <w:r w:rsidRPr="007D6506">
                    <w:rPr>
                      <w:sz w:val="18"/>
                      <w:szCs w:val="18"/>
                    </w:rPr>
                    <w:t>).</w:t>
                  </w:r>
                </w:p>
              </w:tc>
              <w:tc>
                <w:tcPr>
                  <w:tcW w:w="3117" w:type="dxa"/>
                </w:tcPr>
                <w:p w14:paraId="1738943C" w14:textId="77777777" w:rsidR="000B56C5" w:rsidRPr="004C57C9" w:rsidRDefault="000B56C5" w:rsidP="000B56C5">
                  <w:pPr>
                    <w:rPr>
                      <w:sz w:val="19"/>
                      <w:szCs w:val="19"/>
                    </w:rPr>
                  </w:pPr>
                </w:p>
              </w:tc>
            </w:tr>
            <w:tr w:rsidR="00E63776" w14:paraId="3C8F2A03" w14:textId="77777777" w:rsidTr="000269B1">
              <w:tc>
                <w:tcPr>
                  <w:tcW w:w="3116" w:type="dxa"/>
                </w:tcPr>
                <w:p w14:paraId="1ACE837D" w14:textId="77777777" w:rsidR="000B56C5" w:rsidRDefault="000B56C5" w:rsidP="000B56C5">
                  <w:pPr>
                    <w:rPr>
                      <w:sz w:val="19"/>
                      <w:szCs w:val="19"/>
                    </w:rPr>
                  </w:pPr>
                </w:p>
                <w:p w14:paraId="7F97032F" w14:textId="77777777" w:rsidR="000B56C5" w:rsidRDefault="002C3F71" w:rsidP="000B56C5">
                  <w:pPr>
                    <w:rPr>
                      <w:sz w:val="19"/>
                      <w:szCs w:val="19"/>
                    </w:rPr>
                  </w:pPr>
                  <w:r>
                    <w:rPr>
                      <w:sz w:val="19"/>
                      <w:szCs w:val="19"/>
                    </w:rPr>
                    <w:t>2. Measurable environmental risks</w:t>
                  </w:r>
                </w:p>
                <w:p w14:paraId="5F622BCA" w14:textId="77777777" w:rsidR="000B56C5" w:rsidRDefault="002C3F71" w:rsidP="000B56C5">
                  <w:pPr>
                    <w:rPr>
                      <w:sz w:val="19"/>
                      <w:szCs w:val="19"/>
                    </w:rPr>
                  </w:pPr>
                  <w:r>
                    <w:rPr>
                      <w:sz w:val="19"/>
                      <w:szCs w:val="19"/>
                    </w:rPr>
                    <w:t>reduced to acceptable levels in</w:t>
                  </w:r>
                </w:p>
                <w:p w14:paraId="5436DF30" w14:textId="77777777" w:rsidR="000B56C5" w:rsidRDefault="002C3F71" w:rsidP="000B56C5">
                  <w:pPr>
                    <w:rPr>
                      <w:sz w:val="19"/>
                      <w:szCs w:val="19"/>
                    </w:rPr>
                  </w:pPr>
                  <w:r>
                    <w:rPr>
                      <w:sz w:val="19"/>
                      <w:szCs w:val="19"/>
                    </w:rPr>
                    <w:t>other sites or mining sector</w:t>
                  </w:r>
                </w:p>
                <w:p w14:paraId="581D2979" w14:textId="77777777" w:rsidR="000B56C5" w:rsidRDefault="002C3F71" w:rsidP="000B56C5">
                  <w:pPr>
                    <w:rPr>
                      <w:sz w:val="19"/>
                      <w:szCs w:val="19"/>
                    </w:rPr>
                  </w:pPr>
                  <w:r>
                    <w:rPr>
                      <w:sz w:val="19"/>
                      <w:szCs w:val="19"/>
                    </w:rPr>
                    <w:t>investments, particularly as relates</w:t>
                  </w:r>
                </w:p>
                <w:p w14:paraId="71CCFC84" w14:textId="77777777" w:rsidR="000B56C5" w:rsidRDefault="002C3F71" w:rsidP="000B56C5">
                  <w:pPr>
                    <w:rPr>
                      <w:sz w:val="19"/>
                      <w:szCs w:val="19"/>
                    </w:rPr>
                  </w:pPr>
                  <w:r>
                    <w:rPr>
                      <w:sz w:val="19"/>
                      <w:szCs w:val="19"/>
                    </w:rPr>
                    <w:t>to siting, monitoring and</w:t>
                  </w:r>
                </w:p>
                <w:p w14:paraId="600053EE" w14:textId="77777777" w:rsidR="000B56C5" w:rsidRDefault="002C3F71" w:rsidP="000B56C5">
                  <w:pPr>
                    <w:rPr>
                      <w:sz w:val="19"/>
                      <w:szCs w:val="19"/>
                    </w:rPr>
                  </w:pPr>
                  <w:r>
                    <w:rPr>
                      <w:sz w:val="19"/>
                      <w:szCs w:val="19"/>
                    </w:rPr>
                    <w:t>compliance, public disclosure, and</w:t>
                  </w:r>
                </w:p>
                <w:p w14:paraId="07A0B498" w14:textId="77777777" w:rsidR="000B56C5" w:rsidRDefault="002C3F71" w:rsidP="000B56C5">
                  <w:pPr>
                    <w:rPr>
                      <w:sz w:val="19"/>
                      <w:szCs w:val="19"/>
                    </w:rPr>
                  </w:pPr>
                  <w:r>
                    <w:rPr>
                      <w:sz w:val="19"/>
                      <w:szCs w:val="19"/>
                    </w:rPr>
                    <w:t>management plans for future</w:t>
                  </w:r>
                </w:p>
                <w:p w14:paraId="3B3CEA9C" w14:textId="77777777" w:rsidR="000B56C5" w:rsidRDefault="002C3F71" w:rsidP="000B56C5">
                  <w:pPr>
                    <w:rPr>
                      <w:sz w:val="19"/>
                      <w:szCs w:val="19"/>
                    </w:rPr>
                  </w:pPr>
                  <w:r>
                    <w:rPr>
                      <w:sz w:val="19"/>
                      <w:szCs w:val="19"/>
                    </w:rPr>
                    <w:t>closings.</w:t>
                  </w:r>
                </w:p>
                <w:p w14:paraId="2B012FC6" w14:textId="77777777" w:rsidR="000B56C5" w:rsidRPr="004C57C9" w:rsidRDefault="000B56C5" w:rsidP="000B56C5">
                  <w:pPr>
                    <w:rPr>
                      <w:sz w:val="19"/>
                      <w:szCs w:val="19"/>
                    </w:rPr>
                  </w:pPr>
                </w:p>
              </w:tc>
              <w:tc>
                <w:tcPr>
                  <w:tcW w:w="3117" w:type="dxa"/>
                </w:tcPr>
                <w:p w14:paraId="6792953F" w14:textId="77777777" w:rsidR="000B56C5" w:rsidRPr="004C57C9" w:rsidRDefault="000B56C5" w:rsidP="000B56C5">
                  <w:pPr>
                    <w:rPr>
                      <w:sz w:val="19"/>
                      <w:szCs w:val="19"/>
                    </w:rPr>
                  </w:pPr>
                </w:p>
                <w:p w14:paraId="7D747550" w14:textId="77777777" w:rsidR="000B56C5" w:rsidRPr="004C57C9" w:rsidRDefault="002C3F71" w:rsidP="000B56C5">
                  <w:pPr>
                    <w:rPr>
                      <w:sz w:val="19"/>
                      <w:szCs w:val="19"/>
                    </w:rPr>
                  </w:pPr>
                  <w:r w:rsidRPr="004C57C9">
                    <w:rPr>
                      <w:rFonts w:eastAsiaTheme="minorHAnsi"/>
                      <w:color w:val="auto"/>
                      <w:sz w:val="19"/>
                      <w:szCs w:val="19"/>
                    </w:rPr>
                    <w:t>Environmental risks in other seven CNEA sites identified, management plans evaluated, disclosed and agreed with stakeholders</w:t>
                  </w:r>
                </w:p>
              </w:tc>
              <w:tc>
                <w:tcPr>
                  <w:tcW w:w="3117" w:type="dxa"/>
                </w:tcPr>
                <w:p w14:paraId="77C57FAF" w14:textId="77777777" w:rsidR="000B56C5" w:rsidRDefault="000B56C5" w:rsidP="000B56C5">
                  <w:pPr>
                    <w:rPr>
                      <w:sz w:val="19"/>
                      <w:szCs w:val="19"/>
                    </w:rPr>
                  </w:pPr>
                </w:p>
                <w:p w14:paraId="6EC06611" w14:textId="77777777" w:rsidR="000B56C5" w:rsidRDefault="002C3F71" w:rsidP="000B56C5">
                  <w:pPr>
                    <w:rPr>
                      <w:sz w:val="19"/>
                      <w:szCs w:val="19"/>
                    </w:rPr>
                  </w:pPr>
                  <w:r w:rsidRPr="00BA756A">
                    <w:rPr>
                      <w:sz w:val="19"/>
                      <w:szCs w:val="19"/>
                    </w:rPr>
                    <w:t xml:space="preserve">Environmental risks of Los </w:t>
                  </w:r>
                  <w:proofErr w:type="spellStart"/>
                  <w:r w:rsidRPr="00BA756A">
                    <w:rPr>
                      <w:sz w:val="19"/>
                      <w:szCs w:val="19"/>
                    </w:rPr>
                    <w:t>Gigantes</w:t>
                  </w:r>
                  <w:proofErr w:type="spellEnd"/>
                  <w:r w:rsidRPr="00BA756A">
                    <w:rPr>
                      <w:sz w:val="19"/>
                      <w:szCs w:val="19"/>
                    </w:rPr>
                    <w:t xml:space="preserve"> and El </w:t>
                  </w:r>
                  <w:proofErr w:type="spellStart"/>
                  <w:r w:rsidRPr="00BA756A">
                    <w:rPr>
                      <w:sz w:val="19"/>
                      <w:szCs w:val="19"/>
                    </w:rPr>
                    <w:t>Cichón</w:t>
                  </w:r>
                  <w:proofErr w:type="spellEnd"/>
                  <w:r w:rsidRPr="00BA756A">
                    <w:rPr>
                      <w:sz w:val="19"/>
                      <w:szCs w:val="19"/>
                    </w:rPr>
                    <w:t xml:space="preserve"> sites identified: baseline environmental studies completed; remediation plan consulted and agreed with authorities and engineering design completed.</w:t>
                  </w:r>
                </w:p>
                <w:p w14:paraId="66188000" w14:textId="77777777" w:rsidR="000B56C5" w:rsidRDefault="000B56C5" w:rsidP="000B56C5">
                  <w:pPr>
                    <w:rPr>
                      <w:sz w:val="19"/>
                      <w:szCs w:val="19"/>
                    </w:rPr>
                  </w:pPr>
                </w:p>
                <w:p w14:paraId="54F37A82" w14:textId="77777777" w:rsidR="000B56C5" w:rsidRDefault="000B56C5" w:rsidP="000B56C5">
                  <w:pPr>
                    <w:rPr>
                      <w:sz w:val="19"/>
                      <w:szCs w:val="19"/>
                    </w:rPr>
                  </w:pPr>
                </w:p>
                <w:p w14:paraId="1BAFA665" w14:textId="77777777" w:rsidR="000B56C5" w:rsidRPr="004C57C9" w:rsidRDefault="000B56C5" w:rsidP="000B56C5">
                  <w:pPr>
                    <w:rPr>
                      <w:sz w:val="19"/>
                      <w:szCs w:val="19"/>
                    </w:rPr>
                  </w:pPr>
                </w:p>
              </w:tc>
            </w:tr>
            <w:tr w:rsidR="00E63776" w14:paraId="4E66E046" w14:textId="77777777" w:rsidTr="000269B1">
              <w:tc>
                <w:tcPr>
                  <w:tcW w:w="3116" w:type="dxa"/>
                </w:tcPr>
                <w:p w14:paraId="5B4B8D34" w14:textId="77777777" w:rsidR="000B56C5" w:rsidRDefault="000B56C5" w:rsidP="000B56C5">
                  <w:pPr>
                    <w:rPr>
                      <w:sz w:val="19"/>
                      <w:szCs w:val="19"/>
                    </w:rPr>
                  </w:pPr>
                </w:p>
              </w:tc>
              <w:tc>
                <w:tcPr>
                  <w:tcW w:w="3117" w:type="dxa"/>
                </w:tcPr>
                <w:p w14:paraId="7C74F51B" w14:textId="77777777" w:rsidR="000B56C5" w:rsidRDefault="000B56C5" w:rsidP="000B56C5">
                  <w:pPr>
                    <w:rPr>
                      <w:sz w:val="19"/>
                      <w:szCs w:val="19"/>
                    </w:rPr>
                  </w:pPr>
                </w:p>
              </w:tc>
              <w:tc>
                <w:tcPr>
                  <w:tcW w:w="3117" w:type="dxa"/>
                </w:tcPr>
                <w:p w14:paraId="2DEBF842" w14:textId="77777777" w:rsidR="002318A9" w:rsidRPr="002318A9" w:rsidRDefault="002C3F71" w:rsidP="002318A9">
                  <w:pPr>
                    <w:rPr>
                      <w:sz w:val="19"/>
                      <w:szCs w:val="19"/>
                    </w:rPr>
                  </w:pPr>
                  <w:r w:rsidRPr="002318A9">
                    <w:rPr>
                      <w:sz w:val="19"/>
                      <w:szCs w:val="19"/>
                    </w:rPr>
                    <w:t>(New indicator added)</w:t>
                  </w:r>
                </w:p>
                <w:p w14:paraId="509FC1BC" w14:textId="77777777" w:rsidR="002318A9" w:rsidRPr="002318A9" w:rsidRDefault="002C3F71" w:rsidP="002318A9">
                  <w:pPr>
                    <w:rPr>
                      <w:sz w:val="19"/>
                      <w:szCs w:val="19"/>
                    </w:rPr>
                  </w:pPr>
                  <w:r w:rsidRPr="002318A9">
                    <w:rPr>
                      <w:sz w:val="19"/>
                      <w:szCs w:val="19"/>
                    </w:rPr>
                    <w:t xml:space="preserve"> </w:t>
                  </w:r>
                </w:p>
                <w:p w14:paraId="1BD82742" w14:textId="77777777" w:rsidR="000B56C5" w:rsidRPr="004C57C9" w:rsidRDefault="002C3F71" w:rsidP="002318A9">
                  <w:pPr>
                    <w:rPr>
                      <w:sz w:val="19"/>
                      <w:szCs w:val="19"/>
                    </w:rPr>
                  </w:pPr>
                  <w:r w:rsidRPr="002318A9">
                    <w:rPr>
                      <w:sz w:val="19"/>
                      <w:szCs w:val="19"/>
                    </w:rPr>
                    <w:t>3. Environmental risks of five other legacy sites (</w:t>
                  </w:r>
                  <w:proofErr w:type="spellStart"/>
                  <w:r w:rsidRPr="002318A9">
                    <w:rPr>
                      <w:sz w:val="19"/>
                      <w:szCs w:val="19"/>
                    </w:rPr>
                    <w:t>Tonco</w:t>
                  </w:r>
                  <w:proofErr w:type="spellEnd"/>
                  <w:r w:rsidRPr="002318A9">
                    <w:rPr>
                      <w:sz w:val="19"/>
                      <w:szCs w:val="19"/>
                    </w:rPr>
                    <w:t xml:space="preserve">-Salta, </w:t>
                  </w:r>
                  <w:proofErr w:type="spellStart"/>
                  <w:r w:rsidR="00220D8D">
                    <w:rPr>
                      <w:sz w:val="19"/>
                      <w:szCs w:val="19"/>
                    </w:rPr>
                    <w:t>Pi</w:t>
                  </w:r>
                  <w:r>
                    <w:rPr>
                      <w:sz w:val="19"/>
                      <w:szCs w:val="19"/>
                    </w:rPr>
                    <w:t>chiñan</w:t>
                  </w:r>
                  <w:proofErr w:type="spellEnd"/>
                  <w:r>
                    <w:rPr>
                      <w:sz w:val="19"/>
                      <w:szCs w:val="19"/>
                    </w:rPr>
                    <w:t>-Ch</w:t>
                  </w:r>
                  <w:r w:rsidR="00220D8D">
                    <w:rPr>
                      <w:sz w:val="19"/>
                      <w:szCs w:val="19"/>
                    </w:rPr>
                    <w:t>ubut, La Est</w:t>
                  </w:r>
                  <w:r w:rsidRPr="002318A9">
                    <w:rPr>
                      <w:sz w:val="19"/>
                      <w:szCs w:val="19"/>
                    </w:rPr>
                    <w:t xml:space="preserve">ela-San Luis, Los </w:t>
                  </w:r>
                  <w:proofErr w:type="spellStart"/>
                  <w:r w:rsidRPr="002318A9">
                    <w:rPr>
                      <w:sz w:val="19"/>
                      <w:szCs w:val="19"/>
                    </w:rPr>
                    <w:t>Colorados</w:t>
                  </w:r>
                  <w:proofErr w:type="spellEnd"/>
                  <w:r w:rsidRPr="002318A9">
                    <w:rPr>
                      <w:sz w:val="19"/>
                      <w:szCs w:val="19"/>
                    </w:rPr>
                    <w:t>-La Rioja, and Huemul-Mendoza) identified and baseline environmental studies completed.</w:t>
                  </w:r>
                </w:p>
              </w:tc>
            </w:tr>
            <w:tr w:rsidR="00E63776" w14:paraId="4614E40C" w14:textId="77777777" w:rsidTr="000269B1">
              <w:tc>
                <w:tcPr>
                  <w:tcW w:w="3116" w:type="dxa"/>
                </w:tcPr>
                <w:p w14:paraId="5BB6BA57" w14:textId="77777777" w:rsidR="000B56C5" w:rsidRDefault="002C3F71" w:rsidP="000B56C5">
                  <w:pPr>
                    <w:rPr>
                      <w:sz w:val="19"/>
                      <w:szCs w:val="19"/>
                    </w:rPr>
                  </w:pPr>
                  <w:r>
                    <w:rPr>
                      <w:sz w:val="19"/>
                      <w:szCs w:val="19"/>
                    </w:rPr>
                    <w:t>4. CNEA laboratories receive full</w:t>
                  </w:r>
                </w:p>
                <w:p w14:paraId="0C177E70" w14:textId="77777777" w:rsidR="000B56C5" w:rsidRDefault="002C3F71" w:rsidP="000B56C5">
                  <w:pPr>
                    <w:rPr>
                      <w:sz w:val="19"/>
                      <w:szCs w:val="19"/>
                    </w:rPr>
                  </w:pPr>
                  <w:r>
                    <w:rPr>
                      <w:sz w:val="19"/>
                      <w:szCs w:val="19"/>
                    </w:rPr>
                    <w:t>IS0 17025 management system</w:t>
                  </w:r>
                </w:p>
                <w:p w14:paraId="7C5A5890" w14:textId="77777777" w:rsidR="000B56C5" w:rsidRDefault="002C3F71" w:rsidP="000B56C5">
                  <w:pPr>
                    <w:rPr>
                      <w:sz w:val="19"/>
                      <w:szCs w:val="19"/>
                    </w:rPr>
                  </w:pPr>
                  <w:r>
                    <w:rPr>
                      <w:sz w:val="19"/>
                      <w:szCs w:val="19"/>
                    </w:rPr>
                    <w:t>accreditation for its quality,</w:t>
                  </w:r>
                </w:p>
                <w:p w14:paraId="31049043" w14:textId="77777777" w:rsidR="000B56C5" w:rsidRDefault="002C3F71" w:rsidP="000B56C5">
                  <w:pPr>
                    <w:rPr>
                      <w:sz w:val="19"/>
                      <w:szCs w:val="19"/>
                    </w:rPr>
                  </w:pPr>
                  <w:r>
                    <w:rPr>
                      <w:sz w:val="19"/>
                      <w:szCs w:val="19"/>
                    </w:rPr>
                    <w:t>administrative and technical</w:t>
                  </w:r>
                </w:p>
                <w:p w14:paraId="171F2F3D" w14:textId="77777777" w:rsidR="000B56C5" w:rsidRPr="004C57C9" w:rsidRDefault="002C3F71" w:rsidP="000B56C5">
                  <w:pPr>
                    <w:rPr>
                      <w:sz w:val="19"/>
                      <w:szCs w:val="19"/>
                    </w:rPr>
                  </w:pPr>
                  <w:r>
                    <w:rPr>
                      <w:sz w:val="19"/>
                      <w:szCs w:val="19"/>
                    </w:rPr>
                    <w:t xml:space="preserve">operations. </w:t>
                  </w:r>
                </w:p>
              </w:tc>
              <w:tc>
                <w:tcPr>
                  <w:tcW w:w="3117" w:type="dxa"/>
                </w:tcPr>
                <w:p w14:paraId="2263E2EC" w14:textId="77777777" w:rsidR="000B56C5" w:rsidRDefault="002C3F71" w:rsidP="000B56C5">
                  <w:pPr>
                    <w:rPr>
                      <w:sz w:val="19"/>
                      <w:szCs w:val="19"/>
                    </w:rPr>
                  </w:pPr>
                  <w:r w:rsidRPr="004C57C9">
                    <w:rPr>
                      <w:sz w:val="19"/>
                      <w:szCs w:val="19"/>
                    </w:rPr>
                    <w:t>CNEA laboratories where PRAMU analysis (sic) are carried out implement ISO 17025 procedures for its quality, administrative and technical operations, and are accredited by COCALIN</w:t>
                  </w:r>
                </w:p>
                <w:p w14:paraId="6D052E34" w14:textId="77777777" w:rsidR="000B56C5" w:rsidRPr="004C57C9" w:rsidRDefault="000B56C5" w:rsidP="000B56C5">
                  <w:pPr>
                    <w:rPr>
                      <w:sz w:val="19"/>
                      <w:szCs w:val="19"/>
                    </w:rPr>
                  </w:pPr>
                </w:p>
              </w:tc>
              <w:tc>
                <w:tcPr>
                  <w:tcW w:w="3117" w:type="dxa"/>
                </w:tcPr>
                <w:p w14:paraId="7ACA831D" w14:textId="77777777" w:rsidR="000B56C5" w:rsidRPr="004C57C9" w:rsidRDefault="002C3F71" w:rsidP="000B56C5">
                  <w:pPr>
                    <w:rPr>
                      <w:sz w:val="19"/>
                      <w:szCs w:val="19"/>
                    </w:rPr>
                  </w:pPr>
                  <w:r w:rsidRPr="00CE1E1A">
                    <w:rPr>
                      <w:sz w:val="19"/>
                      <w:szCs w:val="19"/>
                    </w:rPr>
                    <w:t>Number of CNEA laboratories accredited ISO 17025 to monitor water, air, soil, and radiological parameters.</w:t>
                  </w:r>
                </w:p>
              </w:tc>
            </w:tr>
            <w:tr w:rsidR="00E63776" w14:paraId="59AB6690" w14:textId="77777777" w:rsidTr="000269B1">
              <w:tc>
                <w:tcPr>
                  <w:tcW w:w="3116" w:type="dxa"/>
                </w:tcPr>
                <w:p w14:paraId="2A7D8B95" w14:textId="77777777" w:rsidR="000B56C5" w:rsidRDefault="000B56C5" w:rsidP="000B56C5"/>
              </w:tc>
              <w:tc>
                <w:tcPr>
                  <w:tcW w:w="3117" w:type="dxa"/>
                </w:tcPr>
                <w:p w14:paraId="2D60AA32" w14:textId="77777777" w:rsidR="000B56C5" w:rsidRDefault="002C3F71" w:rsidP="000B56C5">
                  <w:pPr>
                    <w:rPr>
                      <w:sz w:val="19"/>
                      <w:szCs w:val="19"/>
                    </w:rPr>
                  </w:pPr>
                  <w:r>
                    <w:rPr>
                      <w:sz w:val="19"/>
                      <w:szCs w:val="19"/>
                    </w:rPr>
                    <w:t>(indicator</w:t>
                  </w:r>
                  <w:r w:rsidR="002318A9">
                    <w:rPr>
                      <w:sz w:val="19"/>
                      <w:szCs w:val="19"/>
                    </w:rPr>
                    <w:t xml:space="preserve"> added</w:t>
                  </w:r>
                  <w:r>
                    <w:rPr>
                      <w:sz w:val="19"/>
                      <w:szCs w:val="19"/>
                    </w:rPr>
                    <w:t xml:space="preserve">) </w:t>
                  </w:r>
                </w:p>
                <w:p w14:paraId="706E1C8C" w14:textId="77777777" w:rsidR="000B56C5" w:rsidRDefault="000B56C5" w:rsidP="000B56C5">
                  <w:pPr>
                    <w:rPr>
                      <w:sz w:val="19"/>
                      <w:szCs w:val="19"/>
                    </w:rPr>
                  </w:pPr>
                </w:p>
                <w:p w14:paraId="4B4A25A3" w14:textId="77777777" w:rsidR="000B56C5" w:rsidRDefault="002C3F71" w:rsidP="000B56C5">
                  <w:r>
                    <w:rPr>
                      <w:sz w:val="19"/>
                      <w:szCs w:val="19"/>
                    </w:rPr>
                    <w:t xml:space="preserve">5. </w:t>
                  </w:r>
                  <w:r w:rsidRPr="004F7098">
                    <w:rPr>
                      <w:sz w:val="19"/>
                      <w:szCs w:val="19"/>
                    </w:rPr>
                    <w:t>Environmental monitoring procedures for management of mining operations and/or former uranium mining sites have been transferred to government agencies.</w:t>
                  </w:r>
                </w:p>
              </w:tc>
              <w:tc>
                <w:tcPr>
                  <w:tcW w:w="3117" w:type="dxa"/>
                </w:tcPr>
                <w:p w14:paraId="7692C4F0" w14:textId="77777777" w:rsidR="000B56C5" w:rsidRDefault="000B56C5" w:rsidP="000B56C5"/>
                <w:p w14:paraId="779A2C83" w14:textId="77777777" w:rsidR="000B56C5" w:rsidRDefault="002C3F71" w:rsidP="000B56C5">
                  <w:pPr>
                    <w:rPr>
                      <w:sz w:val="19"/>
                      <w:szCs w:val="19"/>
                    </w:rPr>
                  </w:pPr>
                  <w:r w:rsidRPr="007A0A45">
                    <w:rPr>
                      <w:sz w:val="19"/>
                      <w:szCs w:val="19"/>
                    </w:rPr>
                    <w:t>Number of governmental agencies, where legacy sites are located, trained on environmental monitoring procedures for management and supervision of mining operations or uranium legacy sites</w:t>
                  </w:r>
                  <w:r>
                    <w:rPr>
                      <w:sz w:val="19"/>
                      <w:szCs w:val="19"/>
                    </w:rPr>
                    <w:t>.</w:t>
                  </w:r>
                </w:p>
                <w:p w14:paraId="70AA8B35" w14:textId="77777777" w:rsidR="000B56C5" w:rsidRDefault="000B56C5" w:rsidP="000B56C5"/>
              </w:tc>
            </w:tr>
            <w:tr w:rsidR="00E63776" w14:paraId="6DBDE502" w14:textId="77777777" w:rsidTr="000269B1">
              <w:tc>
                <w:tcPr>
                  <w:tcW w:w="9350" w:type="dxa"/>
                  <w:gridSpan w:val="3"/>
                </w:tcPr>
                <w:p w14:paraId="1F8A9B53" w14:textId="77777777" w:rsidR="000B56C5" w:rsidRPr="00BA756A" w:rsidRDefault="002C3F71" w:rsidP="000B56C5">
                  <w:pPr>
                    <w:rPr>
                      <w:sz w:val="19"/>
                      <w:szCs w:val="19"/>
                    </w:rPr>
                  </w:pPr>
                  <w:r w:rsidRPr="00BA756A">
                    <w:rPr>
                      <w:rFonts w:eastAsiaTheme="minorHAnsi"/>
                      <w:b/>
                      <w:color w:val="7F7F7F" w:themeColor="text1" w:themeTint="80"/>
                      <w:sz w:val="19"/>
                      <w:szCs w:val="19"/>
                    </w:rPr>
                    <w:t xml:space="preserve">Objective/Outcome 2: </w:t>
                  </w:r>
                  <w:r w:rsidRPr="008E5DD6">
                    <w:rPr>
                      <w:rFonts w:eastAsiaTheme="minorHAnsi"/>
                      <w:i/>
                      <w:color w:val="000000" w:themeColor="text1"/>
                      <w:sz w:val="19"/>
                      <w:szCs w:val="19"/>
                    </w:rPr>
                    <w:t xml:space="preserve">Reduce potential economic and health damages associated with a closed uranium milling site in </w:t>
                  </w:r>
                  <w:proofErr w:type="spellStart"/>
                  <w:r w:rsidR="00E52891">
                    <w:rPr>
                      <w:rFonts w:eastAsiaTheme="minorHAnsi"/>
                      <w:i/>
                      <w:color w:val="000000" w:themeColor="text1"/>
                      <w:sz w:val="19"/>
                      <w:szCs w:val="19"/>
                    </w:rPr>
                    <w:t>Malargüe</w:t>
                  </w:r>
                  <w:proofErr w:type="spellEnd"/>
                  <w:r w:rsidRPr="008E5DD6">
                    <w:rPr>
                      <w:rFonts w:eastAsiaTheme="minorHAnsi"/>
                      <w:i/>
                      <w:color w:val="000000" w:themeColor="text1"/>
                      <w:sz w:val="19"/>
                      <w:szCs w:val="19"/>
                    </w:rPr>
                    <w:t>, Mendoza.</w:t>
                  </w:r>
                </w:p>
                <w:p w14:paraId="2375800B" w14:textId="77777777" w:rsidR="000B56C5" w:rsidRDefault="000B56C5" w:rsidP="000B56C5">
                  <w:pPr>
                    <w:rPr>
                      <w:sz w:val="19"/>
                      <w:szCs w:val="19"/>
                    </w:rPr>
                  </w:pPr>
                </w:p>
              </w:tc>
            </w:tr>
            <w:tr w:rsidR="00E63776" w14:paraId="16682CDA" w14:textId="77777777" w:rsidTr="000269B1">
              <w:tc>
                <w:tcPr>
                  <w:tcW w:w="3116" w:type="dxa"/>
                </w:tcPr>
                <w:p w14:paraId="290774B7" w14:textId="77777777" w:rsidR="000B56C5" w:rsidRPr="004C57C9" w:rsidRDefault="002C3F71" w:rsidP="000B56C5">
                  <w:pPr>
                    <w:rPr>
                      <w:sz w:val="19"/>
                      <w:szCs w:val="19"/>
                    </w:rPr>
                  </w:pPr>
                  <w:r>
                    <w:rPr>
                      <w:sz w:val="19"/>
                      <w:szCs w:val="19"/>
                    </w:rPr>
                    <w:t xml:space="preserve">1. All potential health and economic risks associated with the </w:t>
                  </w:r>
                  <w:proofErr w:type="spellStart"/>
                  <w:r w:rsidR="00E52891">
                    <w:rPr>
                      <w:sz w:val="19"/>
                      <w:szCs w:val="19"/>
                    </w:rPr>
                    <w:t>Malargüe</w:t>
                  </w:r>
                  <w:proofErr w:type="spellEnd"/>
                  <w:r>
                    <w:rPr>
                      <w:sz w:val="19"/>
                      <w:szCs w:val="19"/>
                    </w:rPr>
                    <w:t xml:space="preserve"> </w:t>
                  </w:r>
                  <w:r w:rsidRPr="004C57C9">
                    <w:rPr>
                      <w:sz w:val="19"/>
                      <w:szCs w:val="19"/>
                    </w:rPr>
                    <w:t xml:space="preserve">site </w:t>
                  </w:r>
                  <w:r>
                    <w:rPr>
                      <w:sz w:val="19"/>
                      <w:szCs w:val="19"/>
                    </w:rPr>
                    <w:t xml:space="preserve">reduced to acceptable and verified levels. </w:t>
                  </w:r>
                </w:p>
              </w:tc>
              <w:tc>
                <w:tcPr>
                  <w:tcW w:w="3117" w:type="dxa"/>
                </w:tcPr>
                <w:p w14:paraId="1E15550B" w14:textId="77777777" w:rsidR="000B56C5" w:rsidRDefault="000B56C5" w:rsidP="000B56C5">
                  <w:pPr>
                    <w:rPr>
                      <w:sz w:val="19"/>
                      <w:szCs w:val="19"/>
                    </w:rPr>
                  </w:pPr>
                </w:p>
                <w:p w14:paraId="336C4231" w14:textId="77777777" w:rsidR="000B56C5" w:rsidRPr="004C57C9" w:rsidRDefault="002C3F71" w:rsidP="000B56C5">
                  <w:pPr>
                    <w:rPr>
                      <w:sz w:val="19"/>
                      <w:szCs w:val="19"/>
                    </w:rPr>
                  </w:pPr>
                  <w:r w:rsidRPr="004C57C9">
                    <w:rPr>
                      <w:rFonts w:eastAsiaTheme="minorHAnsi"/>
                      <w:color w:val="auto"/>
                      <w:sz w:val="19"/>
                      <w:szCs w:val="19"/>
                    </w:rPr>
                    <w:t xml:space="preserve">All potential health and economic risks associated with the </w:t>
                  </w:r>
                  <w:proofErr w:type="spellStart"/>
                  <w:r w:rsidR="00E52891">
                    <w:rPr>
                      <w:rFonts w:eastAsiaTheme="minorHAnsi"/>
                      <w:color w:val="auto"/>
                      <w:sz w:val="19"/>
                      <w:szCs w:val="19"/>
                    </w:rPr>
                    <w:t>Malargüe</w:t>
                  </w:r>
                  <w:proofErr w:type="spellEnd"/>
                  <w:r w:rsidRPr="004C57C9">
                    <w:rPr>
                      <w:rFonts w:eastAsiaTheme="minorHAnsi"/>
                      <w:color w:val="auto"/>
                      <w:sz w:val="19"/>
                      <w:szCs w:val="19"/>
                    </w:rPr>
                    <w:t xml:space="preserve"> site to be addressed through the implementation of remediation plans agreed with stakeholders</w:t>
                  </w:r>
                  <w:r>
                    <w:rPr>
                      <w:sz w:val="19"/>
                      <w:szCs w:val="19"/>
                    </w:rPr>
                    <w:t>.</w:t>
                  </w:r>
                </w:p>
              </w:tc>
              <w:tc>
                <w:tcPr>
                  <w:tcW w:w="3117" w:type="dxa"/>
                </w:tcPr>
                <w:p w14:paraId="5B34184F" w14:textId="77777777" w:rsidR="000B56C5" w:rsidRDefault="000B56C5" w:rsidP="000B56C5">
                  <w:pPr>
                    <w:rPr>
                      <w:sz w:val="19"/>
                      <w:szCs w:val="19"/>
                    </w:rPr>
                  </w:pPr>
                </w:p>
                <w:p w14:paraId="7895659D" w14:textId="77777777" w:rsidR="000B56C5" w:rsidRPr="004C57C9" w:rsidRDefault="002C3F71" w:rsidP="000B56C5">
                  <w:pPr>
                    <w:rPr>
                      <w:sz w:val="19"/>
                      <w:szCs w:val="19"/>
                    </w:rPr>
                  </w:pPr>
                  <w:r w:rsidRPr="004C57C9">
                    <w:rPr>
                      <w:sz w:val="19"/>
                      <w:szCs w:val="19"/>
                    </w:rPr>
                    <w:t xml:space="preserve">Reduced health, environmental, and economic risks associated with the </w:t>
                  </w:r>
                  <w:proofErr w:type="spellStart"/>
                  <w:r w:rsidR="00E52891">
                    <w:rPr>
                      <w:sz w:val="19"/>
                      <w:szCs w:val="19"/>
                    </w:rPr>
                    <w:t>Malargüe</w:t>
                  </w:r>
                  <w:proofErr w:type="spellEnd"/>
                  <w:r w:rsidRPr="004C57C9">
                    <w:rPr>
                      <w:sz w:val="19"/>
                      <w:szCs w:val="19"/>
                    </w:rPr>
                    <w:t xml:space="preserve"> site to be addressed through the removal of the tailings </w:t>
                  </w:r>
                  <w:proofErr w:type="gramStart"/>
                  <w:r w:rsidRPr="004C57C9">
                    <w:rPr>
                      <w:sz w:val="19"/>
                      <w:szCs w:val="19"/>
                    </w:rPr>
                    <w:t>according to</w:t>
                  </w:r>
                  <w:proofErr w:type="gramEnd"/>
                  <w:r w:rsidRPr="004C57C9">
                    <w:rPr>
                      <w:sz w:val="19"/>
                      <w:szCs w:val="19"/>
                    </w:rPr>
                    <w:t xml:space="preserve"> remediation plan agreed with authorities.</w:t>
                  </w:r>
                </w:p>
              </w:tc>
            </w:tr>
          </w:tbl>
          <w:p w14:paraId="358D6191" w14:textId="77777777" w:rsidR="000B56C5" w:rsidRPr="00404F3E" w:rsidRDefault="000B56C5" w:rsidP="00404F3E"/>
        </w:tc>
      </w:tr>
      <w:tr w:rsidR="00E63776" w14:paraId="4BF7339D" w14:textId="77777777" w:rsidTr="007A3304">
        <w:trPr>
          <w:trHeight w:val="882"/>
        </w:trPr>
        <w:tc>
          <w:tcPr>
            <w:tcW w:w="10980" w:type="dxa"/>
            <w:shd w:val="clear" w:color="auto" w:fill="auto"/>
          </w:tcPr>
          <w:p w14:paraId="6163C7DC" w14:textId="77777777" w:rsidR="00CD2A9A" w:rsidRPr="00CD2A9A" w:rsidRDefault="00CD2A9A" w:rsidP="00404F3E">
            <w:pPr>
              <w:pStyle w:val="ListParagraph"/>
              <w:widowControl/>
              <w:spacing w:line="276" w:lineRule="auto"/>
              <w:ind w:left="720"/>
              <w:jc w:val="both"/>
              <w:rPr>
                <w:rFonts w:eastAsiaTheme="minorHAnsi" w:cstheme="minorBidi"/>
                <w:b w:val="0"/>
                <w:color w:val="000000" w:themeColor="text1"/>
                <w:szCs w:val="22"/>
              </w:rPr>
            </w:pPr>
            <w:bookmarkStart w:id="19" w:name="_Hlk500154864"/>
          </w:p>
        </w:tc>
      </w:tr>
      <w:bookmarkEnd w:id="19"/>
      <w:tr w:rsidR="00E63776" w14:paraId="271DB141" w14:textId="77777777" w:rsidTr="007A3304">
        <w:trPr>
          <w:trHeight w:val="243"/>
        </w:trPr>
        <w:tc>
          <w:tcPr>
            <w:tcW w:w="10980" w:type="dxa"/>
            <w:shd w:val="clear" w:color="auto" w:fill="auto"/>
          </w:tcPr>
          <w:p w14:paraId="6583EF11" w14:textId="77777777" w:rsidR="007A3304" w:rsidRDefault="002C3F71" w:rsidP="009212C0">
            <w:pPr>
              <w:pStyle w:val="Heading3"/>
              <w:rPr>
                <w:szCs w:val="22"/>
              </w:rPr>
            </w:pPr>
            <w:r>
              <w:rPr>
                <w:szCs w:val="22"/>
              </w:rPr>
              <w:t xml:space="preserve">Revised </w:t>
            </w:r>
            <w:r w:rsidRPr="009E631B">
              <w:rPr>
                <w:szCs w:val="22"/>
              </w:rPr>
              <w:t>Components</w:t>
            </w:r>
          </w:p>
          <w:p w14:paraId="117741A2" w14:textId="77777777" w:rsidR="00CD2A9A" w:rsidRPr="00CD2A9A" w:rsidRDefault="00CD2A9A" w:rsidP="00CD2A9A"/>
        </w:tc>
      </w:tr>
      <w:tr w:rsidR="00E63776" w14:paraId="575B3666" w14:textId="77777777" w:rsidTr="007A3304">
        <w:trPr>
          <w:trHeight w:val="837"/>
        </w:trPr>
        <w:tc>
          <w:tcPr>
            <w:tcW w:w="10980" w:type="dxa"/>
            <w:shd w:val="clear" w:color="auto" w:fill="auto"/>
          </w:tcPr>
          <w:p w14:paraId="3925D671" w14:textId="77777777" w:rsidR="002318A9" w:rsidRDefault="002C3F71" w:rsidP="002318A9">
            <w:pPr>
              <w:pStyle w:val="ListParagraph"/>
              <w:widowControl/>
              <w:numPr>
                <w:ilvl w:val="0"/>
                <w:numId w:val="21"/>
              </w:numPr>
              <w:spacing w:line="276" w:lineRule="auto"/>
              <w:jc w:val="both"/>
              <w:rPr>
                <w:rFonts w:eastAsiaTheme="minorHAnsi" w:cstheme="minorHAnsi"/>
                <w:b w:val="0"/>
                <w:color w:val="000000" w:themeColor="text1"/>
                <w:szCs w:val="22"/>
              </w:rPr>
            </w:pPr>
            <w:r w:rsidRPr="00404F3E">
              <w:rPr>
                <w:rFonts w:eastAsiaTheme="minorHAnsi" w:cstheme="minorBidi"/>
                <w:b w:val="0"/>
                <w:color w:val="000000" w:themeColor="text1"/>
                <w:szCs w:val="22"/>
              </w:rPr>
              <w:t>The</w:t>
            </w:r>
            <w:r w:rsidRPr="00CE3621">
              <w:rPr>
                <w:rFonts w:eastAsiaTheme="minorHAnsi" w:cstheme="minorHAnsi"/>
                <w:b w:val="0"/>
                <w:color w:val="000000" w:themeColor="text1"/>
                <w:szCs w:val="22"/>
              </w:rPr>
              <w:t xml:space="preserve"> project components were not revised during implementation</w:t>
            </w:r>
            <w:r>
              <w:rPr>
                <w:rFonts w:eastAsiaTheme="minorHAnsi" w:cstheme="minorHAnsi"/>
                <w:b w:val="0"/>
                <w:color w:val="000000" w:themeColor="text1"/>
                <w:szCs w:val="22"/>
              </w:rPr>
              <w:t xml:space="preserve"> although at the time of the first project restructuring in July 2013 there was a reduction in size and shift of emphasis in Subcomponent 2.3 (Strengthen Environmental Management in the Mining Sector).  This occurred because international and local consultants could not be hired due to local regulations, and ministry policies deterred travel</w:t>
            </w:r>
            <w:r w:rsidR="00386B48">
              <w:rPr>
                <w:rFonts w:eastAsiaTheme="minorHAnsi" w:cstheme="minorHAnsi"/>
                <w:b w:val="0"/>
                <w:color w:val="000000" w:themeColor="text1"/>
                <w:szCs w:val="22"/>
              </w:rPr>
              <w:t xml:space="preserve"> by government officials</w:t>
            </w:r>
            <w:r>
              <w:rPr>
                <w:rFonts w:eastAsiaTheme="minorHAnsi" w:cstheme="minorHAnsi"/>
                <w:b w:val="0"/>
                <w:color w:val="000000" w:themeColor="text1"/>
                <w:szCs w:val="22"/>
              </w:rPr>
              <w:t xml:space="preserve">.  Thus, many of the initial estimated project staff and administrative costs were absorbed by CNEA, which also contributed to the reduced project management costs (see para. </w:t>
            </w:r>
            <w:r w:rsidR="0044009B">
              <w:rPr>
                <w:rFonts w:eastAsiaTheme="minorHAnsi" w:cstheme="minorHAnsi"/>
                <w:b w:val="0"/>
                <w:color w:val="000000" w:themeColor="text1"/>
                <w:szCs w:val="22"/>
              </w:rPr>
              <w:t>20</w:t>
            </w:r>
            <w:r>
              <w:rPr>
                <w:rFonts w:eastAsiaTheme="minorHAnsi" w:cstheme="minorHAnsi"/>
                <w:b w:val="0"/>
                <w:color w:val="000000" w:themeColor="text1"/>
                <w:szCs w:val="22"/>
              </w:rPr>
              <w:t xml:space="preserve"> below). </w:t>
            </w:r>
          </w:p>
          <w:p w14:paraId="7BA07FFE" w14:textId="77777777" w:rsidR="00CD2A9A" w:rsidRPr="00CE3621" w:rsidRDefault="00CD2A9A" w:rsidP="00CD2A9A">
            <w:pPr>
              <w:pStyle w:val="ListParagraph"/>
              <w:spacing w:line="276" w:lineRule="auto"/>
              <w:ind w:left="720"/>
              <w:jc w:val="both"/>
              <w:rPr>
                <w:rFonts w:eastAsiaTheme="minorHAnsi" w:cstheme="minorHAnsi"/>
                <w:b w:val="0"/>
                <w:color w:val="000000" w:themeColor="text1"/>
                <w:szCs w:val="22"/>
              </w:rPr>
            </w:pPr>
          </w:p>
        </w:tc>
      </w:tr>
      <w:tr w:rsidR="00E63776" w14:paraId="4DE798AC" w14:textId="77777777" w:rsidTr="007A3304">
        <w:trPr>
          <w:trHeight w:val="360"/>
        </w:trPr>
        <w:tc>
          <w:tcPr>
            <w:tcW w:w="10980" w:type="dxa"/>
            <w:shd w:val="clear" w:color="auto" w:fill="auto"/>
          </w:tcPr>
          <w:p w14:paraId="6142BC19" w14:textId="77777777" w:rsidR="00CD2A9A" w:rsidRDefault="002C3F71" w:rsidP="00CD2A9A">
            <w:pPr>
              <w:pStyle w:val="Heading3"/>
              <w:ind w:left="342"/>
              <w:rPr>
                <w:szCs w:val="22"/>
              </w:rPr>
            </w:pPr>
            <w:r w:rsidRPr="009E631B">
              <w:rPr>
                <w:szCs w:val="22"/>
              </w:rPr>
              <w:t>Other Changes</w:t>
            </w:r>
          </w:p>
          <w:p w14:paraId="5836EB24" w14:textId="77777777" w:rsidR="00CD2A9A" w:rsidRPr="00CD2A9A" w:rsidRDefault="00CD2A9A" w:rsidP="00CD2A9A"/>
        </w:tc>
      </w:tr>
      <w:tr w:rsidR="00E63776" w14:paraId="1F2AD963" w14:textId="77777777" w:rsidTr="007A3304">
        <w:trPr>
          <w:trHeight w:val="468"/>
        </w:trPr>
        <w:tc>
          <w:tcPr>
            <w:tcW w:w="10980" w:type="dxa"/>
            <w:shd w:val="clear" w:color="auto" w:fill="auto"/>
          </w:tcPr>
          <w:p w14:paraId="48D8DB18" w14:textId="77777777" w:rsidR="00CA2386" w:rsidRPr="00A90AC6" w:rsidRDefault="002C3F71" w:rsidP="00CA2386">
            <w:pPr>
              <w:pStyle w:val="ListParagraph"/>
              <w:widowControl/>
              <w:numPr>
                <w:ilvl w:val="0"/>
                <w:numId w:val="21"/>
              </w:numPr>
              <w:spacing w:line="276" w:lineRule="auto"/>
              <w:jc w:val="both"/>
              <w:rPr>
                <w:rFonts w:ascii="Calibri" w:eastAsiaTheme="minorHAnsi" w:hAnsi="Calibri" w:cs="Calibri"/>
                <w:b w:val="0"/>
                <w:color w:val="000000" w:themeColor="text1"/>
                <w:szCs w:val="22"/>
              </w:rPr>
            </w:pPr>
            <w:r w:rsidRPr="001136B8">
              <w:rPr>
                <w:rFonts w:eastAsiaTheme="minorHAnsi" w:cstheme="minorBidi"/>
                <w:color w:val="000000" w:themeColor="text1"/>
                <w:szCs w:val="22"/>
              </w:rPr>
              <w:t>Closing Date</w:t>
            </w:r>
            <w:r w:rsidRPr="001136B8">
              <w:rPr>
                <w:rFonts w:eastAsiaTheme="minorHAnsi" w:cstheme="minorBidi"/>
                <w:b w:val="0"/>
                <w:color w:val="000000" w:themeColor="text1"/>
                <w:szCs w:val="22"/>
              </w:rPr>
              <w:t>.  The project closing date</w:t>
            </w:r>
            <w:r>
              <w:rPr>
                <w:rFonts w:eastAsiaTheme="minorHAnsi" w:cstheme="minorBidi"/>
                <w:b w:val="0"/>
                <w:color w:val="000000" w:themeColor="text1"/>
                <w:szCs w:val="22"/>
              </w:rPr>
              <w:t xml:space="preserve"> </w:t>
            </w:r>
            <w:r w:rsidRPr="001136B8">
              <w:rPr>
                <w:rFonts w:eastAsiaTheme="minorHAnsi" w:cstheme="minorBidi"/>
                <w:b w:val="0"/>
                <w:color w:val="000000" w:themeColor="text1"/>
                <w:szCs w:val="22"/>
              </w:rPr>
              <w:t xml:space="preserve">changed </w:t>
            </w:r>
            <w:r>
              <w:rPr>
                <w:rFonts w:eastAsiaTheme="minorHAnsi" w:cstheme="minorBidi"/>
                <w:b w:val="0"/>
                <w:color w:val="000000" w:themeColor="text1"/>
                <w:szCs w:val="22"/>
              </w:rPr>
              <w:t>four</w:t>
            </w:r>
            <w:r w:rsidRPr="001136B8">
              <w:rPr>
                <w:rFonts w:eastAsiaTheme="minorHAnsi" w:cstheme="minorBidi"/>
                <w:b w:val="0"/>
                <w:color w:val="000000" w:themeColor="text1"/>
                <w:szCs w:val="22"/>
              </w:rPr>
              <w:t xml:space="preserve"> times</w:t>
            </w:r>
            <w:r>
              <w:rPr>
                <w:rFonts w:eastAsiaTheme="minorHAnsi" w:cstheme="minorBidi"/>
                <w:b w:val="0"/>
                <w:color w:val="000000" w:themeColor="text1"/>
                <w:szCs w:val="22"/>
              </w:rPr>
              <w:t xml:space="preserve"> through successive Level II restructurings</w:t>
            </w:r>
            <w:r w:rsidRPr="001136B8">
              <w:rPr>
                <w:rFonts w:eastAsiaTheme="minorHAnsi" w:cstheme="minorBidi"/>
                <w:b w:val="0"/>
                <w:color w:val="000000" w:themeColor="text1"/>
                <w:szCs w:val="22"/>
              </w:rPr>
              <w:t xml:space="preserve">: (i) </w:t>
            </w:r>
            <w:r>
              <w:rPr>
                <w:rFonts w:eastAsiaTheme="minorHAnsi" w:cstheme="minorBidi"/>
                <w:b w:val="0"/>
                <w:color w:val="000000" w:themeColor="text1"/>
                <w:szCs w:val="22"/>
              </w:rPr>
              <w:t xml:space="preserve">in July 2013, following the recommendation of the MTR for 21 months </w:t>
            </w:r>
            <w:r w:rsidRPr="001136B8">
              <w:rPr>
                <w:rFonts w:eastAsiaTheme="minorHAnsi" w:cstheme="minorBidi"/>
                <w:b w:val="0"/>
                <w:color w:val="000000" w:themeColor="text1"/>
                <w:szCs w:val="22"/>
              </w:rPr>
              <w:t>from November 30, 2013 to August 30, 2015</w:t>
            </w:r>
            <w:r>
              <w:rPr>
                <w:rFonts w:eastAsiaTheme="minorHAnsi" w:cstheme="minorBidi"/>
                <w:b w:val="0"/>
                <w:color w:val="000000" w:themeColor="text1"/>
                <w:szCs w:val="22"/>
              </w:rPr>
              <w:t xml:space="preserve"> on account of an initial effectiveness delay (see Section </w:t>
            </w:r>
            <w:r w:rsidRPr="00B425B2">
              <w:rPr>
                <w:rFonts w:eastAsiaTheme="minorHAnsi" w:cstheme="minorBidi"/>
                <w:b w:val="0"/>
                <w:color w:val="000000" w:themeColor="text1"/>
                <w:szCs w:val="22"/>
              </w:rPr>
              <w:t>III B below</w:t>
            </w:r>
            <w:r>
              <w:rPr>
                <w:rFonts w:eastAsiaTheme="minorHAnsi" w:cstheme="minorBidi"/>
                <w:b w:val="0"/>
                <w:color w:val="000000" w:themeColor="text1"/>
                <w:szCs w:val="22"/>
              </w:rPr>
              <w:t>)</w:t>
            </w:r>
            <w:r w:rsidRPr="001136B8">
              <w:rPr>
                <w:rFonts w:eastAsiaTheme="minorHAnsi" w:cstheme="minorBidi"/>
                <w:b w:val="0"/>
                <w:color w:val="000000" w:themeColor="text1"/>
                <w:szCs w:val="22"/>
              </w:rPr>
              <w:t xml:space="preserve">; (ii) on </w:t>
            </w:r>
            <w:r>
              <w:rPr>
                <w:rFonts w:eastAsiaTheme="minorHAnsi" w:cstheme="minorBidi"/>
                <w:b w:val="0"/>
                <w:color w:val="000000" w:themeColor="text1"/>
                <w:szCs w:val="22"/>
              </w:rPr>
              <w:t xml:space="preserve">August 28, 2015 for 3 months from </w:t>
            </w:r>
            <w:r w:rsidRPr="001136B8">
              <w:rPr>
                <w:rFonts w:eastAsiaTheme="minorHAnsi" w:cstheme="minorBidi"/>
                <w:b w:val="0"/>
                <w:color w:val="000000" w:themeColor="text1"/>
                <w:szCs w:val="22"/>
              </w:rPr>
              <w:t xml:space="preserve">August 30, 2015 until November </w:t>
            </w:r>
            <w:r>
              <w:rPr>
                <w:rFonts w:eastAsiaTheme="minorHAnsi" w:cstheme="minorBidi"/>
                <w:b w:val="0"/>
                <w:color w:val="000000" w:themeColor="text1"/>
                <w:szCs w:val="22"/>
              </w:rPr>
              <w:t>27,</w:t>
            </w:r>
            <w:r w:rsidRPr="001136B8">
              <w:rPr>
                <w:rFonts w:eastAsiaTheme="minorHAnsi" w:cstheme="minorBidi"/>
                <w:b w:val="0"/>
                <w:color w:val="000000" w:themeColor="text1"/>
                <w:szCs w:val="22"/>
              </w:rPr>
              <w:t xml:space="preserve"> 201</w:t>
            </w:r>
            <w:r>
              <w:rPr>
                <w:rFonts w:eastAsiaTheme="minorHAnsi" w:cstheme="minorBidi"/>
                <w:b w:val="0"/>
                <w:color w:val="000000" w:themeColor="text1"/>
                <w:szCs w:val="22"/>
              </w:rPr>
              <w:t>5</w:t>
            </w:r>
            <w:r w:rsidRPr="001136B8">
              <w:rPr>
                <w:rFonts w:eastAsiaTheme="minorHAnsi" w:cstheme="minorBidi"/>
                <w:b w:val="0"/>
                <w:color w:val="000000" w:themeColor="text1"/>
                <w:szCs w:val="22"/>
              </w:rPr>
              <w:t>;</w:t>
            </w:r>
            <w:r>
              <w:rPr>
                <w:rFonts w:eastAsiaTheme="minorHAnsi" w:cstheme="minorBidi"/>
                <w:b w:val="0"/>
                <w:color w:val="000000" w:themeColor="text1"/>
                <w:szCs w:val="22"/>
              </w:rPr>
              <w:t xml:space="preserve"> </w:t>
            </w:r>
            <w:r w:rsidRPr="001136B8">
              <w:rPr>
                <w:rFonts w:eastAsiaTheme="minorHAnsi" w:cstheme="minorBidi"/>
                <w:b w:val="0"/>
                <w:color w:val="000000" w:themeColor="text1"/>
                <w:szCs w:val="22"/>
              </w:rPr>
              <w:t>(iii) on</w:t>
            </w:r>
            <w:r>
              <w:rPr>
                <w:rFonts w:eastAsiaTheme="minorHAnsi" w:cstheme="minorBidi"/>
                <w:b w:val="0"/>
                <w:color w:val="000000" w:themeColor="text1"/>
                <w:szCs w:val="22"/>
              </w:rPr>
              <w:t xml:space="preserve"> November 24, 2015 for ten months</w:t>
            </w:r>
            <w:r w:rsidRPr="001136B8">
              <w:rPr>
                <w:rFonts w:eastAsiaTheme="minorHAnsi" w:cstheme="minorBidi"/>
                <w:b w:val="0"/>
                <w:color w:val="000000" w:themeColor="text1"/>
                <w:szCs w:val="22"/>
              </w:rPr>
              <w:t xml:space="preserve"> from November 27, 201</w:t>
            </w:r>
            <w:r>
              <w:rPr>
                <w:rFonts w:eastAsiaTheme="minorHAnsi" w:cstheme="minorBidi"/>
                <w:b w:val="0"/>
                <w:color w:val="000000" w:themeColor="text1"/>
                <w:szCs w:val="22"/>
              </w:rPr>
              <w:t>5</w:t>
            </w:r>
            <w:r w:rsidRPr="001136B8">
              <w:rPr>
                <w:rFonts w:eastAsiaTheme="minorHAnsi" w:cstheme="minorBidi"/>
                <w:b w:val="0"/>
                <w:color w:val="000000" w:themeColor="text1"/>
                <w:szCs w:val="22"/>
              </w:rPr>
              <w:t xml:space="preserve"> </w:t>
            </w:r>
            <w:r>
              <w:rPr>
                <w:rFonts w:eastAsiaTheme="minorHAnsi" w:cstheme="minorBidi"/>
                <w:b w:val="0"/>
                <w:color w:val="000000" w:themeColor="text1"/>
                <w:szCs w:val="22"/>
              </w:rPr>
              <w:t>to September 27, 2016;</w:t>
            </w:r>
            <w:r>
              <w:rPr>
                <w:rStyle w:val="FootnoteReference"/>
                <w:rFonts w:eastAsiaTheme="minorHAnsi" w:cstheme="minorBidi"/>
                <w:b w:val="0"/>
                <w:color w:val="000000" w:themeColor="text1"/>
                <w:szCs w:val="22"/>
              </w:rPr>
              <w:footnoteReference w:id="9"/>
            </w:r>
            <w:r>
              <w:rPr>
                <w:rFonts w:eastAsiaTheme="minorHAnsi" w:cstheme="minorBidi"/>
                <w:b w:val="0"/>
                <w:color w:val="000000" w:themeColor="text1"/>
                <w:szCs w:val="22"/>
              </w:rPr>
              <w:t xml:space="preserve"> and (iv) on September 26, 2016 for nine months from September 27, 2016 to June 27, 2017.  Various implementation delays (see the </w:t>
            </w:r>
            <w:r w:rsidRPr="00B425B2">
              <w:rPr>
                <w:rFonts w:eastAsiaTheme="minorHAnsi" w:cstheme="minorBidi"/>
                <w:b w:val="0"/>
                <w:color w:val="000000" w:themeColor="text1"/>
                <w:szCs w:val="22"/>
              </w:rPr>
              <w:t>next section</w:t>
            </w:r>
            <w:r>
              <w:rPr>
                <w:rFonts w:eastAsiaTheme="minorHAnsi" w:cstheme="minorBidi"/>
                <w:b w:val="0"/>
                <w:color w:val="000000" w:themeColor="text1"/>
                <w:szCs w:val="22"/>
              </w:rPr>
              <w:t>) were responsible for these extensions.</w:t>
            </w:r>
          </w:p>
          <w:p w14:paraId="425A150A" w14:textId="77777777" w:rsidR="00CA2386" w:rsidRPr="00CA2386" w:rsidRDefault="00CA2386" w:rsidP="00CA2386">
            <w:pPr>
              <w:pStyle w:val="ListParagraph"/>
              <w:widowControl/>
              <w:spacing w:line="276" w:lineRule="auto"/>
              <w:ind w:left="360"/>
              <w:jc w:val="both"/>
              <w:rPr>
                <w:rFonts w:ascii="Calibri" w:eastAsiaTheme="minorHAnsi" w:hAnsi="Calibri" w:cs="Calibri"/>
                <w:b w:val="0"/>
                <w:color w:val="000000" w:themeColor="text1"/>
                <w:szCs w:val="22"/>
              </w:rPr>
            </w:pPr>
          </w:p>
          <w:p w14:paraId="14E5FB00" w14:textId="77777777" w:rsidR="00CD2A9A" w:rsidRPr="00A75E11" w:rsidRDefault="002C3F71" w:rsidP="009212C0">
            <w:pPr>
              <w:pStyle w:val="ListParagraph"/>
              <w:widowControl/>
              <w:numPr>
                <w:ilvl w:val="0"/>
                <w:numId w:val="21"/>
              </w:numPr>
              <w:spacing w:line="276" w:lineRule="auto"/>
              <w:jc w:val="both"/>
              <w:rPr>
                <w:rFonts w:ascii="Calibri" w:eastAsiaTheme="minorHAnsi" w:hAnsi="Calibri" w:cs="Calibri"/>
                <w:b w:val="0"/>
                <w:color w:val="000000" w:themeColor="text1"/>
                <w:szCs w:val="22"/>
              </w:rPr>
            </w:pPr>
            <w:r w:rsidRPr="00A90AC6">
              <w:rPr>
                <w:rFonts w:eastAsiaTheme="minorHAnsi" w:cstheme="minorHAnsi"/>
                <w:color w:val="000000" w:themeColor="text1"/>
                <w:szCs w:val="22"/>
              </w:rPr>
              <w:t xml:space="preserve">Reallocation of Costs. </w:t>
            </w:r>
            <w:r w:rsidRPr="00A90AC6">
              <w:rPr>
                <w:rFonts w:eastAsiaTheme="minorHAnsi" w:cstheme="minorHAnsi"/>
                <w:b w:val="0"/>
                <w:color w:val="000000" w:themeColor="text1"/>
                <w:szCs w:val="22"/>
              </w:rPr>
              <w:t xml:space="preserve">There was also a reallocation of costs among project components, including from the Category of Contingencies (US$ 2.77 million) to Component 1 (Remediation at </w:t>
            </w:r>
            <w:proofErr w:type="spellStart"/>
            <w:r w:rsidR="00E52891">
              <w:rPr>
                <w:rFonts w:eastAsiaTheme="minorHAnsi" w:cstheme="minorHAnsi"/>
                <w:b w:val="0"/>
                <w:color w:val="000000" w:themeColor="text1"/>
                <w:szCs w:val="22"/>
              </w:rPr>
              <w:t>Malargüe</w:t>
            </w:r>
            <w:proofErr w:type="spellEnd"/>
            <w:r w:rsidRPr="00A90AC6">
              <w:rPr>
                <w:rFonts w:eastAsiaTheme="minorHAnsi" w:cstheme="minorHAnsi"/>
                <w:b w:val="0"/>
                <w:color w:val="000000" w:themeColor="text1"/>
                <w:szCs w:val="22"/>
              </w:rPr>
              <w:t xml:space="preserve"> site), as indicated in the Table in section III</w:t>
            </w:r>
            <w:r>
              <w:rPr>
                <w:rFonts w:eastAsiaTheme="minorHAnsi" w:cstheme="minorHAnsi"/>
                <w:b w:val="0"/>
                <w:color w:val="000000" w:themeColor="text1"/>
                <w:szCs w:val="22"/>
              </w:rPr>
              <w:t>-</w:t>
            </w:r>
            <w:r w:rsidRPr="00A90AC6">
              <w:rPr>
                <w:rFonts w:eastAsiaTheme="minorHAnsi" w:cstheme="minorHAnsi"/>
                <w:b w:val="0"/>
                <w:color w:val="000000" w:themeColor="text1"/>
                <w:szCs w:val="22"/>
              </w:rPr>
              <w:t xml:space="preserve">B below.  Total estimated costs for this component increased to US$ 18.925 million, compared with US$ 15 million at appraisal, or by 26.2 percent. This increase was reportedly due to a re-estimation of the costs of the remediation activities at </w:t>
            </w:r>
            <w:proofErr w:type="spellStart"/>
            <w:r w:rsidR="00E52891">
              <w:rPr>
                <w:rFonts w:eastAsiaTheme="minorHAnsi" w:cstheme="minorHAnsi"/>
                <w:b w:val="0"/>
                <w:color w:val="000000" w:themeColor="text1"/>
                <w:szCs w:val="22"/>
              </w:rPr>
              <w:t>Malargüe</w:t>
            </w:r>
            <w:proofErr w:type="spellEnd"/>
            <w:r w:rsidRPr="00A90AC6">
              <w:rPr>
                <w:rFonts w:eastAsiaTheme="minorHAnsi" w:cstheme="minorHAnsi"/>
                <w:b w:val="0"/>
                <w:color w:val="000000" w:themeColor="text1"/>
                <w:szCs w:val="22"/>
              </w:rPr>
              <w:t xml:space="preserve"> compared with that at the time of appraisal and due to increasing costs associated with currency devaluation.</w:t>
            </w:r>
            <w:r>
              <w:rPr>
                <w:rFonts w:eastAsiaTheme="minorHAnsi" w:cstheme="minorHAnsi"/>
                <w:b w:val="0"/>
                <w:color w:val="000000" w:themeColor="text1"/>
                <w:szCs w:val="22"/>
              </w:rPr>
              <w:t xml:space="preserve"> On the other hand, resources from Component 3: Project Management, decreased from an estimated US$ 1.25 million at appraisal, to US$ 240,000</w:t>
            </w:r>
            <w:r w:rsidR="001B7CEE">
              <w:rPr>
                <w:rFonts w:eastAsiaTheme="minorHAnsi" w:cstheme="minorHAnsi"/>
                <w:b w:val="0"/>
                <w:color w:val="000000" w:themeColor="text1"/>
                <w:szCs w:val="22"/>
              </w:rPr>
              <w:t xml:space="preserve"> </w:t>
            </w:r>
            <w:proofErr w:type="gramStart"/>
            <w:r w:rsidR="001B7CEE">
              <w:rPr>
                <w:rFonts w:eastAsiaTheme="minorHAnsi" w:cstheme="minorHAnsi"/>
                <w:b w:val="0"/>
                <w:color w:val="000000" w:themeColor="text1"/>
                <w:szCs w:val="22"/>
              </w:rPr>
              <w:t>as a result of</w:t>
            </w:r>
            <w:proofErr w:type="gramEnd"/>
            <w:r w:rsidR="001B7CEE">
              <w:rPr>
                <w:rFonts w:eastAsiaTheme="minorHAnsi" w:cstheme="minorHAnsi"/>
                <w:b w:val="0"/>
                <w:color w:val="000000" w:themeColor="text1"/>
                <w:szCs w:val="22"/>
              </w:rPr>
              <w:t xml:space="preserve"> project staff and administrative costs absorbed by CNEA</w:t>
            </w:r>
            <w:r>
              <w:rPr>
                <w:rFonts w:eastAsiaTheme="minorHAnsi" w:cstheme="minorHAnsi"/>
                <w:b w:val="0"/>
                <w:color w:val="000000" w:themeColor="text1"/>
                <w:szCs w:val="22"/>
              </w:rPr>
              <w:t xml:space="preserve">. </w:t>
            </w:r>
          </w:p>
          <w:p w14:paraId="55DAE4B9" w14:textId="77777777" w:rsidR="00A75E11" w:rsidRPr="00A75E11" w:rsidRDefault="00A75E11" w:rsidP="00A75E11">
            <w:pPr>
              <w:pStyle w:val="ListParagraph"/>
              <w:rPr>
                <w:rFonts w:ascii="Calibri" w:eastAsiaTheme="minorHAnsi" w:hAnsi="Calibri" w:cs="Calibri"/>
                <w:b w:val="0"/>
                <w:color w:val="000000" w:themeColor="text1"/>
                <w:szCs w:val="22"/>
              </w:rPr>
            </w:pPr>
          </w:p>
          <w:p w14:paraId="4985701D" w14:textId="77777777" w:rsidR="00A75E11" w:rsidRPr="005A5FF3" w:rsidRDefault="002C3F71" w:rsidP="005A5FF3">
            <w:pPr>
              <w:pStyle w:val="Heading3"/>
              <w:rPr>
                <w:szCs w:val="22"/>
              </w:rPr>
            </w:pPr>
            <w:r w:rsidRPr="008C0BAD">
              <w:rPr>
                <w:szCs w:val="22"/>
              </w:rPr>
              <w:t>Rationale for Changes and Their Implication on the Or</w:t>
            </w:r>
            <w:r w:rsidR="005A5FF3">
              <w:rPr>
                <w:szCs w:val="22"/>
              </w:rPr>
              <w:t>iginal Theory of Change</w:t>
            </w:r>
          </w:p>
        </w:tc>
      </w:tr>
      <w:tr w:rsidR="00E63776" w14:paraId="0C3F875F" w14:textId="77777777" w:rsidTr="007A3304">
        <w:trPr>
          <w:trHeight w:val="468"/>
        </w:trPr>
        <w:tc>
          <w:tcPr>
            <w:tcW w:w="10980" w:type="dxa"/>
            <w:shd w:val="clear" w:color="auto" w:fill="auto"/>
          </w:tcPr>
          <w:p w14:paraId="49E25E11" w14:textId="77777777" w:rsidR="00CD2A9A" w:rsidRPr="009E631B" w:rsidRDefault="00CD2A9A" w:rsidP="00CD2A9A">
            <w:pPr>
              <w:widowControl/>
              <w:autoSpaceDE/>
              <w:autoSpaceDN/>
              <w:adjustRightInd/>
              <w:spacing w:after="160" w:line="259" w:lineRule="auto"/>
              <w:ind w:left="435" w:hanging="90"/>
              <w:rPr>
                <w:rFonts w:asciiTheme="minorHAnsi" w:eastAsiaTheme="minorHAnsi" w:hAnsiTheme="minorHAnsi" w:cstheme="minorBidi"/>
                <w:color w:val="auto"/>
                <w:sz w:val="22"/>
                <w:szCs w:val="22"/>
              </w:rPr>
            </w:pPr>
          </w:p>
        </w:tc>
      </w:tr>
      <w:tr w:rsidR="00E63776" w14:paraId="39B91825" w14:textId="77777777" w:rsidTr="007A3304">
        <w:trPr>
          <w:trHeight w:val="180"/>
        </w:trPr>
        <w:tc>
          <w:tcPr>
            <w:tcW w:w="10980" w:type="dxa"/>
            <w:shd w:val="clear" w:color="auto" w:fill="auto"/>
          </w:tcPr>
          <w:p w14:paraId="7C390F24" w14:textId="77777777" w:rsidR="0071502D" w:rsidRDefault="002C3F71" w:rsidP="0071502D">
            <w:pPr>
              <w:pStyle w:val="ListParagraph"/>
              <w:widowControl/>
              <w:numPr>
                <w:ilvl w:val="0"/>
                <w:numId w:val="21"/>
              </w:numPr>
              <w:spacing w:line="276" w:lineRule="auto"/>
              <w:jc w:val="both"/>
              <w:rPr>
                <w:rFonts w:cstheme="minorHAnsi"/>
                <w:b w:val="0"/>
                <w:color w:val="auto"/>
                <w:szCs w:val="22"/>
              </w:rPr>
            </w:pPr>
            <w:r w:rsidRPr="00A90AC6">
              <w:rPr>
                <w:rFonts w:eastAsiaTheme="minorHAnsi" w:cstheme="minorHAnsi"/>
                <w:b w:val="0"/>
                <w:color w:val="000000" w:themeColor="text1"/>
                <w:szCs w:val="22"/>
              </w:rPr>
              <w:t>The</w:t>
            </w:r>
            <w:r w:rsidRPr="00A90AC6">
              <w:rPr>
                <w:rFonts w:cstheme="minorHAnsi"/>
                <w:b w:val="0"/>
                <w:color w:val="auto"/>
                <w:szCs w:val="22"/>
              </w:rPr>
              <w:t xml:space="preserve"> first extension was required to offset the 21-month effectiveness delay a</w:t>
            </w:r>
            <w:r>
              <w:rPr>
                <w:rFonts w:cstheme="minorHAnsi"/>
                <w:b w:val="0"/>
                <w:color w:val="auto"/>
                <w:szCs w:val="22"/>
              </w:rPr>
              <w:t xml:space="preserve">s well as </w:t>
            </w:r>
            <w:r w:rsidRPr="00A90AC6">
              <w:rPr>
                <w:rFonts w:cstheme="minorHAnsi"/>
                <w:b w:val="0"/>
                <w:color w:val="auto"/>
                <w:szCs w:val="22"/>
              </w:rPr>
              <w:t xml:space="preserve">to guarantee that the ongoing works at </w:t>
            </w:r>
            <w:proofErr w:type="spellStart"/>
            <w:r w:rsidR="00CD6275" w:rsidRPr="00A90AC6">
              <w:rPr>
                <w:rFonts w:cstheme="minorHAnsi"/>
                <w:b w:val="0"/>
                <w:color w:val="auto"/>
                <w:szCs w:val="22"/>
              </w:rPr>
              <w:t>Malargüe</w:t>
            </w:r>
            <w:proofErr w:type="spellEnd"/>
            <w:r w:rsidRPr="00A90AC6">
              <w:rPr>
                <w:rFonts w:cstheme="minorHAnsi"/>
                <w:b w:val="0"/>
                <w:color w:val="auto"/>
                <w:szCs w:val="22"/>
              </w:rPr>
              <w:t xml:space="preserve"> could be completed and to ensure that all associated environmental and human health risks would be permanently addressed. The second extension for three months, from August 30 to November 27, 2015,</w:t>
            </w:r>
            <w:r>
              <w:rPr>
                <w:rFonts w:cstheme="minorHAnsi"/>
                <w:b w:val="0"/>
                <w:color w:val="auto"/>
                <w:szCs w:val="22"/>
                <w:vertAlign w:val="superscript"/>
              </w:rPr>
              <w:footnoteReference w:id="10"/>
            </w:r>
            <w:r w:rsidRPr="00A90AC6">
              <w:rPr>
                <w:rFonts w:cstheme="minorHAnsi"/>
                <w:b w:val="0"/>
                <w:color w:val="auto"/>
                <w:szCs w:val="22"/>
              </w:rPr>
              <w:t xml:space="preserve"> was needed </w:t>
            </w:r>
            <w:proofErr w:type="gramStart"/>
            <w:r w:rsidRPr="00A90AC6">
              <w:rPr>
                <w:rFonts w:cstheme="minorHAnsi"/>
                <w:b w:val="0"/>
                <w:color w:val="auto"/>
                <w:szCs w:val="22"/>
              </w:rPr>
              <w:t>in order to</w:t>
            </w:r>
            <w:proofErr w:type="gramEnd"/>
            <w:r w:rsidRPr="00A90AC6">
              <w:rPr>
                <w:rFonts w:cstheme="minorHAnsi"/>
                <w:b w:val="0"/>
                <w:color w:val="auto"/>
                <w:szCs w:val="22"/>
              </w:rPr>
              <w:t xml:space="preserve"> provide additional time to progress towards completion of three delayed activities: (i) </w:t>
            </w:r>
            <w:proofErr w:type="spellStart"/>
            <w:r w:rsidRPr="00A90AC6">
              <w:rPr>
                <w:rFonts w:cstheme="minorHAnsi"/>
                <w:b w:val="0"/>
                <w:color w:val="auto"/>
                <w:szCs w:val="22"/>
              </w:rPr>
              <w:t>Malargüe</w:t>
            </w:r>
            <w:proofErr w:type="spellEnd"/>
            <w:r w:rsidRPr="00A90AC6">
              <w:rPr>
                <w:rFonts w:cstheme="minorHAnsi"/>
                <w:b w:val="0"/>
                <w:color w:val="auto"/>
                <w:szCs w:val="22"/>
              </w:rPr>
              <w:t xml:space="preserve"> remediation works; (ii) deployment of the Environmental Monitoring System Management Tool (SIGA); and (iii) capacity building for provincial authorities. This extension would also enable the implementation unit to address key issues such as a pending financial audit, allow the Task Team to closely monitor the first state of the client’s action plan and to assess its feasibility </w:t>
            </w:r>
            <w:proofErr w:type="gramStart"/>
            <w:r w:rsidRPr="00A90AC6">
              <w:rPr>
                <w:rFonts w:cstheme="minorHAnsi"/>
                <w:b w:val="0"/>
                <w:color w:val="auto"/>
                <w:szCs w:val="22"/>
              </w:rPr>
              <w:t>in order to</w:t>
            </w:r>
            <w:proofErr w:type="gramEnd"/>
            <w:r w:rsidRPr="00A90AC6">
              <w:rPr>
                <w:rFonts w:cstheme="minorHAnsi"/>
                <w:b w:val="0"/>
                <w:color w:val="auto"/>
                <w:szCs w:val="22"/>
              </w:rPr>
              <w:t xml:space="preserve"> consider a further extension of the closing date of nine months, which would require the Regional Vice President’s approval.</w:t>
            </w:r>
          </w:p>
          <w:p w14:paraId="3406CACB" w14:textId="77777777" w:rsidR="0071502D" w:rsidRPr="009212C0" w:rsidRDefault="0071502D" w:rsidP="0071502D">
            <w:pPr>
              <w:pStyle w:val="ListParagraph"/>
              <w:widowControl/>
              <w:spacing w:line="276" w:lineRule="auto"/>
              <w:ind w:left="360"/>
              <w:jc w:val="both"/>
              <w:rPr>
                <w:rFonts w:cstheme="minorHAnsi"/>
                <w:b w:val="0"/>
                <w:color w:val="auto"/>
                <w:szCs w:val="22"/>
              </w:rPr>
            </w:pPr>
          </w:p>
          <w:p w14:paraId="039EAB30" w14:textId="77777777" w:rsidR="0071502D" w:rsidRPr="006561F8" w:rsidRDefault="002C3F71" w:rsidP="0071502D">
            <w:pPr>
              <w:pStyle w:val="ListParagraph"/>
              <w:widowControl/>
              <w:numPr>
                <w:ilvl w:val="0"/>
                <w:numId w:val="21"/>
              </w:numPr>
              <w:spacing w:line="276" w:lineRule="auto"/>
              <w:jc w:val="both"/>
              <w:rPr>
                <w:rFonts w:cstheme="minorHAnsi"/>
                <w:b w:val="0"/>
                <w:color w:val="auto"/>
                <w:szCs w:val="22"/>
              </w:rPr>
            </w:pPr>
            <w:r w:rsidRPr="00A35297">
              <w:rPr>
                <w:rFonts w:cstheme="minorHAnsi"/>
                <w:b w:val="0"/>
                <w:color w:val="auto"/>
                <w:szCs w:val="22"/>
              </w:rPr>
              <w:t xml:space="preserve">The third extension, from November 27, 2015 to September 27, 2016, occurred in response to a formal request from the </w:t>
            </w:r>
            <w:proofErr w:type="spellStart"/>
            <w:r w:rsidRPr="00A35297">
              <w:rPr>
                <w:rFonts w:cstheme="minorHAnsi"/>
                <w:b w:val="0"/>
                <w:color w:val="auto"/>
                <w:szCs w:val="22"/>
              </w:rPr>
              <w:t>GoA</w:t>
            </w:r>
            <w:proofErr w:type="spellEnd"/>
            <w:r w:rsidRPr="00A35297">
              <w:rPr>
                <w:rFonts w:cstheme="minorHAnsi"/>
                <w:b w:val="0"/>
                <w:color w:val="auto"/>
                <w:szCs w:val="22"/>
              </w:rPr>
              <w:t xml:space="preserve"> on October 22, 2015 in order to allow the project to successfully complete remediation of the </w:t>
            </w:r>
            <w:proofErr w:type="spellStart"/>
            <w:r w:rsidRPr="00A35297">
              <w:rPr>
                <w:rFonts w:cstheme="minorHAnsi"/>
                <w:b w:val="0"/>
                <w:color w:val="auto"/>
                <w:szCs w:val="22"/>
              </w:rPr>
              <w:t>Malarque</w:t>
            </w:r>
            <w:proofErr w:type="spellEnd"/>
            <w:r w:rsidRPr="00A35297">
              <w:rPr>
                <w:rFonts w:cstheme="minorHAnsi"/>
                <w:b w:val="0"/>
                <w:color w:val="auto"/>
                <w:szCs w:val="22"/>
              </w:rPr>
              <w:t xml:space="preserve"> site which had suffered implementation delays</w:t>
            </w:r>
            <w:r>
              <w:rPr>
                <w:b w:val="0"/>
                <w:vertAlign w:val="superscript"/>
              </w:rPr>
              <w:footnoteReference w:id="11"/>
            </w:r>
            <w:r w:rsidRPr="00A35297">
              <w:rPr>
                <w:rFonts w:cstheme="minorHAnsi"/>
                <w:b w:val="0"/>
                <w:color w:val="auto"/>
                <w:szCs w:val="22"/>
              </w:rPr>
              <w:t>, as well as to provide additional time for completion of: (i) the c</w:t>
            </w:r>
            <w:r w:rsidRPr="006561F8">
              <w:rPr>
                <w:rFonts w:cstheme="minorHAnsi"/>
                <w:b w:val="0"/>
                <w:color w:val="auto"/>
                <w:szCs w:val="22"/>
              </w:rPr>
              <w:t xml:space="preserve">reation of a public (green) space in </w:t>
            </w:r>
            <w:proofErr w:type="spellStart"/>
            <w:r w:rsidR="00E52891" w:rsidRPr="006561F8">
              <w:rPr>
                <w:rFonts w:cstheme="minorHAnsi"/>
                <w:b w:val="0"/>
                <w:color w:val="auto"/>
                <w:szCs w:val="22"/>
              </w:rPr>
              <w:t>Malargüe</w:t>
            </w:r>
            <w:proofErr w:type="spellEnd"/>
            <w:r w:rsidRPr="00BB5315">
              <w:rPr>
                <w:rFonts w:cstheme="minorHAnsi"/>
                <w:b w:val="0"/>
                <w:color w:val="auto"/>
                <w:szCs w:val="22"/>
              </w:rPr>
              <w:t>; (ii) final deployment of the SIGA system; and (iii) the institutional strengthening plan for provincial authorities</w:t>
            </w:r>
            <w:r w:rsidRPr="00541167">
              <w:rPr>
                <w:rFonts w:cstheme="minorHAnsi"/>
                <w:b w:val="0"/>
                <w:color w:val="auto"/>
                <w:szCs w:val="22"/>
              </w:rPr>
              <w:t>. The fourth extension, from September 27, 2016 to June 27, 2017, wa</w:t>
            </w:r>
            <w:r w:rsidRPr="00530655">
              <w:rPr>
                <w:rFonts w:cstheme="minorHAnsi"/>
                <w:b w:val="0"/>
                <w:color w:val="auto"/>
                <w:szCs w:val="22"/>
              </w:rPr>
              <w:t>s due to the impact of national, provincial, and municipal elections in October and N</w:t>
            </w:r>
            <w:r w:rsidRPr="00A35297">
              <w:rPr>
                <w:rFonts w:cstheme="minorHAnsi"/>
                <w:b w:val="0"/>
                <w:color w:val="auto"/>
                <w:szCs w:val="22"/>
              </w:rPr>
              <w:t xml:space="preserve">ovember 2015, which led to significant institutional changes (government took office on December 10, 2015). </w:t>
            </w:r>
            <w:proofErr w:type="gramStart"/>
            <w:r w:rsidRPr="00A35297">
              <w:rPr>
                <w:rFonts w:cstheme="minorHAnsi"/>
                <w:b w:val="0"/>
                <w:color w:val="auto"/>
                <w:szCs w:val="22"/>
              </w:rPr>
              <w:t>As a result of</w:t>
            </w:r>
            <w:proofErr w:type="gramEnd"/>
            <w:r w:rsidRPr="00A35297">
              <w:rPr>
                <w:rFonts w:cstheme="minorHAnsi"/>
                <w:b w:val="0"/>
                <w:color w:val="auto"/>
                <w:szCs w:val="22"/>
              </w:rPr>
              <w:t xml:space="preserve"> the time and administrative processes required for the new government to settle in, there were additional delays in project implementation.</w:t>
            </w:r>
            <w:r>
              <w:rPr>
                <w:b w:val="0"/>
                <w:vertAlign w:val="superscript"/>
              </w:rPr>
              <w:footnoteReference w:id="12"/>
            </w:r>
            <w:r w:rsidRPr="00A35297">
              <w:rPr>
                <w:rFonts w:cstheme="minorHAnsi"/>
                <w:b w:val="0"/>
                <w:color w:val="auto"/>
                <w:szCs w:val="22"/>
              </w:rPr>
              <w:t xml:space="preserve"> None of these </w:t>
            </w:r>
            <w:r w:rsidR="006059D7" w:rsidRPr="00210CF6">
              <w:rPr>
                <w:rFonts w:cstheme="minorHAnsi"/>
                <w:b w:val="0"/>
                <w:color w:val="auto"/>
                <w:szCs w:val="22"/>
              </w:rPr>
              <w:t>extensions</w:t>
            </w:r>
            <w:r w:rsidR="006059D7" w:rsidRPr="00A35297">
              <w:rPr>
                <w:rFonts w:cstheme="minorHAnsi"/>
                <w:b w:val="0"/>
                <w:color w:val="auto"/>
                <w:szCs w:val="22"/>
              </w:rPr>
              <w:t xml:space="preserve"> </w:t>
            </w:r>
            <w:r w:rsidRPr="00A35297">
              <w:rPr>
                <w:rFonts w:cstheme="minorHAnsi"/>
                <w:b w:val="0"/>
                <w:color w:val="auto"/>
                <w:szCs w:val="22"/>
              </w:rPr>
              <w:t>had implications for the original theory of change, which remained valid despite the implementation delays and shift in focus of a</w:t>
            </w:r>
            <w:r w:rsidRPr="006561F8">
              <w:rPr>
                <w:rFonts w:cstheme="minorHAnsi"/>
                <w:b w:val="0"/>
                <w:color w:val="auto"/>
                <w:szCs w:val="22"/>
              </w:rPr>
              <w:t>nd rationale for the institutional strengthening component described immediately below.</w:t>
            </w:r>
          </w:p>
          <w:p w14:paraId="7919F0F4" w14:textId="77777777" w:rsidR="0071502D" w:rsidRPr="00A90AC6" w:rsidRDefault="0071502D" w:rsidP="0071502D">
            <w:pPr>
              <w:pStyle w:val="ListParagraph"/>
              <w:rPr>
                <w:rFonts w:cstheme="minorHAnsi"/>
                <w:color w:val="auto"/>
                <w:szCs w:val="22"/>
              </w:rPr>
            </w:pPr>
          </w:p>
          <w:p w14:paraId="733DBA65" w14:textId="77777777" w:rsidR="0071502D" w:rsidRDefault="002C3F71" w:rsidP="0071502D">
            <w:pPr>
              <w:pStyle w:val="ListParagraph"/>
              <w:widowControl/>
              <w:numPr>
                <w:ilvl w:val="0"/>
                <w:numId w:val="21"/>
              </w:numPr>
              <w:spacing w:line="276" w:lineRule="auto"/>
              <w:jc w:val="both"/>
              <w:rPr>
                <w:rFonts w:cstheme="minorHAnsi"/>
                <w:b w:val="0"/>
                <w:color w:val="auto"/>
                <w:szCs w:val="22"/>
              </w:rPr>
            </w:pPr>
            <w:r w:rsidRPr="0066690B">
              <w:rPr>
                <w:rFonts w:cstheme="minorHAnsi"/>
                <w:b w:val="0"/>
                <w:color w:val="auto"/>
                <w:szCs w:val="22"/>
              </w:rPr>
              <w:t xml:space="preserve">The first Restructuring Paper also argued that the situation at the subnational level was very different in that the need for capacity building of provincial agencies were “acute” and, thus, the impact of institutional strengthening activities was expected to be more important.  In addition, there has been considerable demand for such support with respect to environmental management, monitoring, laboratory technologies, risk management, among other areas. </w:t>
            </w:r>
            <w:r>
              <w:rPr>
                <w:rFonts w:cstheme="minorHAnsi"/>
                <w:b w:val="0"/>
                <w:color w:val="auto"/>
                <w:szCs w:val="22"/>
              </w:rPr>
              <w:t xml:space="preserve"> </w:t>
            </w:r>
            <w:r w:rsidRPr="0066690B">
              <w:rPr>
                <w:rFonts w:cstheme="minorHAnsi"/>
                <w:b w:val="0"/>
                <w:color w:val="auto"/>
                <w:szCs w:val="22"/>
              </w:rPr>
              <w:t xml:space="preserve">Thus, under the restructured project, it was proposed that priority would be given to strengthening provincial level capacity for overall environmental management and that the results indicators would be adjusted to reflect this shift in emphasis under Component 2.  </w:t>
            </w:r>
          </w:p>
          <w:p w14:paraId="2224BB57" w14:textId="77777777" w:rsidR="0071502D" w:rsidRPr="00F52D76" w:rsidRDefault="0071502D" w:rsidP="0071502D">
            <w:pPr>
              <w:widowControl/>
              <w:spacing w:line="276" w:lineRule="auto"/>
              <w:jc w:val="both"/>
              <w:rPr>
                <w:rFonts w:cstheme="minorHAnsi"/>
                <w:b/>
                <w:color w:val="auto"/>
                <w:szCs w:val="22"/>
              </w:rPr>
            </w:pPr>
          </w:p>
          <w:p w14:paraId="7633BBD0" w14:textId="77777777" w:rsidR="0071502D" w:rsidRPr="0066690B" w:rsidRDefault="002C3F71" w:rsidP="0071502D">
            <w:pPr>
              <w:pStyle w:val="ListParagraph"/>
              <w:widowControl/>
              <w:numPr>
                <w:ilvl w:val="0"/>
                <w:numId w:val="21"/>
              </w:numPr>
              <w:spacing w:line="276" w:lineRule="auto"/>
              <w:jc w:val="both"/>
              <w:rPr>
                <w:rFonts w:cstheme="minorHAnsi"/>
                <w:b w:val="0"/>
                <w:color w:val="auto"/>
                <w:szCs w:val="22"/>
              </w:rPr>
            </w:pPr>
            <w:r>
              <w:rPr>
                <w:rFonts w:cstheme="minorHAnsi"/>
                <w:b w:val="0"/>
                <w:color w:val="auto"/>
                <w:szCs w:val="22"/>
              </w:rPr>
              <w:t>The theory of change was affected</w:t>
            </w:r>
            <w:r w:rsidR="006059D7">
              <w:rPr>
                <w:rFonts w:cstheme="minorHAnsi"/>
                <w:b w:val="0"/>
                <w:color w:val="auto"/>
                <w:szCs w:val="22"/>
              </w:rPr>
              <w:t>, however,</w:t>
            </w:r>
            <w:r>
              <w:rPr>
                <w:rFonts w:cstheme="minorHAnsi"/>
                <w:b w:val="0"/>
                <w:color w:val="auto"/>
                <w:szCs w:val="22"/>
              </w:rPr>
              <w:t xml:space="preserve"> in the following ways after the first restructuring.  While the original key project desired outcomes remained the same </w:t>
            </w:r>
            <w:r w:rsidR="006059D7">
              <w:rPr>
                <w:rFonts w:cstheme="minorHAnsi"/>
                <w:b w:val="0"/>
                <w:color w:val="auto"/>
                <w:szCs w:val="22"/>
              </w:rPr>
              <w:t>(</w:t>
            </w:r>
            <w:r>
              <w:rPr>
                <w:rFonts w:cstheme="minorHAnsi"/>
                <w:b w:val="0"/>
                <w:color w:val="auto"/>
                <w:szCs w:val="22"/>
              </w:rPr>
              <w:t>as the project objectives were not revised</w:t>
            </w:r>
            <w:r w:rsidR="006059D7">
              <w:rPr>
                <w:rFonts w:cstheme="minorHAnsi"/>
                <w:b w:val="0"/>
                <w:color w:val="auto"/>
                <w:szCs w:val="22"/>
              </w:rPr>
              <w:t>)</w:t>
            </w:r>
            <w:r>
              <w:rPr>
                <w:rFonts w:cstheme="minorHAnsi"/>
                <w:b w:val="0"/>
                <w:color w:val="auto"/>
                <w:szCs w:val="22"/>
              </w:rPr>
              <w:t xml:space="preserve">, there were changes in the intermediate outcomes as indicated in the Table above. The initial intermediate outcome for key outcome (i) (i.e., “all potential health and economic risks associated with at least four closed uranium sites addressed through credible implementation….) was dropped because it was never intended for the project to finance remediation works in any site other than </w:t>
            </w:r>
            <w:proofErr w:type="spellStart"/>
            <w:r w:rsidR="00E52891">
              <w:rPr>
                <w:rFonts w:cstheme="minorHAnsi"/>
                <w:b w:val="0"/>
                <w:color w:val="auto"/>
                <w:szCs w:val="22"/>
              </w:rPr>
              <w:t>Malargüe</w:t>
            </w:r>
            <w:proofErr w:type="spellEnd"/>
            <w:r>
              <w:rPr>
                <w:rFonts w:cstheme="minorHAnsi"/>
                <w:b w:val="0"/>
                <w:color w:val="auto"/>
                <w:szCs w:val="22"/>
              </w:rPr>
              <w:t xml:space="preserve"> and thus this intermediate outcome and its associated indicators had been incorrectly included in the original Results Framework.  Similarly the wording of the second intermediate indicator for this outcome was revised to state “environmental risks in seven other CNEA sites identified, management plans evaluated, disclosed and agreed with stakeholders.</w:t>
            </w:r>
            <w:r>
              <w:rPr>
                <w:rStyle w:val="FootnoteReference"/>
                <w:rFonts w:cstheme="minorHAnsi"/>
                <w:b w:val="0"/>
                <w:color w:val="auto"/>
                <w:szCs w:val="22"/>
              </w:rPr>
              <w:footnoteReference w:id="13"/>
            </w:r>
            <w:r>
              <w:rPr>
                <w:rFonts w:cstheme="minorHAnsi"/>
                <w:b w:val="0"/>
                <w:color w:val="auto"/>
                <w:szCs w:val="22"/>
              </w:rPr>
              <w:t xml:space="preserve"> </w:t>
            </w:r>
            <w:r w:rsidR="0045063F">
              <w:rPr>
                <w:rFonts w:cstheme="minorHAnsi"/>
                <w:b w:val="0"/>
                <w:color w:val="auto"/>
                <w:szCs w:val="22"/>
              </w:rPr>
              <w:t xml:space="preserve"> </w:t>
            </w:r>
            <w:r>
              <w:rPr>
                <w:rFonts w:cstheme="minorHAnsi"/>
                <w:b w:val="0"/>
                <w:color w:val="auto"/>
                <w:szCs w:val="22"/>
              </w:rPr>
              <w:t>The third intermediate outcome was also clarified and made more specific at the time of the first restructuring by being restated as “CNEA laboratories where PRAMU [i.e., the project] analysis (sic) are carried out implement ISO 17025 procedures for its quality, administrative and technical operations and are accredited by COCALIN.”</w:t>
            </w:r>
            <w:r>
              <w:rPr>
                <w:rStyle w:val="FootnoteReference"/>
                <w:rFonts w:cstheme="minorHAnsi"/>
                <w:b w:val="0"/>
                <w:color w:val="auto"/>
                <w:szCs w:val="22"/>
              </w:rPr>
              <w:footnoteReference w:id="14"/>
            </w:r>
            <w:r>
              <w:rPr>
                <w:rFonts w:cstheme="minorHAnsi"/>
                <w:b w:val="0"/>
                <w:color w:val="auto"/>
                <w:szCs w:val="22"/>
              </w:rPr>
              <w:t xml:space="preserve"> A new intermediate outcome was also added by the first restructuring to replace the one that had been dropped. It stated: “environmental monitoring procedures for management of mining operations and/or former uranium mining sites have been transferred to government agencies.</w:t>
            </w:r>
            <w:r>
              <w:rPr>
                <w:rStyle w:val="FootnoteReference"/>
                <w:rFonts w:cstheme="minorHAnsi"/>
                <w:b w:val="0"/>
                <w:color w:val="auto"/>
                <w:szCs w:val="22"/>
              </w:rPr>
              <w:footnoteReference w:id="15"/>
            </w:r>
            <w:r>
              <w:rPr>
                <w:rFonts w:cstheme="minorHAnsi"/>
                <w:b w:val="0"/>
                <w:color w:val="auto"/>
                <w:szCs w:val="22"/>
              </w:rPr>
              <w:t xml:space="preserve">  As regards the intermediate outcome for key desired outcome (ii) the language was also modified at the time of both the July 2013 and November 2015 restructurings to read, in the former instance, “all potential health and economic risks associated with the </w:t>
            </w:r>
            <w:proofErr w:type="spellStart"/>
            <w:r w:rsidR="00E52891">
              <w:rPr>
                <w:rFonts w:cstheme="minorHAnsi"/>
                <w:b w:val="0"/>
                <w:color w:val="auto"/>
                <w:szCs w:val="22"/>
              </w:rPr>
              <w:t>Malargüe</w:t>
            </w:r>
            <w:proofErr w:type="spellEnd"/>
            <w:r>
              <w:rPr>
                <w:rFonts w:cstheme="minorHAnsi"/>
                <w:b w:val="0"/>
                <w:color w:val="auto"/>
                <w:szCs w:val="22"/>
              </w:rPr>
              <w:t xml:space="preserve"> site to be addressed through the implementation of remediation plans agreed with stakeholders” and “reduced health, environmental, and economic risks associated with the </w:t>
            </w:r>
            <w:proofErr w:type="spellStart"/>
            <w:r w:rsidR="00E52891">
              <w:rPr>
                <w:rFonts w:cstheme="minorHAnsi"/>
                <w:b w:val="0"/>
                <w:color w:val="auto"/>
                <w:szCs w:val="22"/>
              </w:rPr>
              <w:t>Malargüe</w:t>
            </w:r>
            <w:proofErr w:type="spellEnd"/>
            <w:r>
              <w:rPr>
                <w:rFonts w:cstheme="minorHAnsi"/>
                <w:b w:val="0"/>
                <w:color w:val="auto"/>
                <w:szCs w:val="22"/>
              </w:rPr>
              <w:t xml:space="preserve"> site to be addressed through the removal of tailings according to remediation plan agreed with authorities.” The original theory of change and the revised theory of change based on the final restructuring are displayed in Annex 6</w:t>
            </w:r>
            <w:r w:rsidR="006059D7">
              <w:rPr>
                <w:rFonts w:cstheme="minorHAnsi"/>
                <w:b w:val="0"/>
                <w:color w:val="auto"/>
                <w:szCs w:val="22"/>
              </w:rPr>
              <w:t>-B</w:t>
            </w:r>
            <w:r>
              <w:rPr>
                <w:rFonts w:cstheme="minorHAnsi"/>
                <w:b w:val="0"/>
                <w:color w:val="auto"/>
                <w:szCs w:val="22"/>
              </w:rPr>
              <w:t xml:space="preserve">. </w:t>
            </w:r>
          </w:p>
        </w:tc>
      </w:tr>
      <w:tr w:rsidR="00E63776" w14:paraId="0988CA98" w14:textId="77777777" w:rsidTr="007A3304">
        <w:trPr>
          <w:trHeight w:val="468"/>
        </w:trPr>
        <w:tc>
          <w:tcPr>
            <w:tcW w:w="10980" w:type="dxa"/>
            <w:shd w:val="clear" w:color="auto" w:fill="auto"/>
          </w:tcPr>
          <w:p w14:paraId="0CE00768" w14:textId="77777777" w:rsidR="0071502D" w:rsidRPr="009E631B" w:rsidRDefault="0071502D" w:rsidP="0071502D">
            <w:pPr>
              <w:widowControl/>
              <w:autoSpaceDE/>
              <w:autoSpaceDN/>
              <w:adjustRightInd/>
              <w:spacing w:after="160" w:line="259" w:lineRule="auto"/>
              <w:ind w:left="342" w:hanging="3"/>
              <w:rPr>
                <w:rFonts w:asciiTheme="minorHAnsi" w:eastAsiaTheme="minorHAnsi" w:hAnsiTheme="minorHAnsi" w:cstheme="minorBidi"/>
                <w:color w:val="000000" w:themeColor="text1"/>
                <w:sz w:val="22"/>
                <w:szCs w:val="22"/>
              </w:rPr>
            </w:pPr>
          </w:p>
        </w:tc>
      </w:tr>
    </w:tbl>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62"/>
        <w:gridCol w:w="10710"/>
        <w:gridCol w:w="90"/>
      </w:tblGrid>
      <w:tr w:rsidR="00E63776" w14:paraId="6CBA92CC" w14:textId="77777777" w:rsidTr="00FB796E">
        <w:trPr>
          <w:trHeight w:val="432"/>
        </w:trPr>
        <w:tc>
          <w:tcPr>
            <w:tcW w:w="10962" w:type="dxa"/>
            <w:gridSpan w:val="3"/>
            <w:shd w:val="clear" w:color="auto" w:fill="F2F7FC"/>
            <w:vAlign w:val="center"/>
          </w:tcPr>
          <w:p w14:paraId="5FD0EA54" w14:textId="77777777" w:rsidR="003615CB" w:rsidRPr="009E631B" w:rsidRDefault="002C3F71" w:rsidP="00F81AC2">
            <w:pPr>
              <w:pStyle w:val="ListParagraph"/>
              <w:keepNext/>
              <w:numPr>
                <w:ilvl w:val="0"/>
                <w:numId w:val="1"/>
              </w:numPr>
              <w:ind w:left="288" w:hanging="288"/>
              <w:outlineLvl w:val="0"/>
              <w:rPr>
                <w:noProof/>
                <w:szCs w:val="22"/>
              </w:rPr>
            </w:pPr>
            <w:bookmarkStart w:id="20" w:name="_Toc256000005"/>
            <w:bookmarkStart w:id="21" w:name="_Toc485984545"/>
            <w:bookmarkStart w:id="22" w:name="_Toc502164463"/>
            <w:r w:rsidRPr="009E631B">
              <w:rPr>
                <w:bCs/>
                <w:szCs w:val="22"/>
              </w:rPr>
              <w:t>OUTCOME</w:t>
            </w:r>
            <w:bookmarkEnd w:id="20"/>
            <w:bookmarkEnd w:id="21"/>
            <w:bookmarkEnd w:id="22"/>
          </w:p>
        </w:tc>
      </w:tr>
      <w:tr w:rsidR="00E63776" w14:paraId="77C85C46" w14:textId="77777777" w:rsidTr="00FB796E">
        <w:tblPrEx>
          <w:shd w:val="clear" w:color="auto" w:fill="auto"/>
        </w:tblPrEx>
        <w:trPr>
          <w:gridBefore w:val="1"/>
          <w:gridAfter w:val="1"/>
          <w:wBefore w:w="162" w:type="dxa"/>
          <w:wAfter w:w="90" w:type="dxa"/>
          <w:trHeight w:val="360"/>
        </w:trPr>
        <w:tc>
          <w:tcPr>
            <w:tcW w:w="10710" w:type="dxa"/>
            <w:vAlign w:val="center"/>
          </w:tcPr>
          <w:p w14:paraId="4C9E86BB" w14:textId="77777777" w:rsidR="00CD2A9A" w:rsidRDefault="00CD2A9A" w:rsidP="00CD2A9A">
            <w:pPr>
              <w:ind w:left="342" w:hanging="3"/>
              <w:rPr>
                <w:rFonts w:asciiTheme="minorHAnsi" w:hAnsiTheme="minorHAnsi"/>
                <w:color w:val="000000" w:themeColor="text1"/>
                <w:sz w:val="22"/>
                <w:szCs w:val="22"/>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3840170C" w14:textId="77777777" w:rsidTr="00173499">
              <w:trPr>
                <w:trHeight w:val="360"/>
              </w:trPr>
              <w:tc>
                <w:tcPr>
                  <w:tcW w:w="10710" w:type="dxa"/>
                </w:tcPr>
                <w:p w14:paraId="78A3A00D" w14:textId="77777777" w:rsidR="00757A64" w:rsidRPr="009E631B" w:rsidRDefault="002C3F71" w:rsidP="00757A64">
                  <w:pPr>
                    <w:pStyle w:val="Heading2"/>
                    <w:outlineLvl w:val="1"/>
                    <w:rPr>
                      <w:noProof/>
                      <w:szCs w:val="22"/>
                    </w:rPr>
                  </w:pPr>
                  <w:bookmarkStart w:id="23" w:name="_Toc256000006"/>
                  <w:bookmarkStart w:id="24" w:name="_Toc433982410"/>
                  <w:bookmarkStart w:id="25" w:name="_Toc460509192"/>
                  <w:bookmarkStart w:id="26" w:name="_Toc485984546"/>
                  <w:bookmarkStart w:id="27" w:name="_Toc502164464"/>
                  <w:r w:rsidRPr="009E631B">
                    <w:rPr>
                      <w:b/>
                      <w:szCs w:val="22"/>
                    </w:rPr>
                    <w:t>A. RELEVANCE OF PDOs</w:t>
                  </w:r>
                  <w:bookmarkEnd w:id="23"/>
                  <w:bookmarkEnd w:id="24"/>
                  <w:bookmarkEnd w:id="25"/>
                  <w:bookmarkEnd w:id="26"/>
                  <w:bookmarkEnd w:id="27"/>
                </w:p>
              </w:tc>
            </w:tr>
          </w:tbl>
          <w:p w14:paraId="0DC0F8CF" w14:textId="77777777" w:rsidR="00757A64" w:rsidRPr="009E631B" w:rsidRDefault="00757A64" w:rsidP="00757A64">
            <w:pPr>
              <w:keepNext/>
              <w:ind w:left="-634"/>
              <w:rPr>
                <w:rFonts w:asciiTheme="minorHAnsi" w:hAnsiTheme="minorHAnsi"/>
                <w:bCs/>
                <w:color w:val="auto"/>
                <w:sz w:val="22"/>
                <w:szCs w:val="22"/>
              </w:rPr>
            </w:pPr>
          </w:p>
          <w:tbl>
            <w:tblPr>
              <w:tblW w:w="1080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800"/>
            </w:tblGrid>
            <w:tr w:rsidR="00E63776" w14:paraId="457FD12A" w14:textId="77777777" w:rsidTr="00173499">
              <w:trPr>
                <w:trHeight w:val="90"/>
              </w:trPr>
              <w:tc>
                <w:tcPr>
                  <w:tcW w:w="10800" w:type="dxa"/>
                  <w:shd w:val="clear" w:color="auto" w:fill="auto"/>
                  <w:vAlign w:val="center"/>
                </w:tcPr>
                <w:p w14:paraId="3F15E1AF" w14:textId="77777777" w:rsidR="00757A64" w:rsidRPr="009E631B" w:rsidRDefault="002C3F71" w:rsidP="00757A64">
                  <w:pPr>
                    <w:pStyle w:val="Heading3"/>
                    <w:ind w:left="342"/>
                    <w:rPr>
                      <w:color w:val="1F4E79" w:themeColor="accent1" w:themeShade="80"/>
                      <w:szCs w:val="22"/>
                    </w:rPr>
                  </w:pPr>
                  <w:r w:rsidRPr="009E631B">
                    <w:rPr>
                      <w:szCs w:val="22"/>
                    </w:rPr>
                    <w:t>Assessment of Relevance of PDOs and Rating</w:t>
                  </w:r>
                  <w:r>
                    <w:rPr>
                      <w:szCs w:val="22"/>
                    </w:rPr>
                    <w:t xml:space="preserve"> </w:t>
                  </w:r>
                </w:p>
              </w:tc>
            </w:tr>
          </w:tbl>
          <w:p w14:paraId="538802E3" w14:textId="77777777" w:rsidR="00757A64" w:rsidRPr="00231C12" w:rsidRDefault="00757A64" w:rsidP="00CD2A9A">
            <w:pPr>
              <w:ind w:left="342" w:hanging="3"/>
              <w:rPr>
                <w:rFonts w:asciiTheme="minorHAnsi" w:hAnsiTheme="minorHAnsi"/>
                <w:color w:val="000000" w:themeColor="text1"/>
                <w:sz w:val="22"/>
                <w:szCs w:val="22"/>
              </w:rPr>
            </w:pPr>
          </w:p>
          <w:p w14:paraId="23E39502" w14:textId="77777777" w:rsidR="00196FEE" w:rsidRDefault="002C3F71" w:rsidP="00196FEE">
            <w:pPr>
              <w:pStyle w:val="ListParagraph"/>
              <w:widowControl/>
              <w:numPr>
                <w:ilvl w:val="0"/>
                <w:numId w:val="21"/>
              </w:numPr>
              <w:spacing w:line="276" w:lineRule="auto"/>
              <w:jc w:val="both"/>
              <w:rPr>
                <w:b w:val="0"/>
                <w:color w:val="000000" w:themeColor="text1"/>
                <w:szCs w:val="22"/>
              </w:rPr>
            </w:pPr>
            <w:r w:rsidRPr="00E56B34">
              <w:rPr>
                <w:b w:val="0"/>
                <w:color w:val="000000" w:themeColor="text1"/>
                <w:szCs w:val="22"/>
              </w:rPr>
              <w:t xml:space="preserve"> The project’s objectives were relevant at the time of appraisal and remain substantially so today</w:t>
            </w:r>
            <w:r w:rsidRPr="00E56B34">
              <w:rPr>
                <w:color w:val="000000" w:themeColor="text1"/>
                <w:szCs w:val="22"/>
              </w:rPr>
              <w:t xml:space="preserve"> </w:t>
            </w:r>
            <w:r w:rsidRPr="00E56B34">
              <w:rPr>
                <w:b w:val="0"/>
                <w:color w:val="000000" w:themeColor="text1"/>
                <w:szCs w:val="22"/>
              </w:rPr>
              <w:t xml:space="preserve">notwithstanding the project’s success in remediating environmental contamination at the former </w:t>
            </w:r>
            <w:proofErr w:type="spellStart"/>
            <w:r w:rsidR="00CD6275" w:rsidRPr="00E56B34">
              <w:rPr>
                <w:b w:val="0"/>
                <w:color w:val="000000" w:themeColor="text1"/>
                <w:szCs w:val="22"/>
              </w:rPr>
              <w:t>Malargüe</w:t>
            </w:r>
            <w:proofErr w:type="spellEnd"/>
            <w:r w:rsidRPr="00E56B34">
              <w:rPr>
                <w:b w:val="0"/>
                <w:color w:val="000000" w:themeColor="text1"/>
                <w:szCs w:val="22"/>
              </w:rPr>
              <w:t xml:space="preserve"> uranium site.</w:t>
            </w:r>
            <w:r w:rsidR="00321F3B">
              <w:rPr>
                <w:b w:val="0"/>
                <w:color w:val="000000" w:themeColor="text1"/>
                <w:szCs w:val="22"/>
              </w:rPr>
              <w:t xml:space="preserve"> The PDO is consistent with the global environmental</w:t>
            </w:r>
            <w:r w:rsidR="0045063F">
              <w:rPr>
                <w:b w:val="0"/>
                <w:color w:val="000000" w:themeColor="text1"/>
                <w:szCs w:val="22"/>
              </w:rPr>
              <w:t xml:space="preserve"> agenda.</w:t>
            </w:r>
            <w:r w:rsidR="00321F3B">
              <w:rPr>
                <w:b w:val="0"/>
                <w:color w:val="000000" w:themeColor="text1"/>
                <w:szCs w:val="22"/>
              </w:rPr>
              <w:t xml:space="preserve"> </w:t>
            </w:r>
            <w:r w:rsidRPr="00E56B34">
              <w:rPr>
                <w:b w:val="0"/>
                <w:color w:val="000000" w:themeColor="text1"/>
                <w:szCs w:val="22"/>
              </w:rPr>
              <w:t xml:space="preserve"> The most recent Wor</w:t>
            </w:r>
            <w:r w:rsidR="005E657C">
              <w:rPr>
                <w:b w:val="0"/>
                <w:color w:val="000000" w:themeColor="text1"/>
                <w:szCs w:val="22"/>
              </w:rPr>
              <w:t>l</w:t>
            </w:r>
            <w:r w:rsidRPr="00E56B34">
              <w:rPr>
                <w:b w:val="0"/>
                <w:color w:val="000000" w:themeColor="text1"/>
                <w:szCs w:val="22"/>
              </w:rPr>
              <w:t>d Ban</w:t>
            </w:r>
            <w:r w:rsidR="000F079A">
              <w:rPr>
                <w:b w:val="0"/>
                <w:color w:val="000000" w:themeColor="text1"/>
                <w:szCs w:val="22"/>
              </w:rPr>
              <w:t>k</w:t>
            </w:r>
            <w:r w:rsidRPr="00E56B34">
              <w:rPr>
                <w:b w:val="0"/>
                <w:color w:val="000000" w:themeColor="text1"/>
                <w:szCs w:val="22"/>
              </w:rPr>
              <w:t xml:space="preserve"> Group Country Partnership Strategy (CPS) </w:t>
            </w:r>
            <w:bookmarkStart w:id="28" w:name="_Hlk502149636"/>
            <w:r w:rsidRPr="00E56B34">
              <w:rPr>
                <w:b w:val="0"/>
                <w:color w:val="000000" w:themeColor="text1"/>
                <w:szCs w:val="22"/>
              </w:rPr>
              <w:t>for FY 2015-2018</w:t>
            </w:r>
            <w:bookmarkEnd w:id="28"/>
            <w:r w:rsidRPr="00E56B34">
              <w:rPr>
                <w:b w:val="0"/>
                <w:color w:val="000000" w:themeColor="text1"/>
                <w:szCs w:val="22"/>
              </w:rPr>
              <w:t>, issued in August 2014, highlights deteriorating environmental quality as a continuing development challenge in Arge</w:t>
            </w:r>
            <w:r w:rsidR="0045063F">
              <w:rPr>
                <w:b w:val="0"/>
                <w:color w:val="000000" w:themeColor="text1"/>
                <w:szCs w:val="22"/>
              </w:rPr>
              <w:t>ntina stating more specifically</w:t>
            </w:r>
            <w:r w:rsidRPr="00E56B34">
              <w:rPr>
                <w:b w:val="0"/>
                <w:color w:val="000000" w:themeColor="text1"/>
                <w:szCs w:val="22"/>
              </w:rPr>
              <w:t xml:space="preserve"> (para</w:t>
            </w:r>
            <w:r w:rsidR="0045063F">
              <w:rPr>
                <w:b w:val="0"/>
                <w:color w:val="000000" w:themeColor="text1"/>
                <w:szCs w:val="22"/>
              </w:rPr>
              <w:t>.</w:t>
            </w:r>
            <w:r w:rsidRPr="00E56B34">
              <w:rPr>
                <w:b w:val="0"/>
                <w:color w:val="000000" w:themeColor="text1"/>
                <w:szCs w:val="22"/>
              </w:rPr>
              <w:t xml:space="preserve"> 13c, pg. 7) that “environmental and natural resources degradation </w:t>
            </w:r>
            <w:r w:rsidR="0045063F" w:rsidRPr="00E56B34">
              <w:rPr>
                <w:b w:val="0"/>
                <w:color w:val="000000" w:themeColor="text1"/>
                <w:szCs w:val="22"/>
              </w:rPr>
              <w:t>undermine</w:t>
            </w:r>
            <w:r w:rsidRPr="00E56B34">
              <w:rPr>
                <w:b w:val="0"/>
                <w:color w:val="000000" w:themeColor="text1"/>
                <w:szCs w:val="22"/>
              </w:rPr>
              <w:t xml:space="preserve"> sustainable growth in a resource-based economy, affecting particularly the poor” and that “the total cost of environmental degradation amounts to about 7 to 8 percent of GDP.”  While not specifically mentioning contamination from closed or active mining</w:t>
            </w:r>
            <w:r w:rsidR="000F079A">
              <w:rPr>
                <w:b w:val="0"/>
                <w:color w:val="000000" w:themeColor="text1"/>
                <w:szCs w:val="22"/>
              </w:rPr>
              <w:t>/legacy</w:t>
            </w:r>
            <w:r w:rsidRPr="00E56B34">
              <w:rPr>
                <w:b w:val="0"/>
                <w:color w:val="000000" w:themeColor="text1"/>
                <w:szCs w:val="22"/>
              </w:rPr>
              <w:t xml:space="preserve"> sites, it nonetheless observes that “the economic cost of damage from environmental health problems associated with urban and indoor air pollution, noise, inadequate water supply, and sanitation and hygiene are equivalent to about 3 to 4 percent of GDP.”  In response, the CP</w:t>
            </w:r>
            <w:r>
              <w:rPr>
                <w:b w:val="0"/>
                <w:color w:val="000000" w:themeColor="text1"/>
                <w:szCs w:val="22"/>
              </w:rPr>
              <w:t>S</w:t>
            </w:r>
            <w:r w:rsidRPr="00E56B34">
              <w:rPr>
                <w:b w:val="0"/>
                <w:color w:val="000000" w:themeColor="text1"/>
                <w:szCs w:val="22"/>
              </w:rPr>
              <w:t xml:space="preserve"> (para 82, pg. 30) includes “</w:t>
            </w:r>
            <w:bookmarkStart w:id="29" w:name="_Hlk502149573"/>
            <w:r w:rsidRPr="00E56B34">
              <w:rPr>
                <w:b w:val="0"/>
                <w:color w:val="000000" w:themeColor="text1"/>
                <w:szCs w:val="22"/>
              </w:rPr>
              <w:t>reducing environmental risks and safeguarding natural resources” as on</w:t>
            </w:r>
            <w:r w:rsidR="0045063F">
              <w:rPr>
                <w:b w:val="0"/>
                <w:color w:val="000000" w:themeColor="text1"/>
                <w:szCs w:val="22"/>
              </w:rPr>
              <w:t>e of its three broader themes</w:t>
            </w:r>
            <w:bookmarkEnd w:id="29"/>
            <w:r w:rsidR="0045063F">
              <w:rPr>
                <w:b w:val="0"/>
                <w:color w:val="000000" w:themeColor="text1"/>
                <w:szCs w:val="22"/>
              </w:rPr>
              <w:t>.</w:t>
            </w:r>
            <w:r>
              <w:rPr>
                <w:rStyle w:val="FootnoteReference"/>
                <w:b w:val="0"/>
                <w:color w:val="000000" w:themeColor="text1"/>
                <w:szCs w:val="22"/>
              </w:rPr>
              <w:footnoteReference w:id="16"/>
            </w:r>
            <w:r w:rsidRPr="00E56B34">
              <w:rPr>
                <w:b w:val="0"/>
                <w:color w:val="000000" w:themeColor="text1"/>
                <w:szCs w:val="22"/>
              </w:rPr>
              <w:t xml:space="preserve"> </w:t>
            </w:r>
          </w:p>
          <w:p w14:paraId="6CD83FB2" w14:textId="77777777" w:rsidR="00196FEE" w:rsidRDefault="00196FEE" w:rsidP="00196FEE">
            <w:pPr>
              <w:pStyle w:val="ListParagraph"/>
              <w:widowControl/>
              <w:spacing w:line="276" w:lineRule="auto"/>
              <w:ind w:left="360"/>
              <w:jc w:val="both"/>
              <w:rPr>
                <w:b w:val="0"/>
                <w:color w:val="000000" w:themeColor="text1"/>
                <w:szCs w:val="22"/>
              </w:rPr>
            </w:pPr>
          </w:p>
          <w:p w14:paraId="3F1084ED" w14:textId="77777777" w:rsidR="00CD2A9A" w:rsidRPr="00196FEE" w:rsidRDefault="002C3F71" w:rsidP="00196FEE">
            <w:pPr>
              <w:pStyle w:val="ListParagraph"/>
              <w:widowControl/>
              <w:numPr>
                <w:ilvl w:val="0"/>
                <w:numId w:val="21"/>
              </w:numPr>
              <w:spacing w:line="276" w:lineRule="auto"/>
              <w:jc w:val="both"/>
              <w:rPr>
                <w:b w:val="0"/>
                <w:color w:val="000000" w:themeColor="text1"/>
                <w:szCs w:val="22"/>
              </w:rPr>
            </w:pPr>
            <w:r w:rsidRPr="00196FEE">
              <w:rPr>
                <w:rFonts w:ascii="Calibri" w:hAnsi="Calibri" w:cs="Calibri"/>
                <w:b w:val="0"/>
                <w:color w:val="000000" w:themeColor="text1"/>
                <w:szCs w:val="22"/>
              </w:rPr>
              <w:t xml:space="preserve">On the </w:t>
            </w:r>
            <w:proofErr w:type="spellStart"/>
            <w:r w:rsidRPr="00196FEE">
              <w:rPr>
                <w:rFonts w:ascii="Calibri" w:hAnsi="Calibri" w:cs="Calibri"/>
                <w:b w:val="0"/>
                <w:color w:val="000000" w:themeColor="text1"/>
                <w:szCs w:val="22"/>
              </w:rPr>
              <w:t>GoA</w:t>
            </w:r>
            <w:proofErr w:type="spellEnd"/>
            <w:r w:rsidRPr="00196FEE">
              <w:rPr>
                <w:rFonts w:ascii="Calibri" w:hAnsi="Calibri" w:cs="Calibri"/>
                <w:b w:val="0"/>
                <w:color w:val="000000" w:themeColor="text1"/>
                <w:szCs w:val="22"/>
              </w:rPr>
              <w:t xml:space="preserve"> side, in turn, the most recent CPS notes (para. 66, pg. 27) that a “unified environmental strategy” was under discussion with a focus, </w:t>
            </w:r>
            <w:r w:rsidRPr="00196FEE">
              <w:rPr>
                <w:rFonts w:ascii="Calibri" w:hAnsi="Calibri" w:cs="Calibri"/>
                <w:b w:val="0"/>
                <w:i/>
                <w:color w:val="000000" w:themeColor="text1"/>
                <w:szCs w:val="22"/>
              </w:rPr>
              <w:t>inter alia,</w:t>
            </w:r>
            <w:r w:rsidRPr="00196FEE">
              <w:rPr>
                <w:rFonts w:ascii="Calibri" w:hAnsi="Calibri" w:cs="Calibri"/>
                <w:b w:val="0"/>
                <w:color w:val="000000" w:themeColor="text1"/>
                <w:szCs w:val="22"/>
              </w:rPr>
              <w:t xml:space="preserve"> on the environmental management of energy, mining, oil, and gas.</w:t>
            </w:r>
            <w:r>
              <w:rPr>
                <w:rStyle w:val="FootnoteReference"/>
                <w:rFonts w:ascii="Calibri" w:hAnsi="Calibri" w:cs="Calibri"/>
                <w:b w:val="0"/>
                <w:color w:val="000000" w:themeColor="text1"/>
                <w:szCs w:val="22"/>
              </w:rPr>
              <w:footnoteReference w:id="17"/>
            </w:r>
            <w:r w:rsidRPr="00196FEE">
              <w:rPr>
                <w:rFonts w:ascii="Calibri" w:hAnsi="Calibri" w:cs="Calibri"/>
                <w:b w:val="0"/>
                <w:color w:val="000000" w:themeColor="text1"/>
                <w:szCs w:val="22"/>
              </w:rPr>
              <w:t xml:space="preserve"> The project’s objectives also remain relevant in the sense that a need remains to carry out similar remediation works at the other seven legacy sites and the experience garnered under the project</w:t>
            </w:r>
            <w:r>
              <w:rPr>
                <w:rFonts w:ascii="Calibri" w:hAnsi="Calibri" w:cs="Calibri"/>
                <w:b w:val="0"/>
                <w:color w:val="000000" w:themeColor="text1"/>
                <w:szCs w:val="22"/>
              </w:rPr>
              <w:t>,</w:t>
            </w:r>
            <w:r w:rsidRPr="00196FEE">
              <w:rPr>
                <w:rFonts w:ascii="Calibri" w:hAnsi="Calibri" w:cs="Calibri"/>
                <w:b w:val="0"/>
                <w:color w:val="000000" w:themeColor="text1"/>
                <w:szCs w:val="22"/>
              </w:rPr>
              <w:t xml:space="preserve"> as well as the associated capacity building and training activities it provided</w:t>
            </w:r>
            <w:r>
              <w:rPr>
                <w:rFonts w:ascii="Calibri" w:hAnsi="Calibri" w:cs="Calibri"/>
                <w:b w:val="0"/>
                <w:color w:val="000000" w:themeColor="text1"/>
                <w:szCs w:val="22"/>
              </w:rPr>
              <w:t>,</w:t>
            </w:r>
            <w:r w:rsidRPr="00196FEE">
              <w:rPr>
                <w:rFonts w:ascii="Calibri" w:hAnsi="Calibri" w:cs="Calibri"/>
                <w:b w:val="0"/>
                <w:color w:val="000000" w:themeColor="text1"/>
                <w:szCs w:val="22"/>
              </w:rPr>
              <w:t xml:space="preserve"> will be of direct relevance for these future activities whether supported with international resources or financed with domestic sources alone. The Bank Group’s previous CPS covering the 20</w:t>
            </w:r>
            <w:r>
              <w:rPr>
                <w:rFonts w:ascii="Calibri" w:hAnsi="Calibri" w:cs="Calibri"/>
                <w:b w:val="0"/>
                <w:color w:val="000000" w:themeColor="text1"/>
                <w:szCs w:val="22"/>
              </w:rPr>
              <w:t>10</w:t>
            </w:r>
            <w:r w:rsidRPr="00196FEE">
              <w:rPr>
                <w:rFonts w:ascii="Calibri" w:hAnsi="Calibri" w:cs="Calibri"/>
                <w:b w:val="0"/>
                <w:color w:val="000000" w:themeColor="text1"/>
                <w:szCs w:val="22"/>
              </w:rPr>
              <w:t>-201</w:t>
            </w:r>
            <w:r>
              <w:rPr>
                <w:rFonts w:ascii="Calibri" w:hAnsi="Calibri" w:cs="Calibri"/>
                <w:b w:val="0"/>
                <w:color w:val="000000" w:themeColor="text1"/>
                <w:szCs w:val="22"/>
              </w:rPr>
              <w:t>2</w:t>
            </w:r>
            <w:r w:rsidRPr="00196FEE">
              <w:rPr>
                <w:rFonts w:ascii="Calibri" w:hAnsi="Calibri" w:cs="Calibri"/>
                <w:b w:val="0"/>
                <w:color w:val="000000" w:themeColor="text1"/>
                <w:szCs w:val="22"/>
              </w:rPr>
              <w:t xml:space="preserve"> period and issued in May 2009, moreover, specifically referred (para</w:t>
            </w:r>
            <w:r>
              <w:rPr>
                <w:rFonts w:ascii="Calibri" w:hAnsi="Calibri" w:cs="Calibri"/>
                <w:b w:val="0"/>
                <w:color w:val="000000" w:themeColor="text1"/>
                <w:szCs w:val="22"/>
              </w:rPr>
              <w:t>.</w:t>
            </w:r>
            <w:r w:rsidRPr="00196FEE">
              <w:rPr>
                <w:rFonts w:ascii="Calibri" w:hAnsi="Calibri" w:cs="Calibri"/>
                <w:b w:val="0"/>
                <w:color w:val="000000" w:themeColor="text1"/>
                <w:szCs w:val="22"/>
              </w:rPr>
              <w:t xml:space="preserve"> 53, pg. 16) to the Government’s having “</w:t>
            </w:r>
            <w:r w:rsidRPr="00196FEE">
              <w:rPr>
                <w:rFonts w:ascii="Calibri" w:eastAsiaTheme="minorHAnsi" w:hAnsi="Calibri" w:cs="Calibri"/>
                <w:b w:val="0"/>
                <w:color w:val="auto"/>
                <w:szCs w:val="22"/>
              </w:rPr>
              <w:t xml:space="preserve">embarked on an ambitious program in support of the </w:t>
            </w:r>
            <w:r w:rsidRPr="00196FEE">
              <w:rPr>
                <w:rFonts w:ascii="Calibri" w:eastAsiaTheme="minorHAnsi" w:hAnsi="Calibri" w:cs="Calibri"/>
                <w:b w:val="0"/>
                <w:i/>
                <w:iCs/>
                <w:color w:val="auto"/>
                <w:szCs w:val="22"/>
              </w:rPr>
              <w:t xml:space="preserve">brown </w:t>
            </w:r>
            <w:r w:rsidRPr="00196FEE">
              <w:rPr>
                <w:rFonts w:ascii="Calibri" w:eastAsiaTheme="minorHAnsi" w:hAnsi="Calibri" w:cs="Calibri"/>
                <w:b w:val="0"/>
                <w:color w:val="auto"/>
                <w:szCs w:val="22"/>
              </w:rPr>
              <w:t xml:space="preserve">environmental agenda (water pollution and solid waste management in particular as well as the remediation of improperly closed uranium mining and milling sites),” with “brown” referring specifically to concerns with pollution reduction and control and </w:t>
            </w:r>
            <w:r>
              <w:rPr>
                <w:rFonts w:ascii="Calibri" w:eastAsiaTheme="minorHAnsi" w:hAnsi="Calibri" w:cs="Calibri"/>
                <w:b w:val="0"/>
                <w:color w:val="auto"/>
                <w:szCs w:val="22"/>
              </w:rPr>
              <w:t xml:space="preserve">improvement in </w:t>
            </w:r>
            <w:r w:rsidRPr="00196FEE">
              <w:rPr>
                <w:rFonts w:ascii="Calibri" w:eastAsiaTheme="minorHAnsi" w:hAnsi="Calibri" w:cs="Calibri"/>
                <w:b w:val="0"/>
                <w:color w:val="auto"/>
                <w:szCs w:val="22"/>
              </w:rPr>
              <w:t xml:space="preserve">environmental health. The relevance of the project’s development objectives, accordingly, is rated </w:t>
            </w:r>
            <w:r w:rsidRPr="0045063F">
              <w:rPr>
                <w:rFonts w:ascii="Calibri" w:eastAsiaTheme="minorHAnsi" w:hAnsi="Calibri" w:cs="Calibri"/>
                <w:color w:val="auto"/>
                <w:szCs w:val="22"/>
              </w:rPr>
              <w:t>Substantial</w:t>
            </w:r>
            <w:r w:rsidRPr="00196FEE">
              <w:rPr>
                <w:rFonts w:ascii="Calibri" w:eastAsiaTheme="minorHAnsi" w:hAnsi="Calibri" w:cs="Calibri"/>
                <w:b w:val="0"/>
                <w:color w:val="auto"/>
                <w:szCs w:val="22"/>
              </w:rPr>
              <w:t>.</w:t>
            </w:r>
          </w:p>
        </w:tc>
      </w:tr>
      <w:tr w:rsidR="00E63776" w14:paraId="063C2149" w14:textId="77777777" w:rsidTr="00FB796E">
        <w:tblPrEx>
          <w:shd w:val="clear" w:color="auto" w:fill="auto"/>
        </w:tblPrEx>
        <w:trPr>
          <w:gridBefore w:val="1"/>
          <w:gridAfter w:val="1"/>
          <w:wBefore w:w="162" w:type="dxa"/>
          <w:wAfter w:w="90" w:type="dxa"/>
          <w:trHeight w:val="360"/>
        </w:trPr>
        <w:tc>
          <w:tcPr>
            <w:tcW w:w="10710" w:type="dxa"/>
          </w:tcPr>
          <w:p w14:paraId="5C88E403" w14:textId="77777777" w:rsidR="00FB796E" w:rsidRDefault="00FB796E" w:rsidP="003E6006">
            <w:pPr>
              <w:pStyle w:val="Heading2"/>
              <w:outlineLvl w:val="1"/>
              <w:rPr>
                <w:b/>
                <w:szCs w:val="22"/>
              </w:rPr>
            </w:pPr>
            <w:bookmarkStart w:id="30" w:name="_Toc256000007"/>
            <w:bookmarkStart w:id="31" w:name="_Toc485984547"/>
          </w:p>
          <w:p w14:paraId="0AA0273A" w14:textId="77777777" w:rsidR="00FB796E" w:rsidRDefault="00FB796E" w:rsidP="003E6006">
            <w:pPr>
              <w:pStyle w:val="Heading2"/>
              <w:outlineLvl w:val="1"/>
              <w:rPr>
                <w:b/>
                <w:szCs w:val="22"/>
              </w:rPr>
            </w:pPr>
          </w:p>
          <w:p w14:paraId="3D0D9145" w14:textId="77777777" w:rsidR="00FB796E" w:rsidRDefault="00FB796E" w:rsidP="003E6006">
            <w:pPr>
              <w:pStyle w:val="Heading2"/>
              <w:outlineLvl w:val="1"/>
              <w:rPr>
                <w:b/>
                <w:szCs w:val="22"/>
              </w:rPr>
            </w:pPr>
          </w:p>
          <w:p w14:paraId="4C8ADC8E" w14:textId="77777777" w:rsidR="00011AEF" w:rsidRPr="009E631B" w:rsidRDefault="002C3F71" w:rsidP="003E6006">
            <w:pPr>
              <w:pStyle w:val="Heading2"/>
              <w:outlineLvl w:val="1"/>
              <w:rPr>
                <w:szCs w:val="22"/>
              </w:rPr>
            </w:pPr>
            <w:bookmarkStart w:id="32" w:name="_Toc502164465"/>
            <w:r w:rsidRPr="009E631B">
              <w:rPr>
                <w:b/>
                <w:szCs w:val="22"/>
              </w:rPr>
              <w:t>B. ACHIEVEMENT OF PDOs (EFFICACY)</w:t>
            </w:r>
            <w:bookmarkEnd w:id="30"/>
            <w:bookmarkEnd w:id="31"/>
            <w:bookmarkEnd w:id="32"/>
          </w:p>
        </w:tc>
      </w:tr>
    </w:tbl>
    <w:p w14:paraId="4BD59DFF" w14:textId="77777777" w:rsidR="003615CB" w:rsidRPr="009E631B" w:rsidRDefault="003615CB" w:rsidP="00F81AC2">
      <w:pPr>
        <w:ind w:left="-634"/>
        <w:rPr>
          <w:rFonts w:asciiTheme="minorHAnsi" w:hAnsiTheme="minorHAnsi"/>
          <w:bCs/>
          <w:color w:val="auto"/>
          <w:sz w:val="22"/>
          <w:szCs w:val="22"/>
        </w:rPr>
      </w:pPr>
    </w:p>
    <w:tbl>
      <w:tblPr>
        <w:tblW w:w="11070" w:type="dxa"/>
        <w:tblInd w:w="-90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90"/>
        <w:gridCol w:w="10890"/>
        <w:gridCol w:w="90"/>
      </w:tblGrid>
      <w:tr w:rsidR="00E63776" w14:paraId="76ACAC76" w14:textId="77777777" w:rsidTr="00757A64">
        <w:trPr>
          <w:gridAfter w:val="1"/>
          <w:wAfter w:w="90" w:type="dxa"/>
          <w:trHeight w:val="90"/>
        </w:trPr>
        <w:tc>
          <w:tcPr>
            <w:tcW w:w="10980" w:type="dxa"/>
            <w:gridSpan w:val="2"/>
            <w:shd w:val="clear" w:color="auto" w:fill="auto"/>
            <w:vAlign w:val="center"/>
          </w:tcPr>
          <w:p w14:paraId="5D1B2D7B" w14:textId="77777777" w:rsidR="007078F6" w:rsidRPr="009E631B" w:rsidRDefault="002C3F71" w:rsidP="0037088B">
            <w:pPr>
              <w:pStyle w:val="Heading3"/>
              <w:ind w:left="432"/>
              <w:rPr>
                <w:szCs w:val="22"/>
              </w:rPr>
            </w:pPr>
            <w:r w:rsidRPr="009E631B">
              <w:rPr>
                <w:szCs w:val="22"/>
              </w:rPr>
              <w:t xml:space="preserve">Assessment of Achievement of </w:t>
            </w:r>
            <w:r w:rsidR="0037088B">
              <w:rPr>
                <w:szCs w:val="22"/>
              </w:rPr>
              <w:t>E</w:t>
            </w:r>
            <w:r w:rsidRPr="009E631B">
              <w:rPr>
                <w:szCs w:val="22"/>
              </w:rPr>
              <w:t>ach Objective/Outcome</w:t>
            </w:r>
          </w:p>
        </w:tc>
      </w:tr>
      <w:tr w:rsidR="00E63776" w14:paraId="33F5BFDC" w14:textId="77777777" w:rsidTr="00757A64">
        <w:trPr>
          <w:gridBefore w:val="1"/>
          <w:wBefore w:w="90" w:type="dxa"/>
          <w:trHeight w:val="297"/>
        </w:trPr>
        <w:tc>
          <w:tcPr>
            <w:tcW w:w="10980" w:type="dxa"/>
            <w:gridSpan w:val="2"/>
            <w:shd w:val="clear" w:color="auto" w:fill="auto"/>
            <w:vAlign w:val="center"/>
          </w:tcPr>
          <w:p w14:paraId="59611078" w14:textId="77777777" w:rsidR="00757A64" w:rsidRDefault="00757A64" w:rsidP="00173499">
            <w:pPr>
              <w:ind w:left="342" w:hanging="3"/>
              <w:rPr>
                <w:rFonts w:asciiTheme="minorHAnsi" w:hAnsiTheme="minorHAnsi"/>
                <w:color w:val="000000" w:themeColor="text1"/>
                <w:sz w:val="22"/>
                <w:szCs w:val="22"/>
              </w:rPr>
            </w:pPr>
          </w:p>
          <w:tbl>
            <w:tblPr>
              <w:tblW w:w="1098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545D6D15" w14:textId="77777777" w:rsidTr="00173499">
              <w:trPr>
                <w:trHeight w:val="90"/>
              </w:trPr>
              <w:tc>
                <w:tcPr>
                  <w:tcW w:w="10980" w:type="dxa"/>
                  <w:shd w:val="clear" w:color="auto" w:fill="auto"/>
                  <w:vAlign w:val="center"/>
                </w:tcPr>
                <w:p w14:paraId="7BC1B11E" w14:textId="77777777" w:rsidR="004E761F" w:rsidRPr="00CD2A9A" w:rsidRDefault="002C3F71" w:rsidP="004E761F">
                  <w:pPr>
                    <w:ind w:left="230"/>
                    <w:jc w:val="both"/>
                    <w:rPr>
                      <w:rFonts w:asciiTheme="minorHAnsi" w:eastAsiaTheme="minorHAnsi" w:hAnsiTheme="minorHAnsi" w:cstheme="minorHAnsi"/>
                      <w:b/>
                      <w:color w:val="000000" w:themeColor="text1"/>
                      <w:sz w:val="22"/>
                      <w:szCs w:val="22"/>
                    </w:rPr>
                  </w:pPr>
                  <w:r w:rsidRPr="00CE3621">
                    <w:rPr>
                      <w:rFonts w:asciiTheme="minorHAnsi" w:eastAsiaTheme="minorHAnsi" w:hAnsiTheme="minorHAnsi" w:cstheme="minorHAnsi"/>
                      <w:color w:val="000000" w:themeColor="text1"/>
                      <w:sz w:val="22"/>
                      <w:szCs w:val="22"/>
                    </w:rPr>
                    <w:t xml:space="preserve">Objective 1: </w:t>
                  </w:r>
                  <w:r w:rsidRPr="00CD2A9A">
                    <w:rPr>
                      <w:rFonts w:asciiTheme="minorHAnsi" w:eastAsiaTheme="minorHAnsi" w:hAnsiTheme="minorHAnsi" w:cstheme="minorHAnsi"/>
                      <w:b/>
                      <w:color w:val="000000" w:themeColor="text1"/>
                      <w:sz w:val="22"/>
                      <w:szCs w:val="22"/>
                    </w:rPr>
                    <w:t xml:space="preserve">Strengthen the </w:t>
                  </w:r>
                  <w:r>
                    <w:rPr>
                      <w:rFonts w:asciiTheme="minorHAnsi" w:eastAsiaTheme="minorHAnsi" w:hAnsiTheme="minorHAnsi" w:cstheme="minorHAnsi"/>
                      <w:b/>
                      <w:color w:val="000000" w:themeColor="text1"/>
                      <w:sz w:val="22"/>
                      <w:szCs w:val="22"/>
                    </w:rPr>
                    <w:t xml:space="preserve">Borrower’s </w:t>
                  </w:r>
                  <w:r w:rsidRPr="00CD2A9A">
                    <w:rPr>
                      <w:rFonts w:asciiTheme="minorHAnsi" w:eastAsiaTheme="minorHAnsi" w:hAnsiTheme="minorHAnsi" w:cstheme="minorHAnsi"/>
                      <w:b/>
                      <w:color w:val="000000" w:themeColor="text1"/>
                      <w:sz w:val="22"/>
                      <w:szCs w:val="22"/>
                    </w:rPr>
                    <w:t xml:space="preserve">capacity to assess and mitigate environmental risks associated with closed uranium mines, processing sites, and related mining sector investments, in accordance with international </w:t>
                  </w:r>
                  <w:r>
                    <w:rPr>
                      <w:rFonts w:asciiTheme="minorHAnsi" w:eastAsiaTheme="minorHAnsi" w:hAnsiTheme="minorHAnsi" w:cstheme="minorHAnsi"/>
                      <w:b/>
                      <w:color w:val="000000" w:themeColor="text1"/>
                      <w:sz w:val="22"/>
                      <w:szCs w:val="22"/>
                    </w:rPr>
                    <w:t xml:space="preserve">good </w:t>
                  </w:r>
                  <w:r w:rsidRPr="00CD2A9A">
                    <w:rPr>
                      <w:rFonts w:asciiTheme="minorHAnsi" w:eastAsiaTheme="minorHAnsi" w:hAnsiTheme="minorHAnsi" w:cstheme="minorHAnsi"/>
                      <w:b/>
                      <w:color w:val="000000" w:themeColor="text1"/>
                      <w:sz w:val="22"/>
                      <w:szCs w:val="22"/>
                    </w:rPr>
                    <w:t>practice.</w:t>
                  </w:r>
                </w:p>
                <w:p w14:paraId="50B4D0D2" w14:textId="77777777" w:rsidR="00757A64" w:rsidRDefault="00757A64" w:rsidP="00173499">
                  <w:pPr>
                    <w:spacing w:line="276" w:lineRule="auto"/>
                    <w:jc w:val="both"/>
                    <w:rPr>
                      <w:rFonts w:asciiTheme="minorHAnsi" w:eastAsiaTheme="minorHAnsi" w:hAnsiTheme="minorHAnsi" w:cstheme="minorHAnsi"/>
                      <w:color w:val="000000" w:themeColor="text1"/>
                      <w:sz w:val="22"/>
                      <w:szCs w:val="22"/>
                    </w:rPr>
                  </w:pPr>
                </w:p>
                <w:p w14:paraId="43BBEB1F" w14:textId="77777777" w:rsidR="0045063F" w:rsidRDefault="002C3F71" w:rsidP="0045063F">
                  <w:pPr>
                    <w:pStyle w:val="ListParagraph"/>
                    <w:widowControl/>
                    <w:numPr>
                      <w:ilvl w:val="0"/>
                      <w:numId w:val="21"/>
                    </w:numPr>
                    <w:spacing w:line="276" w:lineRule="auto"/>
                    <w:jc w:val="both"/>
                    <w:rPr>
                      <w:rFonts w:cstheme="minorHAnsi"/>
                      <w:b w:val="0"/>
                      <w:color w:val="auto"/>
                      <w:szCs w:val="22"/>
                    </w:rPr>
                  </w:pPr>
                  <w:r w:rsidRPr="00C620B7">
                    <w:rPr>
                      <w:rFonts w:ascii="Calibri" w:hAnsi="Calibri" w:cs="Calibri"/>
                      <w:b w:val="0"/>
                      <w:color w:val="000000" w:themeColor="text1"/>
                      <w:szCs w:val="22"/>
                    </w:rPr>
                    <w:t xml:space="preserve"> </w:t>
                  </w:r>
                  <w:r w:rsidR="00757A64" w:rsidRPr="00CC24F6">
                    <w:rPr>
                      <w:rFonts w:cstheme="minorHAnsi"/>
                      <w:b w:val="0"/>
                      <w:color w:val="auto"/>
                      <w:szCs w:val="22"/>
                    </w:rPr>
                    <w:t xml:space="preserve">Achievements in relation to this objective were </w:t>
                  </w:r>
                  <w:r w:rsidR="00757A64" w:rsidRPr="00CC24F6">
                    <w:rPr>
                      <w:rFonts w:cstheme="minorHAnsi"/>
                      <w:color w:val="auto"/>
                      <w:szCs w:val="22"/>
                    </w:rPr>
                    <w:t>Substantial</w:t>
                  </w:r>
                  <w:r w:rsidR="00757A64" w:rsidRPr="00CC24F6">
                    <w:rPr>
                      <w:rFonts w:cstheme="minorHAnsi"/>
                      <w:b w:val="0"/>
                      <w:color w:val="auto"/>
                      <w:szCs w:val="22"/>
                    </w:rPr>
                    <w:t xml:space="preserve">.  </w:t>
                  </w:r>
                  <w:r w:rsidRPr="00CC24F6">
                    <w:rPr>
                      <w:rFonts w:cstheme="minorHAnsi"/>
                      <w:b w:val="0"/>
                      <w:color w:val="auto"/>
                      <w:szCs w:val="22"/>
                    </w:rPr>
                    <w:t xml:space="preserve">At the time of project closing, capacity to assess and mitigate environmental risks associated with uranium mines had been strengthened as evidenced by </w:t>
                  </w:r>
                  <w:r>
                    <w:rPr>
                      <w:rFonts w:cstheme="minorHAnsi"/>
                      <w:b w:val="0"/>
                      <w:color w:val="auto"/>
                      <w:szCs w:val="22"/>
                    </w:rPr>
                    <w:t xml:space="preserve">CNEAs (and provincial governments) ability to identify and act upon identified risks, develop and analyze technical data which was previously inexistent, undertake systematic monitoring of environmental quality at legacy sites.  CNEA and provincial governments have been trained to follow IAEA’s international best practice on procedures and protocols and standards on monitoring and managing environmental risks associated to uranium mines and legacies.  </w:t>
                  </w:r>
                </w:p>
                <w:p w14:paraId="1B37CE25" w14:textId="77777777" w:rsidR="0084733B" w:rsidRDefault="0084733B" w:rsidP="00A75E11">
                  <w:pPr>
                    <w:pStyle w:val="ListParagraph"/>
                    <w:widowControl/>
                    <w:spacing w:line="276" w:lineRule="auto"/>
                    <w:ind w:left="360"/>
                    <w:jc w:val="both"/>
                    <w:rPr>
                      <w:rFonts w:cstheme="minorHAnsi"/>
                      <w:b w:val="0"/>
                      <w:color w:val="auto"/>
                      <w:szCs w:val="22"/>
                    </w:rPr>
                  </w:pPr>
                </w:p>
                <w:p w14:paraId="46EC18AA" w14:textId="77777777" w:rsidR="00AE7131" w:rsidRDefault="002C3F71" w:rsidP="00A75E11">
                  <w:pPr>
                    <w:pStyle w:val="ListParagraph"/>
                    <w:widowControl/>
                    <w:numPr>
                      <w:ilvl w:val="0"/>
                      <w:numId w:val="21"/>
                    </w:numPr>
                    <w:spacing w:line="276" w:lineRule="auto"/>
                    <w:jc w:val="both"/>
                    <w:rPr>
                      <w:rFonts w:cstheme="minorHAnsi"/>
                      <w:b w:val="0"/>
                      <w:color w:val="auto"/>
                      <w:szCs w:val="22"/>
                    </w:rPr>
                  </w:pPr>
                  <w:r>
                    <w:rPr>
                      <w:rFonts w:cstheme="minorHAnsi"/>
                      <w:b w:val="0"/>
                      <w:color w:val="auto"/>
                      <w:szCs w:val="22"/>
                    </w:rPr>
                    <w:t xml:space="preserve">Capacity enhancement were further evidenced through </w:t>
                  </w:r>
                  <w:r w:rsidRPr="00CC24F6">
                    <w:rPr>
                      <w:rFonts w:cstheme="minorHAnsi"/>
                      <w:b w:val="0"/>
                      <w:color w:val="auto"/>
                      <w:szCs w:val="22"/>
                    </w:rPr>
                    <w:t xml:space="preserve">the fulfillment of </w:t>
                  </w:r>
                  <w:r>
                    <w:rPr>
                      <w:rFonts w:cstheme="minorHAnsi"/>
                      <w:b w:val="0"/>
                      <w:color w:val="auto"/>
                      <w:szCs w:val="22"/>
                    </w:rPr>
                    <w:t>the following indicators: (i) identifying e</w:t>
                  </w:r>
                  <w:r w:rsidRPr="00D449E6">
                    <w:rPr>
                      <w:rFonts w:cstheme="minorHAnsi"/>
                      <w:b w:val="0"/>
                      <w:color w:val="auto"/>
                      <w:szCs w:val="22"/>
                    </w:rPr>
                    <w:t>nvironmental risks</w:t>
                  </w:r>
                  <w:r>
                    <w:rPr>
                      <w:rFonts w:cstheme="minorHAnsi"/>
                      <w:b w:val="0"/>
                      <w:color w:val="auto"/>
                      <w:szCs w:val="22"/>
                    </w:rPr>
                    <w:t xml:space="preserve">, presenting and consulting remediation alternatives with local governments, and developing </w:t>
                  </w:r>
                  <w:r w:rsidRPr="00D449E6">
                    <w:rPr>
                      <w:rFonts w:cstheme="minorHAnsi"/>
                      <w:b w:val="0"/>
                      <w:color w:val="auto"/>
                      <w:szCs w:val="22"/>
                    </w:rPr>
                    <w:t xml:space="preserve"> environmental </w:t>
                  </w:r>
                  <w:r>
                    <w:rPr>
                      <w:rFonts w:cstheme="minorHAnsi"/>
                      <w:b w:val="0"/>
                      <w:color w:val="auto"/>
                      <w:szCs w:val="22"/>
                    </w:rPr>
                    <w:t>b</w:t>
                  </w:r>
                  <w:r w:rsidRPr="00D449E6">
                    <w:rPr>
                      <w:rFonts w:cstheme="minorHAnsi"/>
                      <w:b w:val="0"/>
                      <w:color w:val="auto"/>
                      <w:szCs w:val="22"/>
                    </w:rPr>
                    <w:t xml:space="preserve">aseline studies </w:t>
                  </w:r>
                  <w:r>
                    <w:rPr>
                      <w:rFonts w:cstheme="minorHAnsi"/>
                      <w:b w:val="0"/>
                      <w:color w:val="auto"/>
                      <w:szCs w:val="22"/>
                    </w:rPr>
                    <w:t xml:space="preserve">and engineering designs for </w:t>
                  </w:r>
                  <w:r w:rsidRPr="00D449E6">
                    <w:rPr>
                      <w:rFonts w:cstheme="minorHAnsi"/>
                      <w:b w:val="0"/>
                      <w:color w:val="auto"/>
                      <w:szCs w:val="22"/>
                    </w:rPr>
                    <w:t xml:space="preserve">Los </w:t>
                  </w:r>
                  <w:proofErr w:type="spellStart"/>
                  <w:r w:rsidRPr="00D449E6">
                    <w:rPr>
                      <w:rFonts w:cstheme="minorHAnsi"/>
                      <w:b w:val="0"/>
                      <w:color w:val="auto"/>
                      <w:szCs w:val="22"/>
                    </w:rPr>
                    <w:t>Gigantes</w:t>
                  </w:r>
                  <w:proofErr w:type="spellEnd"/>
                  <w:r w:rsidRPr="00D449E6">
                    <w:rPr>
                      <w:rFonts w:cstheme="minorHAnsi"/>
                      <w:b w:val="0"/>
                      <w:color w:val="auto"/>
                      <w:szCs w:val="22"/>
                    </w:rPr>
                    <w:t xml:space="preserve"> and EI </w:t>
                  </w:r>
                  <w:proofErr w:type="spellStart"/>
                  <w:r w:rsidRPr="00D449E6">
                    <w:rPr>
                      <w:rFonts w:cstheme="minorHAnsi"/>
                      <w:b w:val="0"/>
                      <w:color w:val="auto"/>
                      <w:szCs w:val="22"/>
                    </w:rPr>
                    <w:t>Chicon</w:t>
                  </w:r>
                  <w:proofErr w:type="spellEnd"/>
                  <w:r w:rsidRPr="00D449E6">
                    <w:rPr>
                      <w:rFonts w:cstheme="minorHAnsi"/>
                      <w:b w:val="0"/>
                      <w:color w:val="auto"/>
                      <w:szCs w:val="22"/>
                    </w:rPr>
                    <w:t xml:space="preserve"> </w:t>
                  </w:r>
                  <w:r>
                    <w:rPr>
                      <w:rFonts w:cstheme="minorHAnsi"/>
                      <w:b w:val="0"/>
                      <w:color w:val="auto"/>
                      <w:szCs w:val="22"/>
                    </w:rPr>
                    <w:t>sites (met by 100 percent); (ii) identifying the e</w:t>
                  </w:r>
                  <w:r w:rsidRPr="00163BA3">
                    <w:rPr>
                      <w:rFonts w:cstheme="minorHAnsi"/>
                      <w:b w:val="0"/>
                      <w:color w:val="auto"/>
                      <w:szCs w:val="22"/>
                    </w:rPr>
                    <w:t xml:space="preserve">nvironmental risks </w:t>
                  </w:r>
                  <w:r>
                    <w:rPr>
                      <w:rFonts w:cstheme="minorHAnsi"/>
                      <w:b w:val="0"/>
                      <w:color w:val="auto"/>
                      <w:szCs w:val="22"/>
                    </w:rPr>
                    <w:t xml:space="preserve">and developing environmental baseline studies at </w:t>
                  </w:r>
                  <w:r w:rsidRPr="00163BA3">
                    <w:rPr>
                      <w:rFonts w:cstheme="minorHAnsi"/>
                      <w:b w:val="0"/>
                      <w:color w:val="auto"/>
                      <w:szCs w:val="22"/>
                    </w:rPr>
                    <w:t xml:space="preserve">five </w:t>
                  </w:r>
                  <w:r>
                    <w:rPr>
                      <w:rFonts w:cstheme="minorHAnsi"/>
                      <w:b w:val="0"/>
                      <w:color w:val="auto"/>
                      <w:szCs w:val="22"/>
                    </w:rPr>
                    <w:t xml:space="preserve">additional </w:t>
                  </w:r>
                  <w:r w:rsidRPr="00163BA3">
                    <w:rPr>
                      <w:rFonts w:cstheme="minorHAnsi"/>
                      <w:b w:val="0"/>
                      <w:color w:val="auto"/>
                      <w:szCs w:val="22"/>
                    </w:rPr>
                    <w:t>legacy sites</w:t>
                  </w:r>
                  <w:r>
                    <w:rPr>
                      <w:rFonts w:cstheme="minorHAnsi"/>
                      <w:b w:val="0"/>
                      <w:color w:val="auto"/>
                      <w:szCs w:val="22"/>
                    </w:rPr>
                    <w:t xml:space="preserve"> (met by 100 percent)</w:t>
                  </w:r>
                  <w:r>
                    <w:rPr>
                      <w:rStyle w:val="FootnoteReference"/>
                      <w:rFonts w:cstheme="minorHAnsi"/>
                      <w:b w:val="0"/>
                      <w:color w:val="auto"/>
                      <w:szCs w:val="22"/>
                    </w:rPr>
                    <w:footnoteReference w:id="18"/>
                  </w:r>
                  <w:r>
                    <w:rPr>
                      <w:rFonts w:cstheme="minorHAnsi"/>
                      <w:b w:val="0"/>
                      <w:color w:val="auto"/>
                      <w:szCs w:val="22"/>
                    </w:rPr>
                    <w:t xml:space="preserve">; (iii) CNEA laboratories at </w:t>
                  </w:r>
                  <w:r w:rsidRPr="00833126">
                    <w:rPr>
                      <w:rFonts w:cstheme="minorHAnsi"/>
                      <w:b w:val="0"/>
                      <w:color w:val="auto"/>
                      <w:szCs w:val="22"/>
                    </w:rPr>
                    <w:t xml:space="preserve">San Rafael; Cordoba; Mendoza; &amp; </w:t>
                  </w:r>
                  <w:proofErr w:type="spellStart"/>
                  <w:r w:rsidRPr="00833126">
                    <w:rPr>
                      <w:rFonts w:cstheme="minorHAnsi"/>
                      <w:b w:val="0"/>
                      <w:color w:val="auto"/>
                      <w:szCs w:val="22"/>
                    </w:rPr>
                    <w:t>Ezeiza</w:t>
                  </w:r>
                  <w:proofErr w:type="spellEnd"/>
                  <w:r>
                    <w:rPr>
                      <w:rFonts w:cstheme="minorHAnsi"/>
                      <w:b w:val="0"/>
                      <w:color w:val="auto"/>
                      <w:szCs w:val="22"/>
                    </w:rPr>
                    <w:t xml:space="preserve"> have been fully equipped and accredited by ISO 17025 and currently have the recognized quality and capacity to monitor water, air, soil and radiological parameters (met by 100 percent)</w:t>
                  </w:r>
                  <w:r>
                    <w:rPr>
                      <w:rStyle w:val="FootnoteReference"/>
                      <w:rFonts w:cstheme="minorHAnsi"/>
                      <w:b w:val="0"/>
                      <w:color w:val="auto"/>
                      <w:szCs w:val="22"/>
                    </w:rPr>
                    <w:footnoteReference w:id="19"/>
                  </w:r>
                  <w:r>
                    <w:rPr>
                      <w:rStyle w:val="FootnoteReference"/>
                      <w:rFonts w:cstheme="minorHAnsi"/>
                      <w:b w:val="0"/>
                      <w:color w:val="auto"/>
                      <w:szCs w:val="22"/>
                    </w:rPr>
                    <w:t xml:space="preserve"> </w:t>
                  </w:r>
                  <w:r>
                    <w:rPr>
                      <w:rFonts w:cstheme="minorHAnsi"/>
                      <w:b w:val="0"/>
                      <w:color w:val="auto"/>
                      <w:szCs w:val="22"/>
                    </w:rPr>
                    <w:t>; (iv)  12 provincial agencies (</w:t>
                  </w:r>
                  <w:r w:rsidRPr="00833126">
                    <w:rPr>
                      <w:rFonts w:cstheme="minorHAnsi"/>
                      <w:b w:val="0"/>
                      <w:color w:val="auto"/>
                      <w:szCs w:val="22"/>
                    </w:rPr>
                    <w:t>where legacy sites are located</w:t>
                  </w:r>
                  <w:r>
                    <w:rPr>
                      <w:rFonts w:cstheme="minorHAnsi"/>
                      <w:b w:val="0"/>
                      <w:color w:val="auto"/>
                      <w:szCs w:val="22"/>
                    </w:rPr>
                    <w:t xml:space="preserve">) have received training </w:t>
                  </w:r>
                  <w:r w:rsidRPr="00833126">
                    <w:rPr>
                      <w:rFonts w:cstheme="minorHAnsi"/>
                      <w:b w:val="0"/>
                      <w:color w:val="auto"/>
                      <w:szCs w:val="22"/>
                    </w:rPr>
                    <w:t xml:space="preserve">on environmental monitoring procedures for management and supervision of mining </w:t>
                  </w:r>
                  <w:r>
                    <w:rPr>
                      <w:rFonts w:cstheme="minorHAnsi"/>
                      <w:b w:val="0"/>
                      <w:color w:val="auto"/>
                      <w:szCs w:val="22"/>
                    </w:rPr>
                    <w:t xml:space="preserve">uranium </w:t>
                  </w:r>
                  <w:r w:rsidRPr="00833126">
                    <w:rPr>
                      <w:rFonts w:cstheme="minorHAnsi"/>
                      <w:b w:val="0"/>
                      <w:color w:val="auto"/>
                      <w:szCs w:val="22"/>
                    </w:rPr>
                    <w:t>operations</w:t>
                  </w:r>
                  <w:r>
                    <w:rPr>
                      <w:rFonts w:cstheme="minorHAnsi"/>
                      <w:b w:val="0"/>
                      <w:color w:val="auto"/>
                      <w:szCs w:val="22"/>
                    </w:rPr>
                    <w:t xml:space="preserve"> (met by 100 percent)</w:t>
                  </w:r>
                  <w:r w:rsidRPr="00833126">
                    <w:rPr>
                      <w:rFonts w:cstheme="minorHAnsi"/>
                      <w:b w:val="0"/>
                      <w:color w:val="auto"/>
                      <w:szCs w:val="22"/>
                    </w:rPr>
                    <w:t>.</w:t>
                  </w:r>
                </w:p>
                <w:p w14:paraId="6A7B0693" w14:textId="77777777" w:rsidR="00A75E11" w:rsidRPr="00A75E11" w:rsidRDefault="00A75E11" w:rsidP="00A75E11">
                  <w:pPr>
                    <w:pStyle w:val="ListParagraph"/>
                    <w:rPr>
                      <w:rFonts w:cstheme="minorHAnsi"/>
                      <w:b w:val="0"/>
                      <w:color w:val="auto"/>
                      <w:szCs w:val="22"/>
                    </w:rPr>
                  </w:pPr>
                </w:p>
                <w:p w14:paraId="0CB826EC" w14:textId="77777777" w:rsidR="00EC1579" w:rsidRDefault="002C3F71" w:rsidP="00196FEE">
                  <w:pPr>
                    <w:pStyle w:val="ListParagraph"/>
                    <w:widowControl/>
                    <w:numPr>
                      <w:ilvl w:val="0"/>
                      <w:numId w:val="21"/>
                    </w:numPr>
                    <w:spacing w:line="276" w:lineRule="auto"/>
                    <w:jc w:val="both"/>
                    <w:rPr>
                      <w:rFonts w:cstheme="minorHAnsi"/>
                      <w:b w:val="0"/>
                      <w:color w:val="auto"/>
                      <w:szCs w:val="22"/>
                    </w:rPr>
                  </w:pPr>
                  <w:r w:rsidRPr="0045063F">
                    <w:rPr>
                      <w:rFonts w:cstheme="minorHAnsi"/>
                      <w:b w:val="0"/>
                      <w:color w:val="auto"/>
                      <w:szCs w:val="22"/>
                    </w:rPr>
                    <w:t xml:space="preserve">In addition, the following </w:t>
                  </w:r>
                  <w:r w:rsidRPr="00210CF6">
                    <w:rPr>
                      <w:rFonts w:cstheme="minorHAnsi"/>
                      <w:b w:val="0"/>
                      <w:i/>
                      <w:color w:val="auto"/>
                      <w:szCs w:val="22"/>
                    </w:rPr>
                    <w:t>intermedia</w:t>
                  </w:r>
                  <w:r w:rsidR="006367EE">
                    <w:rPr>
                      <w:rFonts w:cstheme="minorHAnsi"/>
                      <w:b w:val="0"/>
                      <w:i/>
                      <w:color w:val="auto"/>
                      <w:szCs w:val="22"/>
                    </w:rPr>
                    <w:t>te</w:t>
                  </w:r>
                  <w:r w:rsidRPr="00210CF6">
                    <w:rPr>
                      <w:rFonts w:cstheme="minorHAnsi"/>
                      <w:b w:val="0"/>
                      <w:i/>
                      <w:color w:val="auto"/>
                      <w:szCs w:val="22"/>
                    </w:rPr>
                    <w:t xml:space="preserve"> indicators</w:t>
                  </w:r>
                  <w:r w:rsidRPr="0045063F">
                    <w:rPr>
                      <w:rFonts w:cstheme="minorHAnsi"/>
                      <w:b w:val="0"/>
                      <w:color w:val="auto"/>
                      <w:szCs w:val="22"/>
                    </w:rPr>
                    <w:t xml:space="preserve"> have been met: (i) soil and water samples have been systematically collected as part of the environmental, physical and radiological monitoring plan followed quality assurance and control procedures in the field and in CNEA’s laboratories; (ii) mining environmental legacies baseline studies have been undertaken at seven uranium mining sites and monitoring reports on environmental conditions, levels of pollution and radiation, topographical and groundwater analysis have been undertaken; (iii) </w:t>
                  </w:r>
                  <w:r w:rsidRPr="0045063F">
                    <w:rPr>
                      <w:rFonts w:cstheme="minorHAnsi"/>
                      <w:b w:val="0"/>
                      <w:vanish/>
                      <w:color w:val="auto"/>
                      <w:szCs w:val="22"/>
                    </w:rPr>
                    <w:t>Number of CNEA laboratories with equipment and installed capacity for monitoring environmental parameters (including radiological) on water, soil and air samples, which are supervised by COCALIN Number of CNEA laboratories with equipment and installed capacity for monitoring environmental parameters (including radiological) on water, soil and air samples, which are supervised by COCALIN Number of CNEA laboratories with equipment and installed capacity for monitoring environmental parameters (including radiological) on water, soil and air samples, which are supervised by COCALIN</w:t>
                  </w:r>
                  <w:r w:rsidRPr="0045063F">
                    <w:rPr>
                      <w:rFonts w:cstheme="minorHAnsi"/>
                      <w:b w:val="0"/>
                      <w:color w:val="auto"/>
                      <w:szCs w:val="22"/>
                    </w:rPr>
                    <w:t xml:space="preserve"> CNEA laboratories have been fully equipped and have installed capacity to monitor key environmental/radiological parameters on soil and water; (iv) six key training modules (in addition to technical assistance and capacity building workshops) have been delivered</w:t>
                  </w:r>
                  <w:r>
                    <w:rPr>
                      <w:rStyle w:val="FootnoteReference"/>
                      <w:rFonts w:cstheme="minorHAnsi"/>
                      <w:b w:val="0"/>
                      <w:color w:val="auto"/>
                      <w:szCs w:val="22"/>
                    </w:rPr>
                    <w:footnoteReference w:id="20"/>
                  </w:r>
                  <w:r w:rsidRPr="0045063F">
                    <w:rPr>
                      <w:rFonts w:cstheme="minorHAnsi"/>
                      <w:b w:val="0"/>
                      <w:color w:val="auto"/>
                      <w:szCs w:val="22"/>
                    </w:rPr>
                    <w:t xml:space="preserve">; (v) guidelines, manuals and monitoring protocols and plans developed (particularly manuals on the protocols for environmental quality monitoring, guidelines for quality assurance on the analysis of samples from the laboratories, manuals with protocols for the remediation of legacy sites which are consistent with IAEA standards); and (v) the SIGA was completed and is fully functional at PRAMU sites, providing live environmental and radiological data to decision makers. In addition, the project succeeded in undertaking some important communication campaigns and established a dialogue with local government on tailing remediation. The project also succeeded in placing the remediation of mining legacies in the priority list of local and provincial governments and they were exposed to international best practices to manage, monitor, and control these types of legacies </w:t>
                  </w:r>
                  <w:proofErr w:type="gramStart"/>
                  <w:r w:rsidRPr="0045063F">
                    <w:rPr>
                      <w:rFonts w:cstheme="minorHAnsi"/>
                      <w:b w:val="0"/>
                      <w:color w:val="auto"/>
                      <w:szCs w:val="22"/>
                    </w:rPr>
                    <w:t>in order to</w:t>
                  </w:r>
                  <w:proofErr w:type="gramEnd"/>
                  <w:r w:rsidRPr="0045063F">
                    <w:rPr>
                      <w:rFonts w:cstheme="minorHAnsi"/>
                      <w:b w:val="0"/>
                      <w:color w:val="auto"/>
                      <w:szCs w:val="22"/>
                    </w:rPr>
                    <w:t xml:space="preserve"> reduce their environmental impact and risk to public health.  </w:t>
                  </w:r>
                </w:p>
                <w:p w14:paraId="0FB9E655" w14:textId="77777777" w:rsidR="0045063F" w:rsidRPr="0045063F" w:rsidRDefault="0045063F" w:rsidP="0045063F">
                  <w:pPr>
                    <w:pStyle w:val="ListParagraph"/>
                    <w:widowControl/>
                    <w:spacing w:line="276" w:lineRule="auto"/>
                    <w:ind w:left="360"/>
                    <w:jc w:val="both"/>
                    <w:rPr>
                      <w:rFonts w:cstheme="minorHAnsi"/>
                      <w:b w:val="0"/>
                      <w:color w:val="auto"/>
                      <w:szCs w:val="22"/>
                    </w:rPr>
                  </w:pPr>
                </w:p>
                <w:p w14:paraId="69C60000" w14:textId="77777777" w:rsidR="0045063F" w:rsidRDefault="002C3F71" w:rsidP="0045063F">
                  <w:pPr>
                    <w:pStyle w:val="ListParagraph"/>
                    <w:widowControl/>
                    <w:numPr>
                      <w:ilvl w:val="0"/>
                      <w:numId w:val="21"/>
                    </w:numPr>
                    <w:spacing w:line="276" w:lineRule="auto"/>
                    <w:jc w:val="both"/>
                    <w:rPr>
                      <w:rFonts w:ascii="Calibri" w:hAnsi="Calibri" w:cs="Calibri"/>
                      <w:b w:val="0"/>
                      <w:color w:val="000000" w:themeColor="text1"/>
                      <w:szCs w:val="22"/>
                    </w:rPr>
                  </w:pPr>
                  <w:bookmarkStart w:id="33" w:name="_Hlk502152933"/>
                  <w:r w:rsidRPr="00196FEE">
                    <w:rPr>
                      <w:rFonts w:ascii="Calibri" w:hAnsi="Calibri" w:cs="Calibri"/>
                      <w:b w:val="0"/>
                      <w:color w:val="000000" w:themeColor="text1"/>
                      <w:szCs w:val="22"/>
                    </w:rPr>
                    <w:t xml:space="preserve">Even though CNEA was not able to </w:t>
                  </w:r>
                  <w:r w:rsidR="000F079A">
                    <w:rPr>
                      <w:rFonts w:ascii="Calibri" w:hAnsi="Calibri" w:cs="Calibri"/>
                      <w:b w:val="0"/>
                      <w:color w:val="000000" w:themeColor="text1"/>
                      <w:szCs w:val="22"/>
                    </w:rPr>
                    <w:t>establish</w:t>
                  </w:r>
                  <w:r w:rsidR="000F079A" w:rsidRPr="00196FEE">
                    <w:rPr>
                      <w:rFonts w:ascii="Calibri" w:hAnsi="Calibri" w:cs="Calibri"/>
                      <w:b w:val="0"/>
                      <w:color w:val="000000" w:themeColor="text1"/>
                      <w:szCs w:val="22"/>
                    </w:rPr>
                    <w:t xml:space="preserve"> </w:t>
                  </w:r>
                  <w:r w:rsidRPr="00196FEE">
                    <w:rPr>
                      <w:rFonts w:ascii="Calibri" w:hAnsi="Calibri" w:cs="Calibri"/>
                      <w:b w:val="0"/>
                      <w:color w:val="000000" w:themeColor="text1"/>
                      <w:szCs w:val="22"/>
                    </w:rPr>
                    <w:t xml:space="preserve">the proposed independent advisory panel </w:t>
                  </w:r>
                  <w:r w:rsidR="00530655">
                    <w:rPr>
                      <w:rFonts w:ascii="Calibri" w:hAnsi="Calibri" w:cs="Calibri"/>
                      <w:b w:val="0"/>
                      <w:color w:val="000000" w:themeColor="text1"/>
                      <w:szCs w:val="22"/>
                    </w:rPr>
                    <w:t xml:space="preserve">as initially planned </w:t>
                  </w:r>
                  <w:r w:rsidRPr="00196FEE">
                    <w:rPr>
                      <w:rFonts w:ascii="Calibri" w:hAnsi="Calibri" w:cs="Calibri"/>
                      <w:b w:val="0"/>
                      <w:color w:val="000000" w:themeColor="text1"/>
                      <w:szCs w:val="22"/>
                    </w:rPr>
                    <w:t xml:space="preserve">due to contractual regulations of the Ministry of Energy and Mines (initially the Ministry of Planning and Public Works) to which is affiliated, the overall capacity building at CNEA (and key provincial agencies) was not affected since  </w:t>
                  </w:r>
                  <w:r w:rsidR="00530655">
                    <w:rPr>
                      <w:rFonts w:ascii="Calibri" w:hAnsi="Calibri" w:cs="Calibri"/>
                      <w:b w:val="0"/>
                      <w:color w:val="000000" w:themeColor="text1"/>
                      <w:szCs w:val="22"/>
                    </w:rPr>
                    <w:t>through CNEA’s relationship with the IAEA (and through some financing from the Bank)</w:t>
                  </w:r>
                  <w:r w:rsidR="0027374A">
                    <w:rPr>
                      <w:rFonts w:ascii="Calibri" w:hAnsi="Calibri" w:cs="Calibri"/>
                      <w:b w:val="0"/>
                      <w:color w:val="000000" w:themeColor="text1"/>
                      <w:szCs w:val="22"/>
                    </w:rPr>
                    <w:t>, it</w:t>
                  </w:r>
                  <w:r w:rsidR="00530655">
                    <w:rPr>
                      <w:rFonts w:ascii="Calibri" w:hAnsi="Calibri" w:cs="Calibri"/>
                      <w:b w:val="0"/>
                      <w:color w:val="000000" w:themeColor="text1"/>
                      <w:szCs w:val="22"/>
                    </w:rPr>
                    <w:t xml:space="preserve"> </w:t>
                  </w:r>
                  <w:r w:rsidRPr="00196FEE">
                    <w:rPr>
                      <w:rFonts w:ascii="Calibri" w:hAnsi="Calibri" w:cs="Calibri"/>
                      <w:b w:val="0"/>
                      <w:color w:val="000000" w:themeColor="text1"/>
                      <w:szCs w:val="22"/>
                    </w:rPr>
                    <w:t xml:space="preserve">was able to arrange for its establishment with the participation of international and national experts at no cost to the project.  This panel was </w:t>
                  </w:r>
                  <w:r w:rsidR="00530655">
                    <w:rPr>
                      <w:rFonts w:ascii="Calibri" w:hAnsi="Calibri" w:cs="Calibri"/>
                      <w:b w:val="0"/>
                      <w:color w:val="000000" w:themeColor="text1"/>
                      <w:szCs w:val="22"/>
                    </w:rPr>
                    <w:t xml:space="preserve">therefore structured </w:t>
                  </w:r>
                  <w:r w:rsidRPr="00196FEE">
                    <w:rPr>
                      <w:rFonts w:ascii="Calibri" w:hAnsi="Calibri" w:cs="Calibri"/>
                      <w:b w:val="0"/>
                      <w:color w:val="000000" w:themeColor="text1"/>
                      <w:szCs w:val="22"/>
                    </w:rPr>
                    <w:t xml:space="preserve">by highly qualified international nuclear experts </w:t>
                  </w:r>
                  <w:r w:rsidR="000F079A">
                    <w:rPr>
                      <w:rFonts w:ascii="Calibri" w:hAnsi="Calibri" w:cs="Calibri"/>
                      <w:b w:val="0"/>
                      <w:color w:val="000000" w:themeColor="text1"/>
                      <w:szCs w:val="22"/>
                    </w:rPr>
                    <w:t>from</w:t>
                  </w:r>
                  <w:r w:rsidR="000F079A" w:rsidRPr="00196FEE">
                    <w:rPr>
                      <w:rFonts w:ascii="Calibri" w:hAnsi="Calibri" w:cs="Calibri"/>
                      <w:b w:val="0"/>
                      <w:color w:val="000000" w:themeColor="text1"/>
                      <w:szCs w:val="22"/>
                    </w:rPr>
                    <w:t xml:space="preserve"> </w:t>
                  </w:r>
                  <w:r w:rsidRPr="00196FEE">
                    <w:rPr>
                      <w:rFonts w:ascii="Calibri" w:hAnsi="Calibri" w:cs="Calibri"/>
                      <w:b w:val="0"/>
                      <w:color w:val="000000" w:themeColor="text1"/>
                      <w:szCs w:val="22"/>
                    </w:rPr>
                    <w:t xml:space="preserve">the International Atomic Energy Agency (IAEA) and Argentinian experts who agreed to work voluntarily to support the project.  The panel travelled and reported on its visit to </w:t>
                  </w:r>
                  <w:proofErr w:type="spellStart"/>
                  <w:r w:rsidR="00E52891">
                    <w:rPr>
                      <w:rFonts w:ascii="Calibri" w:hAnsi="Calibri" w:cs="Calibri"/>
                      <w:b w:val="0"/>
                      <w:color w:val="000000" w:themeColor="text1"/>
                      <w:szCs w:val="22"/>
                    </w:rPr>
                    <w:t>Malargüe</w:t>
                  </w:r>
                  <w:proofErr w:type="spellEnd"/>
                  <w:r w:rsidRPr="00196FEE">
                    <w:rPr>
                      <w:rFonts w:ascii="Calibri" w:hAnsi="Calibri" w:cs="Calibri"/>
                      <w:b w:val="0"/>
                      <w:color w:val="000000" w:themeColor="text1"/>
                      <w:szCs w:val="22"/>
                    </w:rPr>
                    <w:t xml:space="preserve"> and Los </w:t>
                  </w:r>
                  <w:proofErr w:type="spellStart"/>
                  <w:r w:rsidRPr="00196FEE">
                    <w:rPr>
                      <w:rFonts w:ascii="Calibri" w:hAnsi="Calibri" w:cs="Calibri"/>
                      <w:b w:val="0"/>
                      <w:color w:val="000000" w:themeColor="text1"/>
                      <w:szCs w:val="22"/>
                    </w:rPr>
                    <w:t>Gigantes</w:t>
                  </w:r>
                  <w:proofErr w:type="spellEnd"/>
                  <w:r w:rsidRPr="00196FEE">
                    <w:rPr>
                      <w:rFonts w:ascii="Calibri" w:hAnsi="Calibri" w:cs="Calibri"/>
                      <w:b w:val="0"/>
                      <w:color w:val="000000" w:themeColor="text1"/>
                      <w:szCs w:val="22"/>
                    </w:rPr>
                    <w:t xml:space="preserve">, another site requiring remediation. </w:t>
                  </w:r>
                  <w:proofErr w:type="gramStart"/>
                  <w:r w:rsidRPr="00196FEE">
                    <w:rPr>
                      <w:rFonts w:ascii="Calibri" w:hAnsi="Calibri" w:cs="Calibri"/>
                      <w:b w:val="0"/>
                      <w:color w:val="000000" w:themeColor="text1"/>
                      <w:szCs w:val="22"/>
                    </w:rPr>
                    <w:t>In particular, the</w:t>
                  </w:r>
                  <w:proofErr w:type="gramEnd"/>
                  <w:r w:rsidRPr="00196FEE">
                    <w:rPr>
                      <w:rFonts w:ascii="Calibri" w:hAnsi="Calibri" w:cs="Calibri"/>
                      <w:b w:val="0"/>
                      <w:color w:val="000000" w:themeColor="text1"/>
                      <w:szCs w:val="22"/>
                    </w:rPr>
                    <w:t xml:space="preserve"> panel provided valuable feedback and technical advice on the work at </w:t>
                  </w:r>
                  <w:proofErr w:type="spellStart"/>
                  <w:r w:rsidR="00E52891">
                    <w:rPr>
                      <w:rFonts w:ascii="Calibri" w:hAnsi="Calibri" w:cs="Calibri"/>
                      <w:b w:val="0"/>
                      <w:color w:val="000000" w:themeColor="text1"/>
                      <w:szCs w:val="22"/>
                    </w:rPr>
                    <w:t>Malargüe</w:t>
                  </w:r>
                  <w:proofErr w:type="spellEnd"/>
                  <w:r w:rsidRPr="00196FEE">
                    <w:rPr>
                      <w:rFonts w:ascii="Calibri" w:hAnsi="Calibri" w:cs="Calibri"/>
                      <w:b w:val="0"/>
                      <w:color w:val="000000" w:themeColor="text1"/>
                      <w:szCs w:val="22"/>
                    </w:rPr>
                    <w:t xml:space="preserve"> and for future remediation works elsewhere.  The IAEA has also been involved in training activities and other efforts to strengthen the capacity of the provinces to monitor and remediate the uranium legacy sites in the country.  </w:t>
                  </w:r>
                </w:p>
                <w:bookmarkEnd w:id="33"/>
                <w:p w14:paraId="6BFAF7E2" w14:textId="77777777" w:rsidR="0045063F" w:rsidRPr="0045063F" w:rsidRDefault="0045063F" w:rsidP="0045063F">
                  <w:pPr>
                    <w:pStyle w:val="ListParagraph"/>
                    <w:rPr>
                      <w:rFonts w:ascii="Calibri" w:hAnsi="Calibri" w:cs="Calibri"/>
                      <w:b w:val="0"/>
                      <w:color w:val="000000" w:themeColor="text1"/>
                      <w:szCs w:val="22"/>
                    </w:rPr>
                  </w:pPr>
                </w:p>
                <w:p w14:paraId="16048AEC" w14:textId="77777777" w:rsidR="0045063F" w:rsidRPr="00F8554B" w:rsidRDefault="002C3F71" w:rsidP="0045063F">
                  <w:pPr>
                    <w:pStyle w:val="ListParagraph"/>
                    <w:widowControl/>
                    <w:numPr>
                      <w:ilvl w:val="0"/>
                      <w:numId w:val="21"/>
                    </w:numPr>
                    <w:spacing w:line="276" w:lineRule="auto"/>
                    <w:jc w:val="both"/>
                    <w:rPr>
                      <w:rFonts w:cstheme="minorHAnsi"/>
                      <w:b w:val="0"/>
                      <w:color w:val="auto"/>
                      <w:szCs w:val="22"/>
                    </w:rPr>
                  </w:pPr>
                  <w:proofErr w:type="gramStart"/>
                  <w:r w:rsidRPr="00196FEE">
                    <w:rPr>
                      <w:rFonts w:ascii="Calibri" w:hAnsi="Calibri" w:cs="Calibri"/>
                      <w:b w:val="0"/>
                      <w:color w:val="000000" w:themeColor="text1"/>
                      <w:szCs w:val="22"/>
                    </w:rPr>
                    <w:t>According to</w:t>
                  </w:r>
                  <w:proofErr w:type="gramEnd"/>
                  <w:r w:rsidRPr="00196FEE">
                    <w:rPr>
                      <w:rFonts w:ascii="Calibri" w:hAnsi="Calibri" w:cs="Calibri"/>
                      <w:b w:val="0"/>
                      <w:color w:val="000000" w:themeColor="text1"/>
                      <w:szCs w:val="22"/>
                    </w:rPr>
                    <w:t xml:space="preserve"> </w:t>
                  </w:r>
                  <w:r>
                    <w:rPr>
                      <w:rFonts w:ascii="Calibri" w:hAnsi="Calibri" w:cs="Calibri"/>
                      <w:b w:val="0"/>
                      <w:color w:val="000000" w:themeColor="text1"/>
                      <w:szCs w:val="22"/>
                    </w:rPr>
                    <w:t xml:space="preserve">an </w:t>
                  </w:r>
                  <w:r w:rsidRPr="00196FEE">
                    <w:rPr>
                      <w:rFonts w:ascii="Calibri" w:hAnsi="Calibri" w:cs="Calibri"/>
                      <w:b w:val="0"/>
                      <w:color w:val="000000" w:themeColor="text1"/>
                      <w:szCs w:val="22"/>
                    </w:rPr>
                    <w:t>IAEA expert</w:t>
                  </w:r>
                  <w:r>
                    <w:rPr>
                      <w:rFonts w:ascii="Calibri" w:hAnsi="Calibri" w:cs="Calibri"/>
                      <w:b w:val="0"/>
                      <w:color w:val="000000" w:themeColor="text1"/>
                      <w:szCs w:val="22"/>
                    </w:rPr>
                    <w:t xml:space="preserve"> mission report (April 2016) that assessed the project’s progress</w:t>
                  </w:r>
                  <w:r w:rsidR="0027374A">
                    <w:rPr>
                      <w:rFonts w:ascii="Calibri" w:hAnsi="Calibri" w:cs="Calibri"/>
                      <w:b w:val="0"/>
                      <w:color w:val="000000" w:themeColor="text1"/>
                      <w:szCs w:val="22"/>
                    </w:rPr>
                    <w:t>,</w:t>
                  </w:r>
                  <w:r w:rsidR="0044009B">
                    <w:rPr>
                      <w:rFonts w:ascii="Calibri" w:hAnsi="Calibri" w:cs="Calibri"/>
                      <w:b w:val="0"/>
                      <w:color w:val="000000" w:themeColor="text1"/>
                      <w:szCs w:val="22"/>
                    </w:rPr>
                    <w:t xml:space="preserve"> </w:t>
                  </w:r>
                  <w:r>
                    <w:rPr>
                      <w:rFonts w:ascii="Calibri" w:hAnsi="Calibri" w:cs="Calibri"/>
                      <w:b w:val="0"/>
                      <w:color w:val="000000" w:themeColor="text1"/>
                      <w:szCs w:val="22"/>
                    </w:rPr>
                    <w:t xml:space="preserve">CNEA has followed and adopted </w:t>
                  </w:r>
                  <w:r w:rsidRPr="00196FEE">
                    <w:rPr>
                      <w:rFonts w:ascii="Calibri" w:hAnsi="Calibri" w:cs="Calibri"/>
                      <w:b w:val="0"/>
                      <w:color w:val="000000" w:themeColor="text1"/>
                      <w:szCs w:val="22"/>
                    </w:rPr>
                    <w:t xml:space="preserve">international </w:t>
                  </w:r>
                  <w:r>
                    <w:rPr>
                      <w:rFonts w:ascii="Calibri" w:hAnsi="Calibri" w:cs="Calibri"/>
                      <w:b w:val="0"/>
                      <w:color w:val="000000" w:themeColor="text1"/>
                      <w:szCs w:val="22"/>
                    </w:rPr>
                    <w:t xml:space="preserve">standards and </w:t>
                  </w:r>
                  <w:r w:rsidRPr="00196FEE">
                    <w:rPr>
                      <w:rFonts w:ascii="Calibri" w:hAnsi="Calibri" w:cs="Calibri"/>
                      <w:b w:val="0"/>
                      <w:color w:val="000000" w:themeColor="text1"/>
                      <w:szCs w:val="22"/>
                    </w:rPr>
                    <w:t xml:space="preserve">best practices. </w:t>
                  </w:r>
                  <w:r>
                    <w:rPr>
                      <w:rFonts w:ascii="Calibri" w:hAnsi="Calibri" w:cs="Calibri"/>
                      <w:b w:val="0"/>
                      <w:color w:val="000000" w:themeColor="text1"/>
                      <w:szCs w:val="22"/>
                    </w:rPr>
                    <w:t xml:space="preserve">The IAEA experts also recognized the overall level of expertise acquired by CNEA specialists not only in the implementation of the remediation plan at </w:t>
                  </w:r>
                  <w:proofErr w:type="spellStart"/>
                  <w:r w:rsidR="00E52891">
                    <w:rPr>
                      <w:rFonts w:ascii="Calibri" w:hAnsi="Calibri" w:cs="Calibri"/>
                      <w:b w:val="0"/>
                      <w:color w:val="000000" w:themeColor="text1"/>
                      <w:szCs w:val="22"/>
                    </w:rPr>
                    <w:t>Malargüe</w:t>
                  </w:r>
                  <w:proofErr w:type="spellEnd"/>
                  <w:r>
                    <w:rPr>
                      <w:rFonts w:ascii="Calibri" w:hAnsi="Calibri" w:cs="Calibri"/>
                      <w:b w:val="0"/>
                      <w:color w:val="000000" w:themeColor="text1"/>
                      <w:szCs w:val="22"/>
                    </w:rPr>
                    <w:t xml:space="preserve">, but in its ability to characterize, control and identify options to the legacy sites. </w:t>
                  </w:r>
                  <w:r>
                    <w:rPr>
                      <w:rFonts w:cstheme="minorHAnsi"/>
                      <w:b w:val="0"/>
                      <w:color w:val="auto"/>
                      <w:szCs w:val="22"/>
                    </w:rPr>
                    <w:t xml:space="preserve"> </w:t>
                  </w:r>
                  <w:r w:rsidRPr="00340766">
                    <w:rPr>
                      <w:rFonts w:cstheme="minorHAnsi"/>
                      <w:b w:val="0"/>
                      <w:color w:val="auto"/>
                      <w:szCs w:val="22"/>
                    </w:rPr>
                    <w:t xml:space="preserve">At the end of the project, CNEA and provincial agencies (where legacies are located) are better prepared to address the environmental challenges from uranium mining legacies and, as evidenced by the works at </w:t>
                  </w:r>
                  <w:proofErr w:type="spellStart"/>
                  <w:r w:rsidR="00E52891">
                    <w:rPr>
                      <w:rFonts w:cstheme="minorHAnsi"/>
                      <w:b w:val="0"/>
                      <w:color w:val="auto"/>
                      <w:szCs w:val="22"/>
                    </w:rPr>
                    <w:t>Malargüe</w:t>
                  </w:r>
                  <w:proofErr w:type="spellEnd"/>
                  <w:r w:rsidRPr="00340766">
                    <w:rPr>
                      <w:rFonts w:cstheme="minorHAnsi"/>
                      <w:b w:val="0"/>
                      <w:color w:val="auto"/>
                      <w:szCs w:val="22"/>
                    </w:rPr>
                    <w:t xml:space="preserve">, </w:t>
                  </w:r>
                  <w:r w:rsidR="0027374A">
                    <w:rPr>
                      <w:rFonts w:cstheme="minorHAnsi"/>
                      <w:b w:val="0"/>
                      <w:color w:val="auto"/>
                      <w:szCs w:val="22"/>
                    </w:rPr>
                    <w:t>have the</w:t>
                  </w:r>
                  <w:r w:rsidRPr="00340766">
                    <w:rPr>
                      <w:rFonts w:cstheme="minorHAnsi"/>
                      <w:b w:val="0"/>
                      <w:color w:val="auto"/>
                      <w:szCs w:val="22"/>
                    </w:rPr>
                    <w:t xml:space="preserve"> capacity to undertake remediation activities, which in turn</w:t>
                  </w:r>
                  <w:r>
                    <w:rPr>
                      <w:rFonts w:cstheme="minorHAnsi"/>
                      <w:b w:val="0"/>
                      <w:color w:val="auto"/>
                      <w:szCs w:val="22"/>
                    </w:rPr>
                    <w:t xml:space="preserve"> can </w:t>
                  </w:r>
                  <w:r w:rsidRPr="00340766">
                    <w:rPr>
                      <w:rFonts w:cstheme="minorHAnsi"/>
                      <w:b w:val="0"/>
                      <w:color w:val="auto"/>
                      <w:szCs w:val="22"/>
                    </w:rPr>
                    <w:t xml:space="preserve">contribute to improving </w:t>
                  </w:r>
                  <w:r>
                    <w:rPr>
                      <w:rFonts w:cstheme="minorHAnsi"/>
                      <w:b w:val="0"/>
                      <w:color w:val="auto"/>
                      <w:szCs w:val="22"/>
                    </w:rPr>
                    <w:t xml:space="preserve">overall </w:t>
                  </w:r>
                  <w:r w:rsidRPr="00340766">
                    <w:rPr>
                      <w:rFonts w:cstheme="minorHAnsi"/>
                      <w:b w:val="0"/>
                      <w:color w:val="auto"/>
                      <w:szCs w:val="22"/>
                    </w:rPr>
                    <w:t>public confidence</w:t>
                  </w:r>
                  <w:r w:rsidR="0027374A">
                    <w:rPr>
                      <w:rFonts w:cstheme="minorHAnsi"/>
                      <w:b w:val="0"/>
                      <w:color w:val="auto"/>
                      <w:szCs w:val="22"/>
                    </w:rPr>
                    <w:t xml:space="preserve"> in carrying out its responsibilities</w:t>
                  </w:r>
                  <w:r w:rsidRPr="00340766">
                    <w:rPr>
                      <w:rFonts w:cstheme="minorHAnsi"/>
                      <w:b w:val="0"/>
                      <w:color w:val="auto"/>
                      <w:szCs w:val="22"/>
                    </w:rPr>
                    <w:t xml:space="preserve">.   </w:t>
                  </w:r>
                </w:p>
                <w:p w14:paraId="47522FEA" w14:textId="77777777" w:rsidR="0045063F" w:rsidRPr="0045063F" w:rsidRDefault="0045063F" w:rsidP="0045063F">
                  <w:pPr>
                    <w:pStyle w:val="ListParagraph"/>
                    <w:widowControl/>
                    <w:spacing w:line="276" w:lineRule="auto"/>
                    <w:ind w:left="360"/>
                    <w:jc w:val="both"/>
                    <w:rPr>
                      <w:rFonts w:ascii="Calibri" w:hAnsi="Calibri" w:cs="Calibri"/>
                      <w:b w:val="0"/>
                      <w:color w:val="000000" w:themeColor="text1"/>
                      <w:szCs w:val="22"/>
                    </w:rPr>
                  </w:pPr>
                </w:p>
                <w:p w14:paraId="3704F5FB" w14:textId="77777777" w:rsidR="00757A64" w:rsidRPr="00CE3621" w:rsidRDefault="002C3F71" w:rsidP="00173499">
                  <w:pPr>
                    <w:ind w:left="230"/>
                    <w:jc w:val="both"/>
                    <w:rPr>
                      <w:rFonts w:asciiTheme="minorHAnsi" w:hAnsiTheme="minorHAnsi" w:cstheme="minorHAnsi"/>
                      <w:sz w:val="22"/>
                      <w:szCs w:val="22"/>
                    </w:rPr>
                  </w:pPr>
                  <w:r w:rsidRPr="00CE3621">
                    <w:rPr>
                      <w:rFonts w:asciiTheme="minorHAnsi" w:eastAsiaTheme="minorHAnsi" w:hAnsiTheme="minorHAnsi" w:cstheme="minorHAnsi"/>
                      <w:color w:val="000000" w:themeColor="text1"/>
                      <w:sz w:val="22"/>
                      <w:szCs w:val="22"/>
                    </w:rPr>
                    <w:t xml:space="preserve">Objective 2: </w:t>
                  </w:r>
                  <w:r w:rsidR="002F518C" w:rsidRPr="00CD2A9A">
                    <w:rPr>
                      <w:rFonts w:asciiTheme="minorHAnsi" w:eastAsiaTheme="minorHAnsi" w:hAnsiTheme="minorHAnsi" w:cstheme="minorHAnsi"/>
                      <w:b/>
                      <w:color w:val="000000" w:themeColor="text1"/>
                      <w:sz w:val="22"/>
                      <w:szCs w:val="22"/>
                    </w:rPr>
                    <w:t xml:space="preserve">Reduce potential economic and health damages associated with </w:t>
                  </w:r>
                  <w:r w:rsidR="002F518C">
                    <w:rPr>
                      <w:rFonts w:asciiTheme="minorHAnsi" w:eastAsiaTheme="minorHAnsi" w:hAnsiTheme="minorHAnsi" w:cstheme="minorHAnsi"/>
                      <w:b/>
                      <w:color w:val="000000" w:themeColor="text1"/>
                      <w:sz w:val="22"/>
                      <w:szCs w:val="22"/>
                    </w:rPr>
                    <w:t xml:space="preserve">the </w:t>
                  </w:r>
                  <w:proofErr w:type="spellStart"/>
                  <w:r w:rsidR="00E52891">
                    <w:rPr>
                      <w:rFonts w:asciiTheme="minorHAnsi" w:eastAsiaTheme="minorHAnsi" w:hAnsiTheme="minorHAnsi" w:cstheme="minorHAnsi"/>
                      <w:b/>
                      <w:color w:val="000000" w:themeColor="text1"/>
                      <w:sz w:val="22"/>
                      <w:szCs w:val="22"/>
                    </w:rPr>
                    <w:t>Malargüe</w:t>
                  </w:r>
                  <w:proofErr w:type="spellEnd"/>
                  <w:r w:rsidR="002F518C">
                    <w:rPr>
                      <w:rFonts w:asciiTheme="minorHAnsi" w:eastAsiaTheme="minorHAnsi" w:hAnsiTheme="minorHAnsi" w:cstheme="minorHAnsi"/>
                      <w:b/>
                      <w:color w:val="000000" w:themeColor="text1"/>
                      <w:sz w:val="22"/>
                      <w:szCs w:val="22"/>
                    </w:rPr>
                    <w:t xml:space="preserve"> </w:t>
                  </w:r>
                  <w:r w:rsidR="002F518C" w:rsidRPr="00CD2A9A">
                    <w:rPr>
                      <w:rFonts w:asciiTheme="minorHAnsi" w:eastAsiaTheme="minorHAnsi" w:hAnsiTheme="minorHAnsi" w:cstheme="minorHAnsi"/>
                      <w:b/>
                      <w:color w:val="000000" w:themeColor="text1"/>
                      <w:sz w:val="22"/>
                      <w:szCs w:val="22"/>
                    </w:rPr>
                    <w:t>site</w:t>
                  </w:r>
                  <w:r w:rsidR="002F518C">
                    <w:rPr>
                      <w:rFonts w:asciiTheme="minorHAnsi" w:eastAsiaTheme="minorHAnsi" w:hAnsiTheme="minorHAnsi" w:cstheme="minorHAnsi"/>
                      <w:b/>
                      <w:color w:val="000000" w:themeColor="text1"/>
                      <w:sz w:val="22"/>
                      <w:szCs w:val="22"/>
                    </w:rPr>
                    <w:t>.</w:t>
                  </w:r>
                </w:p>
              </w:tc>
            </w:tr>
          </w:tbl>
          <w:p w14:paraId="1F2EA2BC" w14:textId="77777777" w:rsidR="00757A64" w:rsidRPr="009E631B" w:rsidRDefault="00757A64" w:rsidP="00173499">
            <w:pPr>
              <w:keepNext/>
              <w:rPr>
                <w:rFonts w:asciiTheme="minorHAnsi" w:hAnsiTheme="minorHAnsi"/>
                <w:bCs/>
                <w:color w:val="auto"/>
                <w:sz w:val="22"/>
                <w:szCs w:val="22"/>
              </w:rPr>
            </w:pPr>
          </w:p>
          <w:tbl>
            <w:tblPr>
              <w:tblW w:w="1098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7FE70096" w14:textId="77777777" w:rsidTr="00173499">
              <w:trPr>
                <w:trHeight w:val="297"/>
              </w:trPr>
              <w:tc>
                <w:tcPr>
                  <w:tcW w:w="10980" w:type="dxa"/>
                  <w:shd w:val="clear" w:color="auto" w:fill="auto"/>
                  <w:vAlign w:val="center"/>
                </w:tcPr>
                <w:p w14:paraId="5B25D38C" w14:textId="77777777" w:rsidR="00B13D26" w:rsidRDefault="002C3F71" w:rsidP="00B13D26">
                  <w:pPr>
                    <w:pStyle w:val="ListParagraph"/>
                    <w:widowControl/>
                    <w:numPr>
                      <w:ilvl w:val="0"/>
                      <w:numId w:val="21"/>
                    </w:numPr>
                    <w:spacing w:line="276" w:lineRule="auto"/>
                    <w:jc w:val="both"/>
                    <w:rPr>
                      <w:rFonts w:ascii="Calibri" w:hAnsi="Calibri" w:cs="Calibri"/>
                      <w:b w:val="0"/>
                      <w:color w:val="000000" w:themeColor="text1"/>
                      <w:szCs w:val="22"/>
                    </w:rPr>
                  </w:pPr>
                  <w:r w:rsidRPr="00161F1A">
                    <w:rPr>
                      <w:rFonts w:ascii="Calibri" w:hAnsi="Calibri" w:cs="Calibri"/>
                      <w:b w:val="0"/>
                      <w:color w:val="000000" w:themeColor="text1"/>
                      <w:szCs w:val="22"/>
                    </w:rPr>
                    <w:t xml:space="preserve">Achievement of this objective is rated </w:t>
                  </w:r>
                  <w:r w:rsidR="008E61FC">
                    <w:rPr>
                      <w:rFonts w:ascii="Calibri" w:hAnsi="Calibri" w:cs="Calibri"/>
                      <w:color w:val="000000" w:themeColor="text1"/>
                      <w:szCs w:val="22"/>
                    </w:rPr>
                    <w:t>Substantial</w:t>
                  </w:r>
                  <w:r w:rsidRPr="00161F1A">
                    <w:rPr>
                      <w:rFonts w:ascii="Calibri" w:hAnsi="Calibri" w:cs="Calibri"/>
                      <w:b w:val="0"/>
                      <w:color w:val="000000" w:themeColor="text1"/>
                      <w:szCs w:val="22"/>
                    </w:rPr>
                    <w:t>. Baseline reports undertaken during project preparation (December 2006) revealed that radon exposure from plumes of the untreated uranium tails could reach as far as 2.5 km</w:t>
                  </w:r>
                  <w:r>
                    <w:rPr>
                      <w:rFonts w:ascii="Calibri" w:hAnsi="Calibri" w:cs="Calibri"/>
                      <w:b w:val="0"/>
                      <w:color w:val="000000" w:themeColor="text1"/>
                      <w:szCs w:val="22"/>
                    </w:rPr>
                    <w:t xml:space="preserve"> (</w:t>
                  </w:r>
                  <w:r w:rsidRPr="000B1AA5">
                    <w:rPr>
                      <w:rFonts w:ascii="Calibri" w:hAnsi="Calibri" w:cs="Calibri"/>
                      <w:b w:val="0"/>
                      <w:color w:val="000000" w:themeColor="text1"/>
                      <w:szCs w:val="22"/>
                    </w:rPr>
                    <w:t>About 70% of the town’s population resides within 6 km of the tailings</w:t>
                  </w:r>
                  <w:r>
                    <w:rPr>
                      <w:rFonts w:ascii="Calibri" w:hAnsi="Calibri" w:cs="Calibri"/>
                      <w:b w:val="0"/>
                      <w:color w:val="000000" w:themeColor="text1"/>
                      <w:szCs w:val="22"/>
                    </w:rPr>
                    <w:t>)</w:t>
                  </w:r>
                  <w:r>
                    <w:rPr>
                      <w:rStyle w:val="FootnoteReference"/>
                      <w:rFonts w:ascii="Calibri" w:hAnsi="Calibri" w:cs="Calibri"/>
                      <w:b w:val="0"/>
                      <w:color w:val="000000" w:themeColor="text1"/>
                      <w:szCs w:val="22"/>
                    </w:rPr>
                    <w:footnoteReference w:id="21"/>
                  </w:r>
                  <w:r w:rsidRPr="00161F1A">
                    <w:rPr>
                      <w:rFonts w:ascii="Calibri" w:hAnsi="Calibri" w:cs="Calibri"/>
                      <w:b w:val="0"/>
                      <w:color w:val="000000" w:themeColor="text1"/>
                      <w:szCs w:val="22"/>
                    </w:rPr>
                    <w:t>.  These studies also indicate that the population directly exposed to the site and its plume could be at risk of gamma ray radiation and contamination from Radon 222 inhalation</w:t>
                  </w:r>
                  <w:r>
                    <w:rPr>
                      <w:rStyle w:val="FootnoteReference"/>
                      <w:rFonts w:ascii="Calibri" w:hAnsi="Calibri" w:cs="Calibri"/>
                      <w:b w:val="0"/>
                      <w:color w:val="000000" w:themeColor="text1"/>
                      <w:szCs w:val="22"/>
                    </w:rPr>
                    <w:footnoteReference w:id="22"/>
                  </w:r>
                  <w:r w:rsidRPr="00161F1A">
                    <w:rPr>
                      <w:rFonts w:ascii="Calibri" w:hAnsi="Calibri" w:cs="Calibri"/>
                      <w:b w:val="0"/>
                      <w:color w:val="000000" w:themeColor="text1"/>
                      <w:szCs w:val="22"/>
                    </w:rPr>
                    <w:t xml:space="preserve">.  </w:t>
                  </w:r>
                  <w:r>
                    <w:rPr>
                      <w:rFonts w:ascii="Calibri" w:hAnsi="Calibri" w:cs="Calibri"/>
                      <w:b w:val="0"/>
                      <w:color w:val="000000" w:themeColor="text1"/>
                      <w:szCs w:val="22"/>
                    </w:rPr>
                    <w:t xml:space="preserve">The report concluded that </w:t>
                  </w:r>
                  <w:r w:rsidRPr="00446632">
                    <w:rPr>
                      <w:rFonts w:ascii="Calibri" w:hAnsi="Calibri" w:cs="Calibri"/>
                      <w:b w:val="0"/>
                      <w:color w:val="000000" w:themeColor="text1"/>
                      <w:szCs w:val="22"/>
                    </w:rPr>
                    <w:t xml:space="preserve">the tailings emit </w:t>
                  </w:r>
                  <w:r w:rsidR="00376FAB">
                    <w:rPr>
                      <w:rFonts w:ascii="Calibri" w:hAnsi="Calibri" w:cs="Calibri"/>
                      <w:b w:val="0"/>
                      <w:color w:val="000000" w:themeColor="text1"/>
                      <w:szCs w:val="22"/>
                    </w:rPr>
                    <w:t>R</w:t>
                  </w:r>
                  <w:r w:rsidRPr="00446632">
                    <w:rPr>
                      <w:rFonts w:ascii="Calibri" w:hAnsi="Calibri" w:cs="Calibri"/>
                      <w:b w:val="0"/>
                      <w:color w:val="000000" w:themeColor="text1"/>
                      <w:szCs w:val="22"/>
                    </w:rPr>
                    <w:t xml:space="preserve">adon and Gamma radiation at levels that </w:t>
                  </w:r>
                  <w:r>
                    <w:rPr>
                      <w:rFonts w:ascii="Calibri" w:hAnsi="Calibri" w:cs="Calibri"/>
                      <w:b w:val="0"/>
                      <w:color w:val="000000" w:themeColor="text1"/>
                      <w:szCs w:val="22"/>
                    </w:rPr>
                    <w:t xml:space="preserve">if </w:t>
                  </w:r>
                  <w:r w:rsidRPr="00446632">
                    <w:rPr>
                      <w:rFonts w:ascii="Calibri" w:hAnsi="Calibri" w:cs="Calibri"/>
                      <w:b w:val="0"/>
                      <w:color w:val="000000" w:themeColor="text1"/>
                      <w:szCs w:val="22"/>
                    </w:rPr>
                    <w:t>a</w:t>
                  </w:r>
                  <w:r>
                    <w:rPr>
                      <w:rFonts w:ascii="Calibri" w:hAnsi="Calibri" w:cs="Calibri"/>
                      <w:b w:val="0"/>
                      <w:color w:val="000000" w:themeColor="text1"/>
                      <w:szCs w:val="22"/>
                    </w:rPr>
                    <w:t xml:space="preserve"> </w:t>
                  </w:r>
                  <w:r w:rsidRPr="00446632">
                    <w:rPr>
                      <w:rFonts w:ascii="Calibri" w:hAnsi="Calibri" w:cs="Calibri"/>
                      <w:b w:val="0"/>
                      <w:color w:val="000000" w:themeColor="text1"/>
                      <w:szCs w:val="22"/>
                    </w:rPr>
                    <w:t xml:space="preserve">hypothetical group </w:t>
                  </w:r>
                  <w:r>
                    <w:rPr>
                      <w:rFonts w:ascii="Calibri" w:hAnsi="Calibri" w:cs="Calibri"/>
                      <w:b w:val="0"/>
                      <w:color w:val="000000" w:themeColor="text1"/>
                      <w:szCs w:val="22"/>
                    </w:rPr>
                    <w:t xml:space="preserve">would be </w:t>
                  </w:r>
                  <w:r w:rsidRPr="00446632">
                    <w:rPr>
                      <w:rFonts w:ascii="Calibri" w:hAnsi="Calibri" w:cs="Calibri"/>
                      <w:b w:val="0"/>
                      <w:color w:val="000000" w:themeColor="text1"/>
                      <w:szCs w:val="22"/>
                    </w:rPr>
                    <w:t>residing permanently at the perimeter of the site</w:t>
                  </w:r>
                  <w:r w:rsidR="007C278B">
                    <w:rPr>
                      <w:rFonts w:ascii="Calibri" w:hAnsi="Calibri" w:cs="Calibri"/>
                      <w:b w:val="0"/>
                      <w:color w:val="000000" w:themeColor="text1"/>
                      <w:szCs w:val="22"/>
                    </w:rPr>
                    <w:t>,</w:t>
                  </w:r>
                  <w:r w:rsidRPr="00446632">
                    <w:rPr>
                      <w:rFonts w:ascii="Calibri" w:hAnsi="Calibri" w:cs="Calibri"/>
                      <w:b w:val="0"/>
                      <w:color w:val="000000" w:themeColor="text1"/>
                      <w:szCs w:val="22"/>
                    </w:rPr>
                    <w:t xml:space="preserve"> </w:t>
                  </w:r>
                  <w:r>
                    <w:rPr>
                      <w:rFonts w:ascii="Calibri" w:hAnsi="Calibri" w:cs="Calibri"/>
                      <w:b w:val="0"/>
                      <w:color w:val="000000" w:themeColor="text1"/>
                      <w:szCs w:val="22"/>
                    </w:rPr>
                    <w:t xml:space="preserve">would be exposed </w:t>
                  </w:r>
                  <w:r w:rsidRPr="00446632">
                    <w:rPr>
                      <w:rFonts w:ascii="Calibri" w:hAnsi="Calibri" w:cs="Calibri"/>
                      <w:b w:val="0"/>
                      <w:color w:val="000000" w:themeColor="text1"/>
                      <w:szCs w:val="22"/>
                    </w:rPr>
                    <w:t>to unallowable</w:t>
                  </w:r>
                  <w:r>
                    <w:rPr>
                      <w:rFonts w:ascii="Calibri" w:hAnsi="Calibri" w:cs="Calibri"/>
                      <w:b w:val="0"/>
                      <w:color w:val="000000" w:themeColor="text1"/>
                      <w:szCs w:val="22"/>
                    </w:rPr>
                    <w:t xml:space="preserve"> </w:t>
                  </w:r>
                  <w:r w:rsidRPr="00B13D26">
                    <w:rPr>
                      <w:rFonts w:ascii="Calibri" w:hAnsi="Calibri" w:cs="Calibri"/>
                      <w:b w:val="0"/>
                      <w:color w:val="000000" w:themeColor="text1"/>
                      <w:szCs w:val="22"/>
                    </w:rPr>
                    <w:t xml:space="preserve">doses. Likewise, if a hypothetical population group resided permanently at the site’s perimeter it would be exposed to an annual radon dose of 5-6 </w:t>
                  </w:r>
                  <w:proofErr w:type="spellStart"/>
                  <w:r w:rsidRPr="00B13D26">
                    <w:rPr>
                      <w:rFonts w:ascii="Calibri" w:hAnsi="Calibri" w:cs="Calibri"/>
                      <w:b w:val="0"/>
                      <w:color w:val="000000" w:themeColor="text1"/>
                      <w:szCs w:val="22"/>
                    </w:rPr>
                    <w:t>mSv</w:t>
                  </w:r>
                  <w:proofErr w:type="spellEnd"/>
                  <w:r w:rsidRPr="00B13D26">
                    <w:rPr>
                      <w:rFonts w:ascii="Calibri" w:hAnsi="Calibri" w:cs="Calibri"/>
                      <w:b w:val="0"/>
                      <w:color w:val="000000" w:themeColor="text1"/>
                      <w:szCs w:val="22"/>
                    </w:rPr>
                    <w:t>/year</w:t>
                  </w:r>
                  <w:r>
                    <w:rPr>
                      <w:rStyle w:val="FootnoteReference"/>
                      <w:rFonts w:ascii="Calibri" w:hAnsi="Calibri" w:cs="Calibri"/>
                      <w:b w:val="0"/>
                      <w:color w:val="000000" w:themeColor="text1"/>
                      <w:szCs w:val="22"/>
                    </w:rPr>
                    <w:footnoteReference w:id="23"/>
                  </w:r>
                  <w:r w:rsidRPr="00B13D26">
                    <w:rPr>
                      <w:rFonts w:ascii="Calibri" w:hAnsi="Calibri" w:cs="Calibri"/>
                      <w:b w:val="0"/>
                      <w:color w:val="000000" w:themeColor="text1"/>
                      <w:szCs w:val="22"/>
                    </w:rPr>
                    <w:t xml:space="preserve">. The study also disclosed that that surface and shallow groundwater systems, had traces of uranium contamination from the untreated tailings, and at the NE part of the site have been contaminated by anions and cations leached from the tailings, and the evaporation of this water from the seasonal marsh skirting the tailings caused a buildup of soil salinity and uranium contents.  These studies basically concluded that the radioactive residues at </w:t>
                  </w:r>
                  <w:proofErr w:type="spellStart"/>
                  <w:r w:rsidR="00E52891">
                    <w:rPr>
                      <w:rFonts w:ascii="Calibri" w:hAnsi="Calibri" w:cs="Calibri"/>
                      <w:b w:val="0"/>
                      <w:color w:val="000000" w:themeColor="text1"/>
                      <w:szCs w:val="22"/>
                    </w:rPr>
                    <w:t>Malargüe</w:t>
                  </w:r>
                  <w:proofErr w:type="spellEnd"/>
                  <w:r w:rsidRPr="00B13D26">
                    <w:rPr>
                      <w:rFonts w:ascii="Calibri" w:hAnsi="Calibri" w:cs="Calibri"/>
                      <w:b w:val="0"/>
                      <w:color w:val="000000" w:themeColor="text1"/>
                      <w:szCs w:val="22"/>
                    </w:rPr>
                    <w:t xml:space="preserve"> would pose a radiological risk only to a hypothetical group that would choose to live in proximity or at the site’s perimeter, but not to occasional visitors.  On the other hand, </w:t>
                  </w:r>
                  <w:proofErr w:type="gramStart"/>
                  <w:r w:rsidRPr="00B13D26">
                    <w:rPr>
                      <w:rFonts w:ascii="Calibri" w:hAnsi="Calibri" w:cs="Calibri"/>
                      <w:b w:val="0"/>
                      <w:color w:val="000000" w:themeColor="text1"/>
                      <w:szCs w:val="22"/>
                    </w:rPr>
                    <w:t>in spite of</w:t>
                  </w:r>
                  <w:proofErr w:type="gramEnd"/>
                  <w:r w:rsidRPr="00B13D26">
                    <w:rPr>
                      <w:rFonts w:ascii="Calibri" w:hAnsi="Calibri" w:cs="Calibri"/>
                      <w:b w:val="0"/>
                      <w:color w:val="000000" w:themeColor="text1"/>
                      <w:szCs w:val="22"/>
                    </w:rPr>
                    <w:t xml:space="preserve"> the plume’s reach, the radiological effect on the town’s population was considered </w:t>
                  </w:r>
                  <w:r w:rsidR="00376FAB">
                    <w:rPr>
                      <w:rFonts w:ascii="Calibri" w:hAnsi="Calibri" w:cs="Calibri"/>
                      <w:b w:val="0"/>
                      <w:color w:val="000000" w:themeColor="text1"/>
                      <w:szCs w:val="22"/>
                    </w:rPr>
                    <w:t>low</w:t>
                  </w:r>
                  <w:r w:rsidRPr="00B13D26">
                    <w:rPr>
                      <w:rFonts w:ascii="Calibri" w:hAnsi="Calibri" w:cs="Calibri"/>
                      <w:b w:val="0"/>
                      <w:color w:val="000000" w:themeColor="text1"/>
                      <w:szCs w:val="22"/>
                    </w:rPr>
                    <w:t>.</w:t>
                  </w:r>
                </w:p>
                <w:p w14:paraId="5531861D" w14:textId="77777777" w:rsidR="00B13D26" w:rsidRDefault="00B13D26" w:rsidP="00B13D26">
                  <w:pPr>
                    <w:pStyle w:val="ListParagraph"/>
                    <w:widowControl/>
                    <w:spacing w:line="276" w:lineRule="auto"/>
                    <w:ind w:left="360"/>
                    <w:jc w:val="both"/>
                    <w:rPr>
                      <w:rFonts w:ascii="Calibri" w:hAnsi="Calibri" w:cs="Calibri"/>
                      <w:b w:val="0"/>
                      <w:color w:val="000000" w:themeColor="text1"/>
                      <w:szCs w:val="22"/>
                    </w:rPr>
                  </w:pPr>
                </w:p>
                <w:p w14:paraId="67F2E1B9" w14:textId="77777777" w:rsidR="00B13D26" w:rsidRDefault="002C3F71" w:rsidP="00B13D26">
                  <w:pPr>
                    <w:pStyle w:val="ListParagraph"/>
                    <w:widowControl/>
                    <w:numPr>
                      <w:ilvl w:val="0"/>
                      <w:numId w:val="21"/>
                    </w:numPr>
                    <w:spacing w:line="276" w:lineRule="auto"/>
                    <w:jc w:val="both"/>
                    <w:rPr>
                      <w:rFonts w:ascii="Calibri" w:hAnsi="Calibri" w:cs="Calibri"/>
                      <w:b w:val="0"/>
                      <w:color w:val="000000" w:themeColor="text1"/>
                      <w:szCs w:val="22"/>
                    </w:rPr>
                  </w:pPr>
                  <w:r w:rsidRPr="00C11DE9">
                    <w:rPr>
                      <w:rFonts w:ascii="Calibri" w:hAnsi="Calibri" w:cs="Calibri"/>
                      <w:b w:val="0"/>
                      <w:color w:val="000000" w:themeColor="text1"/>
                      <w:szCs w:val="22"/>
                    </w:rPr>
                    <w:t xml:space="preserve">CNEA </w:t>
                  </w:r>
                  <w:r w:rsidR="00376FAB">
                    <w:rPr>
                      <w:rFonts w:ascii="Calibri" w:hAnsi="Calibri" w:cs="Calibri"/>
                      <w:b w:val="0"/>
                      <w:color w:val="000000" w:themeColor="text1"/>
                      <w:szCs w:val="22"/>
                    </w:rPr>
                    <w:t xml:space="preserve">latest </w:t>
                  </w:r>
                  <w:r>
                    <w:rPr>
                      <w:rFonts w:ascii="Calibri" w:hAnsi="Calibri" w:cs="Calibri"/>
                      <w:b w:val="0"/>
                      <w:color w:val="000000" w:themeColor="text1"/>
                      <w:szCs w:val="22"/>
                    </w:rPr>
                    <w:t>T</w:t>
                  </w:r>
                  <w:r w:rsidRPr="00C11DE9">
                    <w:rPr>
                      <w:rFonts w:ascii="Calibri" w:hAnsi="Calibri" w:cs="Calibri"/>
                      <w:b w:val="0"/>
                      <w:color w:val="000000" w:themeColor="text1"/>
                      <w:szCs w:val="22"/>
                    </w:rPr>
                    <w:t xml:space="preserve">echnical </w:t>
                  </w:r>
                  <w:r>
                    <w:rPr>
                      <w:rFonts w:ascii="Calibri" w:hAnsi="Calibri" w:cs="Calibri"/>
                      <w:b w:val="0"/>
                      <w:color w:val="000000" w:themeColor="text1"/>
                      <w:szCs w:val="22"/>
                    </w:rPr>
                    <w:t>E</w:t>
                  </w:r>
                  <w:r w:rsidRPr="00C11DE9">
                    <w:rPr>
                      <w:rFonts w:ascii="Calibri" w:hAnsi="Calibri" w:cs="Calibri"/>
                      <w:b w:val="0"/>
                      <w:color w:val="000000" w:themeColor="text1"/>
                      <w:szCs w:val="22"/>
                    </w:rPr>
                    <w:t xml:space="preserve">nvironmental </w:t>
                  </w:r>
                  <w:r>
                    <w:rPr>
                      <w:rFonts w:ascii="Calibri" w:hAnsi="Calibri" w:cs="Calibri"/>
                      <w:b w:val="0"/>
                      <w:color w:val="000000" w:themeColor="text1"/>
                      <w:szCs w:val="22"/>
                    </w:rPr>
                    <w:t>M</w:t>
                  </w:r>
                  <w:r w:rsidRPr="00C11DE9">
                    <w:rPr>
                      <w:rFonts w:ascii="Calibri" w:hAnsi="Calibri" w:cs="Calibri"/>
                      <w:b w:val="0"/>
                      <w:color w:val="000000" w:themeColor="text1"/>
                      <w:szCs w:val="22"/>
                    </w:rPr>
                    <w:t xml:space="preserve">onitoring </w:t>
                  </w:r>
                  <w:r>
                    <w:rPr>
                      <w:rFonts w:ascii="Calibri" w:hAnsi="Calibri" w:cs="Calibri"/>
                      <w:b w:val="0"/>
                      <w:color w:val="000000" w:themeColor="text1"/>
                      <w:szCs w:val="22"/>
                    </w:rPr>
                    <w:t>R</w:t>
                  </w:r>
                  <w:r w:rsidRPr="00C11DE9">
                    <w:rPr>
                      <w:rFonts w:ascii="Calibri" w:hAnsi="Calibri" w:cs="Calibri"/>
                      <w:b w:val="0"/>
                      <w:color w:val="000000" w:themeColor="text1"/>
                      <w:szCs w:val="22"/>
                    </w:rPr>
                    <w:t>eports (20</w:t>
                  </w:r>
                  <w:r>
                    <w:rPr>
                      <w:rFonts w:ascii="Calibri" w:hAnsi="Calibri" w:cs="Calibri"/>
                      <w:b w:val="0"/>
                      <w:color w:val="000000" w:themeColor="text1"/>
                      <w:szCs w:val="22"/>
                    </w:rPr>
                    <w:t>1</w:t>
                  </w:r>
                  <w:r w:rsidRPr="00C11DE9">
                    <w:rPr>
                      <w:rFonts w:ascii="Calibri" w:hAnsi="Calibri" w:cs="Calibri"/>
                      <w:b w:val="0"/>
                      <w:color w:val="000000" w:themeColor="text1"/>
                      <w:szCs w:val="22"/>
                    </w:rPr>
                    <w:t>6-</w:t>
                  </w:r>
                  <w:r>
                    <w:rPr>
                      <w:rFonts w:ascii="Calibri" w:hAnsi="Calibri" w:cs="Calibri"/>
                      <w:b w:val="0"/>
                      <w:color w:val="000000" w:themeColor="text1"/>
                      <w:szCs w:val="22"/>
                    </w:rPr>
                    <w:t>1</w:t>
                  </w:r>
                  <w:r w:rsidRPr="00C11DE9">
                    <w:rPr>
                      <w:rFonts w:ascii="Calibri" w:hAnsi="Calibri" w:cs="Calibri"/>
                      <w:b w:val="0"/>
                      <w:color w:val="000000" w:themeColor="text1"/>
                      <w:szCs w:val="22"/>
                    </w:rPr>
                    <w:t xml:space="preserve">7) reveal </w:t>
                  </w:r>
                  <w:r>
                    <w:rPr>
                      <w:rFonts w:ascii="Calibri" w:hAnsi="Calibri" w:cs="Calibri"/>
                      <w:b w:val="0"/>
                      <w:color w:val="000000" w:themeColor="text1"/>
                      <w:szCs w:val="22"/>
                    </w:rPr>
                    <w:t xml:space="preserve">through multiple samples at </w:t>
                  </w:r>
                  <w:proofErr w:type="spellStart"/>
                  <w:r w:rsidR="00E52891">
                    <w:rPr>
                      <w:rFonts w:ascii="Calibri" w:hAnsi="Calibri" w:cs="Calibri"/>
                      <w:b w:val="0"/>
                      <w:color w:val="000000" w:themeColor="text1"/>
                      <w:szCs w:val="22"/>
                    </w:rPr>
                    <w:t>Malargüe</w:t>
                  </w:r>
                  <w:proofErr w:type="spellEnd"/>
                  <w:r>
                    <w:rPr>
                      <w:rFonts w:ascii="Calibri" w:hAnsi="Calibri" w:cs="Calibri"/>
                      <w:b w:val="0"/>
                      <w:color w:val="000000" w:themeColor="text1"/>
                      <w:szCs w:val="22"/>
                    </w:rPr>
                    <w:t xml:space="preserve"> </w:t>
                  </w:r>
                  <w:r w:rsidRPr="00C11DE9">
                    <w:rPr>
                      <w:rFonts w:ascii="Calibri" w:hAnsi="Calibri" w:cs="Calibri"/>
                      <w:b w:val="0"/>
                      <w:color w:val="000000" w:themeColor="text1"/>
                      <w:szCs w:val="22"/>
                    </w:rPr>
                    <w:t xml:space="preserve">that </w:t>
                  </w:r>
                  <w:r>
                    <w:rPr>
                      <w:rFonts w:ascii="Calibri" w:hAnsi="Calibri" w:cs="Calibri"/>
                      <w:b w:val="0"/>
                      <w:color w:val="000000" w:themeColor="text1"/>
                      <w:szCs w:val="22"/>
                    </w:rPr>
                    <w:t xml:space="preserve">the radon, gamma ray and pollution parameters tested for air, water, soil, and households have been contained to below the permissible international (US-EPA) and local levels (see table below) thereby controlling the contamination exposure </w:t>
                  </w:r>
                  <w:r w:rsidR="00376FAB">
                    <w:rPr>
                      <w:rFonts w:ascii="Calibri" w:hAnsi="Calibri" w:cs="Calibri"/>
                      <w:b w:val="0"/>
                      <w:color w:val="000000" w:themeColor="text1"/>
                      <w:szCs w:val="22"/>
                    </w:rPr>
                    <w:t xml:space="preserve">to </w:t>
                  </w:r>
                  <w:r>
                    <w:rPr>
                      <w:rFonts w:ascii="Calibri" w:hAnsi="Calibri" w:cs="Calibri"/>
                      <w:b w:val="0"/>
                      <w:color w:val="000000" w:themeColor="text1"/>
                      <w:szCs w:val="22"/>
                    </w:rPr>
                    <w:t xml:space="preserve">the nearby population.  In addition, the testing reflected that Radon levels in tested households were below the 400 </w:t>
                  </w:r>
                  <w:proofErr w:type="spellStart"/>
                  <w:r>
                    <w:rPr>
                      <w:rFonts w:ascii="Calibri" w:hAnsi="Calibri" w:cs="Calibri"/>
                      <w:b w:val="0"/>
                      <w:color w:val="000000" w:themeColor="text1"/>
                      <w:szCs w:val="22"/>
                    </w:rPr>
                    <w:t>Bq</w:t>
                  </w:r>
                  <w:proofErr w:type="spellEnd"/>
                  <w:r>
                    <w:rPr>
                      <w:rFonts w:ascii="Calibri" w:hAnsi="Calibri" w:cs="Calibri"/>
                      <w:b w:val="0"/>
                      <w:color w:val="000000" w:themeColor="text1"/>
                      <w:szCs w:val="22"/>
                    </w:rPr>
                    <w:t xml:space="preserve">/m3 </w:t>
                  </w:r>
                  <w:proofErr w:type="gramStart"/>
                  <w:r>
                    <w:rPr>
                      <w:rFonts w:ascii="Calibri" w:hAnsi="Calibri" w:cs="Calibri"/>
                      <w:b w:val="0"/>
                      <w:color w:val="000000" w:themeColor="text1"/>
                      <w:szCs w:val="22"/>
                    </w:rPr>
                    <w:t>norm</w:t>
                  </w:r>
                  <w:proofErr w:type="gramEnd"/>
                  <w:r>
                    <w:rPr>
                      <w:rFonts w:ascii="Calibri" w:hAnsi="Calibri" w:cs="Calibri"/>
                      <w:b w:val="0"/>
                      <w:color w:val="000000" w:themeColor="text1"/>
                      <w:szCs w:val="22"/>
                    </w:rPr>
                    <w:t xml:space="preserve"> from the </w:t>
                  </w:r>
                  <w:r w:rsidR="00923F95">
                    <w:rPr>
                      <w:rFonts w:ascii="Calibri" w:hAnsi="Calibri" w:cs="Calibri"/>
                      <w:b w:val="0"/>
                      <w:color w:val="000000" w:themeColor="text1"/>
                      <w:szCs w:val="22"/>
                    </w:rPr>
                    <w:t>A</w:t>
                  </w:r>
                  <w:r w:rsidR="00582F43">
                    <w:rPr>
                      <w:rFonts w:ascii="Calibri" w:hAnsi="Calibri" w:cs="Calibri"/>
                      <w:b w:val="0"/>
                      <w:color w:val="000000" w:themeColor="text1"/>
                      <w:szCs w:val="22"/>
                    </w:rPr>
                    <w:t>RN</w:t>
                  </w:r>
                  <w:r>
                    <w:rPr>
                      <w:rFonts w:ascii="Calibri" w:hAnsi="Calibri" w:cs="Calibri"/>
                      <w:b w:val="0"/>
                      <w:color w:val="000000" w:themeColor="text1"/>
                      <w:szCs w:val="22"/>
                    </w:rPr>
                    <w:t xml:space="preserve">.  In addition, the testing done to CNEA workers at the </w:t>
                  </w:r>
                  <w:proofErr w:type="spellStart"/>
                  <w:r w:rsidR="00E52891">
                    <w:rPr>
                      <w:rFonts w:ascii="Calibri" w:hAnsi="Calibri" w:cs="Calibri"/>
                      <w:b w:val="0"/>
                      <w:color w:val="000000" w:themeColor="text1"/>
                      <w:szCs w:val="22"/>
                    </w:rPr>
                    <w:t>Malargüe</w:t>
                  </w:r>
                  <w:proofErr w:type="spellEnd"/>
                  <w:r>
                    <w:rPr>
                      <w:rFonts w:ascii="Calibri" w:hAnsi="Calibri" w:cs="Calibri"/>
                      <w:b w:val="0"/>
                      <w:color w:val="000000" w:themeColor="text1"/>
                      <w:szCs w:val="22"/>
                    </w:rPr>
                    <w:t xml:space="preserve"> site (through </w:t>
                  </w:r>
                  <w:r w:rsidR="00582F43">
                    <w:rPr>
                      <w:rFonts w:ascii="Calibri" w:hAnsi="Calibri" w:cs="Calibri"/>
                      <w:b w:val="0"/>
                      <w:color w:val="000000" w:themeColor="text1"/>
                      <w:szCs w:val="22"/>
                    </w:rPr>
                    <w:t xml:space="preserve">semester </w:t>
                  </w:r>
                  <w:r>
                    <w:rPr>
                      <w:rFonts w:ascii="Calibri" w:hAnsi="Calibri" w:cs="Calibri"/>
                      <w:b w:val="0"/>
                      <w:color w:val="000000" w:themeColor="text1"/>
                      <w:szCs w:val="22"/>
                    </w:rPr>
                    <w:t xml:space="preserve">blood and </w:t>
                  </w:r>
                  <w:r w:rsidR="00582F43">
                    <w:rPr>
                      <w:rFonts w:ascii="Calibri" w:hAnsi="Calibri" w:cs="Calibri"/>
                      <w:b w:val="0"/>
                      <w:color w:val="000000" w:themeColor="text1"/>
                      <w:szCs w:val="22"/>
                    </w:rPr>
                    <w:t xml:space="preserve">weekly </w:t>
                  </w:r>
                  <w:r>
                    <w:rPr>
                      <w:rFonts w:ascii="Calibri" w:hAnsi="Calibri" w:cs="Calibri"/>
                      <w:b w:val="0"/>
                      <w:color w:val="000000" w:themeColor="text1"/>
                      <w:szCs w:val="22"/>
                    </w:rPr>
                    <w:t xml:space="preserve">urine samples) reveal that radiation levels </w:t>
                  </w:r>
                  <w:r w:rsidR="00376FAB">
                    <w:rPr>
                      <w:rFonts w:ascii="Calibri" w:hAnsi="Calibri" w:cs="Calibri"/>
                      <w:b w:val="0"/>
                      <w:color w:val="000000" w:themeColor="text1"/>
                      <w:szCs w:val="22"/>
                    </w:rPr>
                    <w:t xml:space="preserve">were </w:t>
                  </w:r>
                  <w:r>
                    <w:rPr>
                      <w:rFonts w:ascii="Calibri" w:hAnsi="Calibri" w:cs="Calibri"/>
                      <w:b w:val="0"/>
                      <w:color w:val="000000" w:themeColor="text1"/>
                      <w:szCs w:val="22"/>
                    </w:rPr>
                    <w:t>under the norm</w:t>
                  </w:r>
                  <w:r>
                    <w:rPr>
                      <w:rStyle w:val="FootnoteReference"/>
                      <w:rFonts w:ascii="Calibri" w:hAnsi="Calibri" w:cs="Calibri"/>
                      <w:b w:val="0"/>
                      <w:color w:val="000000" w:themeColor="text1"/>
                      <w:szCs w:val="22"/>
                    </w:rPr>
                    <w:footnoteReference w:id="24"/>
                  </w:r>
                  <w:r>
                    <w:rPr>
                      <w:rFonts w:ascii="Calibri" w:hAnsi="Calibri" w:cs="Calibri"/>
                      <w:b w:val="0"/>
                      <w:color w:val="000000" w:themeColor="text1"/>
                      <w:szCs w:val="22"/>
                    </w:rPr>
                    <w:t>.</w:t>
                  </w:r>
                </w:p>
                <w:p w14:paraId="6BCA5237" w14:textId="77777777" w:rsidR="00B13D26" w:rsidRPr="00B13D26" w:rsidRDefault="00B13D26" w:rsidP="00B13D26">
                  <w:pPr>
                    <w:widowControl/>
                    <w:spacing w:line="276" w:lineRule="auto"/>
                    <w:jc w:val="both"/>
                    <w:rPr>
                      <w:rFonts w:ascii="Calibri" w:hAnsi="Calibri" w:cs="Calibri"/>
                      <w:color w:val="000000" w:themeColor="text1"/>
                      <w:szCs w:val="22"/>
                    </w:rPr>
                  </w:pPr>
                </w:p>
                <w:tbl>
                  <w:tblPr>
                    <w:tblStyle w:val="TableGrid"/>
                    <w:tblW w:w="0" w:type="auto"/>
                    <w:tblLayout w:type="fixed"/>
                    <w:tblLook w:val="04A0" w:firstRow="1" w:lastRow="0" w:firstColumn="1" w:lastColumn="0" w:noHBand="0" w:noVBand="1"/>
                  </w:tblPr>
                  <w:tblGrid>
                    <w:gridCol w:w="1224"/>
                    <w:gridCol w:w="3240"/>
                    <w:gridCol w:w="3601"/>
                    <w:gridCol w:w="2689"/>
                  </w:tblGrid>
                  <w:tr w:rsidR="00E63776" w14:paraId="657AC49A" w14:textId="77777777" w:rsidTr="00D04D05">
                    <w:trPr>
                      <w:tblHeader/>
                    </w:trPr>
                    <w:tc>
                      <w:tcPr>
                        <w:tcW w:w="1224" w:type="dxa"/>
                        <w:shd w:val="clear" w:color="auto" w:fill="DEEAF6" w:themeFill="accent1" w:themeFillTint="33"/>
                      </w:tcPr>
                      <w:p w14:paraId="4BC10A48"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Factor</w:t>
                        </w:r>
                      </w:p>
                    </w:tc>
                    <w:tc>
                      <w:tcPr>
                        <w:tcW w:w="3240" w:type="dxa"/>
                        <w:shd w:val="clear" w:color="auto" w:fill="DEEAF6" w:themeFill="accent1" w:themeFillTint="33"/>
                      </w:tcPr>
                      <w:p w14:paraId="47B44133"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Baseline</w:t>
                        </w:r>
                      </w:p>
                    </w:tc>
                    <w:tc>
                      <w:tcPr>
                        <w:tcW w:w="3601" w:type="dxa"/>
                        <w:shd w:val="clear" w:color="auto" w:fill="DEEAF6" w:themeFill="accent1" w:themeFillTint="33"/>
                      </w:tcPr>
                      <w:p w14:paraId="69362195"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At Project Closing</w:t>
                        </w:r>
                      </w:p>
                    </w:tc>
                    <w:tc>
                      <w:tcPr>
                        <w:tcW w:w="2689" w:type="dxa"/>
                        <w:shd w:val="clear" w:color="auto" w:fill="DEEAF6" w:themeFill="accent1" w:themeFillTint="33"/>
                      </w:tcPr>
                      <w:p w14:paraId="5CB34C16"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 xml:space="preserve">Standards used </w:t>
                        </w:r>
                      </w:p>
                    </w:tc>
                  </w:tr>
                  <w:tr w:rsidR="00E63776" w14:paraId="758B03CA" w14:textId="77777777" w:rsidTr="00FB66B2">
                    <w:tc>
                      <w:tcPr>
                        <w:tcW w:w="1224" w:type="dxa"/>
                      </w:tcPr>
                      <w:p w14:paraId="31D53544"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Air</w:t>
                        </w:r>
                      </w:p>
                    </w:tc>
                    <w:tc>
                      <w:tcPr>
                        <w:tcW w:w="3240" w:type="dxa"/>
                      </w:tcPr>
                      <w:p w14:paraId="5B694C11"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Radon emissions from</w:t>
                        </w:r>
                      </w:p>
                      <w:p w14:paraId="71980443"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 xml:space="preserve">tailings: 6-10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/m2s.</w:t>
                        </w:r>
                      </w:p>
                    </w:tc>
                    <w:tc>
                      <w:tcPr>
                        <w:tcW w:w="3601" w:type="dxa"/>
                      </w:tcPr>
                      <w:p w14:paraId="6FE8613E"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Radon emissions from</w:t>
                        </w:r>
                      </w:p>
                      <w:p w14:paraId="40E77EBC"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 xml:space="preserve">managed tailings averaged from 0.13-0.29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 xml:space="preserve">/m2s not surpassing the 0.74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 xml:space="preserve">/M2s limit. </w:t>
                        </w:r>
                      </w:p>
                      <w:p w14:paraId="0BF5CBD7" w14:textId="77777777" w:rsidR="00B13D26" w:rsidRPr="00A75E11" w:rsidRDefault="002C3F71" w:rsidP="00B13D26">
                        <w:pPr>
                          <w:widowControl/>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 xml:space="preserve">Monthly Total suspended particles did not surpass the 150 µg/m3 limit. </w:t>
                        </w:r>
                      </w:p>
                    </w:tc>
                    <w:tc>
                      <w:tcPr>
                        <w:tcW w:w="2689" w:type="dxa"/>
                      </w:tcPr>
                      <w:p w14:paraId="6F99ACE7" w14:textId="77777777" w:rsidR="00B13D26" w:rsidRPr="00A75E11" w:rsidRDefault="002C3F71" w:rsidP="00B13D26">
                        <w:pPr>
                          <w:widowControl/>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 xml:space="preserve">0.74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 xml:space="preserve">/m2s (US EPA) &amp; 150 µg/m3 limit for TSP under national law. </w:t>
                        </w:r>
                      </w:p>
                    </w:tc>
                  </w:tr>
                  <w:tr w:rsidR="00E63776" w14:paraId="6E3F29C4" w14:textId="77777777" w:rsidTr="00FB66B2">
                    <w:tc>
                      <w:tcPr>
                        <w:tcW w:w="1224" w:type="dxa"/>
                      </w:tcPr>
                      <w:p w14:paraId="711D4F8C"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Water</w:t>
                        </w:r>
                      </w:p>
                    </w:tc>
                    <w:tc>
                      <w:tcPr>
                        <w:tcW w:w="3240" w:type="dxa"/>
                      </w:tcPr>
                      <w:p w14:paraId="0C818EBF"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Phreatic aquifer is</w:t>
                        </w:r>
                      </w:p>
                      <w:p w14:paraId="614DE39E"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contaminated, primarily</w:t>
                        </w:r>
                      </w:p>
                      <w:p w14:paraId="04220104"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beneath the tailings. Tailings underlain by permeable (10-3 cm/s) substrate. Ra-226</w:t>
                        </w:r>
                        <w:r w:rsidR="005B5442">
                          <w:rPr>
                            <w:rFonts w:asciiTheme="minorHAnsi" w:eastAsiaTheme="minorHAnsi" w:hAnsiTheme="minorHAnsi" w:cstheme="minorHAnsi"/>
                            <w:color w:val="auto"/>
                            <w:sz w:val="18"/>
                            <w:szCs w:val="18"/>
                          </w:rPr>
                          <w:t xml:space="preserve"> </w:t>
                        </w:r>
                        <w:r w:rsidRPr="00A75E11">
                          <w:rPr>
                            <w:rFonts w:asciiTheme="minorHAnsi" w:eastAsiaTheme="minorHAnsi" w:hAnsiTheme="minorHAnsi" w:cstheme="minorHAnsi"/>
                            <w:color w:val="auto"/>
                            <w:sz w:val="18"/>
                            <w:szCs w:val="18"/>
                          </w:rPr>
                          <w:t>content in aquifer</w:t>
                        </w:r>
                        <w:r w:rsidR="005B5442">
                          <w:rPr>
                            <w:rFonts w:asciiTheme="minorHAnsi" w:eastAsiaTheme="minorHAnsi" w:hAnsiTheme="minorHAnsi" w:cstheme="minorHAnsi"/>
                            <w:color w:val="auto"/>
                            <w:sz w:val="18"/>
                            <w:szCs w:val="18"/>
                          </w:rPr>
                          <w:t xml:space="preserve"> </w:t>
                        </w:r>
                        <w:r w:rsidRPr="00A75E11">
                          <w:rPr>
                            <w:rFonts w:asciiTheme="minorHAnsi" w:eastAsiaTheme="minorHAnsi" w:hAnsiTheme="minorHAnsi" w:cstheme="minorHAnsi"/>
                            <w:color w:val="auto"/>
                            <w:sz w:val="18"/>
                            <w:szCs w:val="18"/>
                          </w:rPr>
                          <w:t>underneath the tailings:</w:t>
                        </w:r>
                        <w:r w:rsidR="005B5442">
                          <w:rPr>
                            <w:rFonts w:asciiTheme="minorHAnsi" w:eastAsiaTheme="minorHAnsi" w:hAnsiTheme="minorHAnsi" w:cstheme="minorHAnsi"/>
                            <w:color w:val="auto"/>
                            <w:sz w:val="18"/>
                            <w:szCs w:val="18"/>
                          </w:rPr>
                          <w:t xml:space="preserve"> </w:t>
                        </w:r>
                        <w:r w:rsidRPr="00A75E11">
                          <w:rPr>
                            <w:rFonts w:asciiTheme="minorHAnsi" w:eastAsiaTheme="minorHAnsi" w:hAnsiTheme="minorHAnsi" w:cstheme="minorHAnsi"/>
                            <w:color w:val="auto"/>
                            <w:sz w:val="18"/>
                            <w:szCs w:val="18"/>
                          </w:rPr>
                          <w:t xml:space="preserve">0.684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/l.</w:t>
                        </w:r>
                      </w:p>
                    </w:tc>
                    <w:tc>
                      <w:tcPr>
                        <w:tcW w:w="3601" w:type="dxa"/>
                      </w:tcPr>
                      <w:p w14:paraId="278D970C"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Quality of phreatic aquifer</w:t>
                        </w:r>
                      </w:p>
                      <w:p w14:paraId="7DE881B8"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 xml:space="preserve">waters improved through the </w:t>
                        </w:r>
                      </w:p>
                      <w:p w14:paraId="5BC5724B"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 xml:space="preserve">encapsulation of the tailings and natural decontamination of the area to below 0.18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 xml:space="preserve">/l. </w:t>
                        </w:r>
                      </w:p>
                      <w:p w14:paraId="40BE8A3A" w14:textId="77777777" w:rsidR="00B13D26" w:rsidRPr="00A75E11" w:rsidRDefault="00B13D26" w:rsidP="00B13D26">
                        <w:pPr>
                          <w:widowControl/>
                          <w:spacing w:line="276" w:lineRule="auto"/>
                          <w:jc w:val="both"/>
                          <w:rPr>
                            <w:rFonts w:asciiTheme="minorHAnsi" w:hAnsiTheme="minorHAnsi" w:cstheme="minorHAnsi"/>
                            <w:color w:val="000000" w:themeColor="text1"/>
                            <w:sz w:val="18"/>
                            <w:szCs w:val="18"/>
                          </w:rPr>
                        </w:pPr>
                      </w:p>
                    </w:tc>
                    <w:tc>
                      <w:tcPr>
                        <w:tcW w:w="2689" w:type="dxa"/>
                      </w:tcPr>
                      <w:p w14:paraId="68C9AAE2"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 xml:space="preserve">Ra-226: 0.185 </w:t>
                        </w:r>
                        <w:proofErr w:type="spellStart"/>
                        <w:r w:rsidRPr="00A75E11">
                          <w:rPr>
                            <w:rFonts w:asciiTheme="minorHAnsi" w:eastAsiaTheme="minorHAnsi" w:hAnsiTheme="minorHAnsi" w:cstheme="minorHAnsi"/>
                            <w:color w:val="auto"/>
                            <w:sz w:val="18"/>
                            <w:szCs w:val="18"/>
                          </w:rPr>
                          <w:t>Bq</w:t>
                        </w:r>
                        <w:proofErr w:type="spellEnd"/>
                        <w:r w:rsidRPr="00A75E11">
                          <w:rPr>
                            <w:rFonts w:asciiTheme="minorHAnsi" w:eastAsiaTheme="minorHAnsi" w:hAnsiTheme="minorHAnsi" w:cstheme="minorHAnsi"/>
                            <w:color w:val="auto"/>
                            <w:sz w:val="18"/>
                            <w:szCs w:val="18"/>
                          </w:rPr>
                          <w:t>/l</w:t>
                        </w:r>
                      </w:p>
                      <w:p w14:paraId="1BAD9BD0"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(US EPA).</w:t>
                        </w:r>
                      </w:p>
                    </w:tc>
                  </w:tr>
                  <w:tr w:rsidR="00E63776" w14:paraId="79E4CB71" w14:textId="77777777" w:rsidTr="00FB66B2">
                    <w:tc>
                      <w:tcPr>
                        <w:tcW w:w="1224" w:type="dxa"/>
                      </w:tcPr>
                      <w:p w14:paraId="08322EAE"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Soil</w:t>
                        </w:r>
                      </w:p>
                    </w:tc>
                    <w:tc>
                      <w:tcPr>
                        <w:tcW w:w="3240" w:type="dxa"/>
                      </w:tcPr>
                      <w:p w14:paraId="08358109"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Soils at the sites are</w:t>
                        </w:r>
                      </w:p>
                      <w:p w14:paraId="07A3F61D"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contaminated by Ra-226,</w:t>
                        </w:r>
                      </w:p>
                      <w:p w14:paraId="382560B8"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with values of 30 – 100</w:t>
                        </w:r>
                      </w:p>
                      <w:p w14:paraId="0CFC56CD"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proofErr w:type="spellStart"/>
                        <w:r w:rsidRPr="00A75E11">
                          <w:rPr>
                            <w:rFonts w:asciiTheme="minorHAnsi" w:eastAsiaTheme="minorHAnsi" w:hAnsiTheme="minorHAnsi" w:cstheme="minorHAnsi"/>
                            <w:color w:val="auto"/>
                            <w:sz w:val="18"/>
                            <w:szCs w:val="18"/>
                          </w:rPr>
                          <w:t>pCi</w:t>
                        </w:r>
                        <w:proofErr w:type="spellEnd"/>
                        <w:r w:rsidRPr="00A75E11">
                          <w:rPr>
                            <w:rFonts w:asciiTheme="minorHAnsi" w:eastAsiaTheme="minorHAnsi" w:hAnsiTheme="minorHAnsi" w:cstheme="minorHAnsi"/>
                            <w:color w:val="auto"/>
                            <w:sz w:val="18"/>
                            <w:szCs w:val="18"/>
                          </w:rPr>
                          <w:t xml:space="preserve"> g-1.</w:t>
                        </w:r>
                      </w:p>
                    </w:tc>
                    <w:tc>
                      <w:tcPr>
                        <w:tcW w:w="3601" w:type="dxa"/>
                      </w:tcPr>
                      <w:p w14:paraId="479AB5C9"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Site decontaminated to</w:t>
                        </w:r>
                      </w:p>
                      <w:p w14:paraId="153CCC85" w14:textId="77777777" w:rsidR="00B13D26" w:rsidRPr="00A75E11" w:rsidRDefault="002C3F71" w:rsidP="00B13D26">
                        <w:pPr>
                          <w:widowControl/>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achieve Ra-226 soil contents not to exceed 5pCi g-1 above background.</w:t>
                        </w:r>
                      </w:p>
                    </w:tc>
                    <w:tc>
                      <w:tcPr>
                        <w:tcW w:w="2689" w:type="dxa"/>
                      </w:tcPr>
                      <w:p w14:paraId="587EBE64"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Ra-226 in soils of</w:t>
                        </w:r>
                      </w:p>
                      <w:p w14:paraId="115AE563"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remediated areas:</w:t>
                        </w:r>
                      </w:p>
                      <w:p w14:paraId="671EBF62"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 xml:space="preserve">not to exceed 5 </w:t>
                        </w:r>
                        <w:proofErr w:type="spellStart"/>
                        <w:r w:rsidRPr="00A75E11">
                          <w:rPr>
                            <w:rFonts w:asciiTheme="minorHAnsi" w:eastAsiaTheme="minorHAnsi" w:hAnsiTheme="minorHAnsi" w:cstheme="minorHAnsi"/>
                            <w:color w:val="auto"/>
                            <w:sz w:val="18"/>
                            <w:szCs w:val="18"/>
                          </w:rPr>
                          <w:t>pCi</w:t>
                        </w:r>
                        <w:proofErr w:type="spellEnd"/>
                        <w:r w:rsidRPr="00A75E11">
                          <w:rPr>
                            <w:rFonts w:asciiTheme="minorHAnsi" w:eastAsiaTheme="minorHAnsi" w:hAnsiTheme="minorHAnsi" w:cstheme="minorHAnsi"/>
                            <w:color w:val="auto"/>
                            <w:sz w:val="18"/>
                            <w:szCs w:val="18"/>
                          </w:rPr>
                          <w:t xml:space="preserve"> g-1 above background.</w:t>
                        </w:r>
                      </w:p>
                      <w:p w14:paraId="21A10A30" w14:textId="77777777" w:rsidR="00B13D26" w:rsidRPr="00A75E11" w:rsidRDefault="00B13D26" w:rsidP="00B13D26">
                        <w:pPr>
                          <w:widowControl/>
                          <w:rPr>
                            <w:rFonts w:asciiTheme="minorHAnsi" w:eastAsiaTheme="minorHAnsi" w:hAnsiTheme="minorHAnsi" w:cstheme="minorHAnsi"/>
                            <w:color w:val="auto"/>
                            <w:sz w:val="18"/>
                            <w:szCs w:val="18"/>
                          </w:rPr>
                        </w:pPr>
                      </w:p>
                      <w:p w14:paraId="3A10A962" w14:textId="77777777" w:rsidR="00B13D26" w:rsidRPr="00A75E11" w:rsidRDefault="002C3F71" w:rsidP="00B13D26">
                        <w:pPr>
                          <w:widowControl/>
                          <w:shd w:val="clear" w:color="auto" w:fill="F8F8F8"/>
                          <w:autoSpaceDE/>
                          <w:autoSpaceDN/>
                          <w:adjustRightInd/>
                          <w:rPr>
                            <w:rFonts w:eastAsia="Times New Roman"/>
                            <w:vanish/>
                            <w:color w:val="FFFFFF"/>
                            <w:sz w:val="18"/>
                            <w:szCs w:val="18"/>
                          </w:rPr>
                        </w:pPr>
                        <w:proofErr w:type="spellStart"/>
                        <w:r w:rsidRPr="00A75E11">
                          <w:rPr>
                            <w:rFonts w:eastAsia="Times New Roman"/>
                            <w:vanish/>
                            <w:color w:val="FFFFFF"/>
                            <w:sz w:val="18"/>
                            <w:szCs w:val="18"/>
                          </w:rPr>
                          <w:t>Límite</w:t>
                        </w:r>
                        <w:proofErr w:type="spellEnd"/>
                        <w:r w:rsidRPr="00A75E11">
                          <w:rPr>
                            <w:rFonts w:eastAsia="Times New Roman"/>
                            <w:vanish/>
                            <w:color w:val="FFFFFF"/>
                            <w:sz w:val="18"/>
                            <w:szCs w:val="18"/>
                          </w:rPr>
                          <w:t xml:space="preserve"> USEPA para </w:t>
                        </w:r>
                        <w:proofErr w:type="spellStart"/>
                        <w:r w:rsidRPr="00A75E11">
                          <w:rPr>
                            <w:rFonts w:eastAsia="Times New Roman"/>
                            <w:vanish/>
                            <w:color w:val="FFFFFF"/>
                            <w:sz w:val="18"/>
                            <w:szCs w:val="18"/>
                          </w:rPr>
                          <w:t>sitios</w:t>
                        </w:r>
                        <w:proofErr w:type="spellEnd"/>
                        <w:r w:rsidRPr="00A75E11">
                          <w:rPr>
                            <w:rFonts w:eastAsia="Times New Roman"/>
                            <w:vanish/>
                            <w:color w:val="FFFFFF"/>
                            <w:sz w:val="18"/>
                            <w:szCs w:val="18"/>
                          </w:rPr>
                          <w:t xml:space="preserve"> </w:t>
                        </w:r>
                      </w:p>
                      <w:p w14:paraId="2C3ED531" w14:textId="77777777" w:rsidR="00B13D26" w:rsidRPr="00A75E11" w:rsidRDefault="002C3F71" w:rsidP="00B13D26">
                        <w:pPr>
                          <w:widowControl/>
                          <w:shd w:val="clear" w:color="auto" w:fill="F8F8F8"/>
                          <w:autoSpaceDE/>
                          <w:autoSpaceDN/>
                          <w:adjustRightInd/>
                          <w:rPr>
                            <w:rFonts w:eastAsia="Times New Roman"/>
                            <w:vanish/>
                            <w:color w:val="FFFFFF"/>
                            <w:sz w:val="18"/>
                            <w:szCs w:val="18"/>
                          </w:rPr>
                        </w:pPr>
                        <w:proofErr w:type="spellStart"/>
                        <w:r w:rsidRPr="00A75E11">
                          <w:rPr>
                            <w:rFonts w:eastAsia="Times New Roman"/>
                            <w:vanish/>
                            <w:color w:val="FFFFFF"/>
                            <w:sz w:val="18"/>
                            <w:szCs w:val="18"/>
                          </w:rPr>
                          <w:t>Remediados</w:t>
                        </w:r>
                        <w:proofErr w:type="spellEnd"/>
                        <w:r w:rsidRPr="00A75E11">
                          <w:rPr>
                            <w:rFonts w:eastAsia="Times New Roman"/>
                            <w:vanish/>
                            <w:color w:val="FFFFFF"/>
                            <w:sz w:val="18"/>
                            <w:szCs w:val="18"/>
                          </w:rPr>
                          <w:t xml:space="preserve"> (0,74 </w:t>
                        </w:r>
                        <w:proofErr w:type="spellStart"/>
                        <w:r w:rsidRPr="00A75E11">
                          <w:rPr>
                            <w:rFonts w:eastAsia="Times New Roman"/>
                            <w:vanish/>
                            <w:color w:val="FFFFFF"/>
                            <w:sz w:val="18"/>
                            <w:szCs w:val="18"/>
                          </w:rPr>
                          <w:t>Bq</w:t>
                        </w:r>
                        <w:proofErr w:type="spellEnd"/>
                        <w:r w:rsidRPr="00A75E11">
                          <w:rPr>
                            <w:rFonts w:eastAsia="Times New Roman"/>
                            <w:vanish/>
                            <w:color w:val="FFFFFF"/>
                            <w:sz w:val="18"/>
                            <w:szCs w:val="18"/>
                          </w:rPr>
                          <w:t xml:space="preserve">/m2 </w:t>
                        </w:r>
                        <w:proofErr w:type="spellStart"/>
                        <w:r w:rsidRPr="00A75E11">
                          <w:rPr>
                            <w:rFonts w:eastAsia="Times New Roman"/>
                            <w:vanish/>
                            <w:color w:val="FFFFFF"/>
                            <w:sz w:val="18"/>
                            <w:szCs w:val="18"/>
                          </w:rPr>
                          <w:t>seg</w:t>
                        </w:r>
                        <w:proofErr w:type="spellEnd"/>
                        <w:r w:rsidRPr="00A75E11">
                          <w:rPr>
                            <w:rFonts w:eastAsia="Times New Roman"/>
                            <w:vanish/>
                            <w:color w:val="FFFFFF"/>
                            <w:sz w:val="18"/>
                            <w:szCs w:val="18"/>
                          </w:rPr>
                          <w:t>).</w:t>
                        </w:r>
                      </w:p>
                      <w:p w14:paraId="0185824F" w14:textId="77777777" w:rsidR="00B13D26" w:rsidRPr="00A75E11" w:rsidRDefault="002C3F71" w:rsidP="00B13D26">
                        <w:pPr>
                          <w:widowControl/>
                          <w:rPr>
                            <w:rFonts w:asciiTheme="minorHAnsi" w:hAnsiTheme="minorHAnsi" w:cstheme="minorHAnsi"/>
                            <w:color w:val="000000" w:themeColor="text1"/>
                            <w:sz w:val="18"/>
                            <w:szCs w:val="18"/>
                          </w:rPr>
                        </w:pPr>
                        <w:r w:rsidRPr="00A75E11">
                          <w:rPr>
                            <w:rFonts w:asciiTheme="minorHAnsi" w:hAnsiTheme="minorHAnsi" w:cstheme="minorHAnsi"/>
                            <w:color w:val="000000" w:themeColor="text1"/>
                            <w:sz w:val="18"/>
                            <w:szCs w:val="18"/>
                          </w:rPr>
                          <w:t xml:space="preserve">  </w:t>
                        </w:r>
                      </w:p>
                    </w:tc>
                  </w:tr>
                  <w:tr w:rsidR="00E63776" w14:paraId="524BC62B" w14:textId="77777777" w:rsidTr="00FB66B2">
                    <w:tc>
                      <w:tcPr>
                        <w:tcW w:w="1224" w:type="dxa"/>
                      </w:tcPr>
                      <w:p w14:paraId="595D977A" w14:textId="77777777" w:rsidR="00B13D26" w:rsidRPr="00A75E11" w:rsidRDefault="002C3F71" w:rsidP="00B13D26">
                        <w:pPr>
                          <w:widowControl/>
                          <w:spacing w:line="276" w:lineRule="auto"/>
                          <w:jc w:val="both"/>
                          <w:rPr>
                            <w:rFonts w:asciiTheme="minorHAnsi" w:hAnsiTheme="minorHAnsi" w:cstheme="minorHAnsi"/>
                            <w:b/>
                            <w:color w:val="000000" w:themeColor="text1"/>
                            <w:sz w:val="18"/>
                            <w:szCs w:val="18"/>
                          </w:rPr>
                        </w:pPr>
                        <w:r w:rsidRPr="00A75E11">
                          <w:rPr>
                            <w:rFonts w:asciiTheme="minorHAnsi" w:hAnsiTheme="minorHAnsi" w:cstheme="minorHAnsi"/>
                            <w:b/>
                            <w:color w:val="000000" w:themeColor="text1"/>
                            <w:sz w:val="18"/>
                            <w:szCs w:val="18"/>
                          </w:rPr>
                          <w:t>Landscape</w:t>
                        </w:r>
                      </w:p>
                    </w:tc>
                    <w:tc>
                      <w:tcPr>
                        <w:tcW w:w="3240" w:type="dxa"/>
                      </w:tcPr>
                      <w:p w14:paraId="7688F836"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Landscape adversely</w:t>
                        </w:r>
                      </w:p>
                      <w:p w14:paraId="7FA72819"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affected by the presence of</w:t>
                        </w:r>
                      </w:p>
                      <w:p w14:paraId="4ABA4A48"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unmanaged tailings and soils</w:t>
                        </w:r>
                      </w:p>
                      <w:p w14:paraId="67C08817"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impacted by industrial</w:t>
                        </w:r>
                      </w:p>
                      <w:p w14:paraId="6031D5B0"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activities.</w:t>
                        </w:r>
                      </w:p>
                    </w:tc>
                    <w:tc>
                      <w:tcPr>
                        <w:tcW w:w="3601" w:type="dxa"/>
                      </w:tcPr>
                      <w:p w14:paraId="72DF9A06"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Landscape restored, by</w:t>
                        </w:r>
                      </w:p>
                      <w:p w14:paraId="0724D743"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planting autochthonous</w:t>
                        </w:r>
                      </w:p>
                      <w:p w14:paraId="2B62DB37" w14:textId="77777777" w:rsidR="00B13D26" w:rsidRPr="00A75E11" w:rsidRDefault="002C3F71" w:rsidP="00B13D26">
                        <w:pPr>
                          <w:widowControl/>
                          <w:rPr>
                            <w:rFonts w:asciiTheme="minorHAnsi" w:eastAsiaTheme="minorHAnsi" w:hAnsiTheme="minorHAnsi" w:cstheme="minorHAnsi"/>
                            <w:color w:val="auto"/>
                            <w:sz w:val="18"/>
                            <w:szCs w:val="18"/>
                          </w:rPr>
                        </w:pPr>
                        <w:r w:rsidRPr="00A75E11">
                          <w:rPr>
                            <w:rFonts w:asciiTheme="minorHAnsi" w:eastAsiaTheme="minorHAnsi" w:hAnsiTheme="minorHAnsi" w:cstheme="minorHAnsi"/>
                            <w:color w:val="auto"/>
                            <w:sz w:val="18"/>
                            <w:szCs w:val="18"/>
                          </w:rPr>
                          <w:t>woody and herbal species</w:t>
                        </w:r>
                      </w:p>
                      <w:p w14:paraId="0A809776" w14:textId="77777777" w:rsidR="00B13D26" w:rsidRPr="00A75E11" w:rsidRDefault="002C3F71" w:rsidP="00B13D26">
                        <w:pPr>
                          <w:widowControl/>
                          <w:spacing w:line="276" w:lineRule="auto"/>
                          <w:jc w:val="both"/>
                          <w:rPr>
                            <w:rFonts w:asciiTheme="minorHAnsi" w:hAnsiTheme="minorHAnsi" w:cstheme="minorHAnsi"/>
                            <w:color w:val="000000" w:themeColor="text1"/>
                            <w:sz w:val="18"/>
                            <w:szCs w:val="18"/>
                          </w:rPr>
                        </w:pPr>
                        <w:r w:rsidRPr="00A75E11">
                          <w:rPr>
                            <w:rFonts w:asciiTheme="minorHAnsi" w:eastAsiaTheme="minorHAnsi" w:hAnsiTheme="minorHAnsi" w:cstheme="minorHAnsi"/>
                            <w:color w:val="auto"/>
                            <w:sz w:val="18"/>
                            <w:szCs w:val="18"/>
                          </w:rPr>
                          <w:t>following restoration.</w:t>
                        </w:r>
                      </w:p>
                    </w:tc>
                    <w:tc>
                      <w:tcPr>
                        <w:tcW w:w="2689" w:type="dxa"/>
                      </w:tcPr>
                      <w:p w14:paraId="023F527A" w14:textId="77777777" w:rsidR="00B13D26" w:rsidRPr="00A75E11" w:rsidRDefault="002C3F71" w:rsidP="00B13D26">
                        <w:pPr>
                          <w:widowControl/>
                          <w:spacing w:line="276" w:lineRule="auto"/>
                          <w:jc w:val="center"/>
                          <w:rPr>
                            <w:rFonts w:asciiTheme="minorHAnsi" w:hAnsiTheme="minorHAnsi" w:cstheme="minorHAnsi"/>
                            <w:color w:val="000000" w:themeColor="text1"/>
                            <w:sz w:val="18"/>
                            <w:szCs w:val="18"/>
                          </w:rPr>
                        </w:pPr>
                        <w:r w:rsidRPr="00A75E11">
                          <w:rPr>
                            <w:rFonts w:asciiTheme="minorHAnsi" w:hAnsiTheme="minorHAnsi" w:cstheme="minorHAnsi"/>
                            <w:color w:val="000000" w:themeColor="text1"/>
                            <w:sz w:val="18"/>
                            <w:szCs w:val="18"/>
                          </w:rPr>
                          <w:t>_</w:t>
                        </w:r>
                      </w:p>
                    </w:tc>
                  </w:tr>
                </w:tbl>
                <w:p w14:paraId="3FFE5423" w14:textId="77777777" w:rsidR="00196FEE" w:rsidRDefault="00196FEE" w:rsidP="00196FEE">
                  <w:pPr>
                    <w:pStyle w:val="ListParagraph"/>
                    <w:widowControl/>
                    <w:spacing w:line="276" w:lineRule="auto"/>
                    <w:ind w:left="360"/>
                    <w:jc w:val="both"/>
                    <w:rPr>
                      <w:rFonts w:ascii="Calibri" w:hAnsi="Calibri" w:cs="Calibri"/>
                      <w:b w:val="0"/>
                      <w:color w:val="000000" w:themeColor="text1"/>
                      <w:szCs w:val="22"/>
                    </w:rPr>
                  </w:pPr>
                </w:p>
                <w:p w14:paraId="1AEE9E81" w14:textId="77777777" w:rsidR="00B13D26" w:rsidRPr="0036085B" w:rsidRDefault="002C3F71" w:rsidP="00B13D26">
                  <w:pPr>
                    <w:pStyle w:val="ListParagraph"/>
                    <w:widowControl/>
                    <w:numPr>
                      <w:ilvl w:val="0"/>
                      <w:numId w:val="21"/>
                    </w:numPr>
                    <w:spacing w:line="276" w:lineRule="auto"/>
                    <w:jc w:val="both"/>
                    <w:rPr>
                      <w:rFonts w:ascii="Calibri" w:hAnsi="Calibri" w:cs="Calibri"/>
                      <w:b w:val="0"/>
                      <w:color w:val="000000" w:themeColor="text1"/>
                      <w:szCs w:val="22"/>
                    </w:rPr>
                  </w:pPr>
                  <w:r>
                    <w:rPr>
                      <w:rFonts w:ascii="Calibri" w:hAnsi="Calibri" w:cs="Calibri"/>
                      <w:b w:val="0"/>
                      <w:color w:val="000000" w:themeColor="text1"/>
                      <w:szCs w:val="22"/>
                    </w:rPr>
                    <w:t>I</w:t>
                  </w:r>
                  <w:r w:rsidRPr="0036085B">
                    <w:rPr>
                      <w:rFonts w:ascii="Calibri" w:hAnsi="Calibri" w:cs="Calibri"/>
                      <w:b w:val="0"/>
                      <w:color w:val="000000" w:themeColor="text1"/>
                      <w:szCs w:val="22"/>
                    </w:rPr>
                    <w:t>ndependent evaluation</w:t>
                  </w:r>
                  <w:r>
                    <w:rPr>
                      <w:rFonts w:ascii="Calibri" w:hAnsi="Calibri" w:cs="Calibri"/>
                      <w:b w:val="0"/>
                      <w:color w:val="000000" w:themeColor="text1"/>
                      <w:szCs w:val="22"/>
                    </w:rPr>
                    <w:t>s</w:t>
                  </w:r>
                  <w:r w:rsidRPr="0036085B">
                    <w:rPr>
                      <w:rFonts w:ascii="Calibri" w:hAnsi="Calibri" w:cs="Calibri"/>
                      <w:b w:val="0"/>
                      <w:color w:val="000000" w:themeColor="text1"/>
                      <w:szCs w:val="22"/>
                    </w:rPr>
                    <w:t xml:space="preserve"> from IAEA (April 2016 and October 2017) conclude</w:t>
                  </w:r>
                  <w:r>
                    <w:rPr>
                      <w:rFonts w:ascii="Calibri" w:hAnsi="Calibri" w:cs="Calibri"/>
                      <w:b w:val="0"/>
                      <w:color w:val="000000" w:themeColor="text1"/>
                      <w:szCs w:val="22"/>
                    </w:rPr>
                    <w:t>d</w:t>
                  </w:r>
                  <w:r w:rsidRPr="0036085B">
                    <w:rPr>
                      <w:rFonts w:ascii="Calibri" w:hAnsi="Calibri" w:cs="Calibri"/>
                      <w:b w:val="0"/>
                      <w:color w:val="000000" w:themeColor="text1"/>
                      <w:szCs w:val="22"/>
                    </w:rPr>
                    <w:t xml:space="preserve"> that the works at </w:t>
                  </w:r>
                  <w:proofErr w:type="spellStart"/>
                  <w:r>
                    <w:rPr>
                      <w:rFonts w:ascii="Calibri" w:hAnsi="Calibri" w:cs="Calibri"/>
                      <w:b w:val="0"/>
                      <w:color w:val="000000" w:themeColor="text1"/>
                      <w:szCs w:val="22"/>
                    </w:rPr>
                    <w:t>Malargüe</w:t>
                  </w:r>
                  <w:proofErr w:type="spellEnd"/>
                  <w:r w:rsidRPr="0036085B">
                    <w:rPr>
                      <w:rFonts w:ascii="Calibri" w:hAnsi="Calibri" w:cs="Calibri"/>
                      <w:b w:val="0"/>
                      <w:color w:val="000000" w:themeColor="text1"/>
                      <w:szCs w:val="22"/>
                    </w:rPr>
                    <w:t xml:space="preserve"> have been undertaken following IAEA’s safety standards, and a technical inspection carried out by the </w:t>
                  </w:r>
                  <w:r>
                    <w:rPr>
                      <w:rFonts w:ascii="Calibri" w:hAnsi="Calibri" w:cs="Calibri"/>
                      <w:b w:val="0"/>
                      <w:color w:val="000000" w:themeColor="text1"/>
                      <w:szCs w:val="22"/>
                    </w:rPr>
                    <w:t xml:space="preserve">Bank </w:t>
                  </w:r>
                  <w:r w:rsidRPr="0036085B">
                    <w:rPr>
                      <w:rFonts w:ascii="Calibri" w:hAnsi="Calibri" w:cs="Calibri"/>
                      <w:b w:val="0"/>
                      <w:color w:val="000000" w:themeColor="text1"/>
                      <w:szCs w:val="22"/>
                    </w:rPr>
                    <w:t xml:space="preserve">during the last supervision mission in June 2017 confirmed that 100 percent of the tailings at the </w:t>
                  </w:r>
                  <w:proofErr w:type="spellStart"/>
                  <w:r w:rsidR="00E52891">
                    <w:rPr>
                      <w:rFonts w:ascii="Calibri" w:hAnsi="Calibri" w:cs="Calibri"/>
                      <w:b w:val="0"/>
                      <w:color w:val="000000" w:themeColor="text1"/>
                      <w:szCs w:val="22"/>
                    </w:rPr>
                    <w:t>Malargüe</w:t>
                  </w:r>
                  <w:proofErr w:type="spellEnd"/>
                  <w:r w:rsidRPr="0036085B">
                    <w:rPr>
                      <w:rFonts w:ascii="Calibri" w:hAnsi="Calibri" w:cs="Calibri"/>
                      <w:b w:val="0"/>
                      <w:color w:val="000000" w:themeColor="text1"/>
                      <w:szCs w:val="22"/>
                    </w:rPr>
                    <w:t xml:space="preserve"> site had been transported to the remediation site -- i.e., the engineered encapsulation cell -- and that closure of this capsule was fully complete. </w:t>
                  </w:r>
                  <w:r>
                    <w:rPr>
                      <w:rFonts w:ascii="Calibri" w:hAnsi="Calibri" w:cs="Calibri"/>
                      <w:b w:val="0"/>
                      <w:color w:val="000000" w:themeColor="text1"/>
                      <w:szCs w:val="22"/>
                    </w:rPr>
                    <w:t xml:space="preserve"> </w:t>
                  </w:r>
                  <w:proofErr w:type="gramStart"/>
                  <w:r w:rsidRPr="0036085B">
                    <w:rPr>
                      <w:rFonts w:ascii="Calibri" w:hAnsi="Calibri" w:cs="Calibri"/>
                      <w:b w:val="0"/>
                      <w:color w:val="000000" w:themeColor="text1"/>
                      <w:szCs w:val="22"/>
                    </w:rPr>
                    <w:t>As a result</w:t>
                  </w:r>
                  <w:proofErr w:type="gramEnd"/>
                  <w:r w:rsidRPr="0036085B">
                    <w:rPr>
                      <w:rFonts w:ascii="Calibri" w:hAnsi="Calibri" w:cs="Calibri"/>
                      <w:b w:val="0"/>
                      <w:color w:val="000000" w:themeColor="text1"/>
                      <w:szCs w:val="22"/>
                    </w:rPr>
                    <w:t>, the source of contamination and the associated public health risks in the project area have been significantly reduced, a</w:t>
                  </w:r>
                  <w:r>
                    <w:rPr>
                      <w:rFonts w:ascii="Calibri" w:hAnsi="Calibri" w:cs="Calibri"/>
                      <w:b w:val="0"/>
                      <w:color w:val="000000" w:themeColor="text1"/>
                      <w:szCs w:val="22"/>
                    </w:rPr>
                    <w:t xml:space="preserve">s verified through the detailed </w:t>
                  </w:r>
                  <w:r w:rsidRPr="0036085B">
                    <w:rPr>
                      <w:rFonts w:ascii="Calibri" w:hAnsi="Calibri" w:cs="Calibri"/>
                      <w:b w:val="0"/>
                      <w:color w:val="000000" w:themeColor="text1"/>
                      <w:szCs w:val="22"/>
                    </w:rPr>
                    <w:t>monitoring program of physical, environmental, and radiological parameters at the site which, by project closing, reveal that pollution/radiation levels have been contained and did not surpass the local (and international) permissible levels and standards</w:t>
                  </w:r>
                  <w:r>
                    <w:rPr>
                      <w:rStyle w:val="FootnoteReference"/>
                      <w:rFonts w:ascii="Calibri" w:hAnsi="Calibri" w:cs="Calibri"/>
                      <w:b w:val="0"/>
                      <w:color w:val="000000" w:themeColor="text1"/>
                      <w:szCs w:val="22"/>
                    </w:rPr>
                    <w:footnoteReference w:id="25"/>
                  </w:r>
                  <w:r w:rsidRPr="0036085B">
                    <w:rPr>
                      <w:rFonts w:ascii="Calibri" w:hAnsi="Calibri" w:cs="Calibri"/>
                      <w:b w:val="0"/>
                      <w:color w:val="000000" w:themeColor="text1"/>
                      <w:szCs w:val="22"/>
                    </w:rPr>
                    <w:t xml:space="preserve">.   </w:t>
                  </w:r>
                </w:p>
                <w:p w14:paraId="4F4381E5" w14:textId="77777777" w:rsidR="00196FEE" w:rsidRPr="00196FEE" w:rsidRDefault="00196FEE" w:rsidP="00196FEE">
                  <w:pPr>
                    <w:pStyle w:val="ListParagraph"/>
                    <w:rPr>
                      <w:rFonts w:ascii="Calibri" w:hAnsi="Calibri" w:cs="Calibri"/>
                      <w:color w:val="000000" w:themeColor="text1"/>
                      <w:szCs w:val="22"/>
                    </w:rPr>
                  </w:pPr>
                </w:p>
                <w:p w14:paraId="6BDB0F85" w14:textId="77777777" w:rsidR="00B13D26" w:rsidRPr="00DF034D" w:rsidRDefault="002C3F71" w:rsidP="00B13D26">
                  <w:pPr>
                    <w:pStyle w:val="ListParagraph"/>
                    <w:widowControl/>
                    <w:numPr>
                      <w:ilvl w:val="0"/>
                      <w:numId w:val="21"/>
                    </w:numPr>
                    <w:spacing w:line="276" w:lineRule="auto"/>
                    <w:jc w:val="both"/>
                    <w:rPr>
                      <w:rFonts w:ascii="Calibri" w:hAnsi="Calibri" w:cs="Calibri"/>
                      <w:b w:val="0"/>
                      <w:color w:val="000000" w:themeColor="text1"/>
                      <w:szCs w:val="22"/>
                    </w:rPr>
                  </w:pPr>
                  <w:r>
                    <w:rPr>
                      <w:rFonts w:ascii="Calibri" w:hAnsi="Calibri" w:cs="Calibri"/>
                      <w:b w:val="0"/>
                      <w:color w:val="000000" w:themeColor="text1"/>
                      <w:szCs w:val="22"/>
                    </w:rPr>
                    <w:t xml:space="preserve">The </w:t>
                  </w:r>
                  <w:r w:rsidRPr="00196FEE">
                    <w:rPr>
                      <w:rFonts w:ascii="Calibri" w:hAnsi="Calibri" w:cs="Calibri"/>
                      <w:b w:val="0"/>
                      <w:color w:val="000000" w:themeColor="text1"/>
                      <w:szCs w:val="22"/>
                    </w:rPr>
                    <w:t>project did not carry out a public health baseline (nor periodic sampling of the population during implementation) to determine radiation/pollution</w:t>
                  </w:r>
                  <w:r w:rsidR="00790FD7">
                    <w:rPr>
                      <w:rFonts w:ascii="Calibri" w:hAnsi="Calibri" w:cs="Calibri"/>
                      <w:b w:val="0"/>
                      <w:color w:val="000000" w:themeColor="text1"/>
                      <w:szCs w:val="22"/>
                    </w:rPr>
                    <w:t xml:space="preserve"> exposure</w:t>
                  </w:r>
                  <w:r w:rsidRPr="00196FEE">
                    <w:rPr>
                      <w:rFonts w:ascii="Calibri" w:hAnsi="Calibri" w:cs="Calibri"/>
                      <w:b w:val="0"/>
                      <w:color w:val="000000" w:themeColor="text1"/>
                      <w:szCs w:val="22"/>
                    </w:rPr>
                    <w:t xml:space="preserve"> levels</w:t>
                  </w:r>
                  <w:r w:rsidR="005B5442">
                    <w:rPr>
                      <w:rFonts w:ascii="Calibri" w:hAnsi="Calibri" w:cs="Calibri"/>
                      <w:b w:val="0"/>
                      <w:color w:val="000000" w:themeColor="text1"/>
                      <w:szCs w:val="22"/>
                    </w:rPr>
                    <w:t xml:space="preserve">. Nonetheless, </w:t>
                  </w:r>
                  <w:r w:rsidRPr="00196FEE">
                    <w:rPr>
                      <w:rFonts w:ascii="Calibri" w:hAnsi="Calibri" w:cs="Calibri"/>
                      <w:b w:val="0"/>
                      <w:color w:val="000000" w:themeColor="text1"/>
                      <w:szCs w:val="22"/>
                    </w:rPr>
                    <w:t xml:space="preserve">it can be concluded </w:t>
                  </w:r>
                  <w:r>
                    <w:rPr>
                      <w:rFonts w:ascii="Calibri" w:hAnsi="Calibri" w:cs="Calibri"/>
                      <w:b w:val="0"/>
                      <w:color w:val="000000" w:themeColor="text1"/>
                      <w:szCs w:val="22"/>
                    </w:rPr>
                    <w:t>through the radiation parameters monitored on the air, water, soil</w:t>
                  </w:r>
                  <w:r w:rsidR="000F079A">
                    <w:rPr>
                      <w:rFonts w:ascii="Calibri" w:hAnsi="Calibri" w:cs="Calibri"/>
                      <w:b w:val="0"/>
                      <w:color w:val="000000" w:themeColor="text1"/>
                      <w:szCs w:val="22"/>
                    </w:rPr>
                    <w:t xml:space="preserve"> </w:t>
                  </w:r>
                  <w:r>
                    <w:rPr>
                      <w:rFonts w:ascii="Calibri" w:hAnsi="Calibri" w:cs="Calibri"/>
                      <w:b w:val="0"/>
                      <w:color w:val="000000" w:themeColor="text1"/>
                      <w:szCs w:val="22"/>
                    </w:rPr>
                    <w:t xml:space="preserve">and through the health samples of CNEA’s workers at the site, </w:t>
                  </w:r>
                  <w:r w:rsidRPr="00196FEE">
                    <w:rPr>
                      <w:rFonts w:ascii="Calibri" w:hAnsi="Calibri" w:cs="Calibri"/>
                      <w:b w:val="0"/>
                      <w:color w:val="000000" w:themeColor="text1"/>
                      <w:szCs w:val="22"/>
                    </w:rPr>
                    <w:t xml:space="preserve">that the project has had a decisively positive impact on public health of the </w:t>
                  </w:r>
                  <w:proofErr w:type="spellStart"/>
                  <w:r w:rsidR="00E52891">
                    <w:rPr>
                      <w:rFonts w:ascii="Calibri" w:hAnsi="Calibri" w:cs="Calibri"/>
                      <w:b w:val="0"/>
                      <w:color w:val="000000" w:themeColor="text1"/>
                      <w:szCs w:val="22"/>
                    </w:rPr>
                    <w:t>Malargüe</w:t>
                  </w:r>
                  <w:proofErr w:type="spellEnd"/>
                  <w:r w:rsidRPr="00196FEE">
                    <w:rPr>
                      <w:rFonts w:ascii="Calibri" w:hAnsi="Calibri" w:cs="Calibri"/>
                      <w:b w:val="0"/>
                      <w:color w:val="000000" w:themeColor="text1"/>
                      <w:szCs w:val="22"/>
                    </w:rPr>
                    <w:t xml:space="preserve"> community by controlling a legacy that for the past 50 years had contaminated land, water, and air </w:t>
                  </w:r>
                  <w:proofErr w:type="gramStart"/>
                  <w:r w:rsidRPr="00196FEE">
                    <w:rPr>
                      <w:rFonts w:ascii="Calibri" w:hAnsi="Calibri" w:cs="Calibri"/>
                      <w:b w:val="0"/>
                      <w:color w:val="000000" w:themeColor="text1"/>
                      <w:szCs w:val="22"/>
                    </w:rPr>
                    <w:t>in the vicinity of</w:t>
                  </w:r>
                  <w:proofErr w:type="gramEnd"/>
                  <w:r w:rsidRPr="00196FEE">
                    <w:rPr>
                      <w:rFonts w:ascii="Calibri" w:hAnsi="Calibri" w:cs="Calibri"/>
                      <w:b w:val="0"/>
                      <w:color w:val="000000" w:themeColor="text1"/>
                      <w:szCs w:val="22"/>
                    </w:rPr>
                    <w:t xml:space="preserve"> the former </w:t>
                  </w:r>
                  <w:r w:rsidR="00DF072A">
                    <w:rPr>
                      <w:rFonts w:ascii="Calibri" w:hAnsi="Calibri" w:cs="Calibri"/>
                      <w:b w:val="0"/>
                      <w:color w:val="000000" w:themeColor="text1"/>
                      <w:szCs w:val="22"/>
                    </w:rPr>
                    <w:t>milling</w:t>
                  </w:r>
                  <w:r w:rsidR="00DF072A" w:rsidRPr="00196FEE">
                    <w:rPr>
                      <w:rFonts w:ascii="Calibri" w:hAnsi="Calibri" w:cs="Calibri"/>
                      <w:b w:val="0"/>
                      <w:color w:val="000000" w:themeColor="text1"/>
                      <w:szCs w:val="22"/>
                    </w:rPr>
                    <w:t xml:space="preserve"> </w:t>
                  </w:r>
                  <w:r w:rsidRPr="00196FEE">
                    <w:rPr>
                      <w:rFonts w:ascii="Calibri" w:hAnsi="Calibri" w:cs="Calibri"/>
                      <w:b w:val="0"/>
                      <w:color w:val="000000" w:themeColor="text1"/>
                      <w:szCs w:val="22"/>
                    </w:rPr>
                    <w:t xml:space="preserve">site.  </w:t>
                  </w:r>
                  <w:r w:rsidR="005B5442">
                    <w:rPr>
                      <w:rFonts w:ascii="Calibri" w:hAnsi="Calibri" w:cs="Calibri"/>
                      <w:b w:val="0"/>
                      <w:color w:val="000000" w:themeColor="text1"/>
                      <w:szCs w:val="22"/>
                    </w:rPr>
                    <w:t xml:space="preserve">Furthermore, </w:t>
                  </w:r>
                  <w:r w:rsidR="000C478C">
                    <w:rPr>
                      <w:rFonts w:ascii="Calibri" w:hAnsi="Calibri" w:cs="Calibri"/>
                      <w:b w:val="0"/>
                      <w:color w:val="000000" w:themeColor="text1"/>
                      <w:szCs w:val="22"/>
                    </w:rPr>
                    <w:t>i</w:t>
                  </w:r>
                  <w:r>
                    <w:rPr>
                      <w:rFonts w:ascii="Calibri" w:hAnsi="Calibri" w:cs="Calibri"/>
                      <w:b w:val="0"/>
                      <w:color w:val="000000" w:themeColor="text1"/>
                      <w:szCs w:val="22"/>
                    </w:rPr>
                    <w:t>t can also</w:t>
                  </w:r>
                  <w:r w:rsidR="000C478C">
                    <w:rPr>
                      <w:rFonts w:ascii="Calibri" w:hAnsi="Calibri" w:cs="Calibri"/>
                      <w:b w:val="0"/>
                      <w:color w:val="000000" w:themeColor="text1"/>
                      <w:szCs w:val="22"/>
                    </w:rPr>
                    <w:t xml:space="preserve"> be</w:t>
                  </w:r>
                  <w:r>
                    <w:rPr>
                      <w:rFonts w:ascii="Calibri" w:hAnsi="Calibri" w:cs="Calibri"/>
                      <w:b w:val="0"/>
                      <w:color w:val="000000" w:themeColor="text1"/>
                      <w:szCs w:val="22"/>
                    </w:rPr>
                    <w:t xml:space="preserve"> concluded that th</w:t>
                  </w:r>
                  <w:r w:rsidR="000C478C">
                    <w:rPr>
                      <w:rFonts w:ascii="Calibri" w:hAnsi="Calibri" w:cs="Calibri"/>
                      <w:b w:val="0"/>
                      <w:color w:val="000000" w:themeColor="text1"/>
                      <w:szCs w:val="22"/>
                    </w:rPr>
                    <w:t>e</w:t>
                  </w:r>
                  <w:r>
                    <w:rPr>
                      <w:rFonts w:ascii="Calibri" w:hAnsi="Calibri" w:cs="Calibri"/>
                      <w:b w:val="0"/>
                      <w:color w:val="000000" w:themeColor="text1"/>
                      <w:szCs w:val="22"/>
                    </w:rPr>
                    <w:t xml:space="preserve"> objective which </w:t>
                  </w:r>
                  <w:r w:rsidR="000C478C">
                    <w:rPr>
                      <w:rFonts w:ascii="Calibri" w:hAnsi="Calibri" w:cs="Calibri"/>
                      <w:b w:val="0"/>
                      <w:color w:val="000000" w:themeColor="text1"/>
                      <w:szCs w:val="22"/>
                    </w:rPr>
                    <w:t xml:space="preserve">is </w:t>
                  </w:r>
                  <w:r w:rsidRPr="00CB1A13">
                    <w:rPr>
                      <w:rFonts w:ascii="Calibri" w:hAnsi="Calibri" w:cs="Calibri"/>
                      <w:b w:val="0"/>
                      <w:color w:val="000000" w:themeColor="text1"/>
                      <w:szCs w:val="22"/>
                    </w:rPr>
                    <w:t>refer</w:t>
                  </w:r>
                  <w:r w:rsidR="000C478C">
                    <w:rPr>
                      <w:rFonts w:ascii="Calibri" w:hAnsi="Calibri" w:cs="Calibri"/>
                      <w:b w:val="0"/>
                      <w:color w:val="000000" w:themeColor="text1"/>
                      <w:szCs w:val="22"/>
                    </w:rPr>
                    <w:t>red to</w:t>
                  </w:r>
                  <w:r w:rsidRPr="00CB1A13">
                    <w:rPr>
                      <w:rFonts w:ascii="Calibri" w:hAnsi="Calibri" w:cs="Calibri"/>
                      <w:b w:val="0"/>
                      <w:color w:val="000000" w:themeColor="text1"/>
                      <w:szCs w:val="22"/>
                    </w:rPr>
                    <w:t xml:space="preserve"> </w:t>
                  </w:r>
                  <w:r>
                    <w:rPr>
                      <w:rFonts w:ascii="Calibri" w:hAnsi="Calibri" w:cs="Calibri"/>
                      <w:b w:val="0"/>
                      <w:color w:val="000000" w:themeColor="text1"/>
                      <w:szCs w:val="22"/>
                    </w:rPr>
                    <w:t xml:space="preserve">in the PAD </w:t>
                  </w:r>
                  <w:r w:rsidR="000C478C">
                    <w:rPr>
                      <w:rFonts w:ascii="Calibri" w:hAnsi="Calibri" w:cs="Calibri"/>
                      <w:b w:val="0"/>
                      <w:color w:val="000000" w:themeColor="text1"/>
                      <w:szCs w:val="22"/>
                    </w:rPr>
                    <w:t>as</w:t>
                  </w:r>
                  <w:r w:rsidRPr="00CB1A13">
                    <w:rPr>
                      <w:rFonts w:ascii="Calibri" w:hAnsi="Calibri" w:cs="Calibri"/>
                      <w:b w:val="0"/>
                      <w:color w:val="000000" w:themeColor="text1"/>
                      <w:szCs w:val="22"/>
                    </w:rPr>
                    <w:t xml:space="preserve"> “potential economic and health damages</w:t>
                  </w:r>
                  <w:r>
                    <w:rPr>
                      <w:rFonts w:ascii="Calibri" w:hAnsi="Calibri" w:cs="Calibri"/>
                      <w:b w:val="0"/>
                      <w:color w:val="000000" w:themeColor="text1"/>
                      <w:szCs w:val="22"/>
                    </w:rPr>
                    <w:t xml:space="preserve">” should </w:t>
                  </w:r>
                  <w:r w:rsidRPr="00CB1A13">
                    <w:rPr>
                      <w:rFonts w:ascii="Calibri" w:hAnsi="Calibri" w:cs="Calibri"/>
                      <w:b w:val="0"/>
                      <w:color w:val="000000" w:themeColor="text1"/>
                      <w:szCs w:val="22"/>
                    </w:rPr>
                    <w:t xml:space="preserve">more </w:t>
                  </w:r>
                  <w:r w:rsidR="000C478C">
                    <w:rPr>
                      <w:rFonts w:ascii="Calibri" w:hAnsi="Calibri" w:cs="Calibri"/>
                      <w:b w:val="0"/>
                      <w:color w:val="000000" w:themeColor="text1"/>
                      <w:szCs w:val="22"/>
                    </w:rPr>
                    <w:t>appropriately</w:t>
                  </w:r>
                  <w:r w:rsidRPr="00CB1A13">
                    <w:rPr>
                      <w:rFonts w:ascii="Calibri" w:hAnsi="Calibri" w:cs="Calibri"/>
                      <w:b w:val="0"/>
                      <w:color w:val="000000" w:themeColor="text1"/>
                      <w:szCs w:val="22"/>
                    </w:rPr>
                    <w:t xml:space="preserve"> </w:t>
                  </w:r>
                  <w:r>
                    <w:rPr>
                      <w:rFonts w:ascii="Calibri" w:hAnsi="Calibri" w:cs="Calibri"/>
                      <w:b w:val="0"/>
                      <w:color w:val="000000" w:themeColor="text1"/>
                      <w:szCs w:val="22"/>
                    </w:rPr>
                    <w:t xml:space="preserve">be </w:t>
                  </w:r>
                  <w:r w:rsidR="000C478C">
                    <w:rPr>
                      <w:rFonts w:ascii="Calibri" w:hAnsi="Calibri" w:cs="Calibri"/>
                      <w:b w:val="0"/>
                      <w:color w:val="000000" w:themeColor="text1"/>
                      <w:szCs w:val="22"/>
                    </w:rPr>
                    <w:t>interpreted as</w:t>
                  </w:r>
                  <w:r>
                    <w:rPr>
                      <w:rFonts w:ascii="Calibri" w:hAnsi="Calibri" w:cs="Calibri"/>
                      <w:b w:val="0"/>
                      <w:color w:val="000000" w:themeColor="text1"/>
                      <w:szCs w:val="22"/>
                    </w:rPr>
                    <w:t xml:space="preserve"> </w:t>
                  </w:r>
                  <w:r w:rsidRPr="00CB1A13">
                    <w:rPr>
                      <w:rFonts w:ascii="Calibri" w:hAnsi="Calibri" w:cs="Calibri"/>
                      <w:b w:val="0"/>
                      <w:color w:val="000000" w:themeColor="text1"/>
                      <w:szCs w:val="22"/>
                    </w:rPr>
                    <w:t xml:space="preserve">“potential economic and health </w:t>
                  </w:r>
                  <w:r w:rsidRPr="00D04D05">
                    <w:rPr>
                      <w:rFonts w:ascii="Calibri" w:hAnsi="Calibri" w:cs="Calibri"/>
                      <w:i/>
                      <w:color w:val="000000" w:themeColor="text1"/>
                      <w:szCs w:val="22"/>
                    </w:rPr>
                    <w:t>risks</w:t>
                  </w:r>
                  <w:r w:rsidRPr="00CB1A13">
                    <w:rPr>
                      <w:rFonts w:ascii="Calibri" w:hAnsi="Calibri" w:cs="Calibri"/>
                      <w:b w:val="0"/>
                      <w:color w:val="000000" w:themeColor="text1"/>
                      <w:szCs w:val="22"/>
                    </w:rPr>
                    <w:t>”</w:t>
                  </w:r>
                  <w:r>
                    <w:rPr>
                      <w:rFonts w:ascii="Calibri" w:hAnsi="Calibri" w:cs="Calibri"/>
                      <w:b w:val="0"/>
                      <w:color w:val="000000" w:themeColor="text1"/>
                      <w:szCs w:val="22"/>
                    </w:rPr>
                    <w:t xml:space="preserve"> (particularly since one of the key i</w:t>
                  </w:r>
                  <w:r w:rsidRPr="00DF034D">
                    <w:rPr>
                      <w:rFonts w:ascii="Calibri" w:hAnsi="Calibri" w:cs="Calibri"/>
                      <w:b w:val="0"/>
                      <w:color w:val="000000" w:themeColor="text1"/>
                      <w:szCs w:val="22"/>
                    </w:rPr>
                    <w:t xml:space="preserve">ndicators refers to: </w:t>
                  </w:r>
                  <w:r>
                    <w:rPr>
                      <w:rFonts w:ascii="Calibri" w:hAnsi="Calibri" w:cs="Calibri"/>
                      <w:b w:val="0"/>
                      <w:color w:val="000000" w:themeColor="text1"/>
                      <w:szCs w:val="22"/>
                    </w:rPr>
                    <w:t>“</w:t>
                  </w:r>
                  <w:r w:rsidRPr="00DF034D">
                    <w:rPr>
                      <w:rFonts w:ascii="Calibri" w:hAnsi="Calibri" w:cs="Calibri"/>
                      <w:b w:val="0"/>
                      <w:color w:val="000000" w:themeColor="text1"/>
                      <w:szCs w:val="22"/>
                    </w:rPr>
                    <w:t xml:space="preserve">All potential health and economic risks </w:t>
                  </w:r>
                  <w:r>
                    <w:rPr>
                      <w:rFonts w:ascii="Calibri" w:hAnsi="Calibri" w:cs="Calibri"/>
                      <w:b w:val="0"/>
                      <w:color w:val="000000" w:themeColor="text1"/>
                      <w:szCs w:val="22"/>
                    </w:rPr>
                    <w:t xml:space="preserve">associated with the </w:t>
                  </w:r>
                  <w:proofErr w:type="spellStart"/>
                  <w:r w:rsidR="00E52891">
                    <w:rPr>
                      <w:rFonts w:ascii="Calibri" w:hAnsi="Calibri" w:cs="Calibri"/>
                      <w:b w:val="0"/>
                      <w:color w:val="000000" w:themeColor="text1"/>
                      <w:szCs w:val="22"/>
                    </w:rPr>
                    <w:t>Malargüe</w:t>
                  </w:r>
                  <w:proofErr w:type="spellEnd"/>
                  <w:r w:rsidRPr="00DF034D">
                    <w:rPr>
                      <w:rFonts w:ascii="Calibri" w:hAnsi="Calibri" w:cs="Calibri"/>
                      <w:b w:val="0"/>
                      <w:color w:val="000000" w:themeColor="text1"/>
                      <w:szCs w:val="22"/>
                    </w:rPr>
                    <w:t xml:space="preserve"> site reduced to acceptable and verified levels</w:t>
                  </w:r>
                  <w:r>
                    <w:rPr>
                      <w:rFonts w:ascii="Calibri" w:hAnsi="Calibri" w:cs="Calibri"/>
                      <w:b w:val="0"/>
                      <w:color w:val="000000" w:themeColor="text1"/>
                      <w:szCs w:val="22"/>
                    </w:rPr>
                    <w:t>)</w:t>
                  </w:r>
                  <w:r w:rsidRPr="00DF034D">
                    <w:rPr>
                      <w:rFonts w:ascii="Calibri" w:hAnsi="Calibri" w:cs="Calibri"/>
                      <w:b w:val="0"/>
                      <w:color w:val="000000" w:themeColor="text1"/>
                      <w:szCs w:val="22"/>
                    </w:rPr>
                    <w:t xml:space="preserve">. This is a quality at entry shortcoming, especially since neither baseline nor ex-post project impact data exists with respect to the reduction of economic and health damages due to contamination at the </w:t>
                  </w:r>
                  <w:proofErr w:type="spellStart"/>
                  <w:r w:rsidR="00E52891">
                    <w:rPr>
                      <w:rFonts w:ascii="Calibri" w:hAnsi="Calibri" w:cs="Calibri"/>
                      <w:b w:val="0"/>
                      <w:color w:val="000000" w:themeColor="text1"/>
                      <w:szCs w:val="22"/>
                    </w:rPr>
                    <w:t>Malargüe</w:t>
                  </w:r>
                  <w:proofErr w:type="spellEnd"/>
                  <w:r w:rsidRPr="00DF034D">
                    <w:rPr>
                      <w:rFonts w:ascii="Calibri" w:hAnsi="Calibri" w:cs="Calibri"/>
                      <w:b w:val="0"/>
                      <w:color w:val="000000" w:themeColor="text1"/>
                      <w:szCs w:val="22"/>
                    </w:rPr>
                    <w:t xml:space="preserve"> site, and thus</w:t>
                  </w:r>
                  <w:r w:rsidR="005B5442">
                    <w:rPr>
                      <w:rFonts w:ascii="Calibri" w:hAnsi="Calibri" w:cs="Calibri"/>
                      <w:b w:val="0"/>
                      <w:color w:val="000000" w:themeColor="text1"/>
                      <w:szCs w:val="22"/>
                    </w:rPr>
                    <w:t>,</w:t>
                  </w:r>
                  <w:r w:rsidRPr="00DF034D">
                    <w:rPr>
                      <w:rFonts w:ascii="Calibri" w:hAnsi="Calibri" w:cs="Calibri"/>
                      <w:b w:val="0"/>
                      <w:color w:val="000000" w:themeColor="text1"/>
                      <w:szCs w:val="22"/>
                    </w:rPr>
                    <w:t xml:space="preserve"> it is only possible to assess the project’s results in terms of the elimination/reduction of potential economic and health risks as a result of the remediation of the contaminated site</w:t>
                  </w:r>
                  <w:r w:rsidR="000C478C">
                    <w:rPr>
                      <w:rFonts w:ascii="Calibri" w:hAnsi="Calibri" w:cs="Calibri"/>
                      <w:b w:val="0"/>
                      <w:color w:val="000000" w:themeColor="text1"/>
                      <w:szCs w:val="22"/>
                    </w:rPr>
                    <w:t>, which are expected in the longer term to lead to reduction in potential economic and health damages</w:t>
                  </w:r>
                  <w:r w:rsidRPr="00DF034D">
                    <w:rPr>
                      <w:rFonts w:ascii="Calibri" w:hAnsi="Calibri" w:cs="Calibri"/>
                      <w:b w:val="0"/>
                      <w:color w:val="000000" w:themeColor="text1"/>
                      <w:szCs w:val="22"/>
                    </w:rPr>
                    <w:t xml:space="preserve">. </w:t>
                  </w:r>
                </w:p>
                <w:p w14:paraId="4DEF5FA5" w14:textId="77777777" w:rsidR="00196FEE" w:rsidRPr="00196FEE" w:rsidRDefault="00196FEE" w:rsidP="00196FEE">
                  <w:pPr>
                    <w:pStyle w:val="ListParagraph"/>
                    <w:rPr>
                      <w:rFonts w:ascii="Calibri" w:hAnsi="Calibri" w:cs="Calibri"/>
                      <w:color w:val="000000" w:themeColor="text1"/>
                      <w:szCs w:val="22"/>
                    </w:rPr>
                  </w:pPr>
                </w:p>
                <w:p w14:paraId="7335205E" w14:textId="77777777" w:rsidR="00B13D26" w:rsidRDefault="002C3F71" w:rsidP="00B13D26">
                  <w:pPr>
                    <w:pStyle w:val="ListParagraph"/>
                    <w:widowControl/>
                    <w:numPr>
                      <w:ilvl w:val="0"/>
                      <w:numId w:val="21"/>
                    </w:numPr>
                    <w:spacing w:line="276" w:lineRule="auto"/>
                    <w:jc w:val="both"/>
                    <w:rPr>
                      <w:rFonts w:eastAsiaTheme="majorEastAsia" w:cstheme="majorBidi"/>
                      <w:b w:val="0"/>
                      <w:bCs/>
                      <w:color w:val="000000" w:themeColor="text1"/>
                      <w:szCs w:val="22"/>
                    </w:rPr>
                  </w:pPr>
                  <w:r w:rsidRPr="00F77723">
                    <w:rPr>
                      <w:rFonts w:eastAsiaTheme="majorEastAsia" w:cstheme="majorBidi"/>
                      <w:b w:val="0"/>
                      <w:bCs/>
                      <w:color w:val="000000" w:themeColor="text1"/>
                      <w:szCs w:val="22"/>
                    </w:rPr>
                    <w:t xml:space="preserve">While at time of appraisal economic activities in </w:t>
                  </w:r>
                  <w:proofErr w:type="spellStart"/>
                  <w:r w:rsidR="00E52891">
                    <w:rPr>
                      <w:rFonts w:eastAsiaTheme="majorEastAsia" w:cstheme="majorBidi"/>
                      <w:b w:val="0"/>
                      <w:bCs/>
                      <w:color w:val="000000" w:themeColor="text1"/>
                      <w:szCs w:val="22"/>
                    </w:rPr>
                    <w:t>Malargüe</w:t>
                  </w:r>
                  <w:proofErr w:type="spellEnd"/>
                  <w:r w:rsidRPr="00F77723">
                    <w:rPr>
                      <w:rFonts w:eastAsiaTheme="majorEastAsia" w:cstheme="majorBidi"/>
                      <w:b w:val="0"/>
                      <w:bCs/>
                      <w:color w:val="000000" w:themeColor="text1"/>
                      <w:szCs w:val="22"/>
                    </w:rPr>
                    <w:t xml:space="preserve"> included summer and winter sport tourism, light industries, and the production of highly regarded potato seedlings that supply some of Argentina’s major urban centers (employing about 800 workers and accounting an annual revenue of US$1.8M), the economic impacts associated to the pollution from uranium milling site were not estimated</w:t>
                  </w:r>
                  <w:r w:rsidR="0044009B">
                    <w:rPr>
                      <w:rFonts w:eastAsiaTheme="majorEastAsia" w:cstheme="majorBidi"/>
                      <w:b w:val="0"/>
                      <w:bCs/>
                      <w:color w:val="000000" w:themeColor="text1"/>
                      <w:szCs w:val="22"/>
                    </w:rPr>
                    <w:t xml:space="preserve"> at appraisal nor </w:t>
                  </w:r>
                  <w:r w:rsidRPr="00F77723">
                    <w:rPr>
                      <w:rFonts w:eastAsiaTheme="majorEastAsia" w:cstheme="majorBidi"/>
                      <w:b w:val="0"/>
                      <w:bCs/>
                      <w:color w:val="000000" w:themeColor="text1"/>
                      <w:szCs w:val="22"/>
                    </w:rPr>
                    <w:t xml:space="preserve">monitored during implementation.  It could be concluded, nonetheless, that in addition to human health and safety and environmental benefits </w:t>
                  </w:r>
                  <w:r>
                    <w:rPr>
                      <w:rFonts w:eastAsiaTheme="majorEastAsia" w:cstheme="majorBidi"/>
                      <w:b w:val="0"/>
                      <w:bCs/>
                      <w:color w:val="000000" w:themeColor="text1"/>
                      <w:szCs w:val="22"/>
                    </w:rPr>
                    <w:t xml:space="preserve">that would improve </w:t>
                  </w:r>
                  <w:r w:rsidRPr="00F77723">
                    <w:rPr>
                      <w:rFonts w:eastAsiaTheme="majorEastAsia" w:cstheme="majorBidi"/>
                      <w:b w:val="0"/>
                      <w:bCs/>
                      <w:color w:val="000000" w:themeColor="text1"/>
                      <w:szCs w:val="22"/>
                    </w:rPr>
                    <w:t xml:space="preserve">the quality of life and the economic benefits to the population of </w:t>
                  </w:r>
                  <w:proofErr w:type="spellStart"/>
                  <w:r w:rsidR="00E52891">
                    <w:rPr>
                      <w:rFonts w:eastAsiaTheme="majorEastAsia" w:cstheme="majorBidi"/>
                      <w:b w:val="0"/>
                      <w:bCs/>
                      <w:color w:val="000000" w:themeColor="text1"/>
                      <w:szCs w:val="22"/>
                    </w:rPr>
                    <w:t>Malargüe</w:t>
                  </w:r>
                  <w:proofErr w:type="spellEnd"/>
                  <w:r w:rsidRPr="00F77723">
                    <w:rPr>
                      <w:rFonts w:eastAsiaTheme="majorEastAsia" w:cstheme="majorBidi"/>
                      <w:b w:val="0"/>
                      <w:bCs/>
                      <w:color w:val="000000" w:themeColor="text1"/>
                      <w:szCs w:val="22"/>
                    </w:rPr>
                    <w:t>, the effective containment and greening of the site would also help the local economy, which is heavily dependent on tourism and on the wide marketability of local potato seedlings.  Reducing the perceived dangers of radioactive contamination is likely to bring additional benefits</w:t>
                  </w:r>
                  <w:r>
                    <w:rPr>
                      <w:rFonts w:eastAsiaTheme="majorEastAsia" w:cstheme="majorBidi"/>
                      <w:b w:val="0"/>
                      <w:bCs/>
                      <w:color w:val="000000" w:themeColor="text1"/>
                      <w:szCs w:val="22"/>
                    </w:rPr>
                    <w:t xml:space="preserve"> </w:t>
                  </w:r>
                  <w:r w:rsidR="001F1B3C">
                    <w:rPr>
                      <w:rFonts w:eastAsiaTheme="majorEastAsia" w:cstheme="majorBidi"/>
                      <w:b w:val="0"/>
                      <w:bCs/>
                      <w:color w:val="000000" w:themeColor="text1"/>
                      <w:szCs w:val="22"/>
                    </w:rPr>
                    <w:t xml:space="preserve">which </w:t>
                  </w:r>
                  <w:r>
                    <w:rPr>
                      <w:rFonts w:eastAsiaTheme="majorEastAsia" w:cstheme="majorBidi"/>
                      <w:b w:val="0"/>
                      <w:bCs/>
                      <w:color w:val="000000" w:themeColor="text1"/>
                      <w:szCs w:val="22"/>
                    </w:rPr>
                    <w:t xml:space="preserve">could also </w:t>
                  </w:r>
                  <w:r w:rsidR="001F1B3C">
                    <w:rPr>
                      <w:rFonts w:eastAsiaTheme="majorEastAsia" w:cstheme="majorBidi"/>
                      <w:b w:val="0"/>
                      <w:bCs/>
                      <w:color w:val="000000" w:themeColor="text1"/>
                      <w:szCs w:val="22"/>
                    </w:rPr>
                    <w:t xml:space="preserve">include </w:t>
                  </w:r>
                  <w:r>
                    <w:rPr>
                      <w:rFonts w:eastAsiaTheme="majorEastAsia" w:cstheme="majorBidi"/>
                      <w:b w:val="0"/>
                      <w:bCs/>
                      <w:color w:val="000000" w:themeColor="text1"/>
                      <w:szCs w:val="22"/>
                    </w:rPr>
                    <w:t xml:space="preserve">new </w:t>
                  </w:r>
                  <w:r w:rsidRPr="00F77723">
                    <w:rPr>
                      <w:rFonts w:eastAsiaTheme="majorEastAsia" w:cstheme="majorBidi"/>
                      <w:b w:val="0"/>
                      <w:bCs/>
                      <w:color w:val="000000" w:themeColor="text1"/>
                      <w:szCs w:val="22"/>
                    </w:rPr>
                    <w:t>employment opportunities and a greater demand for products and services in the area.</w:t>
                  </w:r>
                </w:p>
                <w:p w14:paraId="5827B7C6" w14:textId="77777777" w:rsidR="00196FEE" w:rsidRPr="00196FEE" w:rsidRDefault="00196FEE" w:rsidP="00196FEE">
                  <w:pPr>
                    <w:pStyle w:val="ListParagraph"/>
                    <w:rPr>
                      <w:rFonts w:eastAsiaTheme="majorEastAsia" w:cstheme="majorBidi"/>
                      <w:bCs/>
                      <w:color w:val="000000" w:themeColor="text1"/>
                      <w:szCs w:val="22"/>
                    </w:rPr>
                  </w:pPr>
                </w:p>
                <w:p w14:paraId="06C20A10" w14:textId="77777777" w:rsidR="00B13D26" w:rsidRDefault="002C3F71" w:rsidP="00B13D26">
                  <w:pPr>
                    <w:pStyle w:val="ListParagraph"/>
                    <w:widowControl/>
                    <w:numPr>
                      <w:ilvl w:val="0"/>
                      <w:numId w:val="21"/>
                    </w:numPr>
                    <w:spacing w:line="276" w:lineRule="auto"/>
                    <w:jc w:val="both"/>
                    <w:rPr>
                      <w:rFonts w:eastAsiaTheme="majorEastAsia" w:cstheme="majorBidi"/>
                      <w:b w:val="0"/>
                      <w:bCs/>
                      <w:color w:val="000000" w:themeColor="text1"/>
                      <w:szCs w:val="22"/>
                    </w:rPr>
                  </w:pPr>
                  <w:proofErr w:type="gramStart"/>
                  <w:r w:rsidRPr="00196FEE">
                    <w:rPr>
                      <w:rFonts w:ascii="Calibri" w:hAnsi="Calibri" w:cs="Calibri"/>
                      <w:b w:val="0"/>
                      <w:color w:val="000000" w:themeColor="text1"/>
                      <w:szCs w:val="22"/>
                    </w:rPr>
                    <w:t>According to</w:t>
                  </w:r>
                  <w:proofErr w:type="gramEnd"/>
                  <w:r w:rsidRPr="00196FEE">
                    <w:rPr>
                      <w:rFonts w:ascii="Calibri" w:hAnsi="Calibri" w:cs="Calibri"/>
                      <w:b w:val="0"/>
                      <w:color w:val="000000" w:themeColor="text1"/>
                      <w:szCs w:val="22"/>
                    </w:rPr>
                    <w:t xml:space="preserve"> the legal agreement, CNEA will have to continue the environmental monitoring program for 20 years (see also risk to development outcome below). This is the first uranium remediation project that is successfully completed in Argentina and is expected to serve as a model for the remediation of other contaminate</w:t>
                  </w:r>
                  <w:r w:rsidR="001F1B3C">
                    <w:rPr>
                      <w:rFonts w:ascii="Calibri" w:hAnsi="Calibri" w:cs="Calibri"/>
                      <w:b w:val="0"/>
                      <w:color w:val="000000" w:themeColor="text1"/>
                      <w:szCs w:val="22"/>
                    </w:rPr>
                    <w:t>d</w:t>
                  </w:r>
                  <w:r w:rsidRPr="00196FEE">
                    <w:rPr>
                      <w:rFonts w:ascii="Calibri" w:hAnsi="Calibri" w:cs="Calibri"/>
                      <w:b w:val="0"/>
                      <w:color w:val="000000" w:themeColor="text1"/>
                      <w:szCs w:val="22"/>
                    </w:rPr>
                    <w:t xml:space="preserve"> sites in the country and elsewhere in Latin America.</w:t>
                  </w:r>
                  <w:r w:rsidRPr="00196FEE">
                    <w:rPr>
                      <w:rFonts w:eastAsiaTheme="majorEastAsia" w:cstheme="majorBidi"/>
                      <w:b w:val="0"/>
                      <w:bCs/>
                      <w:color w:val="000000" w:themeColor="text1"/>
                      <w:szCs w:val="22"/>
                    </w:rPr>
                    <w:t xml:space="preserve"> </w:t>
                  </w:r>
                </w:p>
                <w:p w14:paraId="5D08C733" w14:textId="77777777" w:rsidR="00196FEE" w:rsidRPr="00196FEE" w:rsidRDefault="002C3F71" w:rsidP="00196FEE">
                  <w:pPr>
                    <w:pStyle w:val="ListParagraph"/>
                    <w:rPr>
                      <w:rFonts w:ascii="Calibri" w:hAnsi="Calibri" w:cs="Calibri"/>
                      <w:color w:val="000000" w:themeColor="text1"/>
                      <w:szCs w:val="22"/>
                    </w:rPr>
                  </w:pPr>
                  <w:r>
                    <w:rPr>
                      <w:rFonts w:ascii="Calibri" w:hAnsi="Calibri" w:cs="Calibri"/>
                      <w:color w:val="000000" w:themeColor="text1"/>
                      <w:szCs w:val="22"/>
                    </w:rPr>
                    <w:t xml:space="preserve"> </w:t>
                  </w:r>
                </w:p>
                <w:p w14:paraId="34CEE2FE" w14:textId="77777777" w:rsidR="00757A64" w:rsidRPr="00DA5A87" w:rsidRDefault="002C3F71" w:rsidP="00DA5A87">
                  <w:pPr>
                    <w:pStyle w:val="ListParagraph"/>
                    <w:widowControl/>
                    <w:numPr>
                      <w:ilvl w:val="0"/>
                      <w:numId w:val="21"/>
                    </w:numPr>
                    <w:spacing w:line="276" w:lineRule="auto"/>
                    <w:jc w:val="both"/>
                    <w:rPr>
                      <w:rFonts w:eastAsiaTheme="majorEastAsia" w:cstheme="majorBidi"/>
                      <w:b w:val="0"/>
                      <w:bCs/>
                      <w:color w:val="000000" w:themeColor="text1"/>
                      <w:szCs w:val="22"/>
                    </w:rPr>
                  </w:pPr>
                  <w:proofErr w:type="gramStart"/>
                  <w:r w:rsidRPr="00DA5A87">
                    <w:rPr>
                      <w:rFonts w:eastAsiaTheme="majorEastAsia" w:cstheme="majorBidi"/>
                      <w:b w:val="0"/>
                      <w:bCs/>
                      <w:color w:val="000000" w:themeColor="text1"/>
                      <w:szCs w:val="22"/>
                    </w:rPr>
                    <w:t>In spite of</w:t>
                  </w:r>
                  <w:proofErr w:type="gramEnd"/>
                  <w:r w:rsidRPr="00DA5A87">
                    <w:rPr>
                      <w:rFonts w:eastAsiaTheme="majorEastAsia" w:cstheme="majorBidi"/>
                      <w:b w:val="0"/>
                      <w:bCs/>
                      <w:color w:val="000000" w:themeColor="text1"/>
                      <w:szCs w:val="22"/>
                    </w:rPr>
                    <w:t xml:space="preserve"> the shortcomings of monitoring health and economic impacts associated with the remediation of </w:t>
                  </w:r>
                  <w:proofErr w:type="spellStart"/>
                  <w:r w:rsidR="00E52891">
                    <w:rPr>
                      <w:rFonts w:eastAsiaTheme="majorEastAsia" w:cstheme="majorBidi"/>
                      <w:b w:val="0"/>
                      <w:bCs/>
                      <w:color w:val="000000" w:themeColor="text1"/>
                      <w:szCs w:val="22"/>
                    </w:rPr>
                    <w:t>Malargüe</w:t>
                  </w:r>
                  <w:proofErr w:type="spellEnd"/>
                  <w:r w:rsidRPr="00DA5A87">
                    <w:rPr>
                      <w:rFonts w:eastAsiaTheme="majorEastAsia" w:cstheme="majorBidi"/>
                      <w:b w:val="0"/>
                      <w:bCs/>
                      <w:color w:val="000000" w:themeColor="text1"/>
                      <w:szCs w:val="22"/>
                    </w:rPr>
                    <w:t xml:space="preserve">, given the reduced exposure to pollutants and radiation and its associated health and economic benefits, it can be concluded that this objective had been </w:t>
                  </w:r>
                  <w:r w:rsidR="007124FB">
                    <w:rPr>
                      <w:rFonts w:eastAsiaTheme="majorEastAsia" w:cstheme="majorBidi"/>
                      <w:b w:val="0"/>
                      <w:bCs/>
                      <w:color w:val="000000" w:themeColor="text1"/>
                      <w:szCs w:val="22"/>
                    </w:rPr>
                    <w:t xml:space="preserve">substantially </w:t>
                  </w:r>
                  <w:r w:rsidRPr="00DA5A87">
                    <w:rPr>
                      <w:rFonts w:eastAsiaTheme="majorEastAsia" w:cstheme="majorBidi"/>
                      <w:b w:val="0"/>
                      <w:bCs/>
                      <w:color w:val="000000" w:themeColor="text1"/>
                      <w:szCs w:val="22"/>
                    </w:rPr>
                    <w:t>met.</w:t>
                  </w:r>
                  <w:r>
                    <w:rPr>
                      <w:rFonts w:eastAsiaTheme="majorEastAsia" w:cstheme="majorBidi"/>
                      <w:b w:val="0"/>
                      <w:bCs/>
                      <w:color w:val="000000" w:themeColor="text1"/>
                      <w:szCs w:val="22"/>
                    </w:rPr>
                    <w:t xml:space="preserve"> </w:t>
                  </w:r>
                </w:p>
              </w:tc>
            </w:tr>
          </w:tbl>
          <w:p w14:paraId="5C0E8449" w14:textId="77777777" w:rsidR="00757A64" w:rsidRPr="009E631B" w:rsidRDefault="00757A64" w:rsidP="00173499">
            <w:pPr>
              <w:ind w:left="342" w:hanging="3"/>
              <w:rPr>
                <w:rFonts w:asciiTheme="minorHAnsi" w:hAnsiTheme="minorHAnsi"/>
                <w:color w:val="000000" w:themeColor="text1"/>
                <w:sz w:val="22"/>
                <w:szCs w:val="22"/>
              </w:rPr>
            </w:pPr>
          </w:p>
        </w:tc>
      </w:tr>
      <w:tr w:rsidR="00E63776" w14:paraId="7F7534EB" w14:textId="77777777" w:rsidTr="00757A64">
        <w:trPr>
          <w:gridAfter w:val="1"/>
          <w:wAfter w:w="90" w:type="dxa"/>
          <w:trHeight w:val="297"/>
        </w:trPr>
        <w:tc>
          <w:tcPr>
            <w:tcW w:w="10980" w:type="dxa"/>
            <w:gridSpan w:val="2"/>
            <w:shd w:val="clear" w:color="auto" w:fill="auto"/>
            <w:vAlign w:val="center"/>
          </w:tcPr>
          <w:p w14:paraId="75CE1E81" w14:textId="77777777" w:rsidR="007078F6" w:rsidRPr="00801C68" w:rsidRDefault="007078F6" w:rsidP="007F0FDF">
            <w:pPr>
              <w:keepNext/>
              <w:keepLines/>
              <w:widowControl/>
              <w:autoSpaceDE/>
              <w:autoSpaceDN/>
              <w:adjustRightInd/>
              <w:spacing w:before="40" w:line="259" w:lineRule="auto"/>
              <w:ind w:left="432"/>
              <w:outlineLvl w:val="1"/>
              <w:rPr>
                <w:rFonts w:asciiTheme="minorHAnsi" w:eastAsiaTheme="majorEastAsia" w:hAnsiTheme="minorHAnsi" w:cstheme="majorBidi"/>
                <w:bCs/>
                <w:color w:val="000000" w:themeColor="text1"/>
                <w:sz w:val="22"/>
                <w:szCs w:val="22"/>
              </w:rPr>
            </w:pPr>
          </w:p>
        </w:tc>
      </w:tr>
      <w:tr w:rsidR="00E63776" w14:paraId="099F6F23" w14:textId="77777777" w:rsidTr="00757A64">
        <w:trPr>
          <w:gridAfter w:val="1"/>
          <w:wAfter w:w="90" w:type="dxa"/>
          <w:trHeight w:val="80"/>
        </w:trPr>
        <w:tc>
          <w:tcPr>
            <w:tcW w:w="10980" w:type="dxa"/>
            <w:gridSpan w:val="2"/>
            <w:shd w:val="clear" w:color="auto" w:fill="auto"/>
            <w:vAlign w:val="center"/>
          </w:tcPr>
          <w:p w14:paraId="4E7C1787" w14:textId="77777777" w:rsidR="007078F6" w:rsidRPr="009E631B" w:rsidRDefault="002C3F71" w:rsidP="0023268D">
            <w:pPr>
              <w:pStyle w:val="Heading3"/>
              <w:ind w:left="432"/>
              <w:rPr>
                <w:szCs w:val="22"/>
              </w:rPr>
            </w:pPr>
            <w:r w:rsidRPr="009E631B">
              <w:rPr>
                <w:szCs w:val="22"/>
              </w:rPr>
              <w:t xml:space="preserve">Justification of Overall Efficacy Rating </w:t>
            </w:r>
          </w:p>
        </w:tc>
      </w:tr>
      <w:tr w:rsidR="00E63776" w14:paraId="43FDD8FD" w14:textId="77777777" w:rsidTr="00757A64">
        <w:trPr>
          <w:gridAfter w:val="1"/>
          <w:wAfter w:w="90" w:type="dxa"/>
          <w:trHeight w:val="180"/>
        </w:trPr>
        <w:tc>
          <w:tcPr>
            <w:tcW w:w="10980" w:type="dxa"/>
            <w:gridSpan w:val="2"/>
            <w:shd w:val="clear" w:color="auto" w:fill="auto"/>
            <w:vAlign w:val="center"/>
          </w:tcPr>
          <w:p w14:paraId="44774411" w14:textId="77777777" w:rsidR="007078F6" w:rsidRPr="00DA5A87" w:rsidRDefault="007078F6" w:rsidP="00DA5A87">
            <w:pPr>
              <w:pStyle w:val="ListParagraph"/>
              <w:widowControl/>
              <w:spacing w:line="276" w:lineRule="auto"/>
              <w:ind w:left="360"/>
              <w:jc w:val="both"/>
              <w:rPr>
                <w:rFonts w:eastAsiaTheme="majorEastAsia" w:cstheme="majorBidi"/>
                <w:b w:val="0"/>
                <w:bCs/>
                <w:color w:val="000000" w:themeColor="text1"/>
                <w:szCs w:val="22"/>
              </w:rPr>
            </w:pPr>
          </w:p>
          <w:p w14:paraId="2E7B1C6A" w14:textId="77777777" w:rsidR="002D4F34" w:rsidRPr="00DA5A87" w:rsidRDefault="002C3F71" w:rsidP="00DA5A87">
            <w:pPr>
              <w:pStyle w:val="ListParagraph"/>
              <w:widowControl/>
              <w:numPr>
                <w:ilvl w:val="0"/>
                <w:numId w:val="21"/>
              </w:numPr>
              <w:spacing w:line="276" w:lineRule="auto"/>
              <w:jc w:val="both"/>
              <w:rPr>
                <w:rFonts w:eastAsiaTheme="majorEastAsia" w:cstheme="majorBidi"/>
                <w:b w:val="0"/>
                <w:bCs/>
                <w:color w:val="000000" w:themeColor="text1"/>
                <w:szCs w:val="22"/>
              </w:rPr>
            </w:pPr>
            <w:r w:rsidRPr="00DA5A87">
              <w:rPr>
                <w:rFonts w:eastAsiaTheme="majorEastAsia" w:cstheme="majorBidi"/>
                <w:b w:val="0"/>
                <w:bCs/>
                <w:color w:val="000000" w:themeColor="text1"/>
                <w:szCs w:val="22"/>
              </w:rPr>
              <w:t xml:space="preserve">The overall Efficacy Rating is </w:t>
            </w:r>
            <w:r w:rsidRPr="002F518C">
              <w:rPr>
                <w:rFonts w:eastAsiaTheme="majorEastAsia" w:cstheme="majorBidi"/>
                <w:bCs/>
                <w:color w:val="000000" w:themeColor="text1"/>
                <w:szCs w:val="22"/>
              </w:rPr>
              <w:t>Substantial</w:t>
            </w:r>
            <w:r w:rsidRPr="00DA5A87">
              <w:rPr>
                <w:rFonts w:eastAsiaTheme="majorEastAsia" w:cstheme="majorBidi"/>
                <w:b w:val="0"/>
                <w:bCs/>
                <w:color w:val="000000" w:themeColor="text1"/>
                <w:szCs w:val="22"/>
              </w:rPr>
              <w:t xml:space="preserve"> considering that </w:t>
            </w:r>
            <w:r>
              <w:rPr>
                <w:rFonts w:eastAsiaTheme="majorEastAsia" w:cstheme="majorBidi"/>
                <w:b w:val="0"/>
                <w:bCs/>
                <w:color w:val="000000" w:themeColor="text1"/>
                <w:szCs w:val="22"/>
              </w:rPr>
              <w:t xml:space="preserve">both project </w:t>
            </w:r>
            <w:r w:rsidRPr="00DA5A87">
              <w:rPr>
                <w:rFonts w:eastAsiaTheme="majorEastAsia" w:cstheme="majorBidi"/>
                <w:b w:val="0"/>
                <w:bCs/>
                <w:color w:val="000000" w:themeColor="text1"/>
                <w:szCs w:val="22"/>
              </w:rPr>
              <w:t xml:space="preserve">objectives were met and accordingly are </w:t>
            </w:r>
            <w:r>
              <w:rPr>
                <w:rFonts w:eastAsiaTheme="majorEastAsia" w:cstheme="majorBidi"/>
                <w:b w:val="0"/>
                <w:bCs/>
                <w:color w:val="000000" w:themeColor="text1"/>
                <w:szCs w:val="22"/>
              </w:rPr>
              <w:t xml:space="preserve">both </w:t>
            </w:r>
            <w:r w:rsidRPr="00DA5A87">
              <w:rPr>
                <w:rFonts w:eastAsiaTheme="majorEastAsia" w:cstheme="majorBidi"/>
                <w:b w:val="0"/>
                <w:bCs/>
                <w:color w:val="000000" w:themeColor="text1"/>
                <w:szCs w:val="22"/>
              </w:rPr>
              <w:t>rated Substantial</w:t>
            </w:r>
            <w:r>
              <w:rPr>
                <w:rFonts w:eastAsiaTheme="majorEastAsia" w:cstheme="majorBidi"/>
                <w:b w:val="0"/>
                <w:bCs/>
                <w:color w:val="000000" w:themeColor="text1"/>
                <w:szCs w:val="22"/>
              </w:rPr>
              <w:t xml:space="preserve">. </w:t>
            </w:r>
          </w:p>
        </w:tc>
      </w:tr>
    </w:tbl>
    <w:p w14:paraId="7C7A2A83" w14:textId="77777777" w:rsidR="007078F6" w:rsidRDefault="007078F6"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10E713C6" w14:textId="77777777" w:rsidTr="00F92CAF">
        <w:trPr>
          <w:trHeight w:val="360"/>
        </w:trPr>
        <w:tc>
          <w:tcPr>
            <w:tcW w:w="10710" w:type="dxa"/>
          </w:tcPr>
          <w:p w14:paraId="75BDE42A" w14:textId="77777777" w:rsidR="00210A83" w:rsidRPr="009E631B" w:rsidRDefault="002C3F71" w:rsidP="00E558E3">
            <w:pPr>
              <w:pStyle w:val="Heading2"/>
              <w:outlineLvl w:val="1"/>
              <w:rPr>
                <w:b/>
                <w:szCs w:val="22"/>
              </w:rPr>
            </w:pPr>
            <w:bookmarkStart w:id="34" w:name="_Toc256000009"/>
            <w:bookmarkStart w:id="35" w:name="_Toc485984548"/>
            <w:bookmarkStart w:id="36" w:name="_Toc502164466"/>
            <w:r w:rsidRPr="009E631B">
              <w:rPr>
                <w:b/>
                <w:szCs w:val="22"/>
              </w:rPr>
              <w:t>C. EFFICIENCY</w:t>
            </w:r>
            <w:bookmarkEnd w:id="34"/>
            <w:bookmarkEnd w:id="35"/>
            <w:bookmarkEnd w:id="36"/>
          </w:p>
        </w:tc>
      </w:tr>
    </w:tbl>
    <w:p w14:paraId="0BEE57CB" w14:textId="77777777" w:rsidR="003615CB" w:rsidRPr="009E631B" w:rsidRDefault="003615CB" w:rsidP="00F81AC2">
      <w:pPr>
        <w:ind w:left="-634"/>
        <w:rPr>
          <w:rFonts w:asciiTheme="minorHAnsi" w:hAnsiTheme="minorHAnsi"/>
          <w:bCs/>
          <w:color w:val="auto"/>
          <w:sz w:val="22"/>
          <w:szCs w:val="22"/>
        </w:rPr>
      </w:pPr>
    </w:p>
    <w:tbl>
      <w:tblPr>
        <w:tblW w:w="10980" w:type="dxa"/>
        <w:tblInd w:w="-90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1DB68AAD" w14:textId="77777777" w:rsidTr="007078F6">
        <w:trPr>
          <w:trHeight w:val="90"/>
        </w:trPr>
        <w:tc>
          <w:tcPr>
            <w:tcW w:w="10980" w:type="dxa"/>
            <w:shd w:val="clear" w:color="auto" w:fill="auto"/>
            <w:vAlign w:val="center"/>
          </w:tcPr>
          <w:p w14:paraId="51AAB773" w14:textId="77777777" w:rsidR="007078F6" w:rsidRDefault="002C3F71" w:rsidP="0023268D">
            <w:pPr>
              <w:pStyle w:val="Heading3"/>
              <w:ind w:left="432"/>
              <w:rPr>
                <w:szCs w:val="22"/>
              </w:rPr>
            </w:pPr>
            <w:r w:rsidRPr="009E631B">
              <w:rPr>
                <w:szCs w:val="22"/>
              </w:rPr>
              <w:t>Assessment of Efficiency and Rating</w:t>
            </w:r>
          </w:p>
          <w:p w14:paraId="1D4C932B" w14:textId="77777777" w:rsidR="0011657C" w:rsidRPr="0011657C" w:rsidRDefault="0011657C" w:rsidP="0011657C"/>
        </w:tc>
      </w:tr>
      <w:tr w:rsidR="00E63776" w14:paraId="74CDA5BB" w14:textId="77777777" w:rsidTr="007078F6">
        <w:trPr>
          <w:trHeight w:val="297"/>
        </w:trPr>
        <w:tc>
          <w:tcPr>
            <w:tcW w:w="10980" w:type="dxa"/>
            <w:shd w:val="clear" w:color="auto" w:fill="auto"/>
            <w:vAlign w:val="center"/>
          </w:tcPr>
          <w:p w14:paraId="7EF2CF35" w14:textId="77777777" w:rsidR="00165BDE" w:rsidRDefault="002C3F71" w:rsidP="00165BDE">
            <w:pPr>
              <w:pStyle w:val="ListParagraph"/>
              <w:numPr>
                <w:ilvl w:val="0"/>
                <w:numId w:val="21"/>
              </w:numPr>
              <w:spacing w:line="276" w:lineRule="auto"/>
              <w:jc w:val="both"/>
              <w:rPr>
                <w:rFonts w:eastAsiaTheme="minorHAnsi" w:cstheme="minorBidi"/>
                <w:b w:val="0"/>
                <w:color w:val="000000" w:themeColor="text1"/>
                <w:szCs w:val="22"/>
              </w:rPr>
            </w:pPr>
            <w:bookmarkStart w:id="37" w:name="_Hlk500922423"/>
            <w:r>
              <w:rPr>
                <w:rFonts w:eastAsiaTheme="minorHAnsi" w:cstheme="minorBidi"/>
                <w:b w:val="0"/>
                <w:color w:val="000000" w:themeColor="text1"/>
                <w:szCs w:val="22"/>
              </w:rPr>
              <w:t>Because it was not possible to undertake a cost-benefit approach due to the inability to clearly quantify project benefits, t</w:t>
            </w:r>
            <w:r w:rsidRPr="00A718F3">
              <w:rPr>
                <w:rFonts w:eastAsiaTheme="minorHAnsi" w:cstheme="minorBidi"/>
                <w:b w:val="0"/>
                <w:color w:val="000000" w:themeColor="text1"/>
                <w:szCs w:val="22"/>
              </w:rPr>
              <w:t xml:space="preserve">he PAD utilized a </w:t>
            </w:r>
            <w:r>
              <w:rPr>
                <w:rFonts w:eastAsiaTheme="minorHAnsi" w:cstheme="minorBidi"/>
                <w:b w:val="0"/>
                <w:color w:val="000000" w:themeColor="text1"/>
                <w:szCs w:val="22"/>
              </w:rPr>
              <w:t xml:space="preserve">comparative </w:t>
            </w:r>
            <w:r w:rsidRPr="00A718F3">
              <w:rPr>
                <w:rFonts w:eastAsiaTheme="minorHAnsi" w:cstheme="minorBidi"/>
                <w:b w:val="0"/>
                <w:color w:val="000000" w:themeColor="text1"/>
                <w:szCs w:val="22"/>
              </w:rPr>
              <w:t>least-cost approach to assess the efficiency of the investment</w:t>
            </w:r>
            <w:r>
              <w:rPr>
                <w:rFonts w:eastAsiaTheme="minorHAnsi" w:cstheme="minorBidi"/>
                <w:b w:val="0"/>
                <w:color w:val="000000" w:themeColor="text1"/>
                <w:szCs w:val="22"/>
              </w:rPr>
              <w:t xml:space="preserve"> in </w:t>
            </w:r>
            <w:proofErr w:type="spellStart"/>
            <w:r w:rsidR="00CD6275">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w:t>
            </w:r>
            <w:r w:rsidRPr="00A718F3">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 </w:t>
            </w:r>
            <w:proofErr w:type="gramStart"/>
            <w:r>
              <w:rPr>
                <w:rFonts w:eastAsiaTheme="minorHAnsi" w:cstheme="minorBidi"/>
                <w:b w:val="0"/>
                <w:color w:val="000000" w:themeColor="text1"/>
                <w:szCs w:val="22"/>
              </w:rPr>
              <w:t>According to</w:t>
            </w:r>
            <w:proofErr w:type="gramEnd"/>
            <w:r>
              <w:rPr>
                <w:rFonts w:eastAsiaTheme="minorHAnsi" w:cstheme="minorBidi"/>
                <w:b w:val="0"/>
                <w:color w:val="000000" w:themeColor="text1"/>
                <w:szCs w:val="22"/>
              </w:rPr>
              <w:t xml:space="preserve"> this source, t</w:t>
            </w:r>
            <w:r w:rsidRPr="00A718F3">
              <w:rPr>
                <w:rFonts w:eastAsiaTheme="minorHAnsi" w:cstheme="minorBidi"/>
                <w:b w:val="0"/>
                <w:color w:val="000000" w:themeColor="text1"/>
                <w:szCs w:val="22"/>
              </w:rPr>
              <w:t xml:space="preserve">he estimated investment cost to achieve the imposed standard of remediation at the time of appraisal was US$ 16.2 per ton of tailings. Data for other countries indicated an average of </w:t>
            </w:r>
            <w:r>
              <w:rPr>
                <w:rFonts w:eastAsiaTheme="minorHAnsi" w:cstheme="minorBidi"/>
                <w:b w:val="0"/>
                <w:color w:val="000000" w:themeColor="text1"/>
                <w:szCs w:val="22"/>
              </w:rPr>
              <w:t>about US$ 16 per ton</w:t>
            </w:r>
            <w:r w:rsidRPr="00A718F3">
              <w:rPr>
                <w:rFonts w:eastAsiaTheme="minorHAnsi" w:cstheme="minorBidi"/>
                <w:b w:val="0"/>
                <w:color w:val="000000" w:themeColor="text1"/>
                <w:szCs w:val="22"/>
              </w:rPr>
              <w:t xml:space="preserve">. Thus, the design for the </w:t>
            </w:r>
            <w:proofErr w:type="spellStart"/>
            <w:r w:rsidR="00E52891">
              <w:rPr>
                <w:rFonts w:eastAsiaTheme="minorHAnsi" w:cstheme="minorBidi"/>
                <w:b w:val="0"/>
                <w:color w:val="000000" w:themeColor="text1"/>
                <w:szCs w:val="22"/>
              </w:rPr>
              <w:t>Malargüe</w:t>
            </w:r>
            <w:proofErr w:type="spellEnd"/>
            <w:r w:rsidRPr="00A718F3">
              <w:rPr>
                <w:rFonts w:eastAsiaTheme="minorHAnsi" w:cstheme="minorBidi"/>
                <w:b w:val="0"/>
                <w:color w:val="000000" w:themeColor="text1"/>
                <w:szCs w:val="22"/>
              </w:rPr>
              <w:t xml:space="preserve"> works </w:t>
            </w:r>
            <w:proofErr w:type="gramStart"/>
            <w:r w:rsidRPr="00A718F3">
              <w:rPr>
                <w:rFonts w:eastAsiaTheme="minorHAnsi" w:cstheme="minorBidi"/>
                <w:b w:val="0"/>
                <w:color w:val="000000" w:themeColor="text1"/>
                <w:szCs w:val="22"/>
              </w:rPr>
              <w:t>was considered to be</w:t>
            </w:r>
            <w:proofErr w:type="gramEnd"/>
            <w:r w:rsidRPr="00A718F3">
              <w:rPr>
                <w:rFonts w:eastAsiaTheme="minorHAnsi" w:cstheme="minorBidi"/>
                <w:b w:val="0"/>
                <w:color w:val="000000" w:themeColor="text1"/>
                <w:szCs w:val="22"/>
              </w:rPr>
              <w:t xml:space="preserve"> within the range of unit costs for similar projects internationally.</w:t>
            </w:r>
            <w:r>
              <w:rPr>
                <w:rFonts w:eastAsiaTheme="minorHAnsi" w:cstheme="minorBidi"/>
                <w:b w:val="0"/>
                <w:color w:val="000000" w:themeColor="text1"/>
                <w:szCs w:val="22"/>
              </w:rPr>
              <w:t xml:space="preserve"> The same comparative least-cost approach applied in the PAD is also used in this assessment, although several important adjustments first need to be made (see Annex 4 for additional information).</w:t>
            </w:r>
          </w:p>
          <w:p w14:paraId="44042595" w14:textId="77777777" w:rsidR="00165BDE" w:rsidRPr="000B5C39" w:rsidRDefault="00165BDE" w:rsidP="00165BDE">
            <w:pPr>
              <w:pStyle w:val="ListParagraph"/>
              <w:spacing w:line="276" w:lineRule="auto"/>
              <w:ind w:left="450"/>
              <w:jc w:val="both"/>
              <w:rPr>
                <w:rFonts w:eastAsiaTheme="minorHAnsi" w:cstheme="minorBidi"/>
                <w:b w:val="0"/>
                <w:color w:val="000000" w:themeColor="text1"/>
                <w:szCs w:val="22"/>
              </w:rPr>
            </w:pPr>
          </w:p>
          <w:p w14:paraId="6E228C62" w14:textId="77777777" w:rsidR="00165BDE" w:rsidRDefault="002C3F71" w:rsidP="00165BDE">
            <w:pPr>
              <w:pStyle w:val="ListParagraph"/>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Based on revised</w:t>
            </w:r>
            <w:r w:rsidRPr="001428D4">
              <w:rPr>
                <w:rFonts w:eastAsiaTheme="minorHAnsi" w:cstheme="minorBidi"/>
                <w:b w:val="0"/>
                <w:color w:val="000000" w:themeColor="text1"/>
                <w:szCs w:val="22"/>
              </w:rPr>
              <w:t xml:space="preserve"> remediation costs</w:t>
            </w:r>
            <w:r>
              <w:rPr>
                <w:rFonts w:eastAsiaTheme="minorHAnsi" w:cstheme="minorBidi"/>
                <w:b w:val="0"/>
                <w:color w:val="000000" w:themeColor="text1"/>
                <w:szCs w:val="22"/>
              </w:rPr>
              <w:t xml:space="preserve"> at the time of the first restructuring in July 2013</w:t>
            </w:r>
            <w:r w:rsidRPr="001428D4">
              <w:rPr>
                <w:rFonts w:eastAsiaTheme="minorHAnsi" w:cstheme="minorBidi"/>
                <w:b w:val="0"/>
                <w:color w:val="000000" w:themeColor="text1"/>
                <w:szCs w:val="22"/>
              </w:rPr>
              <w:t>,</w:t>
            </w:r>
            <w:r>
              <w:rPr>
                <w:rFonts w:eastAsiaTheme="minorHAnsi" w:cstheme="minorBidi"/>
                <w:b w:val="0"/>
                <w:color w:val="000000" w:themeColor="text1"/>
                <w:szCs w:val="22"/>
              </w:rPr>
              <w:t xml:space="preserve"> </w:t>
            </w:r>
            <w:r w:rsidRPr="001428D4">
              <w:rPr>
                <w:rFonts w:eastAsiaTheme="minorHAnsi" w:cstheme="minorBidi"/>
                <w:b w:val="0"/>
                <w:color w:val="000000" w:themeColor="text1"/>
                <w:szCs w:val="22"/>
              </w:rPr>
              <w:t>the total cost of Component 1 was</w:t>
            </w:r>
            <w:r>
              <w:rPr>
                <w:rFonts w:eastAsiaTheme="minorHAnsi" w:cstheme="minorBidi"/>
                <w:b w:val="0"/>
                <w:color w:val="000000" w:themeColor="text1"/>
                <w:szCs w:val="22"/>
              </w:rPr>
              <w:t xml:space="preserve"> increased by US$ 3.925 million. </w:t>
            </w:r>
            <w:r w:rsidRPr="00B52D8F">
              <w:rPr>
                <w:rFonts w:eastAsiaTheme="minorHAnsi" w:cstheme="minorBidi"/>
                <w:b w:val="0"/>
                <w:color w:val="000000" w:themeColor="text1"/>
                <w:szCs w:val="22"/>
              </w:rPr>
              <w:t>This revised component cost</w:t>
            </w:r>
            <w:r>
              <w:rPr>
                <w:rFonts w:eastAsiaTheme="minorHAnsi" w:cstheme="minorBidi"/>
                <w:b w:val="0"/>
                <w:color w:val="000000" w:themeColor="text1"/>
                <w:szCs w:val="22"/>
              </w:rPr>
              <w:t>, however, also</w:t>
            </w:r>
            <w:r w:rsidRPr="00B52D8F">
              <w:rPr>
                <w:rFonts w:eastAsiaTheme="minorHAnsi" w:cstheme="minorBidi"/>
                <w:b w:val="0"/>
                <w:color w:val="000000" w:themeColor="text1"/>
                <w:szCs w:val="22"/>
              </w:rPr>
              <w:t xml:space="preserve"> included US$ 1.2 million for development of a park at the </w:t>
            </w:r>
            <w:proofErr w:type="spellStart"/>
            <w:r w:rsidR="00E52891">
              <w:rPr>
                <w:rFonts w:eastAsiaTheme="minorHAnsi" w:cstheme="minorBidi"/>
                <w:b w:val="0"/>
                <w:color w:val="000000" w:themeColor="text1"/>
                <w:szCs w:val="22"/>
              </w:rPr>
              <w:t>Malargüe</w:t>
            </w:r>
            <w:proofErr w:type="spellEnd"/>
            <w:r w:rsidRPr="00B52D8F">
              <w:rPr>
                <w:rFonts w:eastAsiaTheme="minorHAnsi" w:cstheme="minorBidi"/>
                <w:b w:val="0"/>
                <w:color w:val="000000" w:themeColor="text1"/>
                <w:szCs w:val="22"/>
              </w:rPr>
              <w:t xml:space="preserve"> site, which had not initially been </w:t>
            </w:r>
            <w:r>
              <w:rPr>
                <w:rFonts w:eastAsiaTheme="minorHAnsi" w:cstheme="minorBidi"/>
                <w:b w:val="0"/>
                <w:color w:val="000000" w:themeColor="text1"/>
                <w:szCs w:val="22"/>
              </w:rPr>
              <w:t>included</w:t>
            </w:r>
            <w:r w:rsidRPr="00B52D8F">
              <w:rPr>
                <w:rFonts w:eastAsiaTheme="minorHAnsi" w:cstheme="minorBidi"/>
                <w:b w:val="0"/>
                <w:color w:val="000000" w:themeColor="text1"/>
                <w:szCs w:val="22"/>
              </w:rPr>
              <w:t xml:space="preserve"> at appraisal</w:t>
            </w:r>
            <w:r>
              <w:rPr>
                <w:rFonts w:eastAsiaTheme="minorHAnsi" w:cstheme="minorBidi"/>
                <w:b w:val="0"/>
                <w:color w:val="000000" w:themeColor="text1"/>
                <w:szCs w:val="22"/>
              </w:rPr>
              <w:t>. T</w:t>
            </w:r>
            <w:r w:rsidRPr="001428D4">
              <w:rPr>
                <w:rFonts w:eastAsiaTheme="minorHAnsi" w:cstheme="minorBidi"/>
                <w:b w:val="0"/>
                <w:color w:val="000000" w:themeColor="text1"/>
                <w:szCs w:val="22"/>
              </w:rPr>
              <w:t>he revised estimated re</w:t>
            </w:r>
            <w:r>
              <w:rPr>
                <w:rFonts w:eastAsiaTheme="minorHAnsi" w:cstheme="minorBidi"/>
                <w:b w:val="0"/>
                <w:color w:val="000000" w:themeColor="text1"/>
                <w:szCs w:val="22"/>
              </w:rPr>
              <w:t xml:space="preserve">mediation cost was thus increased to US$ 20.475 million. </w:t>
            </w:r>
            <w:r w:rsidRPr="001428D4">
              <w:rPr>
                <w:rFonts w:eastAsiaTheme="minorHAnsi" w:cstheme="minorBidi"/>
                <w:b w:val="0"/>
                <w:color w:val="000000" w:themeColor="text1"/>
                <w:szCs w:val="22"/>
              </w:rPr>
              <w:t xml:space="preserve">This </w:t>
            </w:r>
            <w:r>
              <w:rPr>
                <w:rFonts w:eastAsiaTheme="minorHAnsi" w:cstheme="minorBidi"/>
                <w:b w:val="0"/>
                <w:color w:val="000000" w:themeColor="text1"/>
                <w:szCs w:val="22"/>
              </w:rPr>
              <w:t xml:space="preserve">also raised </w:t>
            </w:r>
            <w:r w:rsidRPr="001428D4">
              <w:rPr>
                <w:rFonts w:eastAsiaTheme="minorHAnsi" w:cstheme="minorBidi"/>
                <w:b w:val="0"/>
                <w:color w:val="000000" w:themeColor="text1"/>
                <w:szCs w:val="22"/>
              </w:rPr>
              <w:t xml:space="preserve">the estimated unit </w:t>
            </w:r>
            <w:r>
              <w:rPr>
                <w:rFonts w:eastAsiaTheme="minorHAnsi" w:cstheme="minorBidi"/>
                <w:b w:val="0"/>
                <w:color w:val="000000" w:themeColor="text1"/>
                <w:szCs w:val="22"/>
              </w:rPr>
              <w:t xml:space="preserve">remediation </w:t>
            </w:r>
            <w:r w:rsidRPr="001428D4">
              <w:rPr>
                <w:rFonts w:eastAsiaTheme="minorHAnsi" w:cstheme="minorBidi"/>
                <w:b w:val="0"/>
                <w:color w:val="000000" w:themeColor="text1"/>
                <w:szCs w:val="22"/>
              </w:rPr>
              <w:t>cost to roughly US$ 2</w:t>
            </w:r>
            <w:r>
              <w:rPr>
                <w:rFonts w:eastAsiaTheme="minorHAnsi" w:cstheme="minorBidi"/>
                <w:b w:val="0"/>
                <w:color w:val="000000" w:themeColor="text1"/>
                <w:szCs w:val="22"/>
              </w:rPr>
              <w:t>8.8</w:t>
            </w:r>
            <w:r w:rsidRPr="001428D4">
              <w:rPr>
                <w:rFonts w:eastAsiaTheme="minorHAnsi" w:cstheme="minorBidi"/>
                <w:b w:val="0"/>
                <w:color w:val="000000" w:themeColor="text1"/>
                <w:szCs w:val="22"/>
              </w:rPr>
              <w:t xml:space="preserve">/ton based on the assumption that the total amount of material to be removed was </w:t>
            </w:r>
            <w:r>
              <w:rPr>
                <w:rFonts w:eastAsiaTheme="minorHAnsi" w:cstheme="minorBidi"/>
                <w:b w:val="0"/>
                <w:color w:val="000000" w:themeColor="text1"/>
                <w:szCs w:val="22"/>
              </w:rPr>
              <w:t>710,000 tons and correcting for an initial underestimation contained in the PAD.</w:t>
            </w:r>
          </w:p>
          <w:p w14:paraId="3E7081D7" w14:textId="77777777" w:rsidR="00165BDE" w:rsidRPr="003B1A9B" w:rsidRDefault="00165BDE" w:rsidP="00165BDE">
            <w:pPr>
              <w:spacing w:line="276" w:lineRule="auto"/>
              <w:ind w:left="360" w:hanging="270"/>
              <w:jc w:val="both"/>
              <w:rPr>
                <w:rFonts w:eastAsiaTheme="minorHAnsi" w:cstheme="minorBidi"/>
                <w:color w:val="000000" w:themeColor="text1"/>
                <w:szCs w:val="22"/>
              </w:rPr>
            </w:pPr>
          </w:p>
          <w:p w14:paraId="7D31E0DB" w14:textId="77777777" w:rsidR="00165BDE" w:rsidRPr="00C1629B" w:rsidRDefault="002C3F71" w:rsidP="00165BDE">
            <w:pPr>
              <w:pStyle w:val="ListParagraph"/>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 xml:space="preserve">It is not possible to directly compare the (appraisal or revised) estimated unit remediation costs with the actual remediation costs, however, because the actual quantity of contaminated materials moved and stored from the </w:t>
            </w:r>
            <w:proofErr w:type="spellStart"/>
            <w:r w:rsidR="00E52891">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 xml:space="preserve"> site was measured in cubic meters (m</w:t>
            </w:r>
            <w:r w:rsidRPr="00210CF6">
              <w:rPr>
                <w:rFonts w:eastAsiaTheme="minorHAnsi" w:cstheme="minorBidi"/>
                <w:b w:val="0"/>
                <w:color w:val="000000" w:themeColor="text1"/>
                <w:szCs w:val="22"/>
                <w:vertAlign w:val="superscript"/>
              </w:rPr>
              <w:t>3</w:t>
            </w:r>
            <w:r>
              <w:rPr>
                <w:rFonts w:eastAsiaTheme="minorHAnsi" w:cstheme="minorBidi"/>
                <w:b w:val="0"/>
                <w:color w:val="000000" w:themeColor="text1"/>
                <w:szCs w:val="22"/>
              </w:rPr>
              <w:t xml:space="preserve">) rather than tons. </w:t>
            </w:r>
            <w:proofErr w:type="gramStart"/>
            <w:r>
              <w:rPr>
                <w:rFonts w:eastAsiaTheme="minorHAnsi" w:cstheme="minorBidi"/>
                <w:b w:val="0"/>
                <w:color w:val="000000" w:themeColor="text1"/>
                <w:szCs w:val="22"/>
              </w:rPr>
              <w:t>According to</w:t>
            </w:r>
            <w:proofErr w:type="gramEnd"/>
            <w:r>
              <w:rPr>
                <w:rFonts w:eastAsiaTheme="minorHAnsi" w:cstheme="minorBidi"/>
                <w:b w:val="0"/>
                <w:color w:val="000000" w:themeColor="text1"/>
                <w:szCs w:val="22"/>
              </w:rPr>
              <w:t xml:space="preserve"> the project team, the total amount of materials actually moved during project implementation was 801,520 m</w:t>
            </w:r>
            <w:r w:rsidR="00D5357B" w:rsidRPr="00210CF6">
              <w:rPr>
                <w:rFonts w:eastAsiaTheme="minorHAnsi" w:cstheme="minorBidi"/>
                <w:b w:val="0"/>
                <w:color w:val="000000" w:themeColor="text1"/>
                <w:szCs w:val="22"/>
                <w:vertAlign w:val="superscript"/>
              </w:rPr>
              <w:t>3</w:t>
            </w:r>
            <w:r>
              <w:rPr>
                <w:rFonts w:eastAsiaTheme="minorHAnsi" w:cstheme="minorBidi"/>
                <w:b w:val="0"/>
                <w:color w:val="000000" w:themeColor="text1"/>
                <w:szCs w:val="22"/>
              </w:rPr>
              <w:t>, of which 652,910 m</w:t>
            </w:r>
            <w:r w:rsidRPr="00DE56BA">
              <w:rPr>
                <w:rFonts w:eastAsiaTheme="minorHAnsi" w:cstheme="minorBidi"/>
                <w:b w:val="0"/>
                <w:color w:val="000000" w:themeColor="text1"/>
                <w:szCs w:val="22"/>
                <w:vertAlign w:val="superscript"/>
              </w:rPr>
              <w:t>3</w:t>
            </w:r>
            <w:r>
              <w:rPr>
                <w:rFonts w:eastAsiaTheme="minorHAnsi" w:cstheme="minorBidi"/>
                <w:b w:val="0"/>
                <w:color w:val="000000" w:themeColor="text1"/>
                <w:szCs w:val="22"/>
              </w:rPr>
              <w:t xml:space="preserve"> were safely removed and stored in a sealed enclosure and 148,610 m</w:t>
            </w:r>
            <w:r w:rsidRPr="00DE56BA">
              <w:rPr>
                <w:rFonts w:eastAsiaTheme="minorHAnsi" w:cstheme="minorBidi"/>
                <w:b w:val="0"/>
                <w:color w:val="000000" w:themeColor="text1"/>
                <w:szCs w:val="22"/>
                <w:vertAlign w:val="superscript"/>
              </w:rPr>
              <w:t>3</w:t>
            </w:r>
            <w:r>
              <w:rPr>
                <w:rFonts w:eastAsiaTheme="minorHAnsi" w:cstheme="minorBidi"/>
                <w:b w:val="0"/>
                <w:color w:val="000000" w:themeColor="text1"/>
                <w:szCs w:val="22"/>
              </w:rPr>
              <w:t xml:space="preserve"> were for soil remediation at the site itself. This represented a 14.5 percent increase in the actual volume moved during project implementation compared with that first estimated in the contracts (700,000 m</w:t>
            </w:r>
            <w:r w:rsidRPr="00DE56BA">
              <w:rPr>
                <w:rFonts w:eastAsiaTheme="minorHAnsi" w:cstheme="minorBidi"/>
                <w:b w:val="0"/>
                <w:color w:val="000000" w:themeColor="text1"/>
                <w:szCs w:val="22"/>
                <w:vertAlign w:val="superscript"/>
              </w:rPr>
              <w:t>3</w:t>
            </w:r>
            <w:r>
              <w:rPr>
                <w:rFonts w:eastAsiaTheme="minorHAnsi" w:cstheme="minorBidi"/>
                <w:b w:val="0"/>
                <w:color w:val="000000" w:themeColor="text1"/>
                <w:szCs w:val="22"/>
              </w:rPr>
              <w:t xml:space="preserve">). </w:t>
            </w:r>
          </w:p>
          <w:p w14:paraId="7D8C23E5" w14:textId="77777777" w:rsidR="00165BDE" w:rsidRPr="00C1629B" w:rsidRDefault="00165BDE" w:rsidP="00165BDE">
            <w:pPr>
              <w:spacing w:line="276" w:lineRule="auto"/>
              <w:ind w:left="360" w:hanging="270"/>
              <w:jc w:val="both"/>
              <w:rPr>
                <w:rFonts w:eastAsiaTheme="minorHAnsi" w:cstheme="minorBidi"/>
                <w:color w:val="000000" w:themeColor="text1"/>
                <w:szCs w:val="22"/>
              </w:rPr>
            </w:pPr>
          </w:p>
          <w:p w14:paraId="044A0F97" w14:textId="77777777" w:rsidR="00165BDE" w:rsidRDefault="002C3F71" w:rsidP="00165BDE">
            <w:pPr>
              <w:pStyle w:val="ListParagraph"/>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It is possible to compare</w:t>
            </w:r>
            <w:r w:rsidR="00FB796E">
              <w:rPr>
                <w:rFonts w:eastAsiaTheme="minorHAnsi" w:cstheme="minorBidi"/>
                <w:b w:val="0"/>
                <w:color w:val="000000" w:themeColor="text1"/>
                <w:szCs w:val="22"/>
              </w:rPr>
              <w:t>, however,</w:t>
            </w:r>
            <w:r>
              <w:rPr>
                <w:rFonts w:eastAsiaTheme="minorHAnsi" w:cstheme="minorBidi"/>
                <w:b w:val="0"/>
                <w:color w:val="000000" w:themeColor="text1"/>
                <w:szCs w:val="22"/>
              </w:rPr>
              <w:t xml:space="preserve"> the revised estimated remediation costs at the time of the first restructuring divided by the initially estimated volume of materials to be moved </w:t>
            </w:r>
            <w:proofErr w:type="gramStart"/>
            <w:r>
              <w:rPr>
                <w:rFonts w:eastAsiaTheme="minorHAnsi" w:cstheme="minorBidi"/>
                <w:b w:val="0"/>
                <w:color w:val="000000" w:themeColor="text1"/>
                <w:szCs w:val="22"/>
              </w:rPr>
              <w:t>according to</w:t>
            </w:r>
            <w:proofErr w:type="gramEnd"/>
            <w:r>
              <w:rPr>
                <w:rFonts w:eastAsiaTheme="minorHAnsi" w:cstheme="minorBidi"/>
                <w:b w:val="0"/>
                <w:color w:val="000000" w:themeColor="text1"/>
                <w:szCs w:val="22"/>
              </w:rPr>
              <w:t xml:space="preserve"> the contracts, or US$ 29.25/m</w:t>
            </w:r>
            <w:r w:rsidRPr="00DE56BA">
              <w:rPr>
                <w:rFonts w:eastAsiaTheme="minorHAnsi" w:cstheme="minorBidi"/>
                <w:b w:val="0"/>
                <w:color w:val="000000" w:themeColor="text1"/>
                <w:szCs w:val="22"/>
                <w:vertAlign w:val="superscript"/>
              </w:rPr>
              <w:t>3</w:t>
            </w:r>
            <w:r>
              <w:rPr>
                <w:rFonts w:eastAsiaTheme="minorHAnsi" w:cstheme="minorBidi"/>
                <w:b w:val="0"/>
                <w:color w:val="000000" w:themeColor="text1"/>
                <w:szCs w:val="22"/>
              </w:rPr>
              <w:t>, with the actual remediation costs (US$ 21.03 million, once the US$ 1.2 million for the park is deducted from the total actual costs of Component 1) by the actual volume of contaminated materials and soils removed and safely stored. This yields an average unit cost of US$ 25.95/m3.  Thus, the increased actual remediation costs were largely due to the increased volume of material that had to be moved. It also suggests that implementation of the project’s remediation component with respect to the use of project resources was efficient. At project completion, the actual remediation costs represented 58.7 percent of total project costs. In addition, actual project management costs were considerably lower than those estimated at appraisal (US$ 240,000 compared with US$ 1.25 million)</w:t>
            </w:r>
            <w:r w:rsidR="00262E96">
              <w:rPr>
                <w:rFonts w:eastAsiaTheme="minorHAnsi" w:cstheme="minorBidi"/>
                <w:b w:val="0"/>
                <w:color w:val="000000" w:themeColor="text1"/>
                <w:szCs w:val="22"/>
              </w:rPr>
              <w:t>.</w:t>
            </w:r>
            <w:r>
              <w:rPr>
                <w:rFonts w:eastAsiaTheme="minorHAnsi" w:cstheme="minorBidi"/>
                <w:b w:val="0"/>
                <w:color w:val="000000" w:themeColor="text1"/>
                <w:szCs w:val="22"/>
              </w:rPr>
              <w:t xml:space="preserve"> Even though this reduction was partly due to CNEA’s inability to hire external consultants, this nevertheless suggests considerable project administrative efficiency.</w:t>
            </w:r>
          </w:p>
          <w:p w14:paraId="2844D006" w14:textId="77777777" w:rsidR="00165BDE" w:rsidRDefault="00165BDE" w:rsidP="00165BDE">
            <w:pPr>
              <w:pStyle w:val="ListParagraph"/>
              <w:spacing w:line="276" w:lineRule="auto"/>
              <w:ind w:left="450"/>
              <w:jc w:val="both"/>
              <w:rPr>
                <w:rFonts w:eastAsiaTheme="minorHAnsi" w:cstheme="minorBidi"/>
                <w:b w:val="0"/>
                <w:color w:val="000000" w:themeColor="text1"/>
                <w:szCs w:val="22"/>
              </w:rPr>
            </w:pPr>
          </w:p>
          <w:p w14:paraId="72ED4A8C" w14:textId="77777777" w:rsidR="00165BDE" w:rsidRDefault="002C3F71" w:rsidP="00165BDE">
            <w:pPr>
              <w:pStyle w:val="ListParagraph"/>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 xml:space="preserve">Only a few other Bank projects have sought to remediate contaminated uranium mining sites. However, for purposes of comparison, the ICR for one such operation, the Disaster Hazard Mitigation Project in the Kyrgyz Republic, which had a uranium mining waste isolation and protection component, reported an average cost of US$25/m3 for the remediation of tailings materials. This is very </w:t>
            </w:r>
            <w:proofErr w:type="gramStart"/>
            <w:r>
              <w:rPr>
                <w:rFonts w:eastAsiaTheme="minorHAnsi" w:cstheme="minorBidi"/>
                <w:b w:val="0"/>
                <w:color w:val="000000" w:themeColor="text1"/>
                <w:szCs w:val="22"/>
              </w:rPr>
              <w:t>similar to</w:t>
            </w:r>
            <w:proofErr w:type="gramEnd"/>
            <w:r>
              <w:rPr>
                <w:rFonts w:eastAsiaTheme="minorHAnsi" w:cstheme="minorBidi"/>
                <w:b w:val="0"/>
                <w:color w:val="000000" w:themeColor="text1"/>
                <w:szCs w:val="22"/>
              </w:rPr>
              <w:t xml:space="preserve"> the actual average unit remediation cost found for the </w:t>
            </w:r>
            <w:proofErr w:type="spellStart"/>
            <w:r w:rsidR="00E52891">
              <w:rPr>
                <w:rFonts w:eastAsiaTheme="minorHAnsi" w:cstheme="minorBidi"/>
                <w:b w:val="0"/>
                <w:color w:val="000000" w:themeColor="text1"/>
                <w:szCs w:val="22"/>
              </w:rPr>
              <w:t>Malargüe</w:t>
            </w:r>
            <w:proofErr w:type="spellEnd"/>
            <w:r w:rsidR="00262E96">
              <w:rPr>
                <w:rFonts w:eastAsiaTheme="minorHAnsi" w:cstheme="minorBidi"/>
                <w:b w:val="0"/>
                <w:color w:val="000000" w:themeColor="text1"/>
                <w:szCs w:val="22"/>
              </w:rPr>
              <w:t xml:space="preserve"> site</w:t>
            </w:r>
            <w:r>
              <w:rPr>
                <w:rFonts w:eastAsiaTheme="minorHAnsi" w:cstheme="minorBidi"/>
                <w:b w:val="0"/>
                <w:color w:val="000000" w:themeColor="text1"/>
                <w:szCs w:val="22"/>
              </w:rPr>
              <w:t xml:space="preserve">.  </w:t>
            </w:r>
            <w:r w:rsidR="00262E96">
              <w:rPr>
                <w:rFonts w:eastAsiaTheme="minorHAnsi" w:cstheme="minorBidi"/>
                <w:b w:val="0"/>
                <w:color w:val="000000" w:themeColor="text1"/>
                <w:szCs w:val="22"/>
              </w:rPr>
              <w:t>Nonetheless</w:t>
            </w:r>
            <w:r>
              <w:rPr>
                <w:rFonts w:eastAsiaTheme="minorHAnsi" w:cstheme="minorBidi"/>
                <w:b w:val="0"/>
                <w:color w:val="000000" w:themeColor="text1"/>
                <w:szCs w:val="22"/>
              </w:rPr>
              <w:t xml:space="preserve">, these costs may not be directly comparable because, for other such projects there has been a broad range of remediation costs, averaging between less than US$24 to around US$225/m3, </w:t>
            </w:r>
            <w:proofErr w:type="gramStart"/>
            <w:r>
              <w:rPr>
                <w:rFonts w:eastAsiaTheme="minorHAnsi" w:cstheme="minorBidi"/>
                <w:b w:val="0"/>
                <w:color w:val="000000" w:themeColor="text1"/>
                <w:szCs w:val="22"/>
              </w:rPr>
              <w:t>according to</w:t>
            </w:r>
            <w:proofErr w:type="gramEnd"/>
            <w:r>
              <w:rPr>
                <w:rFonts w:eastAsiaTheme="minorHAnsi" w:cstheme="minorBidi"/>
                <w:b w:val="0"/>
                <w:color w:val="000000" w:themeColor="text1"/>
                <w:szCs w:val="22"/>
              </w:rPr>
              <w:t xml:space="preserve"> the same source. This very wide range of average costs is attributed to economies of scale in large projects</w:t>
            </w:r>
            <w:r w:rsidR="00262E96">
              <w:rPr>
                <w:rFonts w:eastAsiaTheme="minorHAnsi" w:cstheme="minorBidi"/>
                <w:b w:val="0"/>
                <w:color w:val="000000" w:themeColor="text1"/>
                <w:szCs w:val="22"/>
              </w:rPr>
              <w:t>, complexity of the site and location of materials to be remediated,</w:t>
            </w:r>
            <w:r>
              <w:rPr>
                <w:rFonts w:eastAsiaTheme="minorHAnsi" w:cstheme="minorBidi"/>
                <w:b w:val="0"/>
                <w:color w:val="000000" w:themeColor="text1"/>
                <w:szCs w:val="22"/>
              </w:rPr>
              <w:t xml:space="preserve"> and the varying nature of national regulations. This variability notwithstanding, the average remediation costs for both the Kyrgyz and Argentine projects fall at the lower end of the range.</w:t>
            </w:r>
          </w:p>
          <w:p w14:paraId="1451CAEF" w14:textId="77777777" w:rsidR="00165BDE" w:rsidRPr="00B931BB" w:rsidRDefault="00165BDE" w:rsidP="00165BDE">
            <w:pPr>
              <w:spacing w:line="276" w:lineRule="auto"/>
              <w:jc w:val="both"/>
              <w:rPr>
                <w:rFonts w:eastAsiaTheme="minorHAnsi" w:cstheme="minorBidi"/>
                <w:b/>
                <w:color w:val="000000" w:themeColor="text1"/>
                <w:szCs w:val="22"/>
              </w:rPr>
            </w:pPr>
          </w:p>
          <w:p w14:paraId="20E2DFDC" w14:textId="77777777" w:rsidR="00165BDE" w:rsidRDefault="002C3F71" w:rsidP="00165BDE">
            <w:pPr>
              <w:pStyle w:val="ListParagraph"/>
              <w:numPr>
                <w:ilvl w:val="0"/>
                <w:numId w:val="21"/>
              </w:numPr>
              <w:spacing w:line="276" w:lineRule="auto"/>
              <w:jc w:val="both"/>
              <w:rPr>
                <w:rFonts w:eastAsiaTheme="minorHAnsi" w:cstheme="minorBidi"/>
                <w:b w:val="0"/>
                <w:color w:val="000000" w:themeColor="text1"/>
                <w:szCs w:val="22"/>
              </w:rPr>
            </w:pPr>
            <w:r>
              <w:rPr>
                <w:rFonts w:eastAsiaTheme="minorHAnsi" w:cstheme="minorBidi"/>
                <w:b w:val="0"/>
                <w:color w:val="000000" w:themeColor="text1"/>
                <w:szCs w:val="22"/>
              </w:rPr>
              <w:t xml:space="preserve">On the other hand, project implementation took much longer than anticipated and the closing date had to be extended </w:t>
            </w:r>
            <w:r w:rsidR="00D04D05">
              <w:rPr>
                <w:rFonts w:eastAsiaTheme="minorHAnsi" w:cstheme="minorBidi"/>
                <w:b w:val="0"/>
                <w:color w:val="000000" w:themeColor="text1"/>
                <w:szCs w:val="22"/>
              </w:rPr>
              <w:t xml:space="preserve">four </w:t>
            </w:r>
            <w:r>
              <w:rPr>
                <w:rFonts w:eastAsiaTheme="minorHAnsi" w:cstheme="minorBidi"/>
                <w:b w:val="0"/>
                <w:color w:val="000000" w:themeColor="text1"/>
                <w:szCs w:val="22"/>
              </w:rPr>
              <w:t xml:space="preserve">times for a total of 43 months. This was due in part to the 21-month loan effectiveness delay and partly to chronic delays in the receipt of Government </w:t>
            </w:r>
            <w:r w:rsidR="00262E96">
              <w:rPr>
                <w:rFonts w:eastAsiaTheme="minorHAnsi" w:cstheme="minorBidi"/>
                <w:b w:val="0"/>
                <w:color w:val="000000" w:themeColor="text1"/>
                <w:szCs w:val="22"/>
              </w:rPr>
              <w:t xml:space="preserve">project </w:t>
            </w:r>
            <w:r>
              <w:rPr>
                <w:rFonts w:eastAsiaTheme="minorHAnsi" w:cstheme="minorBidi"/>
                <w:b w:val="0"/>
                <w:color w:val="000000" w:themeColor="text1"/>
                <w:szCs w:val="22"/>
              </w:rPr>
              <w:t xml:space="preserve">funds. However, there were also indications of inefficiencies on the part of the contractor selected to implement the civil works at the </w:t>
            </w:r>
            <w:proofErr w:type="spellStart"/>
            <w:r w:rsidR="00E52891">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 xml:space="preserve"> site as well as delays in the final deployment of the project’s Environmental Monitoring System Management Tool (SIGA).  For these reasons, project Efficiency is rated </w:t>
            </w:r>
            <w:r w:rsidRPr="00B52D8F">
              <w:rPr>
                <w:rFonts w:eastAsiaTheme="minorHAnsi" w:cstheme="minorBidi"/>
                <w:color w:val="000000" w:themeColor="text1"/>
                <w:szCs w:val="22"/>
              </w:rPr>
              <w:t>Modest</w:t>
            </w:r>
            <w:r>
              <w:rPr>
                <w:rFonts w:eastAsiaTheme="minorHAnsi" w:cstheme="minorBidi"/>
                <w:b w:val="0"/>
                <w:color w:val="000000" w:themeColor="text1"/>
                <w:szCs w:val="22"/>
              </w:rPr>
              <w:t>.</w:t>
            </w:r>
          </w:p>
          <w:p w14:paraId="3AB2B4C4" w14:textId="77777777" w:rsidR="0011657C" w:rsidRPr="00165BDE" w:rsidRDefault="0011657C" w:rsidP="00165BDE">
            <w:pPr>
              <w:pStyle w:val="ListParagraph"/>
              <w:spacing w:line="276" w:lineRule="auto"/>
              <w:ind w:left="360"/>
              <w:jc w:val="both"/>
              <w:rPr>
                <w:rFonts w:eastAsiaTheme="minorHAnsi" w:cstheme="minorBidi"/>
                <w:b w:val="0"/>
                <w:color w:val="000000" w:themeColor="text1"/>
                <w:szCs w:val="22"/>
              </w:rPr>
            </w:pPr>
          </w:p>
        </w:tc>
      </w:tr>
      <w:bookmarkEnd w:id="37"/>
    </w:tbl>
    <w:p w14:paraId="105BF1AB" w14:textId="77777777" w:rsidR="007078F6" w:rsidRPr="009E631B" w:rsidRDefault="007078F6" w:rsidP="00DA5A87">
      <w:pPr>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42AF5C43" w14:textId="77777777" w:rsidTr="00F92CAF">
        <w:trPr>
          <w:trHeight w:val="360"/>
        </w:trPr>
        <w:tc>
          <w:tcPr>
            <w:tcW w:w="10710" w:type="dxa"/>
          </w:tcPr>
          <w:p w14:paraId="3252F4FA" w14:textId="77777777" w:rsidR="0011657C" w:rsidRPr="00512DEE" w:rsidRDefault="002C3F71" w:rsidP="00512DEE">
            <w:pPr>
              <w:pStyle w:val="Heading2"/>
              <w:outlineLvl w:val="1"/>
              <w:rPr>
                <w:b/>
                <w:szCs w:val="22"/>
              </w:rPr>
            </w:pPr>
            <w:bookmarkStart w:id="38" w:name="_Toc256000010"/>
            <w:bookmarkStart w:id="39" w:name="_Toc485984549"/>
            <w:bookmarkStart w:id="40" w:name="_Toc502164467"/>
            <w:r w:rsidRPr="009E631B">
              <w:rPr>
                <w:b/>
                <w:szCs w:val="22"/>
              </w:rPr>
              <w:t>D. JUSTIFICATION OF OVERALL OUTCOME RATING</w:t>
            </w:r>
            <w:bookmarkEnd w:id="38"/>
            <w:bookmarkEnd w:id="39"/>
            <w:bookmarkEnd w:id="40"/>
          </w:p>
          <w:p w14:paraId="338CFC14" w14:textId="77777777" w:rsidR="00512DEE" w:rsidRPr="0011657C" w:rsidRDefault="00512DEE" w:rsidP="0011657C"/>
        </w:tc>
      </w:tr>
    </w:tbl>
    <w:p w14:paraId="5C735DBD" w14:textId="77777777" w:rsidR="002F518C" w:rsidRPr="00A70E20" w:rsidRDefault="002C3F71" w:rsidP="002F518C">
      <w:pPr>
        <w:pStyle w:val="ListParagraph"/>
        <w:numPr>
          <w:ilvl w:val="0"/>
          <w:numId w:val="21"/>
        </w:numPr>
        <w:spacing w:line="276" w:lineRule="auto"/>
        <w:ind w:left="-270"/>
        <w:jc w:val="both"/>
        <w:rPr>
          <w:b w:val="0"/>
          <w:bCs/>
          <w:color w:val="auto"/>
          <w:szCs w:val="22"/>
        </w:rPr>
      </w:pPr>
      <w:r w:rsidRPr="00DA5A87">
        <w:rPr>
          <w:rFonts w:eastAsiaTheme="minorHAnsi" w:cstheme="minorBidi"/>
          <w:b w:val="0"/>
          <w:color w:val="000000" w:themeColor="text1"/>
          <w:szCs w:val="22"/>
        </w:rPr>
        <w:t>The</w:t>
      </w:r>
      <w:r w:rsidRPr="00A70E20">
        <w:rPr>
          <w:b w:val="0"/>
          <w:bCs/>
          <w:color w:val="auto"/>
          <w:szCs w:val="22"/>
        </w:rPr>
        <w:t xml:space="preserve"> relevance of project objectives is rated </w:t>
      </w:r>
      <w:r w:rsidRPr="00A70E20">
        <w:rPr>
          <w:bCs/>
          <w:color w:val="auto"/>
          <w:szCs w:val="22"/>
        </w:rPr>
        <w:t>Substantial</w:t>
      </w:r>
      <w:r w:rsidRPr="00A70E20">
        <w:rPr>
          <w:b w:val="0"/>
          <w:bCs/>
          <w:color w:val="auto"/>
          <w:szCs w:val="22"/>
        </w:rPr>
        <w:t xml:space="preserve"> </w:t>
      </w:r>
      <w:r w:rsidR="005E657C">
        <w:rPr>
          <w:b w:val="0"/>
          <w:bCs/>
          <w:color w:val="auto"/>
          <w:szCs w:val="22"/>
        </w:rPr>
        <w:t xml:space="preserve">as it is relevant to the </w:t>
      </w:r>
      <w:r w:rsidR="005E657C" w:rsidRPr="00E56B34">
        <w:rPr>
          <w:b w:val="0"/>
          <w:color w:val="000000" w:themeColor="text1"/>
          <w:szCs w:val="22"/>
        </w:rPr>
        <w:t>Wor</w:t>
      </w:r>
      <w:r w:rsidR="005E657C">
        <w:rPr>
          <w:b w:val="0"/>
          <w:color w:val="000000" w:themeColor="text1"/>
          <w:szCs w:val="22"/>
        </w:rPr>
        <w:t>l</w:t>
      </w:r>
      <w:r w:rsidR="005E657C" w:rsidRPr="00E56B34">
        <w:rPr>
          <w:b w:val="0"/>
          <w:color w:val="000000" w:themeColor="text1"/>
          <w:szCs w:val="22"/>
        </w:rPr>
        <w:t>d Ban</w:t>
      </w:r>
      <w:r w:rsidR="005E657C">
        <w:rPr>
          <w:b w:val="0"/>
          <w:color w:val="000000" w:themeColor="text1"/>
          <w:szCs w:val="22"/>
        </w:rPr>
        <w:t>k</w:t>
      </w:r>
      <w:r w:rsidR="005E657C" w:rsidRPr="00E56B34">
        <w:rPr>
          <w:b w:val="0"/>
          <w:color w:val="000000" w:themeColor="text1"/>
          <w:szCs w:val="22"/>
        </w:rPr>
        <w:t xml:space="preserve"> Group Country Partnership Strategy (CPS) for FY 2015-2018</w:t>
      </w:r>
      <w:r w:rsidR="005E657C">
        <w:rPr>
          <w:b w:val="0"/>
          <w:color w:val="000000" w:themeColor="text1"/>
          <w:szCs w:val="22"/>
        </w:rPr>
        <w:t xml:space="preserve">’s objective of </w:t>
      </w:r>
      <w:r w:rsidR="005E657C" w:rsidRPr="00E56B34">
        <w:rPr>
          <w:b w:val="0"/>
          <w:color w:val="000000" w:themeColor="text1"/>
          <w:szCs w:val="22"/>
        </w:rPr>
        <w:t>“reducing environmental risks and</w:t>
      </w:r>
      <w:r w:rsidR="005E657C">
        <w:rPr>
          <w:b w:val="0"/>
          <w:color w:val="000000" w:themeColor="text1"/>
          <w:szCs w:val="22"/>
        </w:rPr>
        <w:t xml:space="preserve"> safeguarding natural resources.” T</w:t>
      </w:r>
      <w:r w:rsidR="005E657C">
        <w:rPr>
          <w:b w:val="0"/>
          <w:bCs/>
          <w:color w:val="auto"/>
          <w:szCs w:val="22"/>
        </w:rPr>
        <w:t xml:space="preserve">he </w:t>
      </w:r>
      <w:r w:rsidRPr="00A70E20">
        <w:rPr>
          <w:b w:val="0"/>
          <w:bCs/>
          <w:color w:val="auto"/>
          <w:szCs w:val="22"/>
        </w:rPr>
        <w:t xml:space="preserve">two objectives are rated Substantial (increased Government ability to assess and mitigation environmental risks associated with legacy uranium mining sites) and </w:t>
      </w:r>
      <w:r w:rsidR="00FB796E" w:rsidRPr="00210CF6">
        <w:rPr>
          <w:bCs/>
          <w:color w:val="auto"/>
          <w:szCs w:val="22"/>
        </w:rPr>
        <w:t>Substantial</w:t>
      </w:r>
      <w:r w:rsidR="00FB796E">
        <w:rPr>
          <w:b w:val="0"/>
          <w:bCs/>
          <w:color w:val="auto"/>
          <w:szCs w:val="22"/>
        </w:rPr>
        <w:t xml:space="preserve"> </w:t>
      </w:r>
      <w:r w:rsidRPr="00A70E20">
        <w:rPr>
          <w:b w:val="0"/>
          <w:bCs/>
          <w:color w:val="auto"/>
          <w:szCs w:val="22"/>
        </w:rPr>
        <w:t>(</w:t>
      </w:r>
      <w:r w:rsidR="005E657C" w:rsidRPr="00CD2A9A">
        <w:rPr>
          <w:rFonts w:eastAsiaTheme="minorHAnsi" w:cstheme="minorHAnsi"/>
          <w:b w:val="0"/>
          <w:color w:val="000000" w:themeColor="text1"/>
          <w:szCs w:val="22"/>
        </w:rPr>
        <w:t xml:space="preserve">Reduce potential economic and health damages associated with </w:t>
      </w:r>
      <w:r w:rsidR="005E657C">
        <w:rPr>
          <w:rFonts w:eastAsiaTheme="minorHAnsi" w:cstheme="minorHAnsi"/>
          <w:b w:val="0"/>
          <w:color w:val="000000" w:themeColor="text1"/>
          <w:szCs w:val="22"/>
        </w:rPr>
        <w:t xml:space="preserve">the </w:t>
      </w:r>
      <w:proofErr w:type="spellStart"/>
      <w:r w:rsidR="005E657C">
        <w:rPr>
          <w:rFonts w:eastAsiaTheme="minorHAnsi" w:cstheme="minorHAnsi"/>
          <w:b w:val="0"/>
          <w:color w:val="000000" w:themeColor="text1"/>
          <w:szCs w:val="22"/>
        </w:rPr>
        <w:t>Malargüe</w:t>
      </w:r>
      <w:proofErr w:type="spellEnd"/>
      <w:r w:rsidR="005E657C">
        <w:rPr>
          <w:rFonts w:eastAsiaTheme="minorHAnsi" w:cstheme="minorHAnsi"/>
          <w:b w:val="0"/>
          <w:color w:val="000000" w:themeColor="text1"/>
          <w:szCs w:val="22"/>
        </w:rPr>
        <w:t xml:space="preserve"> </w:t>
      </w:r>
      <w:r w:rsidR="005E657C" w:rsidRPr="00CD2A9A">
        <w:rPr>
          <w:rFonts w:eastAsiaTheme="minorHAnsi" w:cstheme="minorHAnsi"/>
          <w:b w:val="0"/>
          <w:color w:val="000000" w:themeColor="text1"/>
          <w:szCs w:val="22"/>
        </w:rPr>
        <w:t>site</w:t>
      </w:r>
      <w:r w:rsidRPr="00A70E20">
        <w:rPr>
          <w:b w:val="0"/>
          <w:bCs/>
          <w:color w:val="auto"/>
          <w:szCs w:val="22"/>
        </w:rPr>
        <w:t xml:space="preserve">), respectively, resulting in an overall Efficacy rating of </w:t>
      </w:r>
      <w:r w:rsidRPr="00F52D76">
        <w:rPr>
          <w:bCs/>
          <w:color w:val="auto"/>
          <w:szCs w:val="22"/>
        </w:rPr>
        <w:t>Substantial</w:t>
      </w:r>
      <w:r w:rsidRPr="00A70E20">
        <w:rPr>
          <w:b w:val="0"/>
          <w:bCs/>
          <w:color w:val="auto"/>
          <w:szCs w:val="22"/>
        </w:rPr>
        <w:t xml:space="preserve">.  However, project efficiency is rated </w:t>
      </w:r>
      <w:r w:rsidRPr="00F52D76">
        <w:rPr>
          <w:bCs/>
          <w:color w:val="auto"/>
          <w:szCs w:val="22"/>
        </w:rPr>
        <w:t>Modest</w:t>
      </w:r>
      <w:r w:rsidRPr="00A70E20">
        <w:rPr>
          <w:b w:val="0"/>
          <w:bCs/>
          <w:color w:val="auto"/>
          <w:szCs w:val="22"/>
        </w:rPr>
        <w:t xml:space="preserve">, resulting in an overall project outcome rating of </w:t>
      </w:r>
      <w:r w:rsidRPr="00A70E20">
        <w:rPr>
          <w:bCs/>
          <w:color w:val="auto"/>
          <w:szCs w:val="22"/>
        </w:rPr>
        <w:t>Moderately Satisfactory</w:t>
      </w:r>
      <w:r w:rsidRPr="00A70E20">
        <w:rPr>
          <w:b w:val="0"/>
          <w:bCs/>
          <w:color w:val="auto"/>
          <w:szCs w:val="22"/>
        </w:rPr>
        <w:t>.</w:t>
      </w:r>
      <w:r>
        <w:rPr>
          <w:rStyle w:val="FootnoteReference"/>
          <w:b w:val="0"/>
          <w:bCs/>
          <w:color w:val="auto"/>
          <w:szCs w:val="22"/>
        </w:rPr>
        <w:footnoteReference w:id="26"/>
      </w:r>
      <w:r>
        <w:rPr>
          <w:b w:val="0"/>
          <w:bCs/>
          <w:color w:val="auto"/>
          <w:szCs w:val="22"/>
        </w:rPr>
        <w:t xml:space="preserve">   </w:t>
      </w:r>
    </w:p>
    <w:p w14:paraId="50E00EF9" w14:textId="77777777" w:rsidR="007078F6" w:rsidRPr="009E631B" w:rsidRDefault="007078F6" w:rsidP="00F81AC2">
      <w:pPr>
        <w:ind w:left="-634"/>
        <w:rPr>
          <w:rFonts w:asciiTheme="minorHAnsi" w:hAnsiTheme="minorHAnsi"/>
          <w:bCs/>
          <w:color w:val="auto"/>
          <w:sz w:val="22"/>
          <w:szCs w:val="22"/>
        </w:rPr>
      </w:pPr>
    </w:p>
    <w:p w14:paraId="3EAB5534" w14:textId="77777777" w:rsidR="00811F84" w:rsidRPr="009E631B" w:rsidRDefault="00811F84"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1C338C0B" w14:textId="77777777" w:rsidTr="00F92CAF">
        <w:trPr>
          <w:trHeight w:val="360"/>
        </w:trPr>
        <w:tc>
          <w:tcPr>
            <w:tcW w:w="10710" w:type="dxa"/>
          </w:tcPr>
          <w:p w14:paraId="4DF07133" w14:textId="77777777" w:rsidR="00C92D10" w:rsidRPr="009E631B" w:rsidRDefault="002C3F71" w:rsidP="00E558E3">
            <w:pPr>
              <w:pStyle w:val="Heading2"/>
              <w:outlineLvl w:val="1"/>
              <w:rPr>
                <w:b/>
                <w:szCs w:val="22"/>
              </w:rPr>
            </w:pPr>
            <w:bookmarkStart w:id="41" w:name="_Toc256000011"/>
            <w:bookmarkStart w:id="42" w:name="_Toc485984550"/>
            <w:bookmarkStart w:id="43" w:name="_Toc502164468"/>
            <w:r w:rsidRPr="009E631B">
              <w:rPr>
                <w:b/>
                <w:szCs w:val="22"/>
              </w:rPr>
              <w:t>E. OTHER OUTCOMES AND IMPACTS (IF ANY)</w:t>
            </w:r>
            <w:bookmarkEnd w:id="41"/>
            <w:bookmarkEnd w:id="42"/>
            <w:bookmarkEnd w:id="43"/>
          </w:p>
        </w:tc>
      </w:tr>
    </w:tbl>
    <w:p w14:paraId="009045A9" w14:textId="77777777" w:rsidR="00C92D10" w:rsidRPr="009E631B" w:rsidRDefault="00C92D10" w:rsidP="00F81AC2">
      <w:pPr>
        <w:ind w:left="-634"/>
        <w:rPr>
          <w:rFonts w:asciiTheme="minorHAnsi" w:hAnsiTheme="minorHAnsi"/>
          <w:bCs/>
          <w:color w:val="auto"/>
          <w:sz w:val="22"/>
          <w:szCs w:val="22"/>
        </w:rPr>
      </w:pPr>
    </w:p>
    <w:tbl>
      <w:tblPr>
        <w:tblW w:w="10980" w:type="dxa"/>
        <w:tblInd w:w="-900" w:type="dxa"/>
        <w:shd w:val="clear" w:color="auto" w:fill="F2F7FC"/>
        <w:tblLayout w:type="fixed"/>
        <w:tblLook w:val="04A0" w:firstRow="1" w:lastRow="0" w:firstColumn="1" w:lastColumn="0" w:noHBand="0" w:noVBand="1"/>
      </w:tblPr>
      <w:tblGrid>
        <w:gridCol w:w="10980"/>
      </w:tblGrid>
      <w:tr w:rsidR="00E63776" w14:paraId="78A12965" w14:textId="77777777" w:rsidTr="00B7107E">
        <w:trPr>
          <w:trHeight w:val="80"/>
        </w:trPr>
        <w:tc>
          <w:tcPr>
            <w:tcW w:w="10980" w:type="dxa"/>
            <w:shd w:val="clear" w:color="auto" w:fill="auto"/>
            <w:vAlign w:val="center"/>
          </w:tcPr>
          <w:p w14:paraId="39CD18B2" w14:textId="77777777" w:rsidR="002F518C" w:rsidRDefault="002C3F71" w:rsidP="00512DEE">
            <w:pPr>
              <w:pStyle w:val="Heading3"/>
              <w:ind w:left="432"/>
              <w:rPr>
                <w:b w:val="0"/>
                <w:color w:val="auto"/>
                <w:szCs w:val="22"/>
              </w:rPr>
            </w:pPr>
            <w:r w:rsidRPr="009E631B">
              <w:rPr>
                <w:szCs w:val="22"/>
              </w:rPr>
              <w:t>Gender</w:t>
            </w:r>
            <w:r w:rsidR="0011657C" w:rsidRPr="00C5569F">
              <w:rPr>
                <w:b w:val="0"/>
                <w:color w:val="auto"/>
                <w:szCs w:val="22"/>
              </w:rPr>
              <w:t xml:space="preserve"> </w:t>
            </w:r>
            <w:r w:rsidR="0011657C">
              <w:rPr>
                <w:b w:val="0"/>
                <w:color w:val="auto"/>
                <w:szCs w:val="22"/>
              </w:rPr>
              <w:t xml:space="preserve"> </w:t>
            </w:r>
          </w:p>
          <w:p w14:paraId="0C393644" w14:textId="77777777" w:rsidR="002F518C" w:rsidRDefault="002F518C" w:rsidP="00512DEE">
            <w:pPr>
              <w:pStyle w:val="Heading3"/>
              <w:ind w:left="432"/>
              <w:rPr>
                <w:b w:val="0"/>
                <w:color w:val="auto"/>
                <w:szCs w:val="22"/>
              </w:rPr>
            </w:pPr>
          </w:p>
          <w:p w14:paraId="09E3863B" w14:textId="77777777" w:rsidR="007078F6" w:rsidRPr="00512DEE" w:rsidRDefault="002C3F71" w:rsidP="002F518C">
            <w:pPr>
              <w:pStyle w:val="ListParagraph"/>
              <w:numPr>
                <w:ilvl w:val="0"/>
                <w:numId w:val="21"/>
              </w:numPr>
              <w:spacing w:line="276" w:lineRule="auto"/>
              <w:ind w:left="523"/>
              <w:jc w:val="both"/>
              <w:rPr>
                <w:b w:val="0"/>
                <w:color w:val="auto"/>
                <w:szCs w:val="22"/>
              </w:rPr>
            </w:pPr>
            <w:r>
              <w:rPr>
                <w:b w:val="0"/>
                <w:color w:val="auto"/>
                <w:szCs w:val="22"/>
              </w:rPr>
              <w:t>The project did not specifically have a gender dimension. However,</w:t>
            </w:r>
            <w:r w:rsidR="00EE57AA">
              <w:rPr>
                <w:b w:val="0"/>
                <w:color w:val="auto"/>
                <w:szCs w:val="22"/>
              </w:rPr>
              <w:t xml:space="preserve"> about 50% of the consultations done in Cordoba for the remediation of the </w:t>
            </w:r>
            <w:proofErr w:type="spellStart"/>
            <w:r w:rsidR="00EE57AA">
              <w:rPr>
                <w:b w:val="0"/>
                <w:color w:val="auto"/>
                <w:szCs w:val="22"/>
              </w:rPr>
              <w:t>Chichon</w:t>
            </w:r>
            <w:proofErr w:type="spellEnd"/>
            <w:r w:rsidR="00EE57AA">
              <w:rPr>
                <w:b w:val="0"/>
                <w:color w:val="auto"/>
                <w:szCs w:val="22"/>
              </w:rPr>
              <w:t xml:space="preserve"> and Los </w:t>
            </w:r>
            <w:proofErr w:type="spellStart"/>
            <w:r w:rsidR="00EE57AA">
              <w:rPr>
                <w:b w:val="0"/>
                <w:color w:val="auto"/>
                <w:szCs w:val="22"/>
              </w:rPr>
              <w:t>Gigantes</w:t>
            </w:r>
            <w:proofErr w:type="spellEnd"/>
            <w:r w:rsidR="00EE57AA">
              <w:rPr>
                <w:b w:val="0"/>
                <w:color w:val="auto"/>
                <w:szCs w:val="22"/>
              </w:rPr>
              <w:t xml:space="preserve">, as well as the design of the green space in </w:t>
            </w:r>
            <w:proofErr w:type="spellStart"/>
            <w:r w:rsidR="00E52891">
              <w:rPr>
                <w:b w:val="0"/>
                <w:color w:val="auto"/>
                <w:szCs w:val="22"/>
              </w:rPr>
              <w:t>Malargüe</w:t>
            </w:r>
            <w:proofErr w:type="spellEnd"/>
            <w:r w:rsidR="00EE57AA">
              <w:rPr>
                <w:b w:val="0"/>
                <w:color w:val="auto"/>
                <w:szCs w:val="22"/>
              </w:rPr>
              <w:t xml:space="preserve"> included women. Furthermore, by </w:t>
            </w:r>
            <w:r>
              <w:rPr>
                <w:b w:val="0"/>
                <w:color w:val="auto"/>
                <w:szCs w:val="22"/>
              </w:rPr>
              <w:t>significantly reducing local public health risks, it has likely had a positive impact on some vulnerable women as, in a somewhat similar project in Zambia for example, pregnant women</w:t>
            </w:r>
            <w:r w:rsidR="004953AA">
              <w:rPr>
                <w:b w:val="0"/>
                <w:color w:val="auto"/>
                <w:szCs w:val="22"/>
              </w:rPr>
              <w:t xml:space="preserve"> and their unborn children</w:t>
            </w:r>
            <w:r>
              <w:rPr>
                <w:b w:val="0"/>
                <w:color w:val="auto"/>
                <w:szCs w:val="22"/>
              </w:rPr>
              <w:t xml:space="preserve"> were found to have been more at risk to exposure from pollutants associated with mining activities than other local populations.</w:t>
            </w:r>
          </w:p>
        </w:tc>
      </w:tr>
      <w:tr w:rsidR="00E63776" w14:paraId="6B55A185" w14:textId="77777777" w:rsidTr="00B7107E">
        <w:trPr>
          <w:trHeight w:val="468"/>
        </w:trPr>
        <w:tc>
          <w:tcPr>
            <w:tcW w:w="10980" w:type="dxa"/>
            <w:shd w:val="clear" w:color="auto" w:fill="auto"/>
            <w:vAlign w:val="center"/>
          </w:tcPr>
          <w:p w14:paraId="59BE0F16" w14:textId="77777777" w:rsidR="007078F6" w:rsidRPr="009E631B" w:rsidRDefault="007078F6" w:rsidP="007078F6">
            <w:pPr>
              <w:keepNext/>
              <w:keepLines/>
              <w:widowControl/>
              <w:tabs>
                <w:tab w:val="left" w:pos="315"/>
                <w:tab w:val="left" w:pos="420"/>
              </w:tabs>
              <w:autoSpaceDE/>
              <w:autoSpaceDN/>
              <w:adjustRightInd/>
              <w:spacing w:line="259" w:lineRule="auto"/>
              <w:ind w:left="345"/>
              <w:outlineLvl w:val="1"/>
              <w:rPr>
                <w:rFonts w:asciiTheme="minorHAnsi" w:eastAsiaTheme="majorEastAsia" w:hAnsiTheme="minorHAnsi" w:cstheme="majorBidi"/>
                <w:color w:val="auto"/>
                <w:sz w:val="22"/>
                <w:szCs w:val="22"/>
              </w:rPr>
            </w:pPr>
          </w:p>
        </w:tc>
      </w:tr>
      <w:tr w:rsidR="00E63776" w14:paraId="4068B706" w14:textId="77777777" w:rsidTr="00B7107E">
        <w:trPr>
          <w:trHeight w:val="70"/>
        </w:trPr>
        <w:tc>
          <w:tcPr>
            <w:tcW w:w="10980" w:type="dxa"/>
            <w:shd w:val="clear" w:color="auto" w:fill="auto"/>
            <w:vAlign w:val="center"/>
          </w:tcPr>
          <w:p w14:paraId="4F22660C" w14:textId="77777777" w:rsidR="007078F6" w:rsidRPr="00DA5A87" w:rsidRDefault="002C3F71" w:rsidP="00D56AAB">
            <w:pPr>
              <w:pStyle w:val="Heading3"/>
              <w:ind w:left="342"/>
              <w:rPr>
                <w:szCs w:val="22"/>
              </w:rPr>
            </w:pPr>
            <w:r w:rsidRPr="00DA5A87">
              <w:rPr>
                <w:szCs w:val="22"/>
              </w:rPr>
              <w:t>Institutional Strengthening</w:t>
            </w:r>
          </w:p>
          <w:p w14:paraId="75B1C893" w14:textId="77777777" w:rsidR="00512DEE" w:rsidRPr="00DA5A87" w:rsidRDefault="00512DEE" w:rsidP="00512DEE"/>
        </w:tc>
      </w:tr>
      <w:tr w:rsidR="00E63776" w14:paraId="053A997D" w14:textId="77777777" w:rsidTr="00B7107E">
        <w:trPr>
          <w:trHeight w:val="468"/>
        </w:trPr>
        <w:tc>
          <w:tcPr>
            <w:tcW w:w="10980" w:type="dxa"/>
            <w:shd w:val="clear" w:color="auto" w:fill="auto"/>
            <w:vAlign w:val="center"/>
          </w:tcPr>
          <w:p w14:paraId="0C423255" w14:textId="77777777" w:rsidR="002F518C" w:rsidRDefault="002C3F71" w:rsidP="00DA5A87">
            <w:pPr>
              <w:pStyle w:val="ListParagraph"/>
              <w:numPr>
                <w:ilvl w:val="0"/>
                <w:numId w:val="21"/>
              </w:numPr>
              <w:spacing w:line="276" w:lineRule="auto"/>
              <w:ind w:left="450"/>
              <w:jc w:val="both"/>
              <w:rPr>
                <w:rFonts w:ascii="Calibri" w:eastAsiaTheme="minorHAnsi" w:hAnsi="Calibri" w:cs="Calibri"/>
                <w:b w:val="0"/>
                <w:color w:val="auto"/>
                <w:szCs w:val="22"/>
              </w:rPr>
            </w:pPr>
            <w:r w:rsidRPr="00DA5A87">
              <w:rPr>
                <w:rFonts w:eastAsiaTheme="minorHAnsi" w:cstheme="minorBidi"/>
                <w:b w:val="0"/>
                <w:color w:val="000000" w:themeColor="text1"/>
                <w:szCs w:val="22"/>
              </w:rPr>
              <w:t>As</w:t>
            </w:r>
            <w:r w:rsidRPr="00DA5A87">
              <w:rPr>
                <w:rFonts w:ascii="Calibri" w:eastAsiaTheme="minorHAnsi" w:hAnsi="Calibri" w:cs="Calibri"/>
                <w:b w:val="0"/>
                <w:color w:val="auto"/>
                <w:szCs w:val="22"/>
              </w:rPr>
              <w:t xml:space="preserve"> indicated in paras. </w:t>
            </w:r>
            <w:r w:rsidR="00DA5A87" w:rsidRPr="00DA5A87">
              <w:rPr>
                <w:rFonts w:ascii="Calibri" w:eastAsiaTheme="minorHAnsi" w:hAnsi="Calibri" w:cs="Calibri"/>
                <w:b w:val="0"/>
                <w:color w:val="auto"/>
                <w:szCs w:val="22"/>
              </w:rPr>
              <w:t xml:space="preserve">21-22 </w:t>
            </w:r>
            <w:r w:rsidRPr="00DA5A87">
              <w:rPr>
                <w:rFonts w:ascii="Calibri" w:eastAsiaTheme="minorHAnsi" w:hAnsi="Calibri" w:cs="Calibri"/>
                <w:b w:val="0"/>
                <w:color w:val="auto"/>
                <w:szCs w:val="22"/>
              </w:rPr>
              <w:t>above, the project successfully carried out its proposed institutional strengthening activities and substantial achieved its objective in this regard both in relation to CNEA and at the provincial and local levels</w:t>
            </w:r>
            <w:r w:rsidR="002E436B">
              <w:rPr>
                <w:rFonts w:ascii="Calibri" w:eastAsiaTheme="minorHAnsi" w:hAnsi="Calibri" w:cs="Calibri"/>
                <w:b w:val="0"/>
                <w:color w:val="auto"/>
                <w:szCs w:val="22"/>
              </w:rPr>
              <w:t xml:space="preserve">. </w:t>
            </w:r>
            <w:r w:rsidR="00337C04" w:rsidRPr="00DA5A87">
              <w:rPr>
                <w:rFonts w:ascii="Calibri" w:eastAsiaTheme="minorHAnsi" w:hAnsi="Calibri" w:cs="Calibri"/>
                <w:b w:val="0"/>
                <w:color w:val="auto"/>
                <w:szCs w:val="22"/>
              </w:rPr>
              <w:t xml:space="preserve">More than 10 agencies at the federal, provincial and local level (including </w:t>
            </w:r>
            <w:r w:rsidR="001A5E62" w:rsidRPr="00DA5A87">
              <w:rPr>
                <w:rFonts w:ascii="Calibri" w:eastAsiaTheme="minorHAnsi" w:hAnsi="Calibri" w:cs="Calibri"/>
                <w:b w:val="0"/>
                <w:color w:val="auto"/>
                <w:szCs w:val="22"/>
              </w:rPr>
              <w:t xml:space="preserve">the </w:t>
            </w:r>
            <w:r w:rsidR="00DA5A87">
              <w:rPr>
                <w:rFonts w:ascii="Calibri" w:eastAsiaTheme="minorHAnsi" w:hAnsi="Calibri" w:cs="Calibri"/>
                <w:b w:val="0"/>
                <w:color w:val="auto"/>
                <w:szCs w:val="22"/>
              </w:rPr>
              <w:t xml:space="preserve">provincial </w:t>
            </w:r>
            <w:r w:rsidR="001A5E62" w:rsidRPr="00DA5A87">
              <w:rPr>
                <w:rFonts w:ascii="Calibri" w:eastAsiaTheme="minorHAnsi" w:hAnsi="Calibri" w:cs="Calibri"/>
                <w:b w:val="0"/>
                <w:color w:val="auto"/>
                <w:szCs w:val="22"/>
              </w:rPr>
              <w:t xml:space="preserve">environmental, mining, water and irrigation, and </w:t>
            </w:r>
            <w:r w:rsidR="00DA5A87">
              <w:rPr>
                <w:rFonts w:ascii="Calibri" w:eastAsiaTheme="minorHAnsi" w:hAnsi="Calibri" w:cs="Calibri"/>
                <w:b w:val="0"/>
                <w:color w:val="auto"/>
                <w:szCs w:val="22"/>
              </w:rPr>
              <w:t xml:space="preserve">municipal </w:t>
            </w:r>
            <w:r w:rsidR="001A5E62" w:rsidRPr="00DA5A87">
              <w:rPr>
                <w:rFonts w:ascii="Calibri" w:eastAsiaTheme="minorHAnsi" w:hAnsi="Calibri" w:cs="Calibri"/>
                <w:b w:val="0"/>
                <w:color w:val="auto"/>
                <w:szCs w:val="22"/>
              </w:rPr>
              <w:t xml:space="preserve">public works </w:t>
            </w:r>
            <w:r w:rsidR="00DA5A87">
              <w:rPr>
                <w:rFonts w:ascii="Calibri" w:eastAsiaTheme="minorHAnsi" w:hAnsi="Calibri" w:cs="Calibri"/>
                <w:b w:val="0"/>
                <w:color w:val="auto"/>
                <w:szCs w:val="22"/>
              </w:rPr>
              <w:t xml:space="preserve">agencies of </w:t>
            </w:r>
            <w:r w:rsidR="001A5E62" w:rsidRPr="00DA5A87">
              <w:rPr>
                <w:rFonts w:ascii="Calibri" w:eastAsiaTheme="minorHAnsi" w:hAnsi="Calibri" w:cs="Calibri"/>
                <w:b w:val="0"/>
                <w:color w:val="auto"/>
                <w:szCs w:val="22"/>
              </w:rPr>
              <w:t xml:space="preserve">Mendoza, </w:t>
            </w:r>
            <w:proofErr w:type="spellStart"/>
            <w:r w:rsidR="00CD1732" w:rsidRPr="00DA5A87">
              <w:rPr>
                <w:rFonts w:ascii="Calibri" w:eastAsiaTheme="minorHAnsi" w:hAnsi="Calibri" w:cs="Calibri"/>
                <w:b w:val="0"/>
                <w:color w:val="auto"/>
                <w:szCs w:val="22"/>
              </w:rPr>
              <w:t>Malargüe</w:t>
            </w:r>
            <w:proofErr w:type="spellEnd"/>
            <w:r w:rsidR="001A5E62" w:rsidRPr="00DA5A87">
              <w:rPr>
                <w:rFonts w:ascii="Calibri" w:eastAsiaTheme="minorHAnsi" w:hAnsi="Calibri" w:cs="Calibri"/>
                <w:b w:val="0"/>
                <w:color w:val="auto"/>
                <w:szCs w:val="22"/>
              </w:rPr>
              <w:t>, and Cordoba</w:t>
            </w:r>
            <w:r w:rsidR="00337C04" w:rsidRPr="00DA5A87">
              <w:rPr>
                <w:rFonts w:ascii="Calibri" w:eastAsiaTheme="minorHAnsi" w:hAnsi="Calibri" w:cs="Calibri"/>
                <w:b w:val="0"/>
                <w:color w:val="auto"/>
                <w:szCs w:val="22"/>
              </w:rPr>
              <w:t>) benefited from the training modules</w:t>
            </w:r>
            <w:r w:rsidR="001A5E62" w:rsidRPr="00DA5A87">
              <w:rPr>
                <w:rFonts w:ascii="Calibri" w:eastAsiaTheme="minorHAnsi" w:hAnsi="Calibri" w:cs="Calibri"/>
                <w:b w:val="0"/>
                <w:color w:val="auto"/>
                <w:szCs w:val="22"/>
              </w:rPr>
              <w:t xml:space="preserve">.  </w:t>
            </w:r>
            <w:r w:rsidR="002E436B">
              <w:rPr>
                <w:rFonts w:ascii="Calibri" w:eastAsiaTheme="minorHAnsi" w:hAnsi="Calibri" w:cs="Calibri"/>
                <w:b w:val="0"/>
                <w:color w:val="auto"/>
                <w:szCs w:val="22"/>
              </w:rPr>
              <w:t xml:space="preserve">With regards to </w:t>
            </w:r>
            <w:r w:rsidRPr="00DA5A87">
              <w:rPr>
                <w:rFonts w:ascii="Calibri" w:eastAsiaTheme="minorHAnsi" w:hAnsi="Calibri" w:cs="Calibri"/>
                <w:b w:val="0"/>
                <w:color w:val="auto"/>
                <w:szCs w:val="22"/>
              </w:rPr>
              <w:t xml:space="preserve">project-sponsored training events, all those planned were implemented </w:t>
            </w:r>
            <w:r w:rsidR="00FF51C6">
              <w:rPr>
                <w:rFonts w:ascii="Calibri" w:eastAsiaTheme="minorHAnsi" w:hAnsi="Calibri" w:cs="Calibri"/>
                <w:b w:val="0"/>
                <w:color w:val="auto"/>
                <w:szCs w:val="22"/>
              </w:rPr>
              <w:t xml:space="preserve">since the beginning of the project </w:t>
            </w:r>
            <w:r w:rsidRPr="00DA5A87">
              <w:rPr>
                <w:rFonts w:ascii="Calibri" w:eastAsiaTheme="minorHAnsi" w:hAnsi="Calibri" w:cs="Calibri"/>
                <w:b w:val="0"/>
                <w:color w:val="auto"/>
                <w:szCs w:val="22"/>
              </w:rPr>
              <w:t xml:space="preserve">and June 2017, including </w:t>
            </w:r>
            <w:r w:rsidR="00CD1732">
              <w:rPr>
                <w:rFonts w:ascii="Calibri" w:eastAsiaTheme="minorHAnsi" w:hAnsi="Calibri" w:cs="Calibri"/>
                <w:b w:val="0"/>
                <w:color w:val="auto"/>
                <w:szCs w:val="22"/>
              </w:rPr>
              <w:t xml:space="preserve">exchanges of government </w:t>
            </w:r>
            <w:r w:rsidR="00EE57AA">
              <w:rPr>
                <w:rFonts w:ascii="Calibri" w:eastAsiaTheme="minorHAnsi" w:hAnsi="Calibri" w:cs="Calibri"/>
                <w:b w:val="0"/>
                <w:color w:val="auto"/>
                <w:szCs w:val="22"/>
              </w:rPr>
              <w:t>authorities</w:t>
            </w:r>
            <w:r w:rsidR="00CD1732">
              <w:rPr>
                <w:rFonts w:ascii="Calibri" w:eastAsiaTheme="minorHAnsi" w:hAnsi="Calibri" w:cs="Calibri"/>
                <w:b w:val="0"/>
                <w:color w:val="auto"/>
                <w:szCs w:val="22"/>
              </w:rPr>
              <w:t xml:space="preserve"> from Cordoba with San Rafael, </w:t>
            </w:r>
            <w:r w:rsidR="00EE57AA">
              <w:rPr>
                <w:rFonts w:ascii="Calibri" w:eastAsiaTheme="minorHAnsi" w:hAnsi="Calibri" w:cs="Calibri"/>
                <w:b w:val="0"/>
                <w:color w:val="auto"/>
                <w:szCs w:val="22"/>
              </w:rPr>
              <w:t>and t</w:t>
            </w:r>
            <w:r w:rsidR="00CD1732">
              <w:rPr>
                <w:rFonts w:ascii="Calibri" w:eastAsiaTheme="minorHAnsi" w:hAnsi="Calibri" w:cs="Calibri"/>
                <w:b w:val="0"/>
                <w:color w:val="auto"/>
                <w:szCs w:val="22"/>
              </w:rPr>
              <w:t xml:space="preserve">echnical visits from </w:t>
            </w:r>
            <w:r w:rsidR="00EE57AA">
              <w:rPr>
                <w:rFonts w:ascii="Calibri" w:eastAsiaTheme="minorHAnsi" w:hAnsi="Calibri" w:cs="Calibri"/>
                <w:b w:val="0"/>
                <w:color w:val="auto"/>
                <w:szCs w:val="22"/>
              </w:rPr>
              <w:t>e</w:t>
            </w:r>
            <w:r w:rsidR="00AD4EB4">
              <w:rPr>
                <w:rFonts w:ascii="Calibri" w:eastAsiaTheme="minorHAnsi" w:hAnsi="Calibri" w:cs="Calibri"/>
                <w:b w:val="0"/>
                <w:color w:val="auto"/>
                <w:szCs w:val="22"/>
              </w:rPr>
              <w:t xml:space="preserve">nvironmental authorities of the five provinces to </w:t>
            </w:r>
            <w:r w:rsidR="00EE57AA">
              <w:rPr>
                <w:rFonts w:ascii="Calibri" w:eastAsiaTheme="minorHAnsi" w:hAnsi="Calibri" w:cs="Calibri"/>
                <w:b w:val="0"/>
                <w:color w:val="auto"/>
                <w:szCs w:val="22"/>
              </w:rPr>
              <w:t xml:space="preserve">the </w:t>
            </w:r>
            <w:proofErr w:type="spellStart"/>
            <w:r w:rsidR="00AD4EB4">
              <w:rPr>
                <w:rFonts w:ascii="Calibri" w:eastAsiaTheme="minorHAnsi" w:hAnsi="Calibri" w:cs="Calibri"/>
                <w:b w:val="0"/>
                <w:color w:val="auto"/>
                <w:szCs w:val="22"/>
              </w:rPr>
              <w:t>Malargüe</w:t>
            </w:r>
            <w:proofErr w:type="spellEnd"/>
            <w:r w:rsidR="00AD4EB4">
              <w:rPr>
                <w:rFonts w:ascii="Calibri" w:eastAsiaTheme="minorHAnsi" w:hAnsi="Calibri" w:cs="Calibri"/>
                <w:b w:val="0"/>
                <w:color w:val="auto"/>
                <w:szCs w:val="22"/>
              </w:rPr>
              <w:t xml:space="preserve"> site. </w:t>
            </w:r>
            <w:r w:rsidR="00EE57AA">
              <w:rPr>
                <w:rFonts w:ascii="Calibri" w:eastAsiaTheme="minorHAnsi" w:hAnsi="Calibri" w:cs="Calibri"/>
                <w:b w:val="0"/>
                <w:color w:val="auto"/>
                <w:szCs w:val="22"/>
              </w:rPr>
              <w:t xml:space="preserve"> </w:t>
            </w:r>
            <w:r w:rsidR="00AD4EB4">
              <w:rPr>
                <w:rFonts w:ascii="Calibri" w:eastAsiaTheme="minorHAnsi" w:hAnsi="Calibri" w:cs="Calibri"/>
                <w:b w:val="0"/>
                <w:color w:val="auto"/>
                <w:szCs w:val="22"/>
              </w:rPr>
              <w:t xml:space="preserve">In addition, </w:t>
            </w:r>
            <w:r w:rsidR="00EE57AA">
              <w:rPr>
                <w:rFonts w:ascii="Calibri" w:eastAsiaTheme="minorHAnsi" w:hAnsi="Calibri" w:cs="Calibri"/>
                <w:b w:val="0"/>
                <w:color w:val="auto"/>
                <w:szCs w:val="22"/>
              </w:rPr>
              <w:t xml:space="preserve">CNEA organized workshops with </w:t>
            </w:r>
            <w:r w:rsidRPr="00DA5A87">
              <w:rPr>
                <w:rFonts w:ascii="Calibri" w:eastAsiaTheme="minorHAnsi" w:hAnsi="Calibri" w:cs="Calibri"/>
                <w:b w:val="0"/>
                <w:color w:val="auto"/>
                <w:szCs w:val="22"/>
              </w:rPr>
              <w:t>the IAEA</w:t>
            </w:r>
            <w:r w:rsidR="00EE57AA">
              <w:rPr>
                <w:rFonts w:ascii="Calibri" w:eastAsiaTheme="minorHAnsi" w:hAnsi="Calibri" w:cs="Calibri"/>
                <w:b w:val="0"/>
                <w:color w:val="auto"/>
                <w:szCs w:val="22"/>
              </w:rPr>
              <w:t xml:space="preserve"> for government officials</w:t>
            </w:r>
            <w:r w:rsidRPr="00DA5A87">
              <w:rPr>
                <w:rFonts w:ascii="Calibri" w:eastAsiaTheme="minorHAnsi" w:hAnsi="Calibri" w:cs="Calibri"/>
                <w:b w:val="0"/>
                <w:color w:val="auto"/>
                <w:szCs w:val="22"/>
              </w:rPr>
              <w:t xml:space="preserve">. In addition, </w:t>
            </w:r>
            <w:proofErr w:type="gramStart"/>
            <w:r w:rsidRPr="00DA5A87">
              <w:rPr>
                <w:rFonts w:ascii="Calibri" w:eastAsiaTheme="minorHAnsi" w:hAnsi="Calibri" w:cs="Calibri"/>
                <w:b w:val="0"/>
                <w:color w:val="auto"/>
                <w:szCs w:val="22"/>
              </w:rPr>
              <w:t>in spite of</w:t>
            </w:r>
            <w:proofErr w:type="gramEnd"/>
            <w:r w:rsidRPr="00DA5A87">
              <w:rPr>
                <w:rFonts w:ascii="Calibri" w:eastAsiaTheme="minorHAnsi" w:hAnsi="Calibri" w:cs="Calibri"/>
                <w:b w:val="0"/>
                <w:color w:val="auto"/>
                <w:szCs w:val="22"/>
              </w:rPr>
              <w:t xml:space="preserve"> the change of focus from building capacity from the federal level to the local/provincial level, the </w:t>
            </w:r>
            <w:r w:rsidR="002E436B">
              <w:rPr>
                <w:rFonts w:ascii="Calibri" w:eastAsiaTheme="minorHAnsi" w:hAnsi="Calibri" w:cs="Calibri"/>
                <w:b w:val="0"/>
                <w:color w:val="auto"/>
                <w:szCs w:val="22"/>
              </w:rPr>
              <w:t xml:space="preserve">Ministries </w:t>
            </w:r>
            <w:r w:rsidRPr="00DA5A87">
              <w:rPr>
                <w:rFonts w:ascii="Calibri" w:eastAsiaTheme="minorHAnsi" w:hAnsi="Calibri" w:cs="Calibri"/>
                <w:b w:val="0"/>
                <w:color w:val="auto"/>
                <w:szCs w:val="22"/>
              </w:rPr>
              <w:t xml:space="preserve">of </w:t>
            </w:r>
            <w:r w:rsidR="002E436B">
              <w:rPr>
                <w:rFonts w:ascii="Calibri" w:eastAsiaTheme="minorHAnsi" w:hAnsi="Calibri" w:cs="Calibri"/>
                <w:b w:val="0"/>
                <w:color w:val="auto"/>
                <w:szCs w:val="22"/>
              </w:rPr>
              <w:t>E</w:t>
            </w:r>
            <w:r w:rsidRPr="00DA5A87">
              <w:rPr>
                <w:rFonts w:ascii="Calibri" w:eastAsiaTheme="minorHAnsi" w:hAnsi="Calibri" w:cs="Calibri"/>
                <w:b w:val="0"/>
                <w:color w:val="auto"/>
                <w:szCs w:val="22"/>
              </w:rPr>
              <w:t xml:space="preserve">nvironment and </w:t>
            </w:r>
            <w:r w:rsidR="002E436B">
              <w:rPr>
                <w:rFonts w:ascii="Calibri" w:eastAsiaTheme="minorHAnsi" w:hAnsi="Calibri" w:cs="Calibri"/>
                <w:b w:val="0"/>
                <w:color w:val="auto"/>
                <w:szCs w:val="22"/>
              </w:rPr>
              <w:t>of M</w:t>
            </w:r>
            <w:r w:rsidRPr="00DA5A87">
              <w:rPr>
                <w:rFonts w:ascii="Calibri" w:eastAsiaTheme="minorHAnsi" w:hAnsi="Calibri" w:cs="Calibri"/>
                <w:b w:val="0"/>
                <w:color w:val="auto"/>
                <w:szCs w:val="22"/>
              </w:rPr>
              <w:t>ines were also beneficiaries of the technical trainings that were provided under the project.</w:t>
            </w:r>
            <w:r w:rsidR="001A5E62" w:rsidRPr="00DA5A87">
              <w:rPr>
                <w:rFonts w:ascii="Calibri" w:eastAsiaTheme="minorHAnsi" w:hAnsi="Calibri" w:cs="Calibri"/>
                <w:b w:val="0"/>
                <w:color w:val="auto"/>
                <w:szCs w:val="22"/>
              </w:rPr>
              <w:t xml:space="preserve"> Furthermore, through</w:t>
            </w:r>
            <w:r w:rsidR="002E436B">
              <w:rPr>
                <w:rFonts w:ascii="Calibri" w:eastAsiaTheme="minorHAnsi" w:hAnsi="Calibri" w:cs="Calibri"/>
                <w:b w:val="0"/>
                <w:color w:val="auto"/>
                <w:szCs w:val="22"/>
              </w:rPr>
              <w:t>:</w:t>
            </w:r>
            <w:r w:rsidR="001A5E62" w:rsidRPr="00DA5A87">
              <w:rPr>
                <w:rFonts w:ascii="Calibri" w:eastAsiaTheme="minorHAnsi" w:hAnsi="Calibri" w:cs="Calibri"/>
                <w:b w:val="0"/>
                <w:color w:val="auto"/>
                <w:szCs w:val="22"/>
              </w:rPr>
              <w:t xml:space="preserve"> </w:t>
            </w:r>
            <w:r w:rsidR="00337C04" w:rsidRPr="00DA5A87">
              <w:rPr>
                <w:rFonts w:ascii="Calibri" w:eastAsiaTheme="minorHAnsi" w:hAnsi="Calibri" w:cs="Calibri"/>
                <w:b w:val="0"/>
                <w:color w:val="auto"/>
                <w:szCs w:val="22"/>
              </w:rPr>
              <w:t xml:space="preserve">(i) the </w:t>
            </w:r>
            <w:r w:rsidR="00161F1A" w:rsidRPr="00DA5A87">
              <w:rPr>
                <w:rFonts w:ascii="Calibri" w:eastAsiaTheme="minorHAnsi" w:hAnsi="Calibri" w:cs="Calibri"/>
                <w:b w:val="0"/>
                <w:color w:val="auto"/>
                <w:szCs w:val="22"/>
              </w:rPr>
              <w:t xml:space="preserve">development of the SIGA (and the </w:t>
            </w:r>
            <w:r w:rsidR="001A5E62" w:rsidRPr="00DA5A87">
              <w:rPr>
                <w:rFonts w:ascii="Calibri" w:eastAsiaTheme="minorHAnsi" w:hAnsi="Calibri" w:cs="Calibri"/>
                <w:b w:val="0"/>
                <w:color w:val="auto"/>
                <w:szCs w:val="22"/>
              </w:rPr>
              <w:t xml:space="preserve">equipment </w:t>
            </w:r>
            <w:r w:rsidR="00161F1A" w:rsidRPr="00DA5A87">
              <w:rPr>
                <w:rFonts w:ascii="Calibri" w:eastAsiaTheme="minorHAnsi" w:hAnsi="Calibri" w:cs="Calibri"/>
                <w:b w:val="0"/>
                <w:color w:val="auto"/>
                <w:szCs w:val="22"/>
              </w:rPr>
              <w:t xml:space="preserve">acquired </w:t>
            </w:r>
            <w:r w:rsidR="001A5E62" w:rsidRPr="00DA5A87">
              <w:rPr>
                <w:rFonts w:ascii="Calibri" w:eastAsiaTheme="minorHAnsi" w:hAnsi="Calibri" w:cs="Calibri"/>
                <w:b w:val="0"/>
                <w:color w:val="auto"/>
                <w:szCs w:val="22"/>
              </w:rPr>
              <w:t>for monitoring environmental quality</w:t>
            </w:r>
            <w:r w:rsidR="00161F1A" w:rsidRPr="00DA5A87">
              <w:rPr>
                <w:rFonts w:ascii="Calibri" w:eastAsiaTheme="minorHAnsi" w:hAnsi="Calibri" w:cs="Calibri"/>
                <w:b w:val="0"/>
                <w:color w:val="auto"/>
                <w:szCs w:val="22"/>
              </w:rPr>
              <w:t>)</w:t>
            </w:r>
            <w:r w:rsidR="00337C04" w:rsidRPr="00DA5A87">
              <w:rPr>
                <w:rFonts w:ascii="Calibri" w:eastAsiaTheme="minorHAnsi" w:hAnsi="Calibri" w:cs="Calibri"/>
                <w:b w:val="0"/>
                <w:color w:val="auto"/>
                <w:szCs w:val="22"/>
              </w:rPr>
              <w:t xml:space="preserve">; (ii) </w:t>
            </w:r>
            <w:r w:rsidR="00161F1A" w:rsidRPr="00DA5A87">
              <w:rPr>
                <w:rFonts w:ascii="Calibri" w:eastAsiaTheme="minorHAnsi" w:hAnsi="Calibri" w:cs="Calibri"/>
                <w:b w:val="0"/>
                <w:color w:val="auto"/>
                <w:szCs w:val="22"/>
              </w:rPr>
              <w:t xml:space="preserve">strengthening </w:t>
            </w:r>
            <w:r w:rsidR="002E436B">
              <w:rPr>
                <w:rFonts w:ascii="Calibri" w:eastAsiaTheme="minorHAnsi" w:hAnsi="Calibri" w:cs="Calibri"/>
                <w:b w:val="0"/>
                <w:color w:val="auto"/>
                <w:szCs w:val="22"/>
              </w:rPr>
              <w:t xml:space="preserve">of </w:t>
            </w:r>
            <w:r w:rsidR="00161F1A" w:rsidRPr="00DA5A87">
              <w:rPr>
                <w:rFonts w:ascii="Calibri" w:eastAsiaTheme="minorHAnsi" w:hAnsi="Calibri" w:cs="Calibri"/>
                <w:b w:val="0"/>
                <w:color w:val="auto"/>
                <w:szCs w:val="22"/>
              </w:rPr>
              <w:t>the CNEA laboratories</w:t>
            </w:r>
            <w:r w:rsidR="00337C04" w:rsidRPr="00DA5A87">
              <w:rPr>
                <w:rFonts w:ascii="Calibri" w:eastAsiaTheme="minorHAnsi" w:hAnsi="Calibri" w:cs="Calibri"/>
                <w:b w:val="0"/>
                <w:color w:val="auto"/>
                <w:szCs w:val="22"/>
              </w:rPr>
              <w:t>; (iii)</w:t>
            </w:r>
            <w:r>
              <w:rPr>
                <w:rFonts w:ascii="Calibri" w:eastAsiaTheme="minorHAnsi" w:hAnsi="Calibri" w:cs="Calibri"/>
                <w:b w:val="0"/>
                <w:color w:val="auto"/>
                <w:szCs w:val="22"/>
              </w:rPr>
              <w:t xml:space="preserve"> </w:t>
            </w:r>
            <w:r w:rsidR="00337C04" w:rsidRPr="00DA5A87">
              <w:rPr>
                <w:rFonts w:ascii="Calibri" w:eastAsiaTheme="minorHAnsi" w:hAnsi="Calibri" w:cs="Calibri"/>
                <w:b w:val="0"/>
                <w:color w:val="auto"/>
                <w:szCs w:val="22"/>
              </w:rPr>
              <w:t xml:space="preserve">the development of baseline studies and remediation action plans, </w:t>
            </w:r>
            <w:r w:rsidR="00DA1B9C" w:rsidRPr="00DA5A87">
              <w:rPr>
                <w:rFonts w:ascii="Calibri" w:eastAsiaTheme="minorHAnsi" w:hAnsi="Calibri" w:cs="Calibri"/>
                <w:b w:val="0"/>
                <w:color w:val="auto"/>
                <w:szCs w:val="22"/>
              </w:rPr>
              <w:t>the overall</w:t>
            </w:r>
            <w:r w:rsidR="00337C04" w:rsidRPr="00DA5A87">
              <w:rPr>
                <w:rFonts w:ascii="Calibri" w:eastAsiaTheme="minorHAnsi" w:hAnsi="Calibri" w:cs="Calibri"/>
                <w:b w:val="0"/>
                <w:color w:val="auto"/>
                <w:szCs w:val="22"/>
              </w:rPr>
              <w:t xml:space="preserve"> institutional capacity has been strengthened. </w:t>
            </w:r>
          </w:p>
          <w:p w14:paraId="62918F7D" w14:textId="77777777" w:rsidR="00512DEE" w:rsidRPr="00DA5A87" w:rsidRDefault="00512DEE" w:rsidP="002F518C">
            <w:pPr>
              <w:pStyle w:val="ListParagraph"/>
              <w:spacing w:line="276" w:lineRule="auto"/>
              <w:ind w:left="450"/>
              <w:jc w:val="both"/>
              <w:rPr>
                <w:rFonts w:ascii="Calibri" w:eastAsiaTheme="minorHAnsi" w:hAnsi="Calibri" w:cs="Calibri"/>
                <w:b w:val="0"/>
                <w:color w:val="auto"/>
                <w:szCs w:val="22"/>
              </w:rPr>
            </w:pPr>
          </w:p>
        </w:tc>
      </w:tr>
      <w:tr w:rsidR="00E63776" w14:paraId="2263E9FA" w14:textId="77777777" w:rsidTr="00B7107E">
        <w:trPr>
          <w:trHeight w:val="60"/>
        </w:trPr>
        <w:tc>
          <w:tcPr>
            <w:tcW w:w="10980" w:type="dxa"/>
            <w:shd w:val="clear" w:color="auto" w:fill="auto"/>
            <w:vAlign w:val="center"/>
          </w:tcPr>
          <w:p w14:paraId="341EF32E" w14:textId="77777777" w:rsidR="00512DEE" w:rsidRPr="009E631B" w:rsidRDefault="002C3F71" w:rsidP="00F81E85">
            <w:pPr>
              <w:pStyle w:val="Heading3"/>
              <w:rPr>
                <w:color w:val="auto"/>
              </w:rPr>
            </w:pPr>
            <w:r w:rsidRPr="00B7107E">
              <w:t>Mobilizing Private Sector Financing</w:t>
            </w:r>
            <w:r>
              <w:t xml:space="preserve">   </w:t>
            </w:r>
            <w:r w:rsidRPr="00512DEE">
              <w:rPr>
                <w:color w:val="auto"/>
              </w:rPr>
              <w:t>NA</w:t>
            </w:r>
          </w:p>
        </w:tc>
      </w:tr>
      <w:tr w:rsidR="00E63776" w14:paraId="0E70C9D2" w14:textId="77777777" w:rsidTr="00B7107E">
        <w:trPr>
          <w:trHeight w:val="468"/>
        </w:trPr>
        <w:tc>
          <w:tcPr>
            <w:tcW w:w="10980" w:type="dxa"/>
            <w:shd w:val="clear" w:color="auto" w:fill="auto"/>
            <w:vAlign w:val="center"/>
          </w:tcPr>
          <w:p w14:paraId="6E13F37C" w14:textId="77777777" w:rsidR="00512DEE" w:rsidRPr="009E631B" w:rsidRDefault="00512DEE" w:rsidP="00512DEE">
            <w:pPr>
              <w:keepNext/>
              <w:keepLines/>
              <w:widowControl/>
              <w:tabs>
                <w:tab w:val="left" w:pos="315"/>
                <w:tab w:val="left" w:pos="420"/>
              </w:tabs>
              <w:autoSpaceDE/>
              <w:autoSpaceDN/>
              <w:adjustRightInd/>
              <w:spacing w:line="259" w:lineRule="auto"/>
              <w:ind w:left="345"/>
              <w:outlineLvl w:val="1"/>
              <w:rPr>
                <w:rFonts w:asciiTheme="minorHAnsi" w:eastAsiaTheme="majorEastAsia" w:hAnsiTheme="minorHAnsi" w:cstheme="majorBidi"/>
                <w:color w:val="auto"/>
                <w:sz w:val="22"/>
                <w:szCs w:val="22"/>
              </w:rPr>
            </w:pPr>
          </w:p>
        </w:tc>
      </w:tr>
      <w:tr w:rsidR="00E63776" w14:paraId="1FD33A61" w14:textId="77777777" w:rsidTr="00B7107E">
        <w:trPr>
          <w:trHeight w:val="468"/>
        </w:trPr>
        <w:tc>
          <w:tcPr>
            <w:tcW w:w="10980" w:type="dxa"/>
            <w:shd w:val="clear" w:color="auto" w:fill="auto"/>
            <w:vAlign w:val="center"/>
          </w:tcPr>
          <w:p w14:paraId="17FB34D0" w14:textId="77777777" w:rsidR="00DA5A87" w:rsidRPr="00DA5A87" w:rsidRDefault="002C3F71" w:rsidP="00F81E85">
            <w:pPr>
              <w:pStyle w:val="Heading3"/>
              <w:rPr>
                <w:color w:val="auto"/>
              </w:rPr>
            </w:pPr>
            <w:r w:rsidRPr="00DA5A87">
              <w:t xml:space="preserve">Poverty Reduction and Shared Prosperity  </w:t>
            </w:r>
            <w:r w:rsidRPr="00DA5A87">
              <w:rPr>
                <w:color w:val="auto"/>
              </w:rPr>
              <w:t xml:space="preserve"> </w:t>
            </w:r>
          </w:p>
          <w:p w14:paraId="1B25D9E5" w14:textId="77777777" w:rsidR="00DA5A87" w:rsidRPr="00DA5A87" w:rsidRDefault="00DA5A87" w:rsidP="00512DEE">
            <w:pPr>
              <w:pStyle w:val="Heading3"/>
              <w:ind w:left="342"/>
              <w:rPr>
                <w:b w:val="0"/>
                <w:color w:val="auto"/>
              </w:rPr>
            </w:pPr>
          </w:p>
          <w:p w14:paraId="1624E0DD" w14:textId="77777777" w:rsidR="00512DEE" w:rsidRPr="00DA5A87" w:rsidRDefault="002C3F71" w:rsidP="00DA5A87">
            <w:pPr>
              <w:pStyle w:val="ListParagraph"/>
              <w:numPr>
                <w:ilvl w:val="0"/>
                <w:numId w:val="21"/>
              </w:numPr>
              <w:spacing w:line="276" w:lineRule="auto"/>
              <w:ind w:left="450"/>
              <w:jc w:val="both"/>
              <w:rPr>
                <w:b w:val="0"/>
                <w:color w:val="auto"/>
              </w:rPr>
            </w:pPr>
            <w:r w:rsidRPr="00DA5A87">
              <w:rPr>
                <w:b w:val="0"/>
                <w:color w:val="auto"/>
              </w:rPr>
              <w:t xml:space="preserve">While </w:t>
            </w:r>
            <w:r>
              <w:rPr>
                <w:b w:val="0"/>
                <w:color w:val="auto"/>
              </w:rPr>
              <w:t xml:space="preserve">explicit </w:t>
            </w:r>
            <w:r w:rsidRPr="00DA5A87">
              <w:rPr>
                <w:b w:val="0"/>
                <w:color w:val="auto"/>
              </w:rPr>
              <w:t xml:space="preserve">linkage to poverty reduction and shared prosperity was not established at appraisal, and the impacts of the project </w:t>
            </w:r>
            <w:r>
              <w:rPr>
                <w:b w:val="0"/>
                <w:color w:val="auto"/>
              </w:rPr>
              <w:t>on</w:t>
            </w:r>
            <w:r w:rsidRPr="00DA5A87">
              <w:rPr>
                <w:b w:val="0"/>
                <w:color w:val="auto"/>
              </w:rPr>
              <w:t xml:space="preserve"> poor communities has not been established nor monitored during implementation, it is expected that the reduction in radiation and pollution exposure</w:t>
            </w:r>
            <w:r>
              <w:rPr>
                <w:b w:val="0"/>
                <w:color w:val="auto"/>
              </w:rPr>
              <w:t xml:space="preserve"> at the </w:t>
            </w:r>
            <w:proofErr w:type="spellStart"/>
            <w:r w:rsidR="00AD4EB4">
              <w:rPr>
                <w:b w:val="0"/>
                <w:color w:val="auto"/>
              </w:rPr>
              <w:t>Malargüe</w:t>
            </w:r>
            <w:proofErr w:type="spellEnd"/>
            <w:r>
              <w:rPr>
                <w:b w:val="0"/>
                <w:color w:val="auto"/>
              </w:rPr>
              <w:t xml:space="preserve"> site has</w:t>
            </w:r>
            <w:r w:rsidRPr="00DA5A87">
              <w:rPr>
                <w:b w:val="0"/>
                <w:color w:val="auto"/>
              </w:rPr>
              <w:t xml:space="preserve"> reduce</w:t>
            </w:r>
            <w:r>
              <w:rPr>
                <w:b w:val="0"/>
                <w:color w:val="auto"/>
              </w:rPr>
              <w:t>d</w:t>
            </w:r>
            <w:r w:rsidRPr="00DA5A87">
              <w:rPr>
                <w:b w:val="0"/>
                <w:color w:val="auto"/>
              </w:rPr>
              <w:t xml:space="preserve"> the health risks and burden on the population </w:t>
            </w:r>
            <w:proofErr w:type="gramStart"/>
            <w:r w:rsidRPr="00DA5A87">
              <w:rPr>
                <w:b w:val="0"/>
                <w:color w:val="auto"/>
              </w:rPr>
              <w:t>as a whole, including</w:t>
            </w:r>
            <w:proofErr w:type="gramEnd"/>
            <w:r w:rsidRPr="00DA5A87">
              <w:rPr>
                <w:b w:val="0"/>
                <w:color w:val="auto"/>
              </w:rPr>
              <w:t xml:space="preserve"> </w:t>
            </w:r>
            <w:r w:rsidR="002E436B">
              <w:rPr>
                <w:b w:val="0"/>
                <w:color w:val="auto"/>
              </w:rPr>
              <w:t xml:space="preserve">the </w:t>
            </w:r>
            <w:r w:rsidRPr="00DA5A87">
              <w:rPr>
                <w:b w:val="0"/>
                <w:color w:val="auto"/>
              </w:rPr>
              <w:t xml:space="preserve">very poor which often lack the resources to </w:t>
            </w:r>
            <w:r w:rsidR="002E436B">
              <w:rPr>
                <w:b w:val="0"/>
                <w:color w:val="auto"/>
              </w:rPr>
              <w:t xml:space="preserve">treat </w:t>
            </w:r>
            <w:r w:rsidRPr="00DA5A87">
              <w:rPr>
                <w:b w:val="0"/>
                <w:color w:val="auto"/>
              </w:rPr>
              <w:t xml:space="preserve">and address any health-related impact. </w:t>
            </w:r>
            <w:r>
              <w:rPr>
                <w:b w:val="0"/>
                <w:color w:val="auto"/>
              </w:rPr>
              <w:t xml:space="preserve"> </w:t>
            </w:r>
            <w:r w:rsidR="002E436B">
              <w:rPr>
                <w:b w:val="0"/>
                <w:color w:val="auto"/>
              </w:rPr>
              <w:t xml:space="preserve">The project </w:t>
            </w:r>
            <w:r>
              <w:rPr>
                <w:b w:val="0"/>
                <w:color w:val="auto"/>
              </w:rPr>
              <w:t xml:space="preserve">has also resulted in improved quality of nearby surface and ground water and sharply reduced the potential contamination risk for local agricultural production. </w:t>
            </w:r>
          </w:p>
        </w:tc>
      </w:tr>
      <w:tr w:rsidR="00E63776" w14:paraId="37822768" w14:textId="77777777" w:rsidTr="00B7107E">
        <w:trPr>
          <w:trHeight w:val="468"/>
        </w:trPr>
        <w:tc>
          <w:tcPr>
            <w:tcW w:w="10980" w:type="dxa"/>
            <w:shd w:val="clear" w:color="auto" w:fill="auto"/>
            <w:vAlign w:val="center"/>
          </w:tcPr>
          <w:p w14:paraId="057368A5" w14:textId="77777777" w:rsidR="00512DEE" w:rsidRPr="009E631B" w:rsidRDefault="00512DEE" w:rsidP="00F81E85">
            <w:pPr>
              <w:keepNext/>
              <w:keepLines/>
              <w:widowControl/>
              <w:tabs>
                <w:tab w:val="left" w:pos="315"/>
                <w:tab w:val="left" w:pos="420"/>
              </w:tabs>
              <w:autoSpaceDE/>
              <w:autoSpaceDN/>
              <w:adjustRightInd/>
              <w:spacing w:line="259" w:lineRule="auto"/>
              <w:outlineLvl w:val="1"/>
              <w:rPr>
                <w:rFonts w:asciiTheme="minorHAnsi" w:eastAsiaTheme="majorEastAsia" w:hAnsiTheme="minorHAnsi" w:cstheme="majorBidi"/>
                <w:color w:val="auto"/>
                <w:sz w:val="22"/>
                <w:szCs w:val="22"/>
              </w:rPr>
            </w:pPr>
          </w:p>
        </w:tc>
      </w:tr>
      <w:tr w:rsidR="00E63776" w14:paraId="70E62354" w14:textId="77777777" w:rsidTr="00B7107E">
        <w:trPr>
          <w:trHeight w:val="468"/>
        </w:trPr>
        <w:tc>
          <w:tcPr>
            <w:tcW w:w="10980" w:type="dxa"/>
            <w:shd w:val="clear" w:color="auto" w:fill="auto"/>
            <w:vAlign w:val="center"/>
          </w:tcPr>
          <w:p w14:paraId="172E93BB" w14:textId="77777777" w:rsidR="00F81E85" w:rsidRPr="009E631B" w:rsidRDefault="00F81E85" w:rsidP="00F81E85">
            <w:pPr>
              <w:keepNext/>
              <w:keepLines/>
              <w:widowControl/>
              <w:tabs>
                <w:tab w:val="left" w:pos="315"/>
                <w:tab w:val="left" w:pos="420"/>
              </w:tabs>
              <w:autoSpaceDE/>
              <w:autoSpaceDN/>
              <w:adjustRightInd/>
              <w:spacing w:line="259" w:lineRule="auto"/>
              <w:outlineLvl w:val="1"/>
              <w:rPr>
                <w:rFonts w:asciiTheme="minorHAnsi" w:eastAsiaTheme="majorEastAsia" w:hAnsiTheme="minorHAnsi" w:cstheme="majorBidi"/>
                <w:color w:val="auto"/>
                <w:sz w:val="22"/>
                <w:szCs w:val="22"/>
              </w:rPr>
            </w:pPr>
          </w:p>
        </w:tc>
      </w:tr>
      <w:tr w:rsidR="00E63776" w14:paraId="6882A620" w14:textId="77777777" w:rsidTr="00B7107E">
        <w:trPr>
          <w:trHeight w:val="80"/>
        </w:trPr>
        <w:tc>
          <w:tcPr>
            <w:tcW w:w="10980" w:type="dxa"/>
            <w:shd w:val="clear" w:color="auto" w:fill="auto"/>
            <w:vAlign w:val="center"/>
          </w:tcPr>
          <w:p w14:paraId="47E648C6" w14:textId="77777777" w:rsidR="00512DEE" w:rsidRPr="009E631B" w:rsidRDefault="002C3F71" w:rsidP="00F81E85">
            <w:pPr>
              <w:pStyle w:val="Heading3"/>
              <w:rPr>
                <w:color w:val="1F4E79" w:themeColor="accent1" w:themeShade="80"/>
                <w:szCs w:val="22"/>
              </w:rPr>
            </w:pPr>
            <w:r w:rsidRPr="009E631B">
              <w:rPr>
                <w:szCs w:val="22"/>
              </w:rPr>
              <w:t>Other Unintended Outcomes and Impacts</w:t>
            </w:r>
            <w:r w:rsidRPr="00512DEE">
              <w:rPr>
                <w:color w:val="auto"/>
              </w:rPr>
              <w:t xml:space="preserve"> </w:t>
            </w:r>
            <w:r>
              <w:rPr>
                <w:color w:val="auto"/>
              </w:rPr>
              <w:t xml:space="preserve">  </w:t>
            </w:r>
            <w:r w:rsidRPr="00512DEE">
              <w:rPr>
                <w:color w:val="auto"/>
              </w:rPr>
              <w:t>NA</w:t>
            </w:r>
          </w:p>
        </w:tc>
      </w:tr>
      <w:tr w:rsidR="00E63776" w14:paraId="6DA63CB3" w14:textId="77777777" w:rsidTr="00B7107E">
        <w:trPr>
          <w:trHeight w:val="468"/>
        </w:trPr>
        <w:tc>
          <w:tcPr>
            <w:tcW w:w="10980" w:type="dxa"/>
            <w:shd w:val="clear" w:color="auto" w:fill="auto"/>
            <w:vAlign w:val="center"/>
          </w:tcPr>
          <w:p w14:paraId="772BFD6D" w14:textId="77777777" w:rsidR="00512DEE" w:rsidRPr="009E631B" w:rsidRDefault="00512DEE" w:rsidP="00512DEE">
            <w:pPr>
              <w:widowControl/>
              <w:autoSpaceDE/>
              <w:autoSpaceDN/>
              <w:adjustRightInd/>
              <w:spacing w:after="160" w:line="259" w:lineRule="auto"/>
              <w:ind w:left="342" w:hanging="3"/>
              <w:rPr>
                <w:rFonts w:asciiTheme="minorHAnsi" w:eastAsiaTheme="minorHAnsi" w:hAnsiTheme="minorHAnsi" w:cstheme="minorBidi"/>
                <w:color w:val="000000" w:themeColor="text1"/>
                <w:sz w:val="22"/>
                <w:szCs w:val="22"/>
              </w:rPr>
            </w:pPr>
          </w:p>
        </w:tc>
      </w:tr>
    </w:tbl>
    <w:p w14:paraId="1D7393D8" w14:textId="77777777" w:rsidR="003615CB" w:rsidRPr="00CB304D" w:rsidRDefault="003615CB" w:rsidP="00F81AC2">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E63776" w14:paraId="4C6421B0" w14:textId="77777777" w:rsidTr="008565D8">
        <w:trPr>
          <w:trHeight w:val="432"/>
        </w:trPr>
        <w:tc>
          <w:tcPr>
            <w:tcW w:w="10962" w:type="dxa"/>
            <w:shd w:val="clear" w:color="auto" w:fill="F2F7FC"/>
            <w:vAlign w:val="center"/>
          </w:tcPr>
          <w:p w14:paraId="75FB7FD6" w14:textId="77777777" w:rsidR="003615CB" w:rsidRPr="00CB304D" w:rsidRDefault="002C3F71" w:rsidP="00F81AC2">
            <w:pPr>
              <w:pStyle w:val="NoSpacing"/>
              <w:keepNext/>
              <w:numPr>
                <w:ilvl w:val="0"/>
                <w:numId w:val="1"/>
              </w:numPr>
              <w:ind w:left="288" w:hanging="288"/>
              <w:outlineLvl w:val="0"/>
              <w:rPr>
                <w:rFonts w:asciiTheme="minorHAnsi" w:hAnsiTheme="minorHAnsi"/>
                <w:b/>
                <w:color w:val="000000" w:themeColor="text1"/>
                <w:sz w:val="22"/>
                <w:szCs w:val="22"/>
              </w:rPr>
            </w:pPr>
            <w:bookmarkStart w:id="44" w:name="_Toc256000018"/>
            <w:bookmarkStart w:id="45" w:name="_Toc485984551"/>
            <w:bookmarkStart w:id="46" w:name="_Toc502164469"/>
            <w:r w:rsidRPr="00CB304D">
              <w:rPr>
                <w:rFonts w:asciiTheme="minorHAnsi" w:hAnsiTheme="minorHAnsi"/>
                <w:b/>
                <w:sz w:val="22"/>
                <w:szCs w:val="22"/>
              </w:rPr>
              <w:t>KEY FACTORS THAT AFFECTED IMPLEMENTATION AND OUTCOME</w:t>
            </w:r>
            <w:bookmarkEnd w:id="44"/>
            <w:bookmarkEnd w:id="45"/>
            <w:bookmarkEnd w:id="46"/>
          </w:p>
        </w:tc>
      </w:tr>
    </w:tbl>
    <w:p w14:paraId="386D3AF9" w14:textId="77777777" w:rsidR="003615CB" w:rsidRPr="00CB304D" w:rsidRDefault="003615CB" w:rsidP="00F81AC2">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75D150D7" w14:textId="77777777" w:rsidTr="003615CB">
        <w:trPr>
          <w:trHeight w:val="360"/>
        </w:trPr>
        <w:tc>
          <w:tcPr>
            <w:tcW w:w="10710" w:type="dxa"/>
          </w:tcPr>
          <w:p w14:paraId="517C3AB9" w14:textId="77777777" w:rsidR="00431767" w:rsidRPr="006902E0" w:rsidRDefault="002C3F71" w:rsidP="008A454B">
            <w:pPr>
              <w:pStyle w:val="Heading2"/>
              <w:keepLines w:val="0"/>
              <w:outlineLvl w:val="1"/>
              <w:rPr>
                <w:b/>
                <w:szCs w:val="22"/>
              </w:rPr>
            </w:pPr>
            <w:bookmarkStart w:id="47" w:name="_Toc256000019"/>
            <w:bookmarkStart w:id="48" w:name="_Toc433982414"/>
            <w:bookmarkStart w:id="49" w:name="_Toc460509196"/>
            <w:bookmarkStart w:id="50" w:name="_Toc485984552"/>
            <w:bookmarkStart w:id="51" w:name="_Toc502164470"/>
            <w:r w:rsidRPr="006902E0">
              <w:rPr>
                <w:b/>
                <w:szCs w:val="22"/>
              </w:rPr>
              <w:t xml:space="preserve">A. </w:t>
            </w:r>
            <w:r w:rsidR="007078F6" w:rsidRPr="006902E0">
              <w:rPr>
                <w:b/>
                <w:szCs w:val="22"/>
              </w:rPr>
              <w:t>KEY FACTORS DURING PREPARATION</w:t>
            </w:r>
            <w:bookmarkEnd w:id="47"/>
            <w:bookmarkEnd w:id="48"/>
            <w:bookmarkEnd w:id="49"/>
            <w:bookmarkEnd w:id="50"/>
            <w:bookmarkEnd w:id="51"/>
            <w:r w:rsidR="00EF7A86" w:rsidRPr="006902E0">
              <w:rPr>
                <w:b/>
                <w:szCs w:val="22"/>
              </w:rPr>
              <w:t xml:space="preserve"> </w:t>
            </w:r>
          </w:p>
          <w:p w14:paraId="25E5A400" w14:textId="77777777" w:rsidR="003615CB" w:rsidRPr="00CB304D" w:rsidRDefault="003615CB" w:rsidP="00E302BF">
            <w:pPr>
              <w:pStyle w:val="Heading2"/>
              <w:keepLines w:val="0"/>
              <w:tabs>
                <w:tab w:val="left" w:pos="3671"/>
              </w:tabs>
              <w:outlineLvl w:val="1"/>
              <w:rPr>
                <w:szCs w:val="22"/>
              </w:rPr>
            </w:pPr>
          </w:p>
        </w:tc>
      </w:tr>
    </w:tbl>
    <w:p w14:paraId="7A1734D3" w14:textId="77777777" w:rsidR="00A61EA9" w:rsidRPr="00E302BF" w:rsidRDefault="00A61EA9" w:rsidP="00E302BF">
      <w:pPr>
        <w:pStyle w:val="ListParagraph"/>
        <w:widowControl/>
        <w:spacing w:line="276" w:lineRule="auto"/>
        <w:ind w:left="450"/>
        <w:jc w:val="both"/>
        <w:rPr>
          <w:rFonts w:ascii="Calibri" w:hAnsi="Calibri" w:cs="Calibri"/>
          <w:b w:val="0"/>
          <w:bCs/>
          <w:color w:val="auto"/>
          <w:szCs w:val="22"/>
        </w:rPr>
      </w:pPr>
    </w:p>
    <w:p w14:paraId="67527212" w14:textId="77777777" w:rsidR="00DE72A3" w:rsidRDefault="002C3F71" w:rsidP="00DE72A3">
      <w:pPr>
        <w:pStyle w:val="ListParagraph"/>
        <w:numPr>
          <w:ilvl w:val="0"/>
          <w:numId w:val="21"/>
        </w:numPr>
        <w:spacing w:line="276" w:lineRule="auto"/>
        <w:ind w:left="-360"/>
        <w:jc w:val="both"/>
        <w:rPr>
          <w:rFonts w:ascii="Calibri" w:hAnsi="Calibri" w:cs="Calibri"/>
          <w:b w:val="0"/>
          <w:bCs/>
          <w:color w:val="auto"/>
          <w:szCs w:val="22"/>
        </w:rPr>
      </w:pPr>
      <w:bookmarkStart w:id="52" w:name="_Hlk499057494"/>
      <w:r>
        <w:rPr>
          <w:rFonts w:ascii="Calibri" w:eastAsiaTheme="minorHAnsi" w:hAnsi="Calibri" w:cs="Calibri"/>
          <w:b w:val="0"/>
          <w:color w:val="auto"/>
          <w:szCs w:val="22"/>
        </w:rPr>
        <w:t xml:space="preserve">Project preparation began by the Bank and </w:t>
      </w:r>
      <w:r w:rsidRPr="005145A8">
        <w:rPr>
          <w:rFonts w:ascii="Calibri" w:eastAsiaTheme="minorHAnsi" w:hAnsi="Calibri" w:cs="Calibri"/>
          <w:b w:val="0"/>
          <w:color w:val="auto"/>
          <w:szCs w:val="22"/>
        </w:rPr>
        <w:t>by the Environmental Management Unit (GP) within CNEA</w:t>
      </w:r>
      <w:r w:rsidR="005D76C3" w:rsidRPr="005D76C3">
        <w:rPr>
          <w:rFonts w:ascii="Calibri" w:eastAsiaTheme="minorHAnsi" w:hAnsi="Calibri" w:cs="Calibri"/>
          <w:b w:val="0"/>
          <w:color w:val="auto"/>
          <w:szCs w:val="22"/>
        </w:rPr>
        <w:t xml:space="preserve"> </w:t>
      </w:r>
      <w:r w:rsidR="005D76C3">
        <w:rPr>
          <w:rFonts w:ascii="Calibri" w:eastAsiaTheme="minorHAnsi" w:hAnsi="Calibri" w:cs="Calibri"/>
          <w:b w:val="0"/>
          <w:color w:val="auto"/>
          <w:szCs w:val="22"/>
        </w:rPr>
        <w:t>in 1998</w:t>
      </w:r>
      <w:r w:rsidRPr="005145A8">
        <w:rPr>
          <w:rFonts w:ascii="Calibri" w:eastAsiaTheme="minorHAnsi" w:hAnsi="Calibri" w:cs="Calibri"/>
          <w:b w:val="0"/>
          <w:color w:val="auto"/>
          <w:szCs w:val="22"/>
        </w:rPr>
        <w:t>. The GP has administrative and technical coordination sub-units under the supervision of a general coordinator</w:t>
      </w:r>
      <w:r w:rsidR="005D76C3">
        <w:rPr>
          <w:rFonts w:ascii="Calibri" w:eastAsiaTheme="minorHAnsi" w:hAnsi="Calibri" w:cs="Calibri"/>
          <w:b w:val="0"/>
          <w:color w:val="auto"/>
          <w:szCs w:val="22"/>
        </w:rPr>
        <w:t xml:space="preserve">. The GP </w:t>
      </w:r>
      <w:r w:rsidRPr="005145A8">
        <w:rPr>
          <w:rFonts w:ascii="Calibri" w:eastAsiaTheme="minorHAnsi" w:hAnsi="Calibri" w:cs="Calibri"/>
          <w:b w:val="0"/>
          <w:color w:val="auto"/>
          <w:szCs w:val="22"/>
        </w:rPr>
        <w:t xml:space="preserve">coordinated </w:t>
      </w:r>
      <w:r w:rsidR="005D76C3">
        <w:rPr>
          <w:rFonts w:ascii="Calibri" w:eastAsiaTheme="minorHAnsi" w:hAnsi="Calibri" w:cs="Calibri"/>
          <w:b w:val="0"/>
          <w:color w:val="auto"/>
          <w:szCs w:val="22"/>
        </w:rPr>
        <w:t xml:space="preserve">the </w:t>
      </w:r>
      <w:r w:rsidRPr="005145A8">
        <w:rPr>
          <w:rFonts w:ascii="Calibri" w:eastAsiaTheme="minorHAnsi" w:hAnsi="Calibri" w:cs="Calibri"/>
          <w:b w:val="0"/>
          <w:color w:val="auto"/>
          <w:szCs w:val="22"/>
        </w:rPr>
        <w:t>preparation of</w:t>
      </w:r>
      <w:r w:rsidRPr="005145A8">
        <w:rPr>
          <w:rFonts w:ascii="Calibri" w:eastAsiaTheme="minorHAnsi" w:hAnsi="Calibri" w:cs="Calibri"/>
          <w:b w:val="0"/>
          <w:i/>
          <w:iCs/>
          <w:color w:val="auto"/>
          <w:szCs w:val="22"/>
        </w:rPr>
        <w:t xml:space="preserve"> </w:t>
      </w:r>
      <w:r w:rsidRPr="005145A8">
        <w:rPr>
          <w:rFonts w:ascii="Calibri" w:eastAsiaTheme="minorHAnsi" w:hAnsi="Calibri" w:cs="Calibri"/>
          <w:b w:val="0"/>
          <w:color w:val="auto"/>
          <w:szCs w:val="22"/>
        </w:rPr>
        <w:t>the project</w:t>
      </w:r>
      <w:r w:rsidR="005D76C3">
        <w:rPr>
          <w:rFonts w:ascii="Calibri" w:eastAsiaTheme="minorHAnsi" w:hAnsi="Calibri" w:cs="Calibri"/>
          <w:b w:val="0"/>
          <w:color w:val="auto"/>
          <w:szCs w:val="22"/>
        </w:rPr>
        <w:t xml:space="preserve">’s </w:t>
      </w:r>
      <w:r w:rsidRPr="005145A8">
        <w:rPr>
          <w:rFonts w:ascii="Calibri" w:eastAsiaTheme="minorHAnsi" w:hAnsi="Calibri" w:cs="Calibri"/>
          <w:b w:val="0"/>
          <w:color w:val="auto"/>
          <w:szCs w:val="22"/>
        </w:rPr>
        <w:t xml:space="preserve">EIA, the operational manual and Project Implementation Plan (PIP), including the terms of reference and technical specifications </w:t>
      </w:r>
      <w:proofErr w:type="gramStart"/>
      <w:r w:rsidRPr="005145A8">
        <w:rPr>
          <w:rFonts w:ascii="Calibri" w:eastAsiaTheme="minorHAnsi" w:hAnsi="Calibri" w:cs="Calibri"/>
          <w:b w:val="0"/>
          <w:color w:val="auto"/>
          <w:szCs w:val="22"/>
        </w:rPr>
        <w:t>in particular concerning</w:t>
      </w:r>
      <w:proofErr w:type="gramEnd"/>
      <w:r w:rsidRPr="005145A8">
        <w:rPr>
          <w:rFonts w:ascii="Calibri" w:eastAsiaTheme="minorHAnsi" w:hAnsi="Calibri" w:cs="Calibri"/>
          <w:b w:val="0"/>
          <w:color w:val="auto"/>
          <w:szCs w:val="22"/>
        </w:rPr>
        <w:t xml:space="preserve"> the </w:t>
      </w:r>
      <w:proofErr w:type="spellStart"/>
      <w:r w:rsidR="00E52891">
        <w:rPr>
          <w:rFonts w:ascii="Calibri" w:eastAsiaTheme="minorHAnsi" w:hAnsi="Calibri" w:cs="Calibri"/>
          <w:b w:val="0"/>
          <w:color w:val="auto"/>
          <w:szCs w:val="22"/>
        </w:rPr>
        <w:t>Malargüe</w:t>
      </w:r>
      <w:proofErr w:type="spellEnd"/>
      <w:r w:rsidRPr="005145A8">
        <w:rPr>
          <w:rFonts w:ascii="Calibri" w:eastAsiaTheme="minorHAnsi" w:hAnsi="Calibri" w:cs="Calibri"/>
          <w:b w:val="0"/>
          <w:color w:val="auto"/>
          <w:szCs w:val="22"/>
        </w:rPr>
        <w:t xml:space="preserve"> works for the first year of implementation. P</w:t>
      </w:r>
      <w:r w:rsidRPr="005145A8">
        <w:rPr>
          <w:rFonts w:ascii="Calibri" w:hAnsi="Calibri" w:cs="Calibri"/>
          <w:b w:val="0"/>
          <w:bCs/>
          <w:color w:val="auto"/>
          <w:szCs w:val="22"/>
        </w:rPr>
        <w:t>roject preparation was financed by CNEA with the support of two Project Preparation Facilit</w:t>
      </w:r>
      <w:r w:rsidR="005D76C3">
        <w:rPr>
          <w:rFonts w:ascii="Calibri" w:hAnsi="Calibri" w:cs="Calibri"/>
          <w:b w:val="0"/>
          <w:bCs/>
          <w:color w:val="auto"/>
          <w:szCs w:val="22"/>
        </w:rPr>
        <w:t>ies</w:t>
      </w:r>
      <w:r w:rsidRPr="005145A8">
        <w:rPr>
          <w:rFonts w:ascii="Calibri" w:hAnsi="Calibri" w:cs="Calibri"/>
          <w:b w:val="0"/>
          <w:bCs/>
          <w:color w:val="auto"/>
          <w:szCs w:val="22"/>
        </w:rPr>
        <w:t xml:space="preserve"> (PPF</w:t>
      </w:r>
      <w:r w:rsidR="005D76C3">
        <w:rPr>
          <w:rFonts w:ascii="Calibri" w:hAnsi="Calibri" w:cs="Calibri"/>
          <w:b w:val="0"/>
          <w:bCs/>
          <w:color w:val="auto"/>
          <w:szCs w:val="22"/>
        </w:rPr>
        <w:t>s</w:t>
      </w:r>
      <w:r w:rsidRPr="005145A8">
        <w:rPr>
          <w:rFonts w:ascii="Calibri" w:hAnsi="Calibri" w:cs="Calibri"/>
          <w:b w:val="0"/>
          <w:bCs/>
          <w:color w:val="auto"/>
          <w:szCs w:val="22"/>
        </w:rPr>
        <w:t>) of US$ 400,000 each.  The two PPFs (approved on 2001 and 2005) facilitated preparation arrangements as follows: (i) the GP unit was established; (ii) key technical studies were undertaken; (iii) basic office equipment was purchased; (iv) the EIA and EMP</w:t>
      </w:r>
      <w:r w:rsidR="005D76C3">
        <w:rPr>
          <w:rFonts w:ascii="Calibri" w:hAnsi="Calibri" w:cs="Calibri"/>
          <w:b w:val="0"/>
          <w:bCs/>
          <w:color w:val="auto"/>
          <w:szCs w:val="22"/>
        </w:rPr>
        <w:t>, and operational manual</w:t>
      </w:r>
      <w:r w:rsidRPr="005145A8">
        <w:rPr>
          <w:rFonts w:ascii="Calibri" w:hAnsi="Calibri" w:cs="Calibri"/>
          <w:b w:val="0"/>
          <w:bCs/>
          <w:color w:val="auto"/>
          <w:szCs w:val="22"/>
        </w:rPr>
        <w:t xml:space="preserve"> were prepared; and (v) key safeguard related consultations were undertaken at </w:t>
      </w:r>
      <w:proofErr w:type="spellStart"/>
      <w:r w:rsidR="00AD4EB4" w:rsidRPr="005145A8">
        <w:rPr>
          <w:rFonts w:ascii="Calibri" w:hAnsi="Calibri" w:cs="Calibri"/>
          <w:b w:val="0"/>
          <w:bCs/>
          <w:color w:val="auto"/>
          <w:szCs w:val="22"/>
        </w:rPr>
        <w:t>Malargüe</w:t>
      </w:r>
      <w:proofErr w:type="spellEnd"/>
      <w:r w:rsidRPr="005145A8">
        <w:rPr>
          <w:rFonts w:ascii="Calibri" w:hAnsi="Calibri" w:cs="Calibri"/>
          <w:b w:val="0"/>
          <w:bCs/>
          <w:color w:val="auto"/>
          <w:szCs w:val="22"/>
        </w:rPr>
        <w:t xml:space="preserve">.  In addition, the coordination unit established through the PPFs, continued to operate through appraisal and project implementation.  During project preparation, the GP had already been applying Bank-approved FM and procurement procedures, through the administration of the PPF funds, reflecting government commitment to the project and minimizing implementation risks. </w:t>
      </w:r>
      <w:r>
        <w:rPr>
          <w:rFonts w:ascii="Calibri" w:hAnsi="Calibri" w:cs="Calibri"/>
          <w:b w:val="0"/>
          <w:bCs/>
          <w:color w:val="auto"/>
          <w:szCs w:val="22"/>
        </w:rPr>
        <w:t xml:space="preserve">While the implementation of the two PPFs contributed in familiarizing the GP unit at CNEA </w:t>
      </w:r>
      <w:r w:rsidRPr="005145A8">
        <w:rPr>
          <w:rFonts w:ascii="Calibri" w:hAnsi="Calibri" w:cs="Calibri"/>
          <w:b w:val="0"/>
          <w:bCs/>
          <w:color w:val="auto"/>
          <w:szCs w:val="22"/>
        </w:rPr>
        <w:t xml:space="preserve">with </w:t>
      </w:r>
      <w:r>
        <w:rPr>
          <w:rFonts w:ascii="Calibri" w:hAnsi="Calibri" w:cs="Calibri"/>
          <w:b w:val="0"/>
          <w:bCs/>
          <w:color w:val="auto"/>
          <w:szCs w:val="22"/>
        </w:rPr>
        <w:t>certain Bank policies</w:t>
      </w:r>
      <w:r w:rsidR="001F5AFF">
        <w:rPr>
          <w:rFonts w:ascii="Calibri" w:hAnsi="Calibri" w:cs="Calibri"/>
          <w:b w:val="0"/>
          <w:bCs/>
          <w:color w:val="auto"/>
          <w:szCs w:val="22"/>
        </w:rPr>
        <w:t>, procedures</w:t>
      </w:r>
      <w:r>
        <w:rPr>
          <w:rFonts w:ascii="Calibri" w:hAnsi="Calibri" w:cs="Calibri"/>
          <w:b w:val="0"/>
          <w:bCs/>
          <w:color w:val="auto"/>
          <w:szCs w:val="22"/>
        </w:rPr>
        <w:t xml:space="preserve"> and documents, nonetheless, there were </w:t>
      </w:r>
      <w:proofErr w:type="gramStart"/>
      <w:r>
        <w:rPr>
          <w:rFonts w:ascii="Calibri" w:hAnsi="Calibri" w:cs="Calibri"/>
          <w:b w:val="0"/>
          <w:bCs/>
          <w:color w:val="auto"/>
          <w:szCs w:val="22"/>
        </w:rPr>
        <w:t>a number of</w:t>
      </w:r>
      <w:proofErr w:type="gramEnd"/>
      <w:r>
        <w:rPr>
          <w:rFonts w:ascii="Calibri" w:hAnsi="Calibri" w:cs="Calibri"/>
          <w:b w:val="0"/>
          <w:bCs/>
          <w:color w:val="auto"/>
          <w:szCs w:val="22"/>
        </w:rPr>
        <w:t xml:space="preserve"> complications recorded with the implementation of the two facilities.  And despite these investments and </w:t>
      </w:r>
      <w:r w:rsidR="001F5AFF">
        <w:rPr>
          <w:rFonts w:ascii="Calibri" w:hAnsi="Calibri" w:cs="Calibri"/>
          <w:b w:val="0"/>
          <w:bCs/>
          <w:color w:val="auto"/>
          <w:szCs w:val="22"/>
        </w:rPr>
        <w:t xml:space="preserve">Bank </w:t>
      </w:r>
      <w:r>
        <w:rPr>
          <w:rFonts w:ascii="Calibri" w:hAnsi="Calibri" w:cs="Calibri"/>
          <w:b w:val="0"/>
          <w:bCs/>
          <w:color w:val="auto"/>
          <w:szCs w:val="22"/>
        </w:rPr>
        <w:t xml:space="preserve">exposure, CNEA lacked the capacity to undertake a seamless bidding process for the </w:t>
      </w:r>
      <w:proofErr w:type="spellStart"/>
      <w:r w:rsidR="00E52891">
        <w:rPr>
          <w:rFonts w:ascii="Calibri" w:hAnsi="Calibri" w:cs="Calibri"/>
          <w:b w:val="0"/>
          <w:bCs/>
          <w:color w:val="auto"/>
          <w:szCs w:val="22"/>
        </w:rPr>
        <w:t>Malargüe</w:t>
      </w:r>
      <w:proofErr w:type="spellEnd"/>
      <w:r>
        <w:rPr>
          <w:rFonts w:ascii="Calibri" w:hAnsi="Calibri" w:cs="Calibri"/>
          <w:b w:val="0"/>
          <w:bCs/>
          <w:color w:val="auto"/>
          <w:szCs w:val="22"/>
        </w:rPr>
        <w:t xml:space="preserve"> remediation leading to substantial delays in contracting. </w:t>
      </w:r>
    </w:p>
    <w:p w14:paraId="60EEFA46" w14:textId="77777777" w:rsidR="001D1A26" w:rsidRDefault="001D1A26" w:rsidP="00E302BF">
      <w:pPr>
        <w:pStyle w:val="ListParagraph"/>
        <w:widowControl/>
        <w:spacing w:line="276" w:lineRule="auto"/>
        <w:ind w:left="450"/>
        <w:jc w:val="both"/>
        <w:rPr>
          <w:rFonts w:ascii="Calibri" w:hAnsi="Calibri" w:cs="Calibri"/>
          <w:b w:val="0"/>
          <w:bCs/>
          <w:color w:val="auto"/>
          <w:szCs w:val="22"/>
        </w:rPr>
      </w:pPr>
    </w:p>
    <w:p w14:paraId="4B04322F" w14:textId="77777777" w:rsidR="00DE72A3" w:rsidRDefault="002C3F71" w:rsidP="00DE72A3">
      <w:pPr>
        <w:pStyle w:val="ListParagraph"/>
        <w:numPr>
          <w:ilvl w:val="0"/>
          <w:numId w:val="21"/>
        </w:numPr>
        <w:spacing w:line="276" w:lineRule="auto"/>
        <w:ind w:left="-360"/>
        <w:jc w:val="both"/>
        <w:rPr>
          <w:rFonts w:ascii="Calibri" w:hAnsi="Calibri" w:cs="Calibri"/>
          <w:b w:val="0"/>
          <w:bCs/>
          <w:color w:val="auto"/>
          <w:szCs w:val="22"/>
        </w:rPr>
      </w:pPr>
      <w:r w:rsidRPr="00E473B5">
        <w:rPr>
          <w:rFonts w:ascii="Calibri" w:hAnsi="Calibri" w:cs="Calibri"/>
          <w:b w:val="0"/>
          <w:bCs/>
          <w:color w:val="auto"/>
          <w:szCs w:val="22"/>
        </w:rPr>
        <w:t xml:space="preserve">Also, before appraisal, CNEA has already begun implementation of remediation activities at the </w:t>
      </w:r>
      <w:proofErr w:type="spellStart"/>
      <w:r w:rsidR="00E52891">
        <w:rPr>
          <w:rFonts w:ascii="Calibri" w:hAnsi="Calibri" w:cs="Calibri"/>
          <w:b w:val="0"/>
          <w:bCs/>
          <w:color w:val="auto"/>
          <w:szCs w:val="22"/>
        </w:rPr>
        <w:t>Malargüe</w:t>
      </w:r>
      <w:proofErr w:type="spellEnd"/>
      <w:r w:rsidRPr="00E473B5">
        <w:rPr>
          <w:rFonts w:ascii="Calibri" w:hAnsi="Calibri" w:cs="Calibri"/>
          <w:b w:val="0"/>
          <w:bCs/>
          <w:color w:val="auto"/>
          <w:szCs w:val="22"/>
        </w:rPr>
        <w:t xml:space="preserve"> site, highlighting a key reason for the selection of this location to be covered under the project. Based on this, the Bank team, hired an international expert in 2007 to conduct a technical assessment of the adequacy of the design and implementation of the remediation activities. The assessment confirmed that the proposed remediation plan for the </w:t>
      </w:r>
      <w:proofErr w:type="spellStart"/>
      <w:r w:rsidR="00E52891">
        <w:rPr>
          <w:rFonts w:ascii="Calibri" w:hAnsi="Calibri" w:cs="Calibri"/>
          <w:b w:val="0"/>
          <w:bCs/>
          <w:color w:val="auto"/>
          <w:szCs w:val="22"/>
        </w:rPr>
        <w:t>Malargüe</w:t>
      </w:r>
      <w:proofErr w:type="spellEnd"/>
      <w:r w:rsidRPr="00E473B5">
        <w:rPr>
          <w:rFonts w:ascii="Calibri" w:hAnsi="Calibri" w:cs="Calibri"/>
          <w:b w:val="0"/>
          <w:bCs/>
          <w:color w:val="auto"/>
          <w:szCs w:val="22"/>
        </w:rPr>
        <w:t xml:space="preserve"> site was sound</w:t>
      </w:r>
      <w:r w:rsidR="00C617ED">
        <w:rPr>
          <w:rFonts w:ascii="Calibri" w:hAnsi="Calibri" w:cs="Calibri"/>
          <w:b w:val="0"/>
          <w:bCs/>
          <w:color w:val="auto"/>
          <w:szCs w:val="22"/>
        </w:rPr>
        <w:t xml:space="preserve"> and realistic</w:t>
      </w:r>
      <w:r w:rsidRPr="00E473B5">
        <w:rPr>
          <w:rFonts w:ascii="Calibri" w:hAnsi="Calibri" w:cs="Calibri"/>
          <w:b w:val="0"/>
          <w:bCs/>
          <w:color w:val="auto"/>
          <w:szCs w:val="22"/>
        </w:rPr>
        <w:t xml:space="preserve">, and concluded that project remediation activities conducted to date had been executed in accordance with the proposed </w:t>
      </w:r>
      <w:r>
        <w:rPr>
          <w:rFonts w:ascii="Calibri" w:hAnsi="Calibri" w:cs="Calibri"/>
          <w:b w:val="0"/>
          <w:bCs/>
          <w:color w:val="auto"/>
          <w:szCs w:val="22"/>
        </w:rPr>
        <w:t xml:space="preserve">design. </w:t>
      </w:r>
      <w:r w:rsidR="00C617ED">
        <w:rPr>
          <w:rFonts w:ascii="Calibri" w:hAnsi="Calibri" w:cs="Calibri"/>
          <w:b w:val="0"/>
          <w:bCs/>
          <w:color w:val="auto"/>
          <w:szCs w:val="22"/>
        </w:rPr>
        <w:t xml:space="preserve"> Thus, the proposed objectives set forth during project preparation while ambitious (since this kind of remediation had not been undertaken in the country)</w:t>
      </w:r>
      <w:r w:rsidR="00B9277F">
        <w:rPr>
          <w:rFonts w:ascii="Calibri" w:hAnsi="Calibri" w:cs="Calibri"/>
          <w:b w:val="0"/>
          <w:bCs/>
          <w:color w:val="auto"/>
          <w:szCs w:val="22"/>
        </w:rPr>
        <w:t>,</w:t>
      </w:r>
      <w:r w:rsidR="00C617ED">
        <w:rPr>
          <w:rFonts w:ascii="Calibri" w:hAnsi="Calibri" w:cs="Calibri"/>
          <w:b w:val="0"/>
          <w:bCs/>
          <w:color w:val="auto"/>
          <w:szCs w:val="22"/>
        </w:rPr>
        <w:t xml:space="preserve"> had technical realism. </w:t>
      </w:r>
    </w:p>
    <w:p w14:paraId="7B061E58" w14:textId="77777777" w:rsidR="00F81E85" w:rsidRPr="00F81E85" w:rsidRDefault="00F81E85" w:rsidP="00F81E85">
      <w:pPr>
        <w:pStyle w:val="ListParagraph"/>
        <w:rPr>
          <w:rFonts w:ascii="Calibri" w:hAnsi="Calibri" w:cs="Calibri"/>
          <w:bCs/>
          <w:color w:val="auto"/>
          <w:szCs w:val="22"/>
        </w:rPr>
      </w:pPr>
    </w:p>
    <w:p w14:paraId="34C71E0A" w14:textId="77777777" w:rsidR="00DE72A3" w:rsidRDefault="002C3F71" w:rsidP="00DE72A3">
      <w:pPr>
        <w:pStyle w:val="ListParagraph"/>
        <w:numPr>
          <w:ilvl w:val="0"/>
          <w:numId w:val="21"/>
        </w:numPr>
        <w:spacing w:line="276" w:lineRule="auto"/>
        <w:ind w:left="-360"/>
        <w:jc w:val="both"/>
        <w:rPr>
          <w:rFonts w:ascii="Calibri" w:hAnsi="Calibri" w:cs="Calibri"/>
          <w:b w:val="0"/>
          <w:bCs/>
          <w:color w:val="auto"/>
          <w:szCs w:val="22"/>
        </w:rPr>
      </w:pPr>
      <w:proofErr w:type="gramStart"/>
      <w:r w:rsidRPr="00266BCF">
        <w:rPr>
          <w:rFonts w:ascii="Calibri" w:hAnsi="Calibri" w:cs="Calibri"/>
          <w:b w:val="0"/>
          <w:bCs/>
          <w:color w:val="auto"/>
          <w:szCs w:val="22"/>
        </w:rPr>
        <w:t>A number of</w:t>
      </w:r>
      <w:proofErr w:type="gramEnd"/>
      <w:r w:rsidRPr="00266BCF">
        <w:rPr>
          <w:rFonts w:ascii="Calibri" w:hAnsi="Calibri" w:cs="Calibri"/>
          <w:b w:val="0"/>
          <w:bCs/>
          <w:color w:val="auto"/>
          <w:szCs w:val="22"/>
        </w:rPr>
        <w:t xml:space="preserve"> lessons from other projects and experiences worldwide were considered during preparation.  For instance, in designing the remediation option for </w:t>
      </w:r>
      <w:proofErr w:type="spellStart"/>
      <w:r w:rsidR="00E52891">
        <w:rPr>
          <w:rFonts w:ascii="Calibri" w:hAnsi="Calibri" w:cs="Calibri"/>
          <w:b w:val="0"/>
          <w:bCs/>
          <w:color w:val="auto"/>
          <w:szCs w:val="22"/>
        </w:rPr>
        <w:t>Malargüe</w:t>
      </w:r>
      <w:proofErr w:type="spellEnd"/>
      <w:r w:rsidRPr="00266BCF">
        <w:rPr>
          <w:rFonts w:ascii="Calibri" w:hAnsi="Calibri" w:cs="Calibri"/>
          <w:b w:val="0"/>
          <w:bCs/>
          <w:color w:val="auto"/>
          <w:szCs w:val="22"/>
        </w:rPr>
        <w:t xml:space="preserve"> site, lessons learned were incorporated from past domestic remediation activities of mining sites, drawing on the expanding international experience with respect to environmentally appropriate closure of uranium mines in Canada, (Lake Elliott, Saskatchewan), Germany (the WISMUT restoration program) and the U.S.A (the UMTRA program). </w:t>
      </w:r>
    </w:p>
    <w:p w14:paraId="55D83A13" w14:textId="77777777" w:rsidR="00DE72A3" w:rsidRPr="00DE72A3" w:rsidRDefault="00DE72A3" w:rsidP="00DE72A3">
      <w:pPr>
        <w:pStyle w:val="ListParagraph"/>
        <w:rPr>
          <w:rFonts w:ascii="Calibri" w:hAnsi="Calibri" w:cs="Calibri"/>
          <w:b w:val="0"/>
          <w:bCs/>
          <w:color w:val="auto"/>
          <w:szCs w:val="22"/>
        </w:rPr>
      </w:pPr>
    </w:p>
    <w:p w14:paraId="6338DFF0" w14:textId="77777777" w:rsidR="00DE72A3" w:rsidRPr="00266BCF" w:rsidRDefault="002C3F71" w:rsidP="00DE72A3">
      <w:pPr>
        <w:pStyle w:val="ListParagraph"/>
        <w:numPr>
          <w:ilvl w:val="0"/>
          <w:numId w:val="21"/>
        </w:numPr>
        <w:spacing w:line="276" w:lineRule="auto"/>
        <w:ind w:left="-360"/>
        <w:jc w:val="both"/>
        <w:rPr>
          <w:rFonts w:ascii="Calibri" w:hAnsi="Calibri" w:cs="Calibri"/>
          <w:b w:val="0"/>
          <w:bCs/>
          <w:color w:val="auto"/>
          <w:szCs w:val="22"/>
        </w:rPr>
      </w:pPr>
      <w:r w:rsidRPr="00266BCF">
        <w:rPr>
          <w:rFonts w:ascii="Calibri" w:hAnsi="Calibri" w:cs="Calibri"/>
          <w:b w:val="0"/>
          <w:bCs/>
          <w:color w:val="auto"/>
          <w:szCs w:val="22"/>
        </w:rPr>
        <w:t xml:space="preserve">Consultation within the framework of project preparation was carried out mainly in relation to the development of the Environmental Assessment, dealing with the objectives and planning of the uranium restitution program.  A Project Monitoring Committee was set up in 2001 to </w:t>
      </w:r>
      <w:r w:rsidR="00C617ED">
        <w:rPr>
          <w:rFonts w:ascii="Calibri" w:hAnsi="Calibri" w:cs="Calibri"/>
          <w:b w:val="0"/>
          <w:bCs/>
          <w:color w:val="auto"/>
          <w:szCs w:val="22"/>
        </w:rPr>
        <w:t xml:space="preserve">(i) </w:t>
      </w:r>
      <w:r w:rsidRPr="00266BCF">
        <w:rPr>
          <w:rFonts w:ascii="Calibri" w:hAnsi="Calibri" w:cs="Calibri"/>
          <w:b w:val="0"/>
          <w:bCs/>
          <w:color w:val="auto"/>
          <w:szCs w:val="22"/>
        </w:rPr>
        <w:t xml:space="preserve">provide a forum for information and suggestions, </w:t>
      </w:r>
      <w:r w:rsidR="00C617ED">
        <w:rPr>
          <w:rFonts w:ascii="Calibri" w:hAnsi="Calibri" w:cs="Calibri"/>
          <w:b w:val="0"/>
          <w:bCs/>
          <w:color w:val="auto"/>
          <w:szCs w:val="22"/>
        </w:rPr>
        <w:t xml:space="preserve">(ii) </w:t>
      </w:r>
      <w:r w:rsidRPr="00266BCF">
        <w:rPr>
          <w:rFonts w:ascii="Calibri" w:hAnsi="Calibri" w:cs="Calibri"/>
          <w:b w:val="0"/>
          <w:bCs/>
          <w:color w:val="auto"/>
          <w:szCs w:val="22"/>
        </w:rPr>
        <w:t>discuss the design of participatory mechanisms to be applied during project preparation</w:t>
      </w:r>
    </w:p>
    <w:p w14:paraId="17F3EFC1" w14:textId="77777777" w:rsidR="00DE72A3" w:rsidRDefault="002C3F71" w:rsidP="00DE72A3">
      <w:pPr>
        <w:pStyle w:val="ListParagraph"/>
        <w:spacing w:line="276" w:lineRule="auto"/>
        <w:ind w:left="-360"/>
        <w:jc w:val="both"/>
        <w:rPr>
          <w:rFonts w:ascii="Calibri" w:hAnsi="Calibri" w:cs="Calibri"/>
          <w:b w:val="0"/>
          <w:bCs/>
          <w:color w:val="auto"/>
          <w:szCs w:val="22"/>
        </w:rPr>
      </w:pPr>
      <w:r w:rsidRPr="00E473B5">
        <w:rPr>
          <w:rFonts w:ascii="Calibri" w:hAnsi="Calibri" w:cs="Calibri"/>
          <w:b w:val="0"/>
          <w:bCs/>
          <w:color w:val="auto"/>
          <w:szCs w:val="22"/>
        </w:rPr>
        <w:t xml:space="preserve">and implementation, and </w:t>
      </w:r>
      <w:r w:rsidR="00C617ED">
        <w:rPr>
          <w:rFonts w:ascii="Calibri" w:hAnsi="Calibri" w:cs="Calibri"/>
          <w:b w:val="0"/>
          <w:bCs/>
          <w:color w:val="auto"/>
          <w:szCs w:val="22"/>
        </w:rPr>
        <w:t xml:space="preserve">(iii) </w:t>
      </w:r>
      <w:r w:rsidRPr="00E473B5">
        <w:rPr>
          <w:rFonts w:ascii="Calibri" w:hAnsi="Calibri" w:cs="Calibri"/>
          <w:b w:val="0"/>
          <w:bCs/>
          <w:color w:val="auto"/>
          <w:szCs w:val="22"/>
        </w:rPr>
        <w:t>monitor project activities, mainly with respect to consultation and decision</w:t>
      </w:r>
      <w:r>
        <w:rPr>
          <w:rFonts w:ascii="Calibri" w:hAnsi="Calibri" w:cs="Calibri"/>
          <w:b w:val="0"/>
          <w:bCs/>
          <w:color w:val="auto"/>
          <w:szCs w:val="22"/>
        </w:rPr>
        <w:t>-</w:t>
      </w:r>
      <w:r w:rsidRPr="00E473B5">
        <w:rPr>
          <w:rFonts w:ascii="Calibri" w:hAnsi="Calibri" w:cs="Calibri"/>
          <w:b w:val="0"/>
          <w:bCs/>
          <w:color w:val="auto"/>
          <w:szCs w:val="22"/>
        </w:rPr>
        <w:t>making</w:t>
      </w:r>
      <w:r>
        <w:rPr>
          <w:rFonts w:ascii="Calibri" w:hAnsi="Calibri" w:cs="Calibri"/>
          <w:b w:val="0"/>
          <w:bCs/>
          <w:color w:val="auto"/>
          <w:szCs w:val="22"/>
        </w:rPr>
        <w:t xml:space="preserve"> </w:t>
      </w:r>
      <w:r w:rsidRPr="00E473B5">
        <w:rPr>
          <w:rFonts w:ascii="Calibri" w:hAnsi="Calibri" w:cs="Calibri"/>
          <w:b w:val="0"/>
          <w:bCs/>
          <w:color w:val="auto"/>
          <w:szCs w:val="22"/>
        </w:rPr>
        <w:t>processes. The initiative started with the participation of NGOs at a national level (including</w:t>
      </w:r>
      <w:r>
        <w:rPr>
          <w:rFonts w:ascii="Calibri" w:hAnsi="Calibri" w:cs="Calibri"/>
          <w:b w:val="0"/>
          <w:bCs/>
          <w:color w:val="auto"/>
          <w:szCs w:val="22"/>
        </w:rPr>
        <w:t xml:space="preserve"> </w:t>
      </w:r>
      <w:r w:rsidRPr="00E473B5">
        <w:rPr>
          <w:rFonts w:ascii="Calibri" w:hAnsi="Calibri" w:cs="Calibri"/>
          <w:b w:val="0"/>
          <w:bCs/>
          <w:color w:val="auto"/>
          <w:szCs w:val="22"/>
        </w:rPr>
        <w:t>Greenpeace, Friends of the Earth, and others), as well as institutions directly involved in the project,</w:t>
      </w:r>
      <w:r>
        <w:rPr>
          <w:rFonts w:ascii="Calibri" w:hAnsi="Calibri" w:cs="Calibri"/>
          <w:b w:val="0"/>
          <w:bCs/>
          <w:color w:val="auto"/>
          <w:szCs w:val="22"/>
        </w:rPr>
        <w:t xml:space="preserve"> including ARN. </w:t>
      </w:r>
      <w:r w:rsidR="00AD4EB4">
        <w:rPr>
          <w:rFonts w:ascii="Calibri" w:hAnsi="Calibri" w:cs="Calibri"/>
          <w:b w:val="0"/>
          <w:bCs/>
          <w:color w:val="auto"/>
          <w:szCs w:val="22"/>
        </w:rPr>
        <w:t xml:space="preserve"> </w:t>
      </w:r>
      <w:r w:rsidR="00647697">
        <w:rPr>
          <w:rFonts w:ascii="Calibri" w:hAnsi="Calibri" w:cs="Calibri"/>
          <w:b w:val="0"/>
          <w:bCs/>
          <w:color w:val="auto"/>
          <w:szCs w:val="22"/>
        </w:rPr>
        <w:t xml:space="preserve">These </w:t>
      </w:r>
      <w:r w:rsidR="00AD4EB4">
        <w:rPr>
          <w:rFonts w:ascii="Calibri" w:hAnsi="Calibri" w:cs="Calibri"/>
          <w:b w:val="0"/>
          <w:bCs/>
          <w:color w:val="auto"/>
          <w:szCs w:val="22"/>
        </w:rPr>
        <w:t>consultations</w:t>
      </w:r>
      <w:r w:rsidR="00647697">
        <w:rPr>
          <w:rFonts w:ascii="Calibri" w:hAnsi="Calibri" w:cs="Calibri"/>
          <w:b w:val="0"/>
          <w:bCs/>
          <w:color w:val="auto"/>
          <w:szCs w:val="22"/>
        </w:rPr>
        <w:t xml:space="preserve"> often raised concerns/criticism and had a </w:t>
      </w:r>
      <w:r w:rsidR="00AD4EB4">
        <w:rPr>
          <w:rFonts w:ascii="Calibri" w:hAnsi="Calibri" w:cs="Calibri"/>
          <w:b w:val="0"/>
          <w:bCs/>
          <w:color w:val="auto"/>
          <w:szCs w:val="22"/>
        </w:rPr>
        <w:t xml:space="preserve">negative </w:t>
      </w:r>
      <w:r w:rsidR="00647697">
        <w:rPr>
          <w:rFonts w:ascii="Calibri" w:hAnsi="Calibri" w:cs="Calibri"/>
          <w:b w:val="0"/>
          <w:bCs/>
          <w:color w:val="auto"/>
          <w:szCs w:val="22"/>
        </w:rPr>
        <w:t xml:space="preserve">effect </w:t>
      </w:r>
      <w:r w:rsidR="00AD4EB4">
        <w:rPr>
          <w:rFonts w:ascii="Calibri" w:hAnsi="Calibri" w:cs="Calibri"/>
          <w:b w:val="0"/>
          <w:bCs/>
          <w:color w:val="auto"/>
          <w:szCs w:val="22"/>
        </w:rPr>
        <w:t xml:space="preserve">for CNEA </w:t>
      </w:r>
      <w:r w:rsidR="00647697">
        <w:rPr>
          <w:rFonts w:ascii="Calibri" w:hAnsi="Calibri" w:cs="Calibri"/>
          <w:b w:val="0"/>
          <w:bCs/>
          <w:color w:val="auto"/>
          <w:szCs w:val="22"/>
        </w:rPr>
        <w:t xml:space="preserve">causing </w:t>
      </w:r>
      <w:r w:rsidR="00AD4EB4">
        <w:rPr>
          <w:rFonts w:ascii="Calibri" w:hAnsi="Calibri" w:cs="Calibri"/>
          <w:b w:val="0"/>
          <w:bCs/>
          <w:color w:val="auto"/>
          <w:szCs w:val="22"/>
        </w:rPr>
        <w:t xml:space="preserve">delays in the project implementation. </w:t>
      </w:r>
      <w:r>
        <w:rPr>
          <w:rFonts w:ascii="Calibri" w:hAnsi="Calibri" w:cs="Calibri"/>
          <w:b w:val="0"/>
          <w:bCs/>
          <w:color w:val="auto"/>
          <w:szCs w:val="22"/>
        </w:rPr>
        <w:t xml:space="preserve"> While ample work was done to have </w:t>
      </w:r>
      <w:proofErr w:type="gramStart"/>
      <w:r>
        <w:rPr>
          <w:rFonts w:ascii="Calibri" w:hAnsi="Calibri" w:cs="Calibri"/>
          <w:b w:val="0"/>
          <w:bCs/>
          <w:color w:val="auto"/>
          <w:szCs w:val="22"/>
        </w:rPr>
        <w:t>a number of</w:t>
      </w:r>
      <w:proofErr w:type="gramEnd"/>
      <w:r>
        <w:rPr>
          <w:rFonts w:ascii="Calibri" w:hAnsi="Calibri" w:cs="Calibri"/>
          <w:b w:val="0"/>
          <w:bCs/>
          <w:color w:val="auto"/>
          <w:szCs w:val="22"/>
        </w:rPr>
        <w:t xml:space="preserve"> key technical and feasibility studies ready by appraisal, a number of baseline studies (health and economic impacts) that would strengthen the capacity to assess the PDOs were not developed.</w:t>
      </w:r>
    </w:p>
    <w:p w14:paraId="0441725E" w14:textId="77777777" w:rsidR="00DE72A3" w:rsidRDefault="00DE72A3" w:rsidP="00DE72A3">
      <w:pPr>
        <w:pStyle w:val="ListParagraph"/>
        <w:spacing w:line="276" w:lineRule="auto"/>
        <w:ind w:left="-360"/>
        <w:jc w:val="both"/>
        <w:rPr>
          <w:rFonts w:ascii="Calibri" w:hAnsi="Calibri" w:cs="Calibri"/>
          <w:b w:val="0"/>
          <w:bCs/>
          <w:color w:val="auto"/>
          <w:szCs w:val="22"/>
        </w:rPr>
      </w:pPr>
    </w:p>
    <w:p w14:paraId="5DCD3CEA" w14:textId="77777777" w:rsidR="00DE72A3" w:rsidRDefault="002C3F71" w:rsidP="00DE72A3">
      <w:pPr>
        <w:pStyle w:val="ListParagraph"/>
        <w:numPr>
          <w:ilvl w:val="0"/>
          <w:numId w:val="21"/>
        </w:numPr>
        <w:spacing w:line="276" w:lineRule="auto"/>
        <w:ind w:left="-360"/>
        <w:jc w:val="both"/>
        <w:rPr>
          <w:rFonts w:ascii="Calibri" w:hAnsi="Calibri" w:cs="Calibri"/>
          <w:b w:val="0"/>
          <w:bCs/>
          <w:color w:val="auto"/>
          <w:szCs w:val="22"/>
        </w:rPr>
      </w:pPr>
      <w:r w:rsidRPr="00266BCF">
        <w:rPr>
          <w:rFonts w:ascii="Calibri" w:hAnsi="Calibri" w:cs="Calibri"/>
          <w:b w:val="0"/>
          <w:bCs/>
          <w:color w:val="auto"/>
          <w:szCs w:val="22"/>
        </w:rPr>
        <w:t xml:space="preserve">Among the risks identified at appraisal, few materialized particularly with regards to the Argentina budget constraints.  The risk that the project would not be prioritized by </w:t>
      </w:r>
      <w:proofErr w:type="spellStart"/>
      <w:r w:rsidRPr="00266BCF">
        <w:rPr>
          <w:rFonts w:ascii="Calibri" w:hAnsi="Calibri" w:cs="Calibri"/>
          <w:b w:val="0"/>
          <w:bCs/>
          <w:color w:val="auto"/>
          <w:szCs w:val="22"/>
        </w:rPr>
        <w:t>GoA</w:t>
      </w:r>
      <w:proofErr w:type="spellEnd"/>
      <w:r w:rsidRPr="00266BCF">
        <w:rPr>
          <w:rFonts w:ascii="Calibri" w:hAnsi="Calibri" w:cs="Calibri"/>
          <w:b w:val="0"/>
          <w:bCs/>
          <w:color w:val="auto"/>
          <w:szCs w:val="22"/>
        </w:rPr>
        <w:t xml:space="preserve"> (leading to implementation delays), or that the Ministry of Finance would not transfer resources to the project (the only operation under implementation at the time with that problem) were not foreseen. </w:t>
      </w:r>
    </w:p>
    <w:p w14:paraId="25A6C2C3" w14:textId="77777777" w:rsidR="00D978AD" w:rsidRDefault="00D978AD" w:rsidP="00D978AD">
      <w:pPr>
        <w:pStyle w:val="ListParagraph"/>
        <w:spacing w:line="276" w:lineRule="auto"/>
        <w:ind w:left="-360"/>
        <w:jc w:val="both"/>
        <w:rPr>
          <w:rFonts w:ascii="Calibri" w:hAnsi="Calibri" w:cs="Calibri"/>
          <w:b w:val="0"/>
          <w:bCs/>
          <w:color w:val="auto"/>
          <w:szCs w:val="22"/>
        </w:rPr>
      </w:pPr>
    </w:p>
    <w:p w14:paraId="098A7FF2" w14:textId="77777777" w:rsidR="00D978AD" w:rsidRDefault="002C3F71" w:rsidP="00D978AD">
      <w:pPr>
        <w:pStyle w:val="ListParagraph"/>
        <w:numPr>
          <w:ilvl w:val="0"/>
          <w:numId w:val="21"/>
        </w:numPr>
        <w:spacing w:line="276" w:lineRule="auto"/>
        <w:ind w:left="-360"/>
        <w:jc w:val="both"/>
        <w:rPr>
          <w:rFonts w:ascii="Calibri" w:hAnsi="Calibri" w:cs="Calibri"/>
          <w:b w:val="0"/>
          <w:bCs/>
          <w:color w:val="auto"/>
          <w:szCs w:val="22"/>
        </w:rPr>
      </w:pPr>
      <w:proofErr w:type="gramStart"/>
      <w:r>
        <w:rPr>
          <w:rFonts w:ascii="Calibri" w:hAnsi="Calibri" w:cs="Calibri"/>
          <w:b w:val="0"/>
          <w:bCs/>
          <w:color w:val="auto"/>
          <w:szCs w:val="22"/>
        </w:rPr>
        <w:t>In spite of</w:t>
      </w:r>
      <w:proofErr w:type="gramEnd"/>
      <w:r>
        <w:rPr>
          <w:rFonts w:ascii="Calibri" w:hAnsi="Calibri" w:cs="Calibri"/>
          <w:b w:val="0"/>
          <w:bCs/>
          <w:color w:val="auto"/>
          <w:szCs w:val="22"/>
        </w:rPr>
        <w:t xml:space="preserve"> certain readiness at CNEA</w:t>
      </w:r>
      <w:r w:rsidRPr="00431767">
        <w:rPr>
          <w:rFonts w:ascii="Calibri" w:hAnsi="Calibri" w:cs="Calibri"/>
          <w:b w:val="0"/>
          <w:bCs/>
          <w:color w:val="auto"/>
          <w:szCs w:val="22"/>
        </w:rPr>
        <w:t xml:space="preserve">, </w:t>
      </w:r>
      <w:r>
        <w:rPr>
          <w:rFonts w:ascii="Calibri" w:hAnsi="Calibri" w:cs="Calibri"/>
          <w:b w:val="0"/>
          <w:bCs/>
          <w:color w:val="auto"/>
          <w:szCs w:val="22"/>
        </w:rPr>
        <w:t xml:space="preserve">changes in strategic and budgetary priorities at the </w:t>
      </w:r>
      <w:r w:rsidRPr="00431767">
        <w:rPr>
          <w:rFonts w:ascii="Calibri" w:hAnsi="Calibri" w:cs="Calibri"/>
          <w:b w:val="0"/>
          <w:bCs/>
          <w:color w:val="auto"/>
          <w:szCs w:val="22"/>
        </w:rPr>
        <w:t xml:space="preserve">executive </w:t>
      </w:r>
      <w:r>
        <w:rPr>
          <w:rFonts w:ascii="Calibri" w:hAnsi="Calibri" w:cs="Calibri"/>
          <w:b w:val="0"/>
          <w:bCs/>
          <w:color w:val="auto"/>
          <w:szCs w:val="22"/>
        </w:rPr>
        <w:t xml:space="preserve">level </w:t>
      </w:r>
      <w:r w:rsidRPr="00431767">
        <w:rPr>
          <w:rFonts w:ascii="Calibri" w:hAnsi="Calibri" w:cs="Calibri"/>
          <w:b w:val="0"/>
          <w:bCs/>
          <w:color w:val="auto"/>
          <w:szCs w:val="22"/>
        </w:rPr>
        <w:t xml:space="preserve">(Chief Cabinet of Ministers and Ministry of Economy) </w:t>
      </w:r>
      <w:r>
        <w:rPr>
          <w:rFonts w:ascii="Calibri" w:hAnsi="Calibri" w:cs="Calibri"/>
          <w:b w:val="0"/>
          <w:bCs/>
          <w:color w:val="auto"/>
          <w:szCs w:val="22"/>
        </w:rPr>
        <w:t xml:space="preserve">was identified as </w:t>
      </w:r>
      <w:r w:rsidRPr="00431767">
        <w:rPr>
          <w:rFonts w:ascii="Calibri" w:hAnsi="Calibri" w:cs="Calibri"/>
          <w:b w:val="0"/>
          <w:bCs/>
          <w:color w:val="auto"/>
          <w:szCs w:val="22"/>
        </w:rPr>
        <w:t xml:space="preserve">the </w:t>
      </w:r>
      <w:r>
        <w:rPr>
          <w:rFonts w:ascii="Calibri" w:hAnsi="Calibri" w:cs="Calibri"/>
          <w:b w:val="0"/>
          <w:bCs/>
          <w:color w:val="auto"/>
          <w:szCs w:val="22"/>
        </w:rPr>
        <w:t xml:space="preserve">key factor leading to </w:t>
      </w:r>
      <w:r w:rsidRPr="00431767">
        <w:rPr>
          <w:rFonts w:ascii="Calibri" w:hAnsi="Calibri" w:cs="Calibri"/>
          <w:b w:val="0"/>
          <w:bCs/>
          <w:color w:val="auto"/>
          <w:szCs w:val="22"/>
        </w:rPr>
        <w:t>implementation delays (21 months)</w:t>
      </w:r>
      <w:r>
        <w:rPr>
          <w:rFonts w:ascii="Calibri" w:hAnsi="Calibri" w:cs="Calibri"/>
          <w:b w:val="0"/>
          <w:bCs/>
          <w:color w:val="auto"/>
          <w:szCs w:val="22"/>
        </w:rPr>
        <w:t xml:space="preserve">. </w:t>
      </w:r>
      <w:proofErr w:type="gramStart"/>
      <w:r>
        <w:rPr>
          <w:rFonts w:ascii="Calibri" w:hAnsi="Calibri" w:cs="Calibri"/>
          <w:b w:val="0"/>
          <w:bCs/>
          <w:color w:val="auto"/>
          <w:szCs w:val="22"/>
        </w:rPr>
        <w:t>In spite of</w:t>
      </w:r>
      <w:proofErr w:type="gramEnd"/>
      <w:r>
        <w:rPr>
          <w:rFonts w:ascii="Calibri" w:hAnsi="Calibri" w:cs="Calibri"/>
          <w:b w:val="0"/>
          <w:bCs/>
          <w:color w:val="auto"/>
          <w:szCs w:val="22"/>
        </w:rPr>
        <w:t xml:space="preserve"> communications and insistence from the Bank, </w:t>
      </w:r>
      <w:proofErr w:type="spellStart"/>
      <w:r>
        <w:rPr>
          <w:rFonts w:ascii="Calibri" w:hAnsi="Calibri" w:cs="Calibri"/>
          <w:b w:val="0"/>
          <w:bCs/>
          <w:color w:val="auto"/>
          <w:szCs w:val="22"/>
        </w:rPr>
        <w:t>GoA</w:t>
      </w:r>
      <w:proofErr w:type="spellEnd"/>
      <w:r>
        <w:rPr>
          <w:rFonts w:ascii="Calibri" w:hAnsi="Calibri" w:cs="Calibri"/>
          <w:b w:val="0"/>
          <w:bCs/>
          <w:color w:val="auto"/>
          <w:szCs w:val="22"/>
        </w:rPr>
        <w:t xml:space="preserve"> deferred the effectiveness signing of the loan from July </w:t>
      </w:r>
      <w:r w:rsidRPr="00303197">
        <w:rPr>
          <w:rFonts w:ascii="Calibri" w:hAnsi="Calibri" w:cs="Calibri"/>
          <w:b w:val="0"/>
          <w:bCs/>
          <w:color w:val="auto"/>
          <w:szCs w:val="22"/>
        </w:rPr>
        <w:t>31</w:t>
      </w:r>
      <w:r>
        <w:rPr>
          <w:rFonts w:ascii="Calibri" w:hAnsi="Calibri" w:cs="Calibri"/>
          <w:b w:val="0"/>
          <w:bCs/>
          <w:color w:val="auto"/>
          <w:szCs w:val="22"/>
        </w:rPr>
        <w:t xml:space="preserve">, </w:t>
      </w:r>
      <w:r w:rsidRPr="00303197">
        <w:rPr>
          <w:rFonts w:ascii="Calibri" w:hAnsi="Calibri" w:cs="Calibri"/>
          <w:b w:val="0"/>
          <w:bCs/>
          <w:color w:val="auto"/>
          <w:szCs w:val="22"/>
        </w:rPr>
        <w:t>2008</w:t>
      </w:r>
      <w:r>
        <w:rPr>
          <w:rFonts w:ascii="Calibri" w:hAnsi="Calibri" w:cs="Calibri"/>
          <w:b w:val="0"/>
          <w:bCs/>
          <w:color w:val="auto"/>
          <w:szCs w:val="22"/>
        </w:rPr>
        <w:t xml:space="preserve"> (Approval) to April </w:t>
      </w:r>
      <w:r w:rsidRPr="00303197">
        <w:rPr>
          <w:rFonts w:ascii="Calibri" w:hAnsi="Calibri" w:cs="Calibri"/>
          <w:b w:val="0"/>
          <w:bCs/>
          <w:color w:val="auto"/>
          <w:szCs w:val="22"/>
        </w:rPr>
        <w:t>28</w:t>
      </w:r>
      <w:r>
        <w:rPr>
          <w:rFonts w:ascii="Calibri" w:hAnsi="Calibri" w:cs="Calibri"/>
          <w:b w:val="0"/>
          <w:bCs/>
          <w:color w:val="auto"/>
          <w:szCs w:val="22"/>
        </w:rPr>
        <w:t xml:space="preserve">, </w:t>
      </w:r>
      <w:r w:rsidRPr="00303197">
        <w:rPr>
          <w:rFonts w:ascii="Calibri" w:hAnsi="Calibri" w:cs="Calibri"/>
          <w:b w:val="0"/>
          <w:bCs/>
          <w:color w:val="auto"/>
          <w:szCs w:val="22"/>
        </w:rPr>
        <w:t>2010</w:t>
      </w:r>
      <w:r>
        <w:rPr>
          <w:rFonts w:ascii="Calibri" w:hAnsi="Calibri" w:cs="Calibri"/>
          <w:b w:val="0"/>
          <w:bCs/>
          <w:color w:val="auto"/>
          <w:szCs w:val="22"/>
        </w:rPr>
        <w:t xml:space="preserve">.   </w:t>
      </w:r>
    </w:p>
    <w:p w14:paraId="215B16DF" w14:textId="77777777" w:rsidR="00D978AD" w:rsidRPr="00D978AD" w:rsidRDefault="00D978AD" w:rsidP="00D978AD">
      <w:pPr>
        <w:pStyle w:val="ListParagraph"/>
        <w:rPr>
          <w:rFonts w:ascii="Calibri" w:hAnsi="Calibri" w:cs="Calibri"/>
          <w:b w:val="0"/>
          <w:bCs/>
          <w:color w:val="auto"/>
          <w:szCs w:val="22"/>
        </w:rPr>
      </w:pPr>
    </w:p>
    <w:p w14:paraId="3E892614" w14:textId="77777777" w:rsidR="00D978AD" w:rsidRPr="00F81E85" w:rsidRDefault="002C3F71" w:rsidP="00D978AD">
      <w:pPr>
        <w:pStyle w:val="ListParagraph"/>
        <w:numPr>
          <w:ilvl w:val="0"/>
          <w:numId w:val="21"/>
        </w:numPr>
        <w:spacing w:line="276" w:lineRule="auto"/>
        <w:ind w:left="-360"/>
        <w:jc w:val="both"/>
        <w:rPr>
          <w:rFonts w:ascii="Calibri" w:hAnsi="Calibri" w:cs="Calibri"/>
          <w:b w:val="0"/>
          <w:bCs/>
          <w:color w:val="auto"/>
          <w:szCs w:val="22"/>
        </w:rPr>
      </w:pPr>
      <w:r w:rsidRPr="00F81E85">
        <w:rPr>
          <w:rFonts w:ascii="Calibri" w:hAnsi="Calibri" w:cs="Calibri"/>
          <w:b w:val="0"/>
          <w:bCs/>
          <w:color w:val="auto"/>
          <w:szCs w:val="22"/>
        </w:rPr>
        <w:t>As highlighted in the Section II-C above, there were initial miscalculations of costs at time of appraisal (particularly for component 1) which compounded with the currency fluctuations after effectiveness</w:t>
      </w:r>
      <w:r w:rsidR="00E1241B">
        <w:rPr>
          <w:rFonts w:ascii="Calibri" w:hAnsi="Calibri" w:cs="Calibri"/>
          <w:b w:val="0"/>
          <w:bCs/>
          <w:color w:val="auto"/>
          <w:szCs w:val="22"/>
        </w:rPr>
        <w:t>,</w:t>
      </w:r>
      <w:r w:rsidRPr="00F81E85">
        <w:rPr>
          <w:rFonts w:ascii="Calibri" w:hAnsi="Calibri" w:cs="Calibri"/>
          <w:b w:val="0"/>
          <w:bCs/>
          <w:color w:val="auto"/>
          <w:szCs w:val="22"/>
        </w:rPr>
        <w:t xml:space="preserve"> led to </w:t>
      </w:r>
      <w:proofErr w:type="gramStart"/>
      <w:r w:rsidRPr="00F81E85">
        <w:rPr>
          <w:rFonts w:ascii="Calibri" w:hAnsi="Calibri" w:cs="Calibri"/>
          <w:b w:val="0"/>
          <w:bCs/>
          <w:color w:val="auto"/>
          <w:szCs w:val="22"/>
        </w:rPr>
        <w:t>a number of</w:t>
      </w:r>
      <w:proofErr w:type="gramEnd"/>
      <w:r w:rsidRPr="00F81E85">
        <w:rPr>
          <w:rFonts w:ascii="Calibri" w:hAnsi="Calibri" w:cs="Calibri"/>
          <w:b w:val="0"/>
          <w:bCs/>
          <w:color w:val="auto"/>
          <w:szCs w:val="22"/>
        </w:rPr>
        <w:t xml:space="preserve"> amendments to the contract for the remediation works.  In addition, a weak and unclear results framework (and M&amp;E system) at appraisal led to two restructurings during implementation.  </w:t>
      </w:r>
    </w:p>
    <w:p w14:paraId="2E86A888" w14:textId="77777777" w:rsidR="003615CB" w:rsidRPr="00CB304D" w:rsidRDefault="002C3F71" w:rsidP="00F81E85">
      <w:pPr>
        <w:pStyle w:val="ListParagraph"/>
        <w:widowControl/>
        <w:spacing w:line="276" w:lineRule="auto"/>
        <w:ind w:left="450"/>
        <w:jc w:val="both"/>
        <w:rPr>
          <w:bCs/>
          <w:color w:val="000000" w:themeColor="text1"/>
          <w:szCs w:val="22"/>
        </w:rPr>
      </w:pPr>
      <w:r>
        <w:rPr>
          <w:rFonts w:ascii="Calibri" w:hAnsi="Calibri" w:cs="Calibri"/>
          <w:b w:val="0"/>
          <w:bCs/>
          <w:color w:val="auto"/>
          <w:szCs w:val="22"/>
        </w:rPr>
        <w:t xml:space="preserve"> </w:t>
      </w:r>
      <w:bookmarkEnd w:id="52"/>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2A4B8BFF" w14:textId="77777777" w:rsidTr="003615CB">
        <w:trPr>
          <w:trHeight w:val="153"/>
        </w:trPr>
        <w:tc>
          <w:tcPr>
            <w:tcW w:w="10710" w:type="dxa"/>
          </w:tcPr>
          <w:p w14:paraId="7EFC2605" w14:textId="77777777" w:rsidR="003615CB" w:rsidRPr="00CB304D" w:rsidRDefault="002C3F71" w:rsidP="008A454B">
            <w:pPr>
              <w:pStyle w:val="Heading2"/>
              <w:keepLines w:val="0"/>
              <w:outlineLvl w:val="1"/>
              <w:rPr>
                <w:szCs w:val="22"/>
              </w:rPr>
            </w:pPr>
            <w:bookmarkStart w:id="53" w:name="_Toc256000020"/>
            <w:bookmarkStart w:id="54" w:name="_Toc433982415"/>
            <w:bookmarkStart w:id="55" w:name="_Toc460509197"/>
            <w:bookmarkStart w:id="56" w:name="_Toc485984553"/>
            <w:bookmarkStart w:id="57" w:name="_Toc502164471"/>
            <w:r w:rsidRPr="00CB304D">
              <w:rPr>
                <w:b/>
                <w:szCs w:val="22"/>
              </w:rPr>
              <w:t>B.</w:t>
            </w:r>
            <w:r w:rsidR="007078F6" w:rsidRPr="00CB304D">
              <w:rPr>
                <w:b/>
                <w:szCs w:val="22"/>
              </w:rPr>
              <w:t xml:space="preserve"> KEY FACTORS DURING IMPLEMENTATION</w:t>
            </w:r>
            <w:bookmarkEnd w:id="53"/>
            <w:bookmarkEnd w:id="54"/>
            <w:bookmarkEnd w:id="55"/>
            <w:bookmarkEnd w:id="56"/>
            <w:bookmarkEnd w:id="57"/>
          </w:p>
        </w:tc>
      </w:tr>
    </w:tbl>
    <w:p w14:paraId="2F468AFB" w14:textId="77777777" w:rsidR="00512DEE" w:rsidRPr="00B8018D" w:rsidRDefault="00512DEE" w:rsidP="00512DEE">
      <w:pPr>
        <w:jc w:val="both"/>
        <w:rPr>
          <w:rFonts w:ascii="Calibri" w:hAnsi="Calibri" w:cs="Calibri"/>
          <w:bCs/>
          <w:color w:val="auto"/>
          <w:sz w:val="22"/>
          <w:szCs w:val="22"/>
        </w:rPr>
      </w:pPr>
    </w:p>
    <w:p w14:paraId="404E94C1" w14:textId="77777777" w:rsidR="00512DEE" w:rsidRDefault="002C3F71" w:rsidP="00F81E85">
      <w:pPr>
        <w:pStyle w:val="ListParagraph"/>
        <w:numPr>
          <w:ilvl w:val="0"/>
          <w:numId w:val="21"/>
        </w:numPr>
        <w:spacing w:line="276" w:lineRule="auto"/>
        <w:ind w:left="-360"/>
        <w:jc w:val="both"/>
        <w:rPr>
          <w:rFonts w:ascii="Calibri" w:hAnsi="Calibri" w:cs="Calibri"/>
          <w:b w:val="0"/>
          <w:bCs/>
          <w:color w:val="auto"/>
          <w:szCs w:val="22"/>
        </w:rPr>
      </w:pPr>
      <w:r w:rsidRPr="005145A8">
        <w:rPr>
          <w:rFonts w:ascii="Calibri" w:hAnsi="Calibri" w:cs="Calibri"/>
          <w:bCs/>
          <w:color w:val="auto"/>
          <w:szCs w:val="22"/>
        </w:rPr>
        <w:t xml:space="preserve">Delay in Implementation of Remediation Works.  </w:t>
      </w:r>
      <w:r w:rsidRPr="005145A8">
        <w:rPr>
          <w:rFonts w:ascii="Calibri" w:hAnsi="Calibri" w:cs="Calibri"/>
          <w:b w:val="0"/>
          <w:bCs/>
          <w:color w:val="auto"/>
          <w:szCs w:val="22"/>
        </w:rPr>
        <w:t xml:space="preserve">Slower than anticipated implementation of the remediation works at the </w:t>
      </w:r>
      <w:proofErr w:type="spellStart"/>
      <w:r w:rsidR="00F60583" w:rsidRPr="005145A8">
        <w:rPr>
          <w:rFonts w:ascii="Calibri" w:hAnsi="Calibri" w:cs="Calibri"/>
          <w:b w:val="0"/>
          <w:bCs/>
          <w:color w:val="auto"/>
          <w:szCs w:val="22"/>
        </w:rPr>
        <w:t>Malargüe</w:t>
      </w:r>
      <w:proofErr w:type="spellEnd"/>
      <w:r w:rsidRPr="005145A8">
        <w:rPr>
          <w:rFonts w:ascii="Calibri" w:hAnsi="Calibri" w:cs="Calibri"/>
          <w:b w:val="0"/>
          <w:bCs/>
          <w:color w:val="auto"/>
          <w:szCs w:val="22"/>
        </w:rPr>
        <w:t xml:space="preserve"> site was due to the following: </w:t>
      </w:r>
    </w:p>
    <w:p w14:paraId="21AD743A" w14:textId="77777777" w:rsidR="00512DEE" w:rsidRPr="005145A8" w:rsidRDefault="00512DEE" w:rsidP="00512DEE">
      <w:pPr>
        <w:pStyle w:val="ListParagraph"/>
        <w:widowControl/>
        <w:spacing w:line="276" w:lineRule="auto"/>
        <w:jc w:val="both"/>
        <w:rPr>
          <w:rFonts w:ascii="Calibri" w:hAnsi="Calibri" w:cs="Calibri"/>
          <w:bCs/>
          <w:color w:val="auto"/>
          <w:szCs w:val="22"/>
        </w:rPr>
      </w:pPr>
    </w:p>
    <w:p w14:paraId="16508CD2" w14:textId="77777777" w:rsidR="009842A9" w:rsidRDefault="002C3F71" w:rsidP="00512DEE">
      <w:pPr>
        <w:pStyle w:val="ListParagraph"/>
        <w:numPr>
          <w:ilvl w:val="0"/>
          <w:numId w:val="29"/>
        </w:numPr>
        <w:tabs>
          <w:tab w:val="left" w:pos="720"/>
        </w:tabs>
        <w:spacing w:line="276" w:lineRule="auto"/>
        <w:jc w:val="both"/>
        <w:rPr>
          <w:rFonts w:ascii="Calibri" w:hAnsi="Calibri" w:cs="Calibri"/>
          <w:b w:val="0"/>
          <w:color w:val="000000"/>
          <w:szCs w:val="22"/>
        </w:rPr>
      </w:pPr>
      <w:r>
        <w:rPr>
          <w:rFonts w:ascii="Calibri" w:hAnsi="Calibri" w:cs="Calibri"/>
          <w:b w:val="0"/>
          <w:color w:val="000000"/>
          <w:szCs w:val="22"/>
        </w:rPr>
        <w:t xml:space="preserve">The </w:t>
      </w:r>
      <w:r w:rsidRPr="009842A9">
        <w:rPr>
          <w:rFonts w:ascii="Calibri" w:hAnsi="Calibri" w:cs="Calibri"/>
          <w:b w:val="0"/>
          <w:color w:val="000000"/>
          <w:szCs w:val="22"/>
        </w:rPr>
        <w:t>decision not to prioritize the signing of effectiveness due to economic and political reasons</w:t>
      </w:r>
      <w:r>
        <w:rPr>
          <w:rFonts w:ascii="Calibri" w:hAnsi="Calibri" w:cs="Calibri"/>
          <w:b w:val="0"/>
          <w:color w:val="000000"/>
          <w:szCs w:val="22"/>
        </w:rPr>
        <w:t xml:space="preserve"> led to delays in launching the bidding process and delays in beginning the remediation works;</w:t>
      </w:r>
    </w:p>
    <w:p w14:paraId="2B370D29" w14:textId="77777777" w:rsidR="00512DEE" w:rsidRPr="000616F3" w:rsidRDefault="002C3F71" w:rsidP="000616F3">
      <w:pPr>
        <w:pStyle w:val="ListParagraph"/>
        <w:numPr>
          <w:ilvl w:val="0"/>
          <w:numId w:val="29"/>
        </w:numPr>
        <w:tabs>
          <w:tab w:val="left" w:pos="720"/>
        </w:tabs>
        <w:spacing w:line="276" w:lineRule="auto"/>
        <w:jc w:val="both"/>
        <w:rPr>
          <w:rFonts w:ascii="Calibri" w:hAnsi="Calibri" w:cs="Calibri"/>
          <w:b w:val="0"/>
          <w:color w:val="000000"/>
          <w:szCs w:val="22"/>
        </w:rPr>
      </w:pPr>
      <w:r w:rsidRPr="00E533D1">
        <w:rPr>
          <w:rFonts w:ascii="Calibri" w:hAnsi="Calibri" w:cs="Calibri"/>
          <w:b w:val="0"/>
          <w:color w:val="000000"/>
          <w:szCs w:val="22"/>
        </w:rPr>
        <w:t xml:space="preserve">Due to the technical complexity and initial issues related to the fiscal capacity of the contractor, the remediation works in </w:t>
      </w:r>
      <w:proofErr w:type="spellStart"/>
      <w:r w:rsidRPr="00E533D1">
        <w:rPr>
          <w:rFonts w:ascii="Calibri" w:hAnsi="Calibri" w:cs="Calibri"/>
          <w:b w:val="0"/>
          <w:color w:val="000000"/>
          <w:szCs w:val="22"/>
        </w:rPr>
        <w:t>Malargüe</w:t>
      </w:r>
      <w:proofErr w:type="spellEnd"/>
      <w:r w:rsidRPr="00E533D1">
        <w:rPr>
          <w:rFonts w:ascii="Calibri" w:hAnsi="Calibri" w:cs="Calibri"/>
          <w:b w:val="0"/>
          <w:color w:val="000000"/>
          <w:szCs w:val="22"/>
        </w:rPr>
        <w:t xml:space="preserve"> did not begin until January 25, 2012, resulting in slow disbursement rates during the first three years of project implementation. At the time of the Project’s </w:t>
      </w:r>
      <w:r w:rsidR="00C617ED">
        <w:rPr>
          <w:rFonts w:ascii="Calibri" w:hAnsi="Calibri" w:cs="Calibri"/>
          <w:b w:val="0"/>
          <w:color w:val="000000"/>
          <w:szCs w:val="22"/>
        </w:rPr>
        <w:t xml:space="preserve">MTR </w:t>
      </w:r>
      <w:r w:rsidRPr="00E533D1">
        <w:rPr>
          <w:rFonts w:ascii="Calibri" w:hAnsi="Calibri" w:cs="Calibri"/>
          <w:b w:val="0"/>
          <w:color w:val="000000"/>
          <w:szCs w:val="22"/>
        </w:rPr>
        <w:t>(December 2012), disbursement was only 12 percent (or US$3.6 million)</w:t>
      </w:r>
      <w:r w:rsidR="009842A9">
        <w:rPr>
          <w:rFonts w:ascii="Calibri" w:hAnsi="Calibri" w:cs="Calibri"/>
          <w:b w:val="0"/>
          <w:color w:val="000000"/>
          <w:szCs w:val="22"/>
        </w:rPr>
        <w:t>;</w:t>
      </w:r>
    </w:p>
    <w:p w14:paraId="7A00B28F" w14:textId="77777777" w:rsidR="00512DEE" w:rsidRPr="00E533D1" w:rsidRDefault="002C3F71" w:rsidP="00512DEE">
      <w:pPr>
        <w:pStyle w:val="ListParagraph"/>
        <w:numPr>
          <w:ilvl w:val="0"/>
          <w:numId w:val="29"/>
        </w:numPr>
        <w:tabs>
          <w:tab w:val="left" w:pos="720"/>
        </w:tabs>
        <w:spacing w:line="276" w:lineRule="auto"/>
        <w:jc w:val="both"/>
        <w:rPr>
          <w:rFonts w:ascii="Calibri" w:hAnsi="Calibri" w:cs="Calibri"/>
          <w:b w:val="0"/>
          <w:color w:val="000000"/>
          <w:szCs w:val="22"/>
        </w:rPr>
      </w:pPr>
      <w:r w:rsidRPr="00E533D1">
        <w:rPr>
          <w:rFonts w:ascii="Calibri" w:hAnsi="Calibri" w:cs="Calibri"/>
          <w:b w:val="0"/>
          <w:color w:val="000000"/>
          <w:szCs w:val="22"/>
        </w:rPr>
        <w:t xml:space="preserve">Periodic changes </w:t>
      </w:r>
      <w:r w:rsidR="00647697">
        <w:rPr>
          <w:rFonts w:ascii="Calibri" w:hAnsi="Calibri" w:cs="Calibri"/>
          <w:b w:val="0"/>
          <w:color w:val="000000"/>
          <w:szCs w:val="22"/>
        </w:rPr>
        <w:t xml:space="preserve">at the </w:t>
      </w:r>
      <w:r w:rsidRPr="00E533D1">
        <w:rPr>
          <w:rFonts w:ascii="Calibri" w:hAnsi="Calibri" w:cs="Calibri"/>
          <w:b w:val="0"/>
          <w:color w:val="000000"/>
          <w:szCs w:val="22"/>
        </w:rPr>
        <w:t xml:space="preserve">national government led to transitional periods that included new administrative procedures and budget limitations, which in in turn delayed the approval of the Project’s budget.  During these episodes, CNEA </w:t>
      </w:r>
      <w:proofErr w:type="gramStart"/>
      <w:r w:rsidRPr="00E533D1">
        <w:rPr>
          <w:rFonts w:ascii="Calibri" w:hAnsi="Calibri" w:cs="Calibri"/>
          <w:b w:val="0"/>
          <w:color w:val="000000"/>
          <w:szCs w:val="22"/>
        </w:rPr>
        <w:t>was able to</w:t>
      </w:r>
      <w:proofErr w:type="gramEnd"/>
      <w:r w:rsidRPr="00E533D1">
        <w:rPr>
          <w:rFonts w:ascii="Calibri" w:hAnsi="Calibri" w:cs="Calibri"/>
          <w:b w:val="0"/>
          <w:color w:val="000000"/>
          <w:szCs w:val="22"/>
        </w:rPr>
        <w:t xml:space="preserve"> make </w:t>
      </w:r>
      <w:r w:rsidR="00647697">
        <w:rPr>
          <w:rFonts w:ascii="Calibri" w:hAnsi="Calibri" w:cs="Calibri"/>
          <w:b w:val="0"/>
          <w:color w:val="000000"/>
          <w:szCs w:val="22"/>
        </w:rPr>
        <w:t xml:space="preserve">only </w:t>
      </w:r>
      <w:r w:rsidR="00F60583">
        <w:rPr>
          <w:rFonts w:ascii="Calibri" w:hAnsi="Calibri" w:cs="Calibri"/>
          <w:b w:val="0"/>
          <w:color w:val="000000"/>
          <w:szCs w:val="22"/>
        </w:rPr>
        <w:t xml:space="preserve">partial </w:t>
      </w:r>
      <w:r w:rsidRPr="00E533D1">
        <w:rPr>
          <w:rFonts w:ascii="Calibri" w:hAnsi="Calibri" w:cs="Calibri"/>
          <w:b w:val="0"/>
          <w:color w:val="000000"/>
          <w:szCs w:val="22"/>
        </w:rPr>
        <w:t xml:space="preserve">payments </w:t>
      </w:r>
      <w:r w:rsidR="00F60583">
        <w:rPr>
          <w:rFonts w:ascii="Calibri" w:hAnsi="Calibri" w:cs="Calibri"/>
          <w:b w:val="0"/>
          <w:color w:val="000000"/>
          <w:szCs w:val="22"/>
        </w:rPr>
        <w:t>(</w:t>
      </w:r>
      <w:r w:rsidR="00647697">
        <w:rPr>
          <w:rFonts w:ascii="Calibri" w:hAnsi="Calibri" w:cs="Calibri"/>
          <w:b w:val="0"/>
          <w:color w:val="000000"/>
          <w:szCs w:val="22"/>
        </w:rPr>
        <w:t xml:space="preserve">through </w:t>
      </w:r>
      <w:r w:rsidR="00F60583">
        <w:rPr>
          <w:rFonts w:ascii="Calibri" w:hAnsi="Calibri" w:cs="Calibri"/>
          <w:b w:val="0"/>
          <w:color w:val="000000"/>
          <w:szCs w:val="22"/>
        </w:rPr>
        <w:t xml:space="preserve">counterpart funds) </w:t>
      </w:r>
      <w:r w:rsidRPr="00E533D1">
        <w:rPr>
          <w:rFonts w:ascii="Calibri" w:hAnsi="Calibri" w:cs="Calibri"/>
          <w:b w:val="0"/>
          <w:color w:val="000000"/>
          <w:szCs w:val="22"/>
        </w:rPr>
        <w:t>to contractors in order to maintain a minimum level of activities.  This prompted the need for extensions to the closing date</w:t>
      </w:r>
      <w:r w:rsidR="00647697">
        <w:rPr>
          <w:rFonts w:ascii="Calibri" w:hAnsi="Calibri" w:cs="Calibri"/>
          <w:b w:val="0"/>
          <w:color w:val="000000"/>
          <w:szCs w:val="22"/>
        </w:rPr>
        <w:t>;</w:t>
      </w:r>
    </w:p>
    <w:p w14:paraId="07CF21E5" w14:textId="77777777" w:rsidR="00A21167" w:rsidRDefault="002C3F71" w:rsidP="00512DEE">
      <w:pPr>
        <w:pStyle w:val="ListParagraph"/>
        <w:numPr>
          <w:ilvl w:val="0"/>
          <w:numId w:val="29"/>
        </w:numPr>
        <w:tabs>
          <w:tab w:val="left" w:pos="720"/>
        </w:tabs>
        <w:spacing w:line="276" w:lineRule="auto"/>
        <w:jc w:val="both"/>
        <w:rPr>
          <w:rFonts w:ascii="Calibri" w:hAnsi="Calibri" w:cs="Calibri"/>
          <w:b w:val="0"/>
          <w:color w:val="000000"/>
          <w:szCs w:val="22"/>
        </w:rPr>
      </w:pPr>
      <w:r>
        <w:rPr>
          <w:rFonts w:ascii="Calibri" w:hAnsi="Calibri" w:cs="Calibri"/>
          <w:b w:val="0"/>
          <w:color w:val="000000"/>
          <w:szCs w:val="22"/>
        </w:rPr>
        <w:t xml:space="preserve">Currency fluctuations and inflation led to </w:t>
      </w:r>
      <w:r w:rsidR="00530655">
        <w:rPr>
          <w:rFonts w:ascii="Calibri" w:hAnsi="Calibri" w:cs="Calibri"/>
          <w:b w:val="0"/>
          <w:color w:val="000000"/>
          <w:szCs w:val="22"/>
        </w:rPr>
        <w:t xml:space="preserve">an </w:t>
      </w:r>
      <w:r>
        <w:rPr>
          <w:rFonts w:ascii="Calibri" w:hAnsi="Calibri" w:cs="Calibri"/>
          <w:b w:val="0"/>
          <w:color w:val="000000"/>
          <w:szCs w:val="22"/>
        </w:rPr>
        <w:t xml:space="preserve">amendment to the contract; </w:t>
      </w:r>
    </w:p>
    <w:p w14:paraId="3054111B" w14:textId="77777777" w:rsidR="00512DEE" w:rsidRPr="00E533D1" w:rsidRDefault="002C3F71" w:rsidP="00512DEE">
      <w:pPr>
        <w:pStyle w:val="ListParagraph"/>
        <w:numPr>
          <w:ilvl w:val="0"/>
          <w:numId w:val="29"/>
        </w:numPr>
        <w:tabs>
          <w:tab w:val="left" w:pos="720"/>
        </w:tabs>
        <w:spacing w:line="276" w:lineRule="auto"/>
        <w:jc w:val="both"/>
        <w:rPr>
          <w:rFonts w:ascii="Calibri" w:hAnsi="Calibri" w:cs="Calibri"/>
          <w:b w:val="0"/>
          <w:color w:val="000000"/>
          <w:szCs w:val="22"/>
        </w:rPr>
      </w:pPr>
      <w:r w:rsidRPr="00E533D1">
        <w:rPr>
          <w:rFonts w:ascii="Calibri" w:hAnsi="Calibri" w:cs="Calibri"/>
          <w:b w:val="0"/>
          <w:color w:val="000000"/>
          <w:szCs w:val="22"/>
        </w:rPr>
        <w:t>Continued delays in th</w:t>
      </w:r>
      <w:bookmarkStart w:id="58" w:name="_Hlk500187278"/>
      <w:r w:rsidRPr="00E533D1">
        <w:rPr>
          <w:rFonts w:ascii="Calibri" w:hAnsi="Calibri" w:cs="Calibri"/>
          <w:b w:val="0"/>
          <w:color w:val="000000"/>
          <w:szCs w:val="22"/>
        </w:rPr>
        <w:t>e provision of project and counterpart funding by the federal government</w:t>
      </w:r>
      <w:bookmarkEnd w:id="58"/>
      <w:r w:rsidRPr="00E533D1">
        <w:rPr>
          <w:rFonts w:ascii="Calibri" w:hAnsi="Calibri" w:cs="Calibri"/>
          <w:b w:val="0"/>
          <w:color w:val="000000"/>
          <w:szCs w:val="22"/>
        </w:rPr>
        <w:t xml:space="preserve">; and </w:t>
      </w:r>
    </w:p>
    <w:p w14:paraId="2420F427" w14:textId="77777777" w:rsidR="00512DEE" w:rsidRPr="00E533D1" w:rsidRDefault="002C3F71" w:rsidP="00512DEE">
      <w:pPr>
        <w:pStyle w:val="ListParagraph"/>
        <w:numPr>
          <w:ilvl w:val="0"/>
          <w:numId w:val="29"/>
        </w:numPr>
        <w:tabs>
          <w:tab w:val="left" w:pos="720"/>
        </w:tabs>
        <w:spacing w:line="276" w:lineRule="auto"/>
        <w:jc w:val="both"/>
        <w:rPr>
          <w:rFonts w:ascii="Calibri" w:hAnsi="Calibri" w:cs="Calibri"/>
          <w:b w:val="0"/>
          <w:color w:val="000000"/>
          <w:szCs w:val="22"/>
        </w:rPr>
      </w:pPr>
      <w:r w:rsidRPr="00E533D1">
        <w:rPr>
          <w:rFonts w:ascii="Calibri" w:hAnsi="Calibri" w:cs="Calibri"/>
          <w:b w:val="0"/>
          <w:color w:val="000000"/>
          <w:szCs w:val="22"/>
        </w:rPr>
        <w:t xml:space="preserve">Climatic conditions (periodic high winds, rain and snow) which often restricted the time when works could be undertaken. </w:t>
      </w:r>
    </w:p>
    <w:p w14:paraId="1F43509D" w14:textId="77777777" w:rsidR="00512DEE" w:rsidRPr="009A3FB3" w:rsidRDefault="00512DEE" w:rsidP="00512DEE">
      <w:pPr>
        <w:tabs>
          <w:tab w:val="left" w:pos="720"/>
        </w:tabs>
        <w:spacing w:line="276" w:lineRule="auto"/>
        <w:ind w:left="-900"/>
        <w:jc w:val="both"/>
        <w:rPr>
          <w:rFonts w:ascii="Calibri" w:hAnsi="Calibri" w:cs="Calibri"/>
          <w:b/>
          <w:color w:val="auto"/>
          <w:sz w:val="22"/>
          <w:szCs w:val="22"/>
        </w:rPr>
      </w:pPr>
    </w:p>
    <w:p w14:paraId="747865B5" w14:textId="77777777" w:rsidR="00512DEE" w:rsidRPr="009A3FB3" w:rsidRDefault="002C3F71" w:rsidP="00F81E85">
      <w:pPr>
        <w:pStyle w:val="ListParagraph"/>
        <w:numPr>
          <w:ilvl w:val="0"/>
          <w:numId w:val="21"/>
        </w:numPr>
        <w:spacing w:line="276" w:lineRule="auto"/>
        <w:ind w:left="-360"/>
        <w:jc w:val="both"/>
        <w:rPr>
          <w:rFonts w:ascii="Calibri" w:hAnsi="Calibri" w:cs="Calibri"/>
          <w:b w:val="0"/>
          <w:color w:val="auto"/>
          <w:szCs w:val="22"/>
        </w:rPr>
      </w:pPr>
      <w:r w:rsidRPr="009A3FB3">
        <w:rPr>
          <w:rFonts w:ascii="Calibri" w:hAnsi="Calibri" w:cs="Calibri"/>
          <w:b w:val="0"/>
          <w:color w:val="auto"/>
          <w:szCs w:val="22"/>
        </w:rPr>
        <w:t xml:space="preserve">While, at the time of the third extension, it was estimated that seven months would be needed to complete these works, another three months were added as a precautionary measure in the case that any additional climate-related delays occurred. In addition, implementation was slowed due to the strict radiological measures established by the national nuclear regulatory agency (ARN) and the Bank. </w:t>
      </w:r>
    </w:p>
    <w:p w14:paraId="49E2C651" w14:textId="77777777" w:rsidR="00512DEE" w:rsidRPr="009A3FB3" w:rsidRDefault="00512DEE" w:rsidP="00512DEE">
      <w:pPr>
        <w:pStyle w:val="ListParagraph"/>
        <w:widowControl/>
        <w:spacing w:line="276" w:lineRule="auto"/>
        <w:jc w:val="both"/>
        <w:rPr>
          <w:rFonts w:ascii="Calibri" w:hAnsi="Calibri" w:cs="Calibri"/>
          <w:b w:val="0"/>
          <w:color w:val="auto"/>
          <w:szCs w:val="22"/>
        </w:rPr>
      </w:pPr>
    </w:p>
    <w:p w14:paraId="1BDEEB1E" w14:textId="77777777" w:rsidR="00F81E85" w:rsidRDefault="002C3F71" w:rsidP="00647697">
      <w:pPr>
        <w:pStyle w:val="ListParagraph"/>
        <w:numPr>
          <w:ilvl w:val="0"/>
          <w:numId w:val="21"/>
        </w:numPr>
        <w:spacing w:line="276" w:lineRule="auto"/>
        <w:ind w:left="-360"/>
        <w:jc w:val="both"/>
        <w:rPr>
          <w:rFonts w:ascii="Calibri" w:hAnsi="Calibri" w:cs="Calibri"/>
          <w:b w:val="0"/>
          <w:color w:val="auto"/>
          <w:szCs w:val="22"/>
        </w:rPr>
      </w:pPr>
      <w:r w:rsidRPr="00647697">
        <w:rPr>
          <w:rFonts w:ascii="Calibri" w:hAnsi="Calibri" w:cs="Calibri"/>
          <w:color w:val="auto"/>
          <w:szCs w:val="22"/>
        </w:rPr>
        <w:t xml:space="preserve">Decision to Build a Public Green Space in </w:t>
      </w:r>
      <w:proofErr w:type="spellStart"/>
      <w:r w:rsidR="00E67AAC" w:rsidRPr="00647697">
        <w:rPr>
          <w:rFonts w:ascii="Calibri" w:hAnsi="Calibri" w:cs="Calibri"/>
          <w:color w:val="auto"/>
          <w:szCs w:val="22"/>
        </w:rPr>
        <w:t>Malargüe</w:t>
      </w:r>
      <w:proofErr w:type="spellEnd"/>
      <w:r w:rsidRPr="00647697">
        <w:rPr>
          <w:rFonts w:ascii="Calibri" w:hAnsi="Calibri" w:cs="Calibri"/>
          <w:color w:val="auto"/>
          <w:szCs w:val="22"/>
        </w:rPr>
        <w:t xml:space="preserve">. </w:t>
      </w:r>
      <w:bookmarkStart w:id="59" w:name="_Hlk499058946"/>
      <w:r w:rsidRPr="00647697">
        <w:rPr>
          <w:rFonts w:ascii="Calibri" w:hAnsi="Calibri" w:cs="Calibri"/>
          <w:b w:val="0"/>
          <w:color w:val="auto"/>
          <w:szCs w:val="22"/>
        </w:rPr>
        <w:t xml:space="preserve">As part of the mitigation measures at the legacy site, following the MTR the municipality and CNEA agreed to build a public green space in a non-contaminated area </w:t>
      </w:r>
      <w:r w:rsidR="0018231E">
        <w:rPr>
          <w:rFonts w:ascii="Calibri" w:hAnsi="Calibri" w:cs="Calibri"/>
          <w:b w:val="0"/>
          <w:color w:val="auto"/>
          <w:szCs w:val="22"/>
        </w:rPr>
        <w:t xml:space="preserve">adjacent to the </w:t>
      </w:r>
      <w:proofErr w:type="spellStart"/>
      <w:r w:rsidR="00E52891">
        <w:rPr>
          <w:rFonts w:ascii="Calibri" w:hAnsi="Calibri" w:cs="Calibri"/>
          <w:b w:val="0"/>
          <w:color w:val="auto"/>
          <w:szCs w:val="22"/>
        </w:rPr>
        <w:t>Malargüe</w:t>
      </w:r>
      <w:proofErr w:type="spellEnd"/>
      <w:r w:rsidRPr="00647697">
        <w:rPr>
          <w:rFonts w:ascii="Calibri" w:hAnsi="Calibri" w:cs="Calibri"/>
          <w:b w:val="0"/>
          <w:color w:val="auto"/>
          <w:szCs w:val="22"/>
        </w:rPr>
        <w:t xml:space="preserve"> </w:t>
      </w:r>
      <w:r w:rsidR="0018231E">
        <w:rPr>
          <w:rFonts w:ascii="Calibri" w:hAnsi="Calibri" w:cs="Calibri"/>
          <w:b w:val="0"/>
          <w:color w:val="auto"/>
          <w:szCs w:val="22"/>
        </w:rPr>
        <w:t xml:space="preserve">site </w:t>
      </w:r>
      <w:r w:rsidRPr="00647697">
        <w:rPr>
          <w:rFonts w:ascii="Calibri" w:hAnsi="Calibri" w:cs="Calibri"/>
          <w:b w:val="0"/>
          <w:color w:val="auto"/>
          <w:szCs w:val="22"/>
        </w:rPr>
        <w:t>based on a design proposed by local citizens</w:t>
      </w:r>
      <w:r w:rsidR="00A21167" w:rsidRPr="00647697">
        <w:rPr>
          <w:rFonts w:ascii="Calibri" w:hAnsi="Calibri" w:cs="Calibri"/>
          <w:b w:val="0"/>
          <w:color w:val="auto"/>
          <w:szCs w:val="22"/>
        </w:rPr>
        <w:t xml:space="preserve"> (the EIA suggested the development a public/recreational space)</w:t>
      </w:r>
      <w:r w:rsidRPr="00647697">
        <w:rPr>
          <w:rFonts w:ascii="Calibri" w:hAnsi="Calibri" w:cs="Calibri"/>
          <w:b w:val="0"/>
          <w:color w:val="auto"/>
          <w:szCs w:val="22"/>
        </w:rPr>
        <w:t xml:space="preserve">.  The estimated time required to complete the bidding (valued at US$1.2M) and construction of the park was seven months and </w:t>
      </w:r>
      <w:r w:rsidR="00F60583" w:rsidRPr="00647697">
        <w:rPr>
          <w:rFonts w:ascii="Calibri" w:hAnsi="Calibri" w:cs="Calibri"/>
          <w:b w:val="0"/>
          <w:color w:val="auto"/>
          <w:szCs w:val="22"/>
        </w:rPr>
        <w:t xml:space="preserve">the team took the risk to approve its construction </w:t>
      </w:r>
      <w:r w:rsidR="00647697" w:rsidRPr="00647697">
        <w:rPr>
          <w:rFonts w:ascii="Calibri" w:hAnsi="Calibri" w:cs="Calibri"/>
          <w:b w:val="0"/>
          <w:color w:val="auto"/>
          <w:szCs w:val="22"/>
        </w:rPr>
        <w:t xml:space="preserve">considering the </w:t>
      </w:r>
      <w:r w:rsidR="00F60583" w:rsidRPr="00647697">
        <w:rPr>
          <w:rFonts w:ascii="Calibri" w:hAnsi="Calibri" w:cs="Calibri"/>
          <w:b w:val="0"/>
          <w:color w:val="auto"/>
          <w:szCs w:val="22"/>
        </w:rPr>
        <w:t xml:space="preserve">positive </w:t>
      </w:r>
      <w:r w:rsidR="00647697" w:rsidRPr="00647697">
        <w:rPr>
          <w:rFonts w:ascii="Calibri" w:hAnsi="Calibri" w:cs="Calibri"/>
          <w:b w:val="0"/>
          <w:color w:val="auto"/>
          <w:szCs w:val="22"/>
        </w:rPr>
        <w:t xml:space="preserve">social </w:t>
      </w:r>
      <w:r w:rsidR="00F60583" w:rsidRPr="00647697">
        <w:rPr>
          <w:rFonts w:ascii="Calibri" w:hAnsi="Calibri" w:cs="Calibri"/>
          <w:b w:val="0"/>
          <w:color w:val="auto"/>
          <w:szCs w:val="22"/>
        </w:rPr>
        <w:t xml:space="preserve">impact </w:t>
      </w:r>
      <w:r w:rsidR="00647697" w:rsidRPr="00647697">
        <w:rPr>
          <w:rFonts w:ascii="Calibri" w:hAnsi="Calibri" w:cs="Calibri"/>
          <w:b w:val="0"/>
          <w:color w:val="auto"/>
          <w:szCs w:val="22"/>
        </w:rPr>
        <w:t xml:space="preserve">that this would represent to </w:t>
      </w:r>
      <w:r w:rsidR="00F60583" w:rsidRPr="00647697">
        <w:rPr>
          <w:rFonts w:ascii="Calibri" w:hAnsi="Calibri" w:cs="Calibri"/>
          <w:b w:val="0"/>
          <w:color w:val="auto"/>
          <w:szCs w:val="22"/>
        </w:rPr>
        <w:t>the community (</w:t>
      </w:r>
      <w:r w:rsidR="00647697">
        <w:rPr>
          <w:rFonts w:ascii="Calibri" w:hAnsi="Calibri" w:cs="Calibri"/>
          <w:b w:val="0"/>
          <w:color w:val="auto"/>
          <w:szCs w:val="22"/>
        </w:rPr>
        <w:t xml:space="preserve">reducing local </w:t>
      </w:r>
      <w:r w:rsidR="00647697" w:rsidRPr="00647697">
        <w:rPr>
          <w:rFonts w:ascii="Calibri" w:hAnsi="Calibri" w:cs="Calibri"/>
          <w:b w:val="0"/>
          <w:color w:val="auto"/>
          <w:szCs w:val="22"/>
        </w:rPr>
        <w:t xml:space="preserve">concerns </w:t>
      </w:r>
      <w:r w:rsidR="00647697">
        <w:rPr>
          <w:rFonts w:ascii="Calibri" w:hAnsi="Calibri" w:cs="Calibri"/>
          <w:b w:val="0"/>
          <w:color w:val="auto"/>
          <w:szCs w:val="22"/>
        </w:rPr>
        <w:t xml:space="preserve">towards </w:t>
      </w:r>
      <w:r w:rsidR="00F60583" w:rsidRPr="00647697">
        <w:rPr>
          <w:rFonts w:ascii="Calibri" w:hAnsi="Calibri" w:cs="Calibri"/>
          <w:b w:val="0"/>
          <w:color w:val="auto"/>
          <w:szCs w:val="22"/>
        </w:rPr>
        <w:t xml:space="preserve">the legacy site) and </w:t>
      </w:r>
      <w:r w:rsidR="0018231E">
        <w:rPr>
          <w:rFonts w:ascii="Calibri" w:hAnsi="Calibri" w:cs="Calibri"/>
          <w:b w:val="0"/>
          <w:color w:val="auto"/>
          <w:szCs w:val="22"/>
        </w:rPr>
        <w:t xml:space="preserve">to </w:t>
      </w:r>
      <w:r w:rsidR="00F60583" w:rsidRPr="00647697">
        <w:rPr>
          <w:rFonts w:ascii="Calibri" w:hAnsi="Calibri" w:cs="Calibri"/>
          <w:b w:val="0"/>
          <w:color w:val="auto"/>
          <w:szCs w:val="22"/>
        </w:rPr>
        <w:t xml:space="preserve">the local government.  </w:t>
      </w:r>
      <w:bookmarkEnd w:id="59"/>
    </w:p>
    <w:p w14:paraId="51EEA1A2" w14:textId="77777777" w:rsidR="00647697" w:rsidRPr="00647697" w:rsidRDefault="00647697" w:rsidP="005034ED">
      <w:pPr>
        <w:pStyle w:val="ListParagraph"/>
        <w:rPr>
          <w:rFonts w:ascii="Calibri" w:hAnsi="Calibri" w:cs="Calibri"/>
          <w:b w:val="0"/>
          <w:color w:val="auto"/>
          <w:szCs w:val="22"/>
        </w:rPr>
      </w:pPr>
    </w:p>
    <w:p w14:paraId="4ABBA57C" w14:textId="77777777" w:rsidR="00A21167" w:rsidRDefault="002C3F71" w:rsidP="00F81E85">
      <w:pPr>
        <w:pStyle w:val="ListParagraph"/>
        <w:numPr>
          <w:ilvl w:val="0"/>
          <w:numId w:val="21"/>
        </w:numPr>
        <w:spacing w:line="276" w:lineRule="auto"/>
        <w:ind w:left="-360"/>
        <w:jc w:val="both"/>
        <w:rPr>
          <w:rFonts w:ascii="Calibri" w:hAnsi="Calibri" w:cs="Calibri"/>
          <w:b w:val="0"/>
          <w:color w:val="auto"/>
          <w:szCs w:val="22"/>
        </w:rPr>
      </w:pPr>
      <w:r>
        <w:rPr>
          <w:rFonts w:ascii="Calibri" w:hAnsi="Calibri" w:cs="Calibri"/>
          <w:b w:val="0"/>
          <w:color w:val="auto"/>
          <w:szCs w:val="22"/>
        </w:rPr>
        <w:t>G</w:t>
      </w:r>
      <w:r w:rsidR="00E67AAC">
        <w:rPr>
          <w:rFonts w:ascii="Calibri" w:hAnsi="Calibri" w:cs="Calibri"/>
          <w:b w:val="0"/>
          <w:color w:val="auto"/>
          <w:szCs w:val="22"/>
        </w:rPr>
        <w:t>overnment authorities</w:t>
      </w:r>
      <w:r w:rsidR="00D32F0B">
        <w:rPr>
          <w:rFonts w:ascii="Calibri" w:hAnsi="Calibri" w:cs="Calibri"/>
          <w:b w:val="0"/>
          <w:color w:val="auto"/>
          <w:szCs w:val="22"/>
        </w:rPr>
        <w:t xml:space="preserve"> changed</w:t>
      </w:r>
      <w:r>
        <w:rPr>
          <w:rFonts w:ascii="Calibri" w:hAnsi="Calibri" w:cs="Calibri"/>
          <w:b w:val="0"/>
          <w:color w:val="auto"/>
          <w:szCs w:val="22"/>
        </w:rPr>
        <w:t xml:space="preserve"> three times</w:t>
      </w:r>
      <w:r w:rsidR="00E67AAC">
        <w:rPr>
          <w:rFonts w:ascii="Calibri" w:hAnsi="Calibri" w:cs="Calibri"/>
          <w:b w:val="0"/>
          <w:color w:val="auto"/>
          <w:szCs w:val="22"/>
        </w:rPr>
        <w:t xml:space="preserve">, including </w:t>
      </w:r>
      <w:r w:rsidR="00D32F0B">
        <w:rPr>
          <w:rFonts w:ascii="Calibri" w:hAnsi="Calibri" w:cs="Calibri"/>
          <w:b w:val="0"/>
          <w:color w:val="auto"/>
          <w:szCs w:val="22"/>
        </w:rPr>
        <w:t xml:space="preserve">through a </w:t>
      </w:r>
      <w:r w:rsidR="00D32F0B" w:rsidRPr="00F81E85">
        <w:rPr>
          <w:rFonts w:ascii="Calibri" w:hAnsi="Calibri" w:cs="Calibri"/>
          <w:b w:val="0"/>
          <w:color w:val="auto"/>
          <w:szCs w:val="22"/>
        </w:rPr>
        <w:t>Presidential election (November 2015)</w:t>
      </w:r>
      <w:r w:rsidR="00D32F0B">
        <w:rPr>
          <w:rFonts w:ascii="Calibri" w:hAnsi="Calibri" w:cs="Calibri"/>
          <w:b w:val="0"/>
          <w:color w:val="auto"/>
          <w:szCs w:val="22"/>
        </w:rPr>
        <w:t xml:space="preserve">. </w:t>
      </w:r>
      <w:r w:rsidR="00D32F0B" w:rsidRPr="00F81E85">
        <w:rPr>
          <w:rFonts w:ascii="Calibri" w:hAnsi="Calibri" w:cs="Calibri"/>
          <w:b w:val="0"/>
          <w:color w:val="auto"/>
          <w:szCs w:val="22"/>
        </w:rPr>
        <w:t xml:space="preserve"> </w:t>
      </w:r>
      <w:r w:rsidR="00D32F0B">
        <w:rPr>
          <w:rFonts w:ascii="Calibri" w:hAnsi="Calibri" w:cs="Calibri"/>
          <w:b w:val="0"/>
          <w:color w:val="auto"/>
          <w:szCs w:val="22"/>
        </w:rPr>
        <w:t xml:space="preserve">This led to internal </w:t>
      </w:r>
      <w:r w:rsidR="00E67AAC">
        <w:rPr>
          <w:rFonts w:ascii="Calibri" w:hAnsi="Calibri" w:cs="Calibri"/>
          <w:b w:val="0"/>
          <w:color w:val="auto"/>
          <w:szCs w:val="22"/>
        </w:rPr>
        <w:t>procedures which</w:t>
      </w:r>
      <w:r w:rsidR="00D32F0B" w:rsidRPr="00F81E85">
        <w:rPr>
          <w:rFonts w:ascii="Calibri" w:hAnsi="Calibri" w:cs="Calibri"/>
          <w:b w:val="0"/>
          <w:color w:val="auto"/>
          <w:szCs w:val="22"/>
        </w:rPr>
        <w:t xml:space="preserve"> had repercussions and delays </w:t>
      </w:r>
      <w:r w:rsidR="00E67AAC">
        <w:rPr>
          <w:rFonts w:ascii="Calibri" w:hAnsi="Calibri" w:cs="Calibri"/>
          <w:b w:val="0"/>
          <w:color w:val="auto"/>
          <w:szCs w:val="22"/>
        </w:rPr>
        <w:t>(</w:t>
      </w:r>
      <w:r w:rsidR="00D32F0B">
        <w:rPr>
          <w:rFonts w:ascii="Calibri" w:hAnsi="Calibri" w:cs="Calibri"/>
          <w:b w:val="0"/>
          <w:color w:val="auto"/>
          <w:szCs w:val="22"/>
        </w:rPr>
        <w:t xml:space="preserve">e.g. </w:t>
      </w:r>
      <w:r w:rsidR="00E67AAC">
        <w:rPr>
          <w:rFonts w:ascii="Calibri" w:hAnsi="Calibri" w:cs="Calibri"/>
          <w:b w:val="0"/>
          <w:color w:val="auto"/>
          <w:szCs w:val="22"/>
        </w:rPr>
        <w:t xml:space="preserve">adding about 10 months without a budget line from the government) </w:t>
      </w:r>
      <w:r w:rsidR="00D32F0B" w:rsidRPr="00F81E85">
        <w:rPr>
          <w:rFonts w:ascii="Calibri" w:hAnsi="Calibri" w:cs="Calibri"/>
          <w:b w:val="0"/>
          <w:color w:val="auto"/>
          <w:szCs w:val="22"/>
        </w:rPr>
        <w:t>in the implementation and affected the flow of project and counterpart funds to CNEA.  While this election entailed a change of administration, the technical and administrative project team at CNEA w</w:t>
      </w:r>
      <w:r w:rsidR="0065683C">
        <w:rPr>
          <w:rFonts w:ascii="Calibri" w:hAnsi="Calibri" w:cs="Calibri"/>
          <w:b w:val="0"/>
          <w:color w:val="auto"/>
          <w:szCs w:val="22"/>
        </w:rPr>
        <w:t>ere</w:t>
      </w:r>
      <w:r w:rsidR="00D32F0B" w:rsidRPr="00F81E85">
        <w:rPr>
          <w:rFonts w:ascii="Calibri" w:hAnsi="Calibri" w:cs="Calibri"/>
          <w:b w:val="0"/>
          <w:color w:val="auto"/>
          <w:szCs w:val="22"/>
        </w:rPr>
        <w:t xml:space="preserve"> not affected.  </w:t>
      </w:r>
    </w:p>
    <w:p w14:paraId="1BC85386" w14:textId="77777777" w:rsidR="00D978AD" w:rsidRPr="00D978AD" w:rsidRDefault="00D978AD" w:rsidP="00D978AD">
      <w:pPr>
        <w:pStyle w:val="ListParagraph"/>
        <w:rPr>
          <w:rFonts w:ascii="Calibri" w:hAnsi="Calibri" w:cs="Calibri"/>
          <w:b w:val="0"/>
          <w:color w:val="auto"/>
          <w:szCs w:val="22"/>
        </w:rPr>
      </w:pPr>
    </w:p>
    <w:p w14:paraId="6F390E79" w14:textId="77777777" w:rsidR="00D978AD" w:rsidRPr="00F81E85" w:rsidRDefault="00D978AD" w:rsidP="00D978AD">
      <w:pPr>
        <w:pStyle w:val="ListParagraph"/>
        <w:spacing w:line="276" w:lineRule="auto"/>
        <w:ind w:left="-360"/>
        <w:jc w:val="both"/>
        <w:rPr>
          <w:rFonts w:ascii="Calibri" w:hAnsi="Calibri" w:cs="Calibri"/>
          <w:b w:val="0"/>
          <w:color w:val="auto"/>
          <w:szCs w:val="22"/>
        </w:rPr>
      </w:pPr>
    </w:p>
    <w:p w14:paraId="7AED2D24" w14:textId="77777777" w:rsidR="00A21167" w:rsidRPr="002F6191" w:rsidRDefault="00A21167" w:rsidP="00135A5C">
      <w:pPr>
        <w:pStyle w:val="ListParagraph"/>
        <w:rPr>
          <w:rFonts w:ascii="Calibri" w:hAnsi="Calibri" w:cs="Calibri"/>
          <w:b w:val="0"/>
          <w:color w:val="auto"/>
          <w:szCs w:val="22"/>
        </w:rPr>
      </w:pPr>
    </w:p>
    <w:p w14:paraId="77E9C193" w14:textId="77777777" w:rsidR="003615CB" w:rsidRPr="00CB304D" w:rsidRDefault="003615CB" w:rsidP="00F81AC2">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E63776" w14:paraId="61AB2E8A" w14:textId="77777777" w:rsidTr="008565D8">
        <w:trPr>
          <w:trHeight w:val="432"/>
        </w:trPr>
        <w:tc>
          <w:tcPr>
            <w:tcW w:w="10962" w:type="dxa"/>
            <w:shd w:val="clear" w:color="auto" w:fill="F2F7FC"/>
            <w:vAlign w:val="center"/>
          </w:tcPr>
          <w:p w14:paraId="5DB41C36" w14:textId="77777777" w:rsidR="003615CB" w:rsidRPr="00CB304D" w:rsidRDefault="002C3F71" w:rsidP="00F81AC2">
            <w:pPr>
              <w:pStyle w:val="NoSpacing"/>
              <w:keepNext/>
              <w:numPr>
                <w:ilvl w:val="0"/>
                <w:numId w:val="1"/>
              </w:numPr>
              <w:ind w:left="288" w:hanging="288"/>
              <w:outlineLvl w:val="0"/>
              <w:rPr>
                <w:rFonts w:asciiTheme="minorHAnsi" w:hAnsiTheme="minorHAnsi"/>
                <w:b/>
                <w:sz w:val="22"/>
                <w:szCs w:val="22"/>
              </w:rPr>
            </w:pPr>
            <w:bookmarkStart w:id="60" w:name="_Toc256000021"/>
            <w:bookmarkStart w:id="61" w:name="_Toc485984554"/>
            <w:bookmarkStart w:id="62" w:name="_Toc502164472"/>
            <w:r w:rsidRPr="00CB304D">
              <w:rPr>
                <w:rFonts w:asciiTheme="minorHAnsi" w:hAnsiTheme="minorHAnsi"/>
                <w:b/>
                <w:sz w:val="22"/>
                <w:szCs w:val="22"/>
              </w:rPr>
              <w:t>BANK PERFORMANCE, COMPLIANCE ISSUES, AND RISK TO DEVELOPMENT OUTCOME</w:t>
            </w:r>
            <w:bookmarkEnd w:id="60"/>
            <w:bookmarkEnd w:id="61"/>
            <w:bookmarkEnd w:id="62"/>
          </w:p>
        </w:tc>
      </w:tr>
    </w:tbl>
    <w:p w14:paraId="7F2545B0" w14:textId="77777777" w:rsidR="003615CB" w:rsidRPr="00CB304D" w:rsidRDefault="003615CB"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20EEA531" w14:textId="77777777" w:rsidTr="003615CB">
        <w:trPr>
          <w:trHeight w:val="80"/>
        </w:trPr>
        <w:tc>
          <w:tcPr>
            <w:tcW w:w="10710" w:type="dxa"/>
          </w:tcPr>
          <w:p w14:paraId="53EF5DCF" w14:textId="77777777" w:rsidR="003615CB" w:rsidRPr="00CB304D" w:rsidRDefault="002C3F71" w:rsidP="00F81AC2">
            <w:pPr>
              <w:pStyle w:val="Heading2"/>
              <w:keepLines w:val="0"/>
              <w:outlineLvl w:val="1"/>
              <w:rPr>
                <w:szCs w:val="22"/>
              </w:rPr>
            </w:pPr>
            <w:bookmarkStart w:id="63" w:name="_Toc256000022"/>
            <w:bookmarkStart w:id="64" w:name="_Toc433982420"/>
            <w:bookmarkStart w:id="65" w:name="_Toc460509200"/>
            <w:bookmarkStart w:id="66" w:name="_Toc485984555"/>
            <w:bookmarkStart w:id="67" w:name="_Toc502164473"/>
            <w:r w:rsidRPr="00CB304D">
              <w:rPr>
                <w:b/>
                <w:bCs/>
                <w:szCs w:val="22"/>
              </w:rPr>
              <w:t>A.</w:t>
            </w:r>
            <w:r w:rsidRPr="00CB304D">
              <w:rPr>
                <w:b/>
                <w:szCs w:val="22"/>
              </w:rPr>
              <w:t xml:space="preserve"> </w:t>
            </w:r>
            <w:r w:rsidR="00974FB5" w:rsidRPr="00CB304D">
              <w:rPr>
                <w:b/>
                <w:szCs w:val="22"/>
              </w:rPr>
              <w:t>QUALITY OF MONITORING AND EVALUATION (M&amp;E)</w:t>
            </w:r>
            <w:bookmarkEnd w:id="63"/>
            <w:bookmarkEnd w:id="64"/>
            <w:bookmarkEnd w:id="65"/>
            <w:bookmarkEnd w:id="66"/>
            <w:bookmarkEnd w:id="67"/>
          </w:p>
        </w:tc>
      </w:tr>
    </w:tbl>
    <w:p w14:paraId="7E441E37" w14:textId="77777777" w:rsidR="003615CB" w:rsidRPr="00CB304D" w:rsidRDefault="003615CB" w:rsidP="00F81AC2">
      <w:pPr>
        <w:ind w:left="-634"/>
        <w:rPr>
          <w:rFonts w:asciiTheme="minorHAnsi" w:hAnsiTheme="minorHAnsi"/>
          <w:bCs/>
          <w:color w:val="auto"/>
          <w:sz w:val="22"/>
          <w:szCs w:val="22"/>
        </w:rPr>
      </w:pPr>
    </w:p>
    <w:tbl>
      <w:tblPr>
        <w:tblW w:w="10980" w:type="dxa"/>
        <w:tblInd w:w="-81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69086C2A" w14:textId="77777777" w:rsidTr="007A3348">
        <w:trPr>
          <w:trHeight w:val="90"/>
        </w:trPr>
        <w:tc>
          <w:tcPr>
            <w:tcW w:w="10980" w:type="dxa"/>
            <w:shd w:val="clear" w:color="auto" w:fill="auto"/>
            <w:vAlign w:val="center"/>
          </w:tcPr>
          <w:p w14:paraId="164826E2" w14:textId="77777777" w:rsidR="003D37E6" w:rsidRPr="00135A5C" w:rsidRDefault="002C3F71" w:rsidP="00F81E85">
            <w:pPr>
              <w:pStyle w:val="Heading3"/>
              <w:ind w:left="342"/>
            </w:pPr>
            <w:r w:rsidRPr="00CB304D">
              <w:rPr>
                <w:szCs w:val="22"/>
              </w:rPr>
              <w:t>M&amp;E Design</w:t>
            </w:r>
          </w:p>
        </w:tc>
      </w:tr>
      <w:tr w:rsidR="00E63776" w14:paraId="4F135B8F" w14:textId="77777777" w:rsidTr="007A3348">
        <w:trPr>
          <w:trHeight w:val="297"/>
        </w:trPr>
        <w:tc>
          <w:tcPr>
            <w:tcW w:w="10980" w:type="dxa"/>
            <w:shd w:val="clear" w:color="auto" w:fill="auto"/>
            <w:vAlign w:val="center"/>
          </w:tcPr>
          <w:p w14:paraId="032A6CB7" w14:textId="77777777" w:rsidR="008D294E" w:rsidRDefault="008D294E" w:rsidP="008D294E"/>
          <w:p w14:paraId="0D9959B6" w14:textId="77777777" w:rsidR="0057569F" w:rsidRPr="005076AB" w:rsidRDefault="002C3F71" w:rsidP="008449B1">
            <w:pPr>
              <w:pStyle w:val="ListParagraph"/>
              <w:numPr>
                <w:ilvl w:val="0"/>
                <w:numId w:val="21"/>
              </w:numPr>
              <w:spacing w:line="276" w:lineRule="auto"/>
              <w:jc w:val="both"/>
              <w:rPr>
                <w:rFonts w:ascii="Calibri" w:hAnsi="Calibri" w:cs="Calibri"/>
                <w:b w:val="0"/>
                <w:color w:val="auto"/>
                <w:szCs w:val="22"/>
              </w:rPr>
            </w:pPr>
            <w:proofErr w:type="gramStart"/>
            <w:r w:rsidRPr="00FE5F93">
              <w:rPr>
                <w:rFonts w:ascii="Calibri" w:hAnsi="Calibri" w:cs="Calibri"/>
                <w:b w:val="0"/>
                <w:color w:val="auto"/>
                <w:szCs w:val="22"/>
              </w:rPr>
              <w:t>According</w:t>
            </w:r>
            <w:r w:rsidRPr="00FE5F93">
              <w:rPr>
                <w:rFonts w:cstheme="minorHAnsi"/>
                <w:b w:val="0"/>
                <w:color w:val="auto"/>
                <w:szCs w:val="22"/>
              </w:rPr>
              <w:t xml:space="preserve"> to</w:t>
            </w:r>
            <w:proofErr w:type="gramEnd"/>
            <w:r w:rsidRPr="00FE5F93">
              <w:rPr>
                <w:rFonts w:cstheme="minorHAnsi"/>
                <w:b w:val="0"/>
                <w:color w:val="auto"/>
                <w:szCs w:val="22"/>
              </w:rPr>
              <w:t xml:space="preserve"> the PAD (para. 34, pp. 12-13), a monitoring and evaluation (M&amp;E) system had been designed to assess progress toward the achievement of the PDOs and indicators</w:t>
            </w:r>
            <w:r w:rsidR="0018231E">
              <w:rPr>
                <w:rFonts w:cstheme="minorHAnsi"/>
                <w:b w:val="0"/>
                <w:color w:val="auto"/>
                <w:szCs w:val="22"/>
              </w:rPr>
              <w:t>,</w:t>
            </w:r>
            <w:r w:rsidRPr="00FE5F93">
              <w:rPr>
                <w:rFonts w:cstheme="minorHAnsi"/>
                <w:b w:val="0"/>
                <w:color w:val="auto"/>
                <w:szCs w:val="22"/>
              </w:rPr>
              <w:t xml:space="preserve"> and benchmarks had been defined and referred to in the Loan Agreement</w:t>
            </w:r>
            <w:r>
              <w:rPr>
                <w:rStyle w:val="FootnoteReference"/>
                <w:rFonts w:cstheme="minorHAnsi"/>
                <w:b w:val="0"/>
                <w:color w:val="auto"/>
                <w:szCs w:val="22"/>
              </w:rPr>
              <w:footnoteReference w:id="27"/>
            </w:r>
            <w:r w:rsidRPr="00FE5F93">
              <w:rPr>
                <w:rFonts w:cstheme="minorHAnsi"/>
                <w:b w:val="0"/>
                <w:color w:val="auto"/>
                <w:szCs w:val="22"/>
              </w:rPr>
              <w:t xml:space="preserve">.  </w:t>
            </w:r>
            <w:proofErr w:type="gramStart"/>
            <w:r w:rsidR="00FB796E">
              <w:rPr>
                <w:rFonts w:ascii="Calibri" w:hAnsi="Calibri" w:cs="Calibri"/>
                <w:b w:val="0"/>
                <w:color w:val="auto"/>
                <w:szCs w:val="22"/>
              </w:rPr>
              <w:t>In spite of</w:t>
            </w:r>
            <w:proofErr w:type="gramEnd"/>
            <w:r w:rsidR="00FB796E">
              <w:rPr>
                <w:rFonts w:ascii="Calibri" w:hAnsi="Calibri" w:cs="Calibri"/>
                <w:b w:val="0"/>
                <w:color w:val="auto"/>
                <w:szCs w:val="22"/>
              </w:rPr>
              <w:t xml:space="preserve"> these </w:t>
            </w:r>
            <w:r>
              <w:rPr>
                <w:rFonts w:ascii="Calibri" w:hAnsi="Calibri" w:cs="Calibri"/>
                <w:b w:val="0"/>
                <w:color w:val="auto"/>
                <w:szCs w:val="22"/>
              </w:rPr>
              <w:t>measures, due to the poor quality of the Results Framework</w:t>
            </w:r>
            <w:r w:rsidR="00FB796E">
              <w:rPr>
                <w:rFonts w:ascii="Calibri" w:hAnsi="Calibri" w:cs="Calibri"/>
                <w:b w:val="0"/>
                <w:color w:val="auto"/>
                <w:szCs w:val="22"/>
              </w:rPr>
              <w:t>,</w:t>
            </w:r>
            <w:r>
              <w:rPr>
                <w:rFonts w:ascii="Calibri" w:hAnsi="Calibri" w:cs="Calibri"/>
                <w:b w:val="0"/>
                <w:color w:val="auto"/>
                <w:szCs w:val="22"/>
              </w:rPr>
              <w:t xml:space="preserve"> a number of the original outcomes indicators did not reflect what the project was actually intending to do and thus were inadequate.  For example, the first two original outcome indicators referred to the implementation and results of the implementation of remediation actions at sites other than </w:t>
            </w:r>
            <w:proofErr w:type="spellStart"/>
            <w:r w:rsidR="00E52891">
              <w:rPr>
                <w:rFonts w:ascii="Calibri" w:hAnsi="Calibri" w:cs="Calibri"/>
                <w:b w:val="0"/>
                <w:color w:val="auto"/>
                <w:szCs w:val="22"/>
              </w:rPr>
              <w:t>Malargüe</w:t>
            </w:r>
            <w:proofErr w:type="spellEnd"/>
            <w:r>
              <w:rPr>
                <w:rFonts w:ascii="Calibri" w:hAnsi="Calibri" w:cs="Calibri"/>
                <w:b w:val="0"/>
                <w:color w:val="auto"/>
                <w:szCs w:val="22"/>
              </w:rPr>
              <w:t xml:space="preserve">, which were never intended to occur as part of the </w:t>
            </w:r>
            <w:r w:rsidR="00FE5F93">
              <w:rPr>
                <w:rFonts w:ascii="Calibri" w:hAnsi="Calibri" w:cs="Calibri"/>
                <w:b w:val="0"/>
                <w:color w:val="auto"/>
                <w:szCs w:val="22"/>
              </w:rPr>
              <w:t xml:space="preserve">original </w:t>
            </w:r>
            <w:r>
              <w:rPr>
                <w:rFonts w:ascii="Calibri" w:hAnsi="Calibri" w:cs="Calibri"/>
                <w:b w:val="0"/>
                <w:color w:val="auto"/>
                <w:szCs w:val="22"/>
              </w:rPr>
              <w:t>project design.  Thus, the associated monitoring framework was also inadequate and needed to be revised during the MTR and formalized at the time of the first project restructuring in July 2013</w:t>
            </w:r>
            <w:r w:rsidR="00944C29">
              <w:rPr>
                <w:rFonts w:ascii="Calibri" w:hAnsi="Calibri" w:cs="Calibri"/>
                <w:b w:val="0"/>
                <w:color w:val="auto"/>
                <w:szCs w:val="22"/>
              </w:rPr>
              <w:t xml:space="preserve"> and later in the third restructuring (2015)</w:t>
            </w:r>
            <w:r>
              <w:rPr>
                <w:rFonts w:ascii="Calibri" w:hAnsi="Calibri" w:cs="Calibri"/>
                <w:b w:val="0"/>
                <w:color w:val="auto"/>
                <w:szCs w:val="22"/>
              </w:rPr>
              <w:t xml:space="preserve">.  Thus, there was a clear disconnect between the Results and Monitoring Frameworks included in the PAD and what the project </w:t>
            </w:r>
            <w:r w:rsidR="00944C29">
              <w:rPr>
                <w:rFonts w:ascii="Calibri" w:hAnsi="Calibri" w:cs="Calibri"/>
                <w:b w:val="0"/>
                <w:color w:val="auto"/>
                <w:szCs w:val="22"/>
              </w:rPr>
              <w:t>sought</w:t>
            </w:r>
            <w:r>
              <w:rPr>
                <w:rFonts w:ascii="Calibri" w:hAnsi="Calibri" w:cs="Calibri"/>
                <w:b w:val="0"/>
                <w:color w:val="auto"/>
                <w:szCs w:val="22"/>
              </w:rPr>
              <w:t xml:space="preserve"> to do in its Component 2.  This was a M&amp;E design shortcoming.</w:t>
            </w:r>
            <w:r w:rsidR="00F16E75">
              <w:rPr>
                <w:rFonts w:ascii="Calibri" w:hAnsi="Calibri" w:cs="Calibri"/>
                <w:b w:val="0"/>
                <w:color w:val="auto"/>
                <w:szCs w:val="22"/>
              </w:rPr>
              <w:t xml:space="preserve"> On the other hand, </w:t>
            </w:r>
            <w:r>
              <w:rPr>
                <w:rFonts w:ascii="Calibri" w:hAnsi="Calibri" w:cs="Calibri"/>
                <w:b w:val="0"/>
                <w:color w:val="auto"/>
                <w:szCs w:val="22"/>
              </w:rPr>
              <w:t xml:space="preserve">the </w:t>
            </w:r>
            <w:r w:rsidR="00F16E75">
              <w:rPr>
                <w:rFonts w:ascii="Calibri" w:hAnsi="Calibri" w:cs="Calibri"/>
                <w:b w:val="0"/>
                <w:color w:val="auto"/>
                <w:szCs w:val="22"/>
              </w:rPr>
              <w:t xml:space="preserve">M&amp;E </w:t>
            </w:r>
            <w:r w:rsidR="00A719DF">
              <w:rPr>
                <w:rFonts w:ascii="Calibri" w:hAnsi="Calibri" w:cs="Calibri"/>
                <w:b w:val="0"/>
                <w:color w:val="auto"/>
                <w:szCs w:val="22"/>
              </w:rPr>
              <w:t>design included o</w:t>
            </w:r>
            <w:r w:rsidR="008449B1">
              <w:rPr>
                <w:rFonts w:ascii="Calibri" w:hAnsi="Calibri" w:cs="Calibri"/>
                <w:b w:val="0"/>
                <w:color w:val="auto"/>
                <w:szCs w:val="22"/>
              </w:rPr>
              <w:t xml:space="preserve">ther instruments </w:t>
            </w:r>
            <w:r w:rsidR="00F16E75">
              <w:rPr>
                <w:rFonts w:ascii="Calibri" w:hAnsi="Calibri" w:cs="Calibri"/>
                <w:b w:val="0"/>
                <w:color w:val="auto"/>
                <w:szCs w:val="22"/>
              </w:rPr>
              <w:t xml:space="preserve">that </w:t>
            </w:r>
            <w:r w:rsidR="00A719DF">
              <w:rPr>
                <w:rFonts w:ascii="Calibri" w:hAnsi="Calibri" w:cs="Calibri"/>
                <w:b w:val="0"/>
                <w:color w:val="auto"/>
                <w:szCs w:val="22"/>
              </w:rPr>
              <w:t>enhance</w:t>
            </w:r>
            <w:r w:rsidR="00F16E75">
              <w:rPr>
                <w:rFonts w:ascii="Calibri" w:hAnsi="Calibri" w:cs="Calibri"/>
                <w:b w:val="0"/>
                <w:color w:val="auto"/>
                <w:szCs w:val="22"/>
              </w:rPr>
              <w:t>d</w:t>
            </w:r>
            <w:r w:rsidR="00A719DF">
              <w:rPr>
                <w:rFonts w:ascii="Calibri" w:hAnsi="Calibri" w:cs="Calibri"/>
                <w:b w:val="0"/>
                <w:color w:val="auto"/>
                <w:szCs w:val="22"/>
              </w:rPr>
              <w:t xml:space="preserve"> monitoring and supervision such as the </w:t>
            </w:r>
            <w:r w:rsidR="008449B1">
              <w:rPr>
                <w:rFonts w:ascii="Calibri" w:hAnsi="Calibri" w:cs="Calibri"/>
                <w:b w:val="0"/>
                <w:color w:val="auto"/>
                <w:szCs w:val="22"/>
              </w:rPr>
              <w:t xml:space="preserve">formation of a National Steering committee, a Social Fora and the development of the SIGA. </w:t>
            </w:r>
          </w:p>
        </w:tc>
      </w:tr>
      <w:tr w:rsidR="00E63776" w14:paraId="51738199" w14:textId="77777777" w:rsidTr="007A3348">
        <w:trPr>
          <w:trHeight w:val="80"/>
        </w:trPr>
        <w:tc>
          <w:tcPr>
            <w:tcW w:w="10980" w:type="dxa"/>
            <w:shd w:val="clear" w:color="auto" w:fill="auto"/>
            <w:vAlign w:val="center"/>
          </w:tcPr>
          <w:p w14:paraId="34AC4F85" w14:textId="77777777" w:rsidR="00F81E85" w:rsidRPr="00CB304D" w:rsidRDefault="00F81E85" w:rsidP="008D294E">
            <w:pPr>
              <w:widowControl/>
              <w:autoSpaceDE/>
              <w:autoSpaceDN/>
              <w:adjustRightInd/>
              <w:spacing w:before="40" w:line="259" w:lineRule="auto"/>
              <w:ind w:left="360"/>
              <w:outlineLvl w:val="1"/>
              <w:rPr>
                <w:rFonts w:asciiTheme="minorHAnsi" w:eastAsiaTheme="majorEastAsia" w:hAnsiTheme="minorHAnsi" w:cstheme="majorBidi"/>
                <w:color w:val="auto"/>
                <w:sz w:val="22"/>
                <w:szCs w:val="22"/>
              </w:rPr>
            </w:pPr>
          </w:p>
        </w:tc>
      </w:tr>
      <w:tr w:rsidR="00E63776" w14:paraId="41EC59E1" w14:textId="77777777" w:rsidTr="007A3348">
        <w:trPr>
          <w:trHeight w:val="80"/>
        </w:trPr>
        <w:tc>
          <w:tcPr>
            <w:tcW w:w="10980" w:type="dxa"/>
            <w:shd w:val="clear" w:color="auto" w:fill="auto"/>
            <w:vAlign w:val="center"/>
          </w:tcPr>
          <w:p w14:paraId="573FB414" w14:textId="77777777" w:rsidR="008D294E" w:rsidRPr="00CB304D" w:rsidRDefault="002C3F71" w:rsidP="008D294E">
            <w:pPr>
              <w:pStyle w:val="Heading3"/>
              <w:ind w:left="342"/>
              <w:rPr>
                <w:color w:val="auto"/>
                <w:szCs w:val="22"/>
              </w:rPr>
            </w:pPr>
            <w:r w:rsidRPr="00CB304D">
              <w:rPr>
                <w:szCs w:val="22"/>
              </w:rPr>
              <w:t>M&amp;E Implementation</w:t>
            </w:r>
          </w:p>
        </w:tc>
      </w:tr>
      <w:tr w:rsidR="00E63776" w14:paraId="5EAEB713" w14:textId="77777777" w:rsidTr="007A3348">
        <w:trPr>
          <w:trHeight w:val="180"/>
        </w:trPr>
        <w:tc>
          <w:tcPr>
            <w:tcW w:w="10980" w:type="dxa"/>
            <w:shd w:val="clear" w:color="auto" w:fill="auto"/>
            <w:vAlign w:val="center"/>
          </w:tcPr>
          <w:p w14:paraId="2340D4D2" w14:textId="77777777" w:rsidR="001E2150" w:rsidRDefault="001E2150" w:rsidP="001E2150">
            <w:pPr>
              <w:pStyle w:val="ListParagraph"/>
              <w:widowControl/>
              <w:spacing w:line="276" w:lineRule="auto"/>
              <w:ind w:left="360"/>
              <w:jc w:val="both"/>
              <w:rPr>
                <w:rFonts w:eastAsiaTheme="minorHAnsi" w:cstheme="minorBidi"/>
                <w:b w:val="0"/>
                <w:color w:val="000000" w:themeColor="text1"/>
                <w:szCs w:val="22"/>
              </w:rPr>
            </w:pPr>
          </w:p>
          <w:p w14:paraId="09314C17" w14:textId="6EB9595A" w:rsidR="0044009B" w:rsidRDefault="002C3F71" w:rsidP="0044009B">
            <w:pPr>
              <w:pStyle w:val="ListParagraph"/>
              <w:numPr>
                <w:ilvl w:val="0"/>
                <w:numId w:val="21"/>
              </w:numPr>
              <w:spacing w:line="276" w:lineRule="auto"/>
              <w:jc w:val="both"/>
              <w:rPr>
                <w:rFonts w:eastAsiaTheme="minorHAnsi" w:cstheme="minorBidi"/>
                <w:b w:val="0"/>
                <w:color w:val="000000" w:themeColor="text1"/>
                <w:szCs w:val="22"/>
              </w:rPr>
            </w:pPr>
            <w:r w:rsidRPr="00793C69">
              <w:rPr>
                <w:rFonts w:eastAsiaTheme="minorHAnsi" w:cstheme="minorBidi"/>
                <w:b w:val="0"/>
                <w:color w:val="000000" w:themeColor="text1"/>
                <w:szCs w:val="22"/>
              </w:rPr>
              <w:t>As indicated above</w:t>
            </w:r>
            <w:r w:rsidR="0051283B">
              <w:rPr>
                <w:rFonts w:eastAsiaTheme="minorHAnsi" w:cstheme="minorBidi"/>
                <w:b w:val="0"/>
                <w:color w:val="000000" w:themeColor="text1"/>
                <w:szCs w:val="22"/>
              </w:rPr>
              <w:t>,</w:t>
            </w:r>
            <w:r w:rsidRPr="00793C69">
              <w:rPr>
                <w:rFonts w:eastAsiaTheme="minorHAnsi" w:cstheme="minorBidi"/>
                <w:b w:val="0"/>
                <w:color w:val="000000" w:themeColor="text1"/>
                <w:szCs w:val="22"/>
              </w:rPr>
              <w:t xml:space="preserve"> </w:t>
            </w:r>
            <w:r w:rsidR="00FD59CF">
              <w:rPr>
                <w:rFonts w:eastAsiaTheme="minorHAnsi" w:cstheme="minorBidi"/>
                <w:b w:val="0"/>
                <w:color w:val="000000" w:themeColor="text1"/>
                <w:szCs w:val="22"/>
              </w:rPr>
              <w:t xml:space="preserve">the M&amp;E system was </w:t>
            </w:r>
            <w:r>
              <w:rPr>
                <w:rFonts w:eastAsiaTheme="minorHAnsi" w:cstheme="minorBidi"/>
                <w:b w:val="0"/>
                <w:color w:val="000000" w:themeColor="text1"/>
                <w:szCs w:val="22"/>
              </w:rPr>
              <w:t xml:space="preserve">not fully </w:t>
            </w:r>
            <w:r w:rsidR="00FD59CF">
              <w:rPr>
                <w:rFonts w:eastAsiaTheme="minorHAnsi" w:cstheme="minorBidi"/>
                <w:b w:val="0"/>
                <w:color w:val="000000" w:themeColor="text1"/>
                <w:szCs w:val="22"/>
              </w:rPr>
              <w:t>implemented</w:t>
            </w:r>
            <w:r>
              <w:rPr>
                <w:rFonts w:eastAsiaTheme="minorHAnsi" w:cstheme="minorBidi"/>
                <w:b w:val="0"/>
                <w:color w:val="000000" w:themeColor="text1"/>
                <w:szCs w:val="22"/>
              </w:rPr>
              <w:t xml:space="preserve"> as designed</w:t>
            </w:r>
            <w:r w:rsidR="00FD59CF">
              <w:rPr>
                <w:rFonts w:eastAsiaTheme="minorHAnsi" w:cstheme="minorBidi"/>
                <w:b w:val="0"/>
                <w:color w:val="000000" w:themeColor="text1"/>
                <w:szCs w:val="22"/>
              </w:rPr>
              <w:t xml:space="preserve">.  </w:t>
            </w:r>
            <w:r w:rsidRPr="0044009B">
              <w:rPr>
                <w:rFonts w:eastAsiaTheme="minorHAnsi" w:cstheme="minorBidi"/>
                <w:b w:val="0"/>
                <w:color w:val="000000" w:themeColor="text1"/>
                <w:szCs w:val="22"/>
              </w:rPr>
              <w:t>The project collected data as per agreed protocols to monitor the environmental conditions of th</w:t>
            </w:r>
            <w:r w:rsidR="00E166B0">
              <w:rPr>
                <w:rFonts w:eastAsiaTheme="minorHAnsi" w:cstheme="minorBidi"/>
                <w:b w:val="0"/>
                <w:color w:val="000000" w:themeColor="text1"/>
                <w:szCs w:val="22"/>
              </w:rPr>
              <w:t xml:space="preserve">e risk associated in the </w:t>
            </w:r>
            <w:proofErr w:type="spellStart"/>
            <w:r w:rsidR="00E166B0">
              <w:rPr>
                <w:rFonts w:eastAsiaTheme="minorHAnsi" w:cstheme="minorBidi"/>
                <w:b w:val="0"/>
                <w:color w:val="000000" w:themeColor="text1"/>
                <w:szCs w:val="22"/>
              </w:rPr>
              <w:t>Malarg</w:t>
            </w:r>
            <w:r w:rsidR="00E166B0">
              <w:rPr>
                <w:rFonts w:eastAsiaTheme="minorHAnsi" w:cstheme="minorHAnsi"/>
                <w:b w:val="0"/>
                <w:color w:val="000000" w:themeColor="text1"/>
                <w:szCs w:val="22"/>
              </w:rPr>
              <w:t>ü</w:t>
            </w:r>
            <w:r w:rsidRPr="0044009B">
              <w:rPr>
                <w:rFonts w:eastAsiaTheme="minorHAnsi" w:cstheme="minorBidi"/>
                <w:b w:val="0"/>
                <w:color w:val="000000" w:themeColor="text1"/>
                <w:szCs w:val="22"/>
              </w:rPr>
              <w:t>e</w:t>
            </w:r>
            <w:proofErr w:type="spellEnd"/>
            <w:r w:rsidRPr="0044009B">
              <w:rPr>
                <w:rFonts w:eastAsiaTheme="minorHAnsi" w:cstheme="minorBidi"/>
                <w:b w:val="0"/>
                <w:color w:val="000000" w:themeColor="text1"/>
                <w:szCs w:val="22"/>
              </w:rPr>
              <w:t xml:space="preserve"> area (to public health and workers in the contaminated area) and in the other 7 seven legacy sites.  The project collected systematically data on more than 50 parameters including air, water, soil and radiological levels in about more than 50 sites across the 8 sites in five provinces participating in the project. However, there were some shortcomings in its implementation, </w:t>
            </w:r>
            <w:r>
              <w:rPr>
                <w:rFonts w:eastAsiaTheme="minorHAnsi" w:cstheme="minorBidi"/>
                <w:b w:val="0"/>
                <w:color w:val="000000" w:themeColor="text1"/>
                <w:szCs w:val="22"/>
              </w:rPr>
              <w:t xml:space="preserve">particularly because CNEA did not submit the quarterly progress reports.   </w:t>
            </w:r>
            <w:r w:rsidR="00FD59CF">
              <w:rPr>
                <w:rFonts w:eastAsiaTheme="minorHAnsi" w:cstheme="minorBidi"/>
                <w:b w:val="0"/>
                <w:color w:val="000000" w:themeColor="text1"/>
                <w:szCs w:val="22"/>
              </w:rPr>
              <w:t xml:space="preserve">Nonetheless, </w:t>
            </w:r>
            <w:r>
              <w:rPr>
                <w:rFonts w:eastAsiaTheme="minorHAnsi" w:cstheme="minorBidi"/>
                <w:b w:val="0"/>
                <w:color w:val="000000" w:themeColor="text1"/>
                <w:szCs w:val="22"/>
              </w:rPr>
              <w:t xml:space="preserve">there were other means (missions, joint country portfolio performance reviews, and data produced by the project), which helped to implement in principle the M&amp;E system and which allowed for both, the Bank and the client, to keep abreast of key issues related to project implementation.  </w:t>
            </w:r>
          </w:p>
          <w:p w14:paraId="4340D2FD" w14:textId="77777777" w:rsidR="0044009B" w:rsidRDefault="0044009B" w:rsidP="0044009B">
            <w:pPr>
              <w:pStyle w:val="ListParagraph"/>
              <w:spacing w:line="276" w:lineRule="auto"/>
              <w:ind w:left="360"/>
              <w:jc w:val="both"/>
              <w:rPr>
                <w:rFonts w:eastAsiaTheme="minorHAnsi" w:cstheme="minorBidi"/>
                <w:b w:val="0"/>
                <w:color w:val="000000" w:themeColor="text1"/>
                <w:szCs w:val="22"/>
              </w:rPr>
            </w:pPr>
          </w:p>
          <w:p w14:paraId="28EB1C70" w14:textId="77777777" w:rsidR="00A719DF" w:rsidRPr="0044009B" w:rsidRDefault="002C3F71" w:rsidP="0044009B">
            <w:pPr>
              <w:pStyle w:val="ListParagraph"/>
              <w:numPr>
                <w:ilvl w:val="0"/>
                <w:numId w:val="21"/>
              </w:numPr>
              <w:spacing w:line="276" w:lineRule="auto"/>
              <w:jc w:val="both"/>
              <w:rPr>
                <w:rFonts w:eastAsiaTheme="minorHAnsi" w:cstheme="minorBidi"/>
                <w:b w:val="0"/>
                <w:color w:val="000000" w:themeColor="text1"/>
                <w:szCs w:val="22"/>
              </w:rPr>
            </w:pPr>
            <w:r w:rsidRPr="0044009B">
              <w:rPr>
                <w:rFonts w:eastAsiaTheme="minorHAnsi" w:cstheme="minorBidi"/>
                <w:b w:val="0"/>
                <w:color w:val="000000" w:themeColor="text1"/>
                <w:szCs w:val="22"/>
              </w:rPr>
              <w:t xml:space="preserve">In addition, </w:t>
            </w:r>
            <w:r w:rsidR="00D32F0B" w:rsidRPr="0044009B">
              <w:rPr>
                <w:rFonts w:eastAsiaTheme="minorHAnsi" w:cstheme="minorBidi"/>
                <w:b w:val="0"/>
                <w:color w:val="000000" w:themeColor="text1"/>
                <w:szCs w:val="22"/>
              </w:rPr>
              <w:t xml:space="preserve">the PDO and intermediate results indicators had to be modified twice through project restructurings during implementation (i.e., in July 2013 and November 2015, respectively) </w:t>
            </w:r>
            <w:proofErr w:type="gramStart"/>
            <w:r w:rsidR="00D32F0B" w:rsidRPr="0044009B">
              <w:rPr>
                <w:rFonts w:eastAsiaTheme="minorHAnsi" w:cstheme="minorBidi"/>
                <w:b w:val="0"/>
                <w:color w:val="000000" w:themeColor="text1"/>
                <w:szCs w:val="22"/>
              </w:rPr>
              <w:t>in order to</w:t>
            </w:r>
            <w:proofErr w:type="gramEnd"/>
            <w:r w:rsidR="00D32F0B" w:rsidRPr="0044009B">
              <w:rPr>
                <w:rFonts w:eastAsiaTheme="minorHAnsi" w:cstheme="minorBidi"/>
                <w:b w:val="0"/>
                <w:color w:val="000000" w:themeColor="text1"/>
                <w:szCs w:val="22"/>
              </w:rPr>
              <w:t xml:space="preserve"> clarify the relevance to actual project design and its constituent activities, which remained essentially unchanged from the outset. These changes improved the precision of project management’s and Bank efforts to monitor actual implementation progress and likelihood of achieving the project’s development outcomes, which likewise did not change during its execution.   </w:t>
            </w:r>
          </w:p>
        </w:tc>
      </w:tr>
      <w:tr w:rsidR="00E63776" w14:paraId="212FE818" w14:textId="77777777" w:rsidTr="007A3348">
        <w:trPr>
          <w:trHeight w:val="333"/>
        </w:trPr>
        <w:tc>
          <w:tcPr>
            <w:tcW w:w="10980" w:type="dxa"/>
            <w:shd w:val="clear" w:color="auto" w:fill="auto"/>
            <w:vAlign w:val="center"/>
          </w:tcPr>
          <w:p w14:paraId="6FB22B31" w14:textId="77777777" w:rsidR="008D294E" w:rsidRPr="00CB304D" w:rsidRDefault="008D294E" w:rsidP="001E2150">
            <w:pPr>
              <w:widowControl/>
              <w:autoSpaceDE/>
              <w:autoSpaceDN/>
              <w:adjustRightInd/>
              <w:spacing w:line="259" w:lineRule="auto"/>
              <w:outlineLvl w:val="1"/>
              <w:rPr>
                <w:rFonts w:asciiTheme="minorHAnsi" w:eastAsiaTheme="majorEastAsia" w:hAnsiTheme="minorHAnsi" w:cstheme="majorBidi"/>
                <w:color w:val="000000" w:themeColor="text1"/>
                <w:sz w:val="22"/>
                <w:szCs w:val="22"/>
              </w:rPr>
            </w:pPr>
          </w:p>
        </w:tc>
      </w:tr>
      <w:tr w:rsidR="00E63776" w14:paraId="63DBE96A" w14:textId="77777777" w:rsidTr="007A3348">
        <w:trPr>
          <w:trHeight w:val="80"/>
        </w:trPr>
        <w:tc>
          <w:tcPr>
            <w:tcW w:w="10980" w:type="dxa"/>
            <w:shd w:val="clear" w:color="auto" w:fill="auto"/>
            <w:vAlign w:val="center"/>
          </w:tcPr>
          <w:p w14:paraId="45E7ACC5" w14:textId="77777777" w:rsidR="008D294E" w:rsidRPr="00CB304D" w:rsidRDefault="002C3F71" w:rsidP="001E2150">
            <w:pPr>
              <w:pStyle w:val="Heading3"/>
              <w:rPr>
                <w:color w:val="auto"/>
                <w:szCs w:val="22"/>
              </w:rPr>
            </w:pPr>
            <w:r w:rsidRPr="00CB304D">
              <w:rPr>
                <w:szCs w:val="22"/>
              </w:rPr>
              <w:t>M&amp;E Utilization</w:t>
            </w:r>
          </w:p>
        </w:tc>
      </w:tr>
      <w:tr w:rsidR="00E63776" w14:paraId="306953CB" w14:textId="77777777" w:rsidTr="007A3348">
        <w:trPr>
          <w:trHeight w:val="180"/>
        </w:trPr>
        <w:tc>
          <w:tcPr>
            <w:tcW w:w="10980" w:type="dxa"/>
            <w:shd w:val="clear" w:color="auto" w:fill="auto"/>
            <w:vAlign w:val="center"/>
          </w:tcPr>
          <w:p w14:paraId="06967E46" w14:textId="77777777" w:rsidR="008D294E" w:rsidRDefault="008D294E" w:rsidP="008D294E">
            <w:pPr>
              <w:spacing w:line="276" w:lineRule="auto"/>
            </w:pPr>
          </w:p>
          <w:p w14:paraId="5676F315" w14:textId="77777777" w:rsidR="00FB66B2" w:rsidRDefault="002C3F71" w:rsidP="00FB796E">
            <w:pPr>
              <w:pStyle w:val="ListParagraph"/>
              <w:numPr>
                <w:ilvl w:val="0"/>
                <w:numId w:val="21"/>
              </w:numPr>
              <w:spacing w:line="276" w:lineRule="auto"/>
              <w:jc w:val="both"/>
              <w:rPr>
                <w:rFonts w:ascii="Calibri" w:hAnsi="Calibri" w:cs="Calibri"/>
                <w:b w:val="0"/>
                <w:color w:val="auto"/>
                <w:szCs w:val="22"/>
              </w:rPr>
            </w:pPr>
            <w:r>
              <w:rPr>
                <w:rFonts w:ascii="Calibri" w:hAnsi="Calibri" w:cs="Calibri"/>
                <w:b w:val="0"/>
                <w:color w:val="auto"/>
                <w:szCs w:val="22"/>
              </w:rPr>
              <w:t xml:space="preserve">While the </w:t>
            </w:r>
            <w:r w:rsidRPr="00B1276C">
              <w:rPr>
                <w:rFonts w:cstheme="minorHAnsi"/>
                <w:b w:val="0"/>
                <w:color w:val="auto"/>
                <w:szCs w:val="22"/>
              </w:rPr>
              <w:t>quarterly progress reports covering all project activities</w:t>
            </w:r>
            <w:r w:rsidRPr="00B1276C">
              <w:rPr>
                <w:rFonts w:ascii="Calibri" w:hAnsi="Calibri" w:cs="Calibri"/>
                <w:b w:val="0"/>
                <w:color w:val="auto"/>
                <w:szCs w:val="22"/>
              </w:rPr>
              <w:t xml:space="preserve"> (including administrative aspects) were not submitted to the Bank as per the Loan Agreement</w:t>
            </w:r>
            <w:r>
              <w:rPr>
                <w:rFonts w:ascii="Calibri" w:hAnsi="Calibri" w:cs="Calibri"/>
                <w:b w:val="0"/>
                <w:color w:val="auto"/>
                <w:szCs w:val="22"/>
              </w:rPr>
              <w:t xml:space="preserve">, </w:t>
            </w:r>
            <w:r w:rsidRPr="00B1276C">
              <w:rPr>
                <w:rFonts w:ascii="Calibri" w:hAnsi="Calibri" w:cs="Calibri"/>
                <w:b w:val="0"/>
                <w:color w:val="auto"/>
                <w:szCs w:val="22"/>
              </w:rPr>
              <w:t xml:space="preserve">technical and financial information generated during the life of the project was utilized by the PIU and the Bank </w:t>
            </w:r>
            <w:proofErr w:type="gramStart"/>
            <w:r w:rsidRPr="00B1276C">
              <w:rPr>
                <w:rFonts w:ascii="Calibri" w:hAnsi="Calibri" w:cs="Calibri"/>
                <w:b w:val="0"/>
                <w:color w:val="auto"/>
                <w:szCs w:val="22"/>
              </w:rPr>
              <w:t>in order to</w:t>
            </w:r>
            <w:proofErr w:type="gramEnd"/>
            <w:r w:rsidRPr="00B1276C">
              <w:rPr>
                <w:rFonts w:ascii="Calibri" w:hAnsi="Calibri" w:cs="Calibri"/>
                <w:b w:val="0"/>
                <w:color w:val="auto"/>
                <w:szCs w:val="22"/>
              </w:rPr>
              <w:t xml:space="preserve"> assess and report on its progress, including with respect to counterpart funding and associated implementation delays</w:t>
            </w:r>
            <w:r>
              <w:rPr>
                <w:rFonts w:ascii="Calibri" w:hAnsi="Calibri" w:cs="Calibri"/>
                <w:b w:val="0"/>
                <w:color w:val="auto"/>
                <w:szCs w:val="22"/>
              </w:rPr>
              <w:t xml:space="preserve">.   In addition, Bank utilized different instruments to enhance supervision and monitoring of the project results such technical and supervision missions to review technical, procurement, financial management and safeguards aspects, </w:t>
            </w:r>
            <w:proofErr w:type="gramStart"/>
            <w:r>
              <w:rPr>
                <w:rFonts w:ascii="Calibri" w:hAnsi="Calibri" w:cs="Calibri"/>
                <w:b w:val="0"/>
                <w:color w:val="auto"/>
                <w:szCs w:val="22"/>
              </w:rPr>
              <w:t>in order to</w:t>
            </w:r>
            <w:proofErr w:type="gramEnd"/>
            <w:r>
              <w:rPr>
                <w:rFonts w:ascii="Calibri" w:hAnsi="Calibri" w:cs="Calibri"/>
                <w:b w:val="0"/>
                <w:color w:val="auto"/>
                <w:szCs w:val="22"/>
              </w:rPr>
              <w:t xml:space="preserve"> monitor key aspects of the project.  In addition, CNEA shared periodic reports on the advance of works in </w:t>
            </w:r>
            <w:proofErr w:type="spellStart"/>
            <w:r>
              <w:rPr>
                <w:rFonts w:ascii="Calibri" w:hAnsi="Calibri" w:cs="Calibri"/>
                <w:b w:val="0"/>
                <w:color w:val="auto"/>
                <w:szCs w:val="22"/>
              </w:rPr>
              <w:t>Malargüe</w:t>
            </w:r>
            <w:proofErr w:type="spellEnd"/>
            <w:r>
              <w:rPr>
                <w:rFonts w:ascii="Calibri" w:hAnsi="Calibri" w:cs="Calibri"/>
                <w:b w:val="0"/>
                <w:color w:val="auto"/>
                <w:szCs w:val="22"/>
              </w:rPr>
              <w:t xml:space="preserve">, audit reports, procurement plans, environmental management reports, environmental monitoring reports. This information was used to make decisions with regards to the works of the contractors, plan international biddings, design the works of the park, coordinate consultations with government authorities of San Rafael and Cordoba, and schedule the environmental monitoring program.  </w:t>
            </w:r>
            <w:r w:rsidRPr="00B42B8F">
              <w:rPr>
                <w:rFonts w:ascii="Calibri" w:hAnsi="Calibri" w:cs="Calibri"/>
                <w:b w:val="0"/>
                <w:color w:val="auto"/>
                <w:szCs w:val="22"/>
              </w:rPr>
              <w:t xml:space="preserve">This monitoring and information was also used for preparation of both the Borrower’s and the Bank’s Implementation Completion and Results reports. </w:t>
            </w:r>
          </w:p>
          <w:p w14:paraId="2C585A8D" w14:textId="77777777" w:rsidR="00B42B8F" w:rsidRPr="00B1276C" w:rsidRDefault="00B42B8F" w:rsidP="00B1276C">
            <w:pPr>
              <w:pStyle w:val="ListParagraph"/>
              <w:widowControl/>
              <w:spacing w:line="276" w:lineRule="auto"/>
              <w:ind w:left="360"/>
              <w:jc w:val="both"/>
              <w:rPr>
                <w:rFonts w:ascii="Calibri" w:hAnsi="Calibri" w:cs="Calibri"/>
                <w:b w:val="0"/>
                <w:szCs w:val="22"/>
              </w:rPr>
            </w:pPr>
          </w:p>
          <w:p w14:paraId="5496989B" w14:textId="77777777" w:rsidR="008D294E" w:rsidRPr="00793C69" w:rsidRDefault="002C3F71" w:rsidP="00F81E85">
            <w:pPr>
              <w:pStyle w:val="ListParagraph"/>
              <w:widowControl/>
              <w:numPr>
                <w:ilvl w:val="0"/>
                <w:numId w:val="21"/>
              </w:numPr>
              <w:spacing w:line="276" w:lineRule="auto"/>
              <w:jc w:val="both"/>
              <w:rPr>
                <w:rFonts w:ascii="Calibri" w:hAnsi="Calibri" w:cs="Calibri"/>
                <w:b w:val="0"/>
                <w:szCs w:val="22"/>
              </w:rPr>
            </w:pPr>
            <w:r>
              <w:rPr>
                <w:rFonts w:ascii="Calibri" w:hAnsi="Calibri" w:cs="Calibri"/>
                <w:b w:val="0"/>
                <w:color w:val="auto"/>
                <w:szCs w:val="22"/>
              </w:rPr>
              <w:t>In addition, t</w:t>
            </w:r>
            <w:r w:rsidR="00FB66B2" w:rsidRPr="00793C69">
              <w:rPr>
                <w:rFonts w:ascii="Calibri" w:hAnsi="Calibri" w:cs="Calibri"/>
                <w:b w:val="0"/>
                <w:color w:val="auto"/>
                <w:szCs w:val="22"/>
              </w:rPr>
              <w:t xml:space="preserve">he project successfully implemented an environmental monitoring system and information system at the </w:t>
            </w:r>
            <w:proofErr w:type="spellStart"/>
            <w:r w:rsidR="00E52891">
              <w:rPr>
                <w:rFonts w:ascii="Calibri" w:hAnsi="Calibri" w:cs="Calibri"/>
                <w:b w:val="0"/>
                <w:color w:val="auto"/>
                <w:szCs w:val="22"/>
              </w:rPr>
              <w:t>Malargüe</w:t>
            </w:r>
            <w:proofErr w:type="spellEnd"/>
            <w:r w:rsidR="00FB66B2" w:rsidRPr="00793C69">
              <w:rPr>
                <w:rFonts w:ascii="Calibri" w:hAnsi="Calibri" w:cs="Calibri"/>
                <w:b w:val="0"/>
                <w:color w:val="auto"/>
                <w:szCs w:val="22"/>
              </w:rPr>
              <w:t xml:space="preserve"> site</w:t>
            </w:r>
            <w:r w:rsidR="00FB66B2">
              <w:rPr>
                <w:rFonts w:ascii="Calibri" w:hAnsi="Calibri" w:cs="Calibri"/>
                <w:b w:val="0"/>
                <w:color w:val="auto"/>
                <w:szCs w:val="22"/>
              </w:rPr>
              <w:t>,</w:t>
            </w:r>
            <w:r w:rsidR="00FB66B2" w:rsidRPr="00793C69">
              <w:rPr>
                <w:rFonts w:ascii="Calibri" w:hAnsi="Calibri" w:cs="Calibri"/>
                <w:b w:val="0"/>
                <w:color w:val="auto"/>
                <w:szCs w:val="22"/>
              </w:rPr>
              <w:t xml:space="preserve"> which provides a model for potential similar such systems to be used for other uranium mining remediation activities at the remaining seven legacy sites in the country.</w:t>
            </w:r>
            <w:r w:rsidR="00FB66B2">
              <w:rPr>
                <w:rFonts w:ascii="Calibri" w:hAnsi="Calibri" w:cs="Calibri"/>
                <w:b w:val="0"/>
                <w:color w:val="auto"/>
                <w:szCs w:val="22"/>
              </w:rPr>
              <w:t xml:space="preserve">  </w:t>
            </w:r>
            <w:r w:rsidR="00FB66B2">
              <w:rPr>
                <w:rFonts w:ascii="Calibri" w:hAnsi="Calibri" w:cs="Calibri"/>
                <w:b w:val="0"/>
                <w:color w:val="000000" w:themeColor="text1"/>
                <w:szCs w:val="22"/>
              </w:rPr>
              <w:t xml:space="preserve">While the </w:t>
            </w:r>
            <w:r w:rsidR="00FB66B2" w:rsidRPr="00CD2A9A">
              <w:rPr>
                <w:rFonts w:ascii="Calibri" w:hAnsi="Calibri" w:cs="Calibri"/>
                <w:b w:val="0"/>
                <w:color w:val="000000" w:themeColor="text1"/>
                <w:szCs w:val="22"/>
              </w:rPr>
              <w:t xml:space="preserve">SIGA was completed and </w:t>
            </w:r>
            <w:r w:rsidR="00FB66B2">
              <w:rPr>
                <w:rFonts w:ascii="Calibri" w:hAnsi="Calibri" w:cs="Calibri"/>
                <w:b w:val="0"/>
                <w:color w:val="000000" w:themeColor="text1"/>
                <w:szCs w:val="22"/>
              </w:rPr>
              <w:t xml:space="preserve">is </w:t>
            </w:r>
            <w:r w:rsidR="00FB66B2" w:rsidRPr="00CD2A9A">
              <w:rPr>
                <w:rFonts w:ascii="Calibri" w:hAnsi="Calibri" w:cs="Calibri"/>
                <w:b w:val="0"/>
                <w:color w:val="000000" w:themeColor="text1"/>
                <w:szCs w:val="22"/>
              </w:rPr>
              <w:t xml:space="preserve">fully </w:t>
            </w:r>
            <w:r w:rsidR="00FB66B2" w:rsidRPr="0066690B">
              <w:rPr>
                <w:rFonts w:ascii="Calibri" w:hAnsi="Calibri" w:cs="Calibri"/>
                <w:b w:val="0"/>
                <w:color w:val="000000" w:themeColor="text1"/>
                <w:szCs w:val="22"/>
              </w:rPr>
              <w:t>functional</w:t>
            </w:r>
            <w:r w:rsidR="00FB66B2">
              <w:rPr>
                <w:rFonts w:ascii="Calibri" w:hAnsi="Calibri" w:cs="Calibri"/>
                <w:b w:val="0"/>
                <w:color w:val="000000" w:themeColor="text1"/>
                <w:szCs w:val="22"/>
              </w:rPr>
              <w:t xml:space="preserve">, </w:t>
            </w:r>
            <w:r w:rsidR="00FB66B2" w:rsidRPr="00CD2A9A">
              <w:rPr>
                <w:rFonts w:ascii="Calibri" w:hAnsi="Calibri" w:cs="Calibri"/>
                <w:b w:val="0"/>
                <w:color w:val="000000" w:themeColor="text1"/>
                <w:szCs w:val="22"/>
              </w:rPr>
              <w:t>sharing monitoring data on a public website</w:t>
            </w:r>
            <w:r w:rsidR="00FB66B2">
              <w:rPr>
                <w:rFonts w:ascii="Calibri" w:hAnsi="Calibri" w:cs="Calibri"/>
                <w:b w:val="0"/>
                <w:color w:val="000000" w:themeColor="text1"/>
                <w:szCs w:val="22"/>
              </w:rPr>
              <w:t xml:space="preserve"> has not yet materialized. </w:t>
            </w:r>
            <w:r w:rsidR="00FB66B2" w:rsidRPr="00CD2A9A">
              <w:rPr>
                <w:rFonts w:ascii="Calibri" w:hAnsi="Calibri" w:cs="Calibri"/>
                <w:b w:val="0"/>
                <w:color w:val="000000" w:themeColor="text1"/>
                <w:szCs w:val="22"/>
              </w:rPr>
              <w:t xml:space="preserve">CNEA has indicated that this failure was due to “technical reasons,” but the underlying reason </w:t>
            </w:r>
            <w:r w:rsidR="00FB66B2">
              <w:rPr>
                <w:rFonts w:ascii="Calibri" w:hAnsi="Calibri" w:cs="Calibri"/>
                <w:b w:val="0"/>
                <w:color w:val="000000" w:themeColor="text1"/>
                <w:szCs w:val="22"/>
              </w:rPr>
              <w:t>appears to be</w:t>
            </w:r>
            <w:r w:rsidR="00FB66B2" w:rsidRPr="00CD2A9A">
              <w:rPr>
                <w:rFonts w:ascii="Calibri" w:hAnsi="Calibri" w:cs="Calibri"/>
                <w:b w:val="0"/>
                <w:color w:val="000000" w:themeColor="text1"/>
                <w:szCs w:val="22"/>
              </w:rPr>
              <w:t xml:space="preserve"> that CNEA does not consider it appropriate to share the result</w:t>
            </w:r>
            <w:r w:rsidR="00FB66B2">
              <w:rPr>
                <w:rFonts w:ascii="Calibri" w:hAnsi="Calibri" w:cs="Calibri"/>
                <w:b w:val="0"/>
                <w:color w:val="000000" w:themeColor="text1"/>
                <w:szCs w:val="22"/>
              </w:rPr>
              <w:t>s</w:t>
            </w:r>
            <w:r w:rsidR="00FB66B2" w:rsidRPr="00CD2A9A">
              <w:rPr>
                <w:rFonts w:ascii="Calibri" w:hAnsi="Calibri" w:cs="Calibri"/>
                <w:b w:val="0"/>
                <w:color w:val="000000" w:themeColor="text1"/>
                <w:szCs w:val="22"/>
              </w:rPr>
              <w:t xml:space="preserve"> of </w:t>
            </w:r>
            <w:r w:rsidR="00FB66B2">
              <w:rPr>
                <w:rFonts w:ascii="Calibri" w:hAnsi="Calibri" w:cs="Calibri"/>
                <w:b w:val="0"/>
                <w:color w:val="000000" w:themeColor="text1"/>
                <w:szCs w:val="22"/>
              </w:rPr>
              <w:t xml:space="preserve">radiological </w:t>
            </w:r>
            <w:r w:rsidR="00FB66B2" w:rsidRPr="00CD2A9A">
              <w:rPr>
                <w:rFonts w:ascii="Calibri" w:hAnsi="Calibri" w:cs="Calibri"/>
                <w:b w:val="0"/>
                <w:color w:val="000000" w:themeColor="text1"/>
                <w:szCs w:val="22"/>
              </w:rPr>
              <w:t>monitoring campaigns with the public since: (a) very few people are trained to properly interpret the raw data on radon radiation levels</w:t>
            </w:r>
            <w:r w:rsidR="00FB66B2">
              <w:rPr>
                <w:rFonts w:ascii="Calibri" w:hAnsi="Calibri" w:cs="Calibri"/>
                <w:b w:val="0"/>
                <w:color w:val="000000" w:themeColor="text1"/>
                <w:szCs w:val="22"/>
              </w:rPr>
              <w:t>,</w:t>
            </w:r>
            <w:r w:rsidR="00FB66B2" w:rsidRPr="00CD2A9A">
              <w:rPr>
                <w:rFonts w:ascii="Calibri" w:hAnsi="Calibri" w:cs="Calibri"/>
                <w:b w:val="0"/>
                <w:color w:val="000000" w:themeColor="text1"/>
                <w:szCs w:val="22"/>
              </w:rPr>
              <w:t xml:space="preserve"> which could easily lend to misinterpretations; (b) there is an </w:t>
            </w:r>
            <w:r w:rsidR="00FB66B2">
              <w:rPr>
                <w:rFonts w:ascii="Calibri" w:hAnsi="Calibri" w:cs="Calibri"/>
                <w:b w:val="0"/>
                <w:color w:val="000000" w:themeColor="text1"/>
                <w:szCs w:val="22"/>
              </w:rPr>
              <w:t>e</w:t>
            </w:r>
            <w:r w:rsidR="00FB66B2" w:rsidRPr="00CD2A9A">
              <w:rPr>
                <w:rFonts w:ascii="Calibri" w:hAnsi="Calibri" w:cs="Calibri"/>
                <w:b w:val="0"/>
                <w:color w:val="000000" w:themeColor="text1"/>
                <w:szCs w:val="22"/>
              </w:rPr>
              <w:t xml:space="preserve">mbedded institutional culture at CNEA of not sharing data with the public; (c) the CNEA website had </w:t>
            </w:r>
            <w:r w:rsidR="00FB66B2">
              <w:rPr>
                <w:rFonts w:ascii="Calibri" w:hAnsi="Calibri" w:cs="Calibri"/>
                <w:b w:val="0"/>
                <w:color w:val="000000" w:themeColor="text1"/>
                <w:szCs w:val="22"/>
              </w:rPr>
              <w:t xml:space="preserve">reportedly </w:t>
            </w:r>
            <w:r w:rsidR="00FB66B2" w:rsidRPr="00CD2A9A">
              <w:rPr>
                <w:rFonts w:ascii="Calibri" w:hAnsi="Calibri" w:cs="Calibri"/>
                <w:b w:val="0"/>
                <w:color w:val="000000" w:themeColor="text1"/>
                <w:szCs w:val="22"/>
              </w:rPr>
              <w:t>been hacked on multiple occasions and at the time of project closing an updated website was still under construction; and (</w:t>
            </w:r>
            <w:r w:rsidR="00FB66B2">
              <w:rPr>
                <w:rFonts w:ascii="Calibri" w:hAnsi="Calibri" w:cs="Calibri"/>
                <w:b w:val="0"/>
                <w:color w:val="000000" w:themeColor="text1"/>
                <w:szCs w:val="22"/>
              </w:rPr>
              <w:t>d</w:t>
            </w:r>
            <w:r w:rsidR="00FB66B2" w:rsidRPr="00CD2A9A">
              <w:rPr>
                <w:rFonts w:ascii="Calibri" w:hAnsi="Calibri" w:cs="Calibri"/>
                <w:b w:val="0"/>
                <w:color w:val="000000" w:themeColor="text1"/>
                <w:szCs w:val="22"/>
              </w:rPr>
              <w:t>) CNEA wan</w:t>
            </w:r>
            <w:r w:rsidR="00FB66B2">
              <w:rPr>
                <w:rFonts w:ascii="Calibri" w:hAnsi="Calibri" w:cs="Calibri"/>
                <w:b w:val="0"/>
                <w:color w:val="000000" w:themeColor="text1"/>
                <w:szCs w:val="22"/>
              </w:rPr>
              <w:t>ts</w:t>
            </w:r>
            <w:r w:rsidR="00FB66B2" w:rsidRPr="00CD2A9A">
              <w:rPr>
                <w:rFonts w:ascii="Calibri" w:hAnsi="Calibri" w:cs="Calibri"/>
                <w:b w:val="0"/>
                <w:color w:val="000000" w:themeColor="text1"/>
                <w:szCs w:val="22"/>
              </w:rPr>
              <w:t xml:space="preserve"> to avoid concerns due to the external criticism of nuclear energy and associated tailings. </w:t>
            </w:r>
            <w:r w:rsidR="00FB66B2">
              <w:rPr>
                <w:rFonts w:ascii="Calibri" w:hAnsi="Calibri" w:cs="Calibri"/>
                <w:b w:val="0"/>
                <w:color w:val="000000" w:themeColor="text1"/>
                <w:szCs w:val="22"/>
              </w:rPr>
              <w:t xml:space="preserve">While </w:t>
            </w:r>
            <w:r w:rsidR="00FB66B2" w:rsidRPr="00CD2A9A">
              <w:rPr>
                <w:rFonts w:ascii="Calibri" w:hAnsi="Calibri" w:cs="Calibri"/>
                <w:b w:val="0"/>
                <w:color w:val="000000" w:themeColor="text1"/>
                <w:szCs w:val="22"/>
              </w:rPr>
              <w:t xml:space="preserve">the disclosure of such information was not required in the </w:t>
            </w:r>
            <w:r w:rsidR="00FB66B2">
              <w:rPr>
                <w:rFonts w:ascii="Calibri" w:hAnsi="Calibri" w:cs="Calibri"/>
                <w:b w:val="0"/>
                <w:color w:val="000000" w:themeColor="text1"/>
                <w:szCs w:val="22"/>
              </w:rPr>
              <w:t>Loan A</w:t>
            </w:r>
            <w:r w:rsidR="00FB66B2" w:rsidRPr="00CD2A9A">
              <w:rPr>
                <w:rFonts w:ascii="Calibri" w:hAnsi="Calibri" w:cs="Calibri"/>
                <w:b w:val="0"/>
                <w:color w:val="000000" w:themeColor="text1"/>
                <w:szCs w:val="22"/>
              </w:rPr>
              <w:t>greement</w:t>
            </w:r>
            <w:r w:rsidR="00FB66B2">
              <w:rPr>
                <w:rFonts w:ascii="Calibri" w:hAnsi="Calibri" w:cs="Calibri"/>
                <w:b w:val="0"/>
                <w:color w:val="000000" w:themeColor="text1"/>
                <w:szCs w:val="22"/>
              </w:rPr>
              <w:t xml:space="preserve">, </w:t>
            </w:r>
            <w:r w:rsidR="00FB66B2" w:rsidRPr="00CD2A9A">
              <w:rPr>
                <w:rFonts w:ascii="Calibri" w:hAnsi="Calibri" w:cs="Calibri"/>
                <w:b w:val="0"/>
                <w:color w:val="000000" w:themeColor="text1"/>
                <w:szCs w:val="22"/>
              </w:rPr>
              <w:t xml:space="preserve">CNEA has indicated that once its website is operational </w:t>
            </w:r>
            <w:r w:rsidR="00FB66B2">
              <w:rPr>
                <w:rFonts w:ascii="Calibri" w:hAnsi="Calibri" w:cs="Calibri"/>
                <w:b w:val="0"/>
                <w:color w:val="000000" w:themeColor="text1"/>
                <w:szCs w:val="22"/>
              </w:rPr>
              <w:t>it</w:t>
            </w:r>
            <w:r w:rsidR="00FB66B2" w:rsidRPr="00CD2A9A">
              <w:rPr>
                <w:rFonts w:ascii="Calibri" w:hAnsi="Calibri" w:cs="Calibri"/>
                <w:b w:val="0"/>
                <w:color w:val="000000" w:themeColor="text1"/>
                <w:szCs w:val="22"/>
              </w:rPr>
              <w:t xml:space="preserve"> will publish broad parameters from the monitoring campaigns that are easi</w:t>
            </w:r>
            <w:r w:rsidR="00FB66B2">
              <w:rPr>
                <w:rFonts w:ascii="Calibri" w:hAnsi="Calibri" w:cs="Calibri"/>
                <w:b w:val="0"/>
                <w:color w:val="000000" w:themeColor="text1"/>
                <w:szCs w:val="22"/>
              </w:rPr>
              <w:t>er</w:t>
            </w:r>
            <w:r w:rsidR="00FB66B2" w:rsidRPr="00CD2A9A">
              <w:rPr>
                <w:rFonts w:ascii="Calibri" w:hAnsi="Calibri" w:cs="Calibri"/>
                <w:b w:val="0"/>
                <w:color w:val="000000" w:themeColor="text1"/>
                <w:szCs w:val="22"/>
              </w:rPr>
              <w:t xml:space="preserve"> to interpret by the public.  </w:t>
            </w:r>
            <w:r w:rsidR="00FB66B2">
              <w:rPr>
                <w:rFonts w:ascii="Calibri" w:hAnsi="Calibri" w:cs="Calibri"/>
                <w:b w:val="0"/>
                <w:color w:val="000000" w:themeColor="text1"/>
                <w:szCs w:val="22"/>
              </w:rPr>
              <w:t>Under the project, moreover, training was provided to provincial and municipal government agencies with respect to environmental monitoring.</w:t>
            </w:r>
          </w:p>
        </w:tc>
      </w:tr>
      <w:tr w:rsidR="00E63776" w14:paraId="1421958F" w14:textId="77777777" w:rsidTr="007A3348">
        <w:trPr>
          <w:trHeight w:val="405"/>
        </w:trPr>
        <w:tc>
          <w:tcPr>
            <w:tcW w:w="10980" w:type="dxa"/>
            <w:shd w:val="clear" w:color="auto" w:fill="auto"/>
            <w:vAlign w:val="center"/>
          </w:tcPr>
          <w:p w14:paraId="53C05249" w14:textId="77777777" w:rsidR="008D294E" w:rsidRPr="00CB304D" w:rsidRDefault="008D294E" w:rsidP="001E2150">
            <w:pPr>
              <w:widowControl/>
              <w:autoSpaceDE/>
              <w:autoSpaceDN/>
              <w:adjustRightInd/>
              <w:spacing w:before="40" w:line="259" w:lineRule="auto"/>
              <w:outlineLvl w:val="1"/>
              <w:rPr>
                <w:rFonts w:asciiTheme="minorHAnsi" w:eastAsiaTheme="majorEastAsia" w:hAnsiTheme="minorHAnsi" w:cstheme="majorBidi"/>
                <w:color w:val="1F4E79" w:themeColor="accent1" w:themeShade="80"/>
                <w:sz w:val="22"/>
                <w:szCs w:val="22"/>
              </w:rPr>
            </w:pPr>
          </w:p>
        </w:tc>
      </w:tr>
      <w:tr w:rsidR="00E63776" w14:paraId="4FC4935C" w14:textId="77777777" w:rsidTr="007A3348">
        <w:trPr>
          <w:trHeight w:val="80"/>
        </w:trPr>
        <w:tc>
          <w:tcPr>
            <w:tcW w:w="10980" w:type="dxa"/>
            <w:shd w:val="clear" w:color="auto" w:fill="auto"/>
            <w:vAlign w:val="center"/>
          </w:tcPr>
          <w:p w14:paraId="67735D06" w14:textId="77777777" w:rsidR="008D294E" w:rsidRPr="00CB304D" w:rsidRDefault="002C3F71" w:rsidP="008D294E">
            <w:pPr>
              <w:pStyle w:val="Heading3"/>
              <w:ind w:left="342"/>
              <w:rPr>
                <w:color w:val="auto"/>
                <w:szCs w:val="22"/>
              </w:rPr>
            </w:pPr>
            <w:r w:rsidRPr="00CB304D">
              <w:rPr>
                <w:szCs w:val="22"/>
              </w:rPr>
              <w:t xml:space="preserve">Justification of Overall </w:t>
            </w:r>
            <w:r w:rsidRPr="00201F1F">
              <w:rPr>
                <w:szCs w:val="22"/>
              </w:rPr>
              <w:t>Rating of</w:t>
            </w:r>
            <w:r>
              <w:rPr>
                <w:szCs w:val="22"/>
              </w:rPr>
              <w:t xml:space="preserve"> </w:t>
            </w:r>
            <w:r w:rsidRPr="00CB304D">
              <w:rPr>
                <w:szCs w:val="22"/>
              </w:rPr>
              <w:t>Quality of M&amp;E</w:t>
            </w:r>
          </w:p>
        </w:tc>
      </w:tr>
      <w:tr w:rsidR="00E63776" w14:paraId="62520CAE" w14:textId="77777777" w:rsidTr="007A3348">
        <w:trPr>
          <w:trHeight w:val="180"/>
        </w:trPr>
        <w:tc>
          <w:tcPr>
            <w:tcW w:w="10980" w:type="dxa"/>
            <w:shd w:val="clear" w:color="auto" w:fill="auto"/>
            <w:vAlign w:val="center"/>
          </w:tcPr>
          <w:p w14:paraId="435604A4" w14:textId="77777777" w:rsidR="008D294E" w:rsidRDefault="008D294E" w:rsidP="008D294E"/>
          <w:p w14:paraId="55FCE7B6" w14:textId="77777777" w:rsidR="008D294E" w:rsidRPr="00793C69" w:rsidRDefault="002C3F71" w:rsidP="00F81E85">
            <w:pPr>
              <w:pStyle w:val="ListParagraph"/>
              <w:widowControl/>
              <w:numPr>
                <w:ilvl w:val="0"/>
                <w:numId w:val="21"/>
              </w:numPr>
              <w:spacing w:line="276" w:lineRule="auto"/>
              <w:jc w:val="both"/>
              <w:rPr>
                <w:rFonts w:ascii="Calibri" w:hAnsi="Calibri" w:cs="Calibri"/>
                <w:b w:val="0"/>
                <w:szCs w:val="22"/>
              </w:rPr>
            </w:pPr>
            <w:r w:rsidRPr="00793C69">
              <w:rPr>
                <w:rFonts w:ascii="Calibri" w:hAnsi="Calibri" w:cs="Calibri"/>
                <w:b w:val="0"/>
                <w:color w:val="auto"/>
                <w:szCs w:val="22"/>
              </w:rPr>
              <w:t xml:space="preserve">The quality of project M&amp;E is rated </w:t>
            </w:r>
            <w:r>
              <w:rPr>
                <w:rFonts w:ascii="Calibri" w:hAnsi="Calibri" w:cs="Calibri"/>
                <w:color w:val="auto"/>
                <w:szCs w:val="22"/>
              </w:rPr>
              <w:t xml:space="preserve">Modest. </w:t>
            </w:r>
            <w:r>
              <w:rPr>
                <w:rFonts w:ascii="Calibri" w:hAnsi="Calibri" w:cs="Calibri"/>
                <w:b w:val="0"/>
                <w:color w:val="auto"/>
                <w:szCs w:val="22"/>
              </w:rPr>
              <w:t>As described above the initial Results and M&amp;E Frameworks were poorly designed (i.e., they lacked adequate key monitoring indicators for measuring PDO-related outcomes) representing a serious quality at entry shortcoming.  Furthermore, quarterly reports were not submitted to the Bank in a timely manner.  On the other hand, w</w:t>
            </w:r>
            <w:r w:rsidRPr="00793C69">
              <w:rPr>
                <w:rFonts w:ascii="Calibri" w:hAnsi="Calibri" w:cs="Calibri"/>
                <w:b w:val="0"/>
                <w:color w:val="auto"/>
                <w:szCs w:val="22"/>
              </w:rPr>
              <w:t xml:space="preserve">hile the initial design of the project monitoring indicators </w:t>
            </w:r>
            <w:r>
              <w:rPr>
                <w:rFonts w:ascii="Calibri" w:hAnsi="Calibri" w:cs="Calibri"/>
                <w:b w:val="0"/>
                <w:color w:val="auto"/>
                <w:szCs w:val="22"/>
              </w:rPr>
              <w:t xml:space="preserve">was clearly </w:t>
            </w:r>
            <w:r w:rsidRPr="00793C69">
              <w:rPr>
                <w:rFonts w:ascii="Calibri" w:hAnsi="Calibri" w:cs="Calibri"/>
                <w:b w:val="0"/>
                <w:color w:val="auto"/>
                <w:szCs w:val="22"/>
              </w:rPr>
              <w:t xml:space="preserve">inadequate and required restructuring, their quality and relevance improved </w:t>
            </w:r>
            <w:proofErr w:type="gramStart"/>
            <w:r w:rsidRPr="00793C69">
              <w:rPr>
                <w:rFonts w:ascii="Calibri" w:hAnsi="Calibri" w:cs="Calibri"/>
                <w:b w:val="0"/>
                <w:color w:val="auto"/>
                <w:szCs w:val="22"/>
              </w:rPr>
              <w:t>during the course of</w:t>
            </w:r>
            <w:proofErr w:type="gramEnd"/>
            <w:r w:rsidRPr="00793C69">
              <w:rPr>
                <w:rFonts w:ascii="Calibri" w:hAnsi="Calibri" w:cs="Calibri"/>
                <w:b w:val="0"/>
                <w:color w:val="auto"/>
                <w:szCs w:val="22"/>
              </w:rPr>
              <w:t xml:space="preserve"> implementation</w:t>
            </w:r>
            <w:r>
              <w:rPr>
                <w:rFonts w:ascii="Calibri" w:hAnsi="Calibri" w:cs="Calibri"/>
                <w:b w:val="0"/>
                <w:color w:val="auto"/>
                <w:szCs w:val="22"/>
              </w:rPr>
              <w:t xml:space="preserve">.  In addition, the indicators </w:t>
            </w:r>
            <w:r w:rsidR="00FD6A8B">
              <w:rPr>
                <w:rFonts w:ascii="Calibri" w:hAnsi="Calibri" w:cs="Calibri"/>
                <w:b w:val="0"/>
                <w:color w:val="auto"/>
                <w:szCs w:val="22"/>
              </w:rPr>
              <w:t xml:space="preserve">(as well as technical and </w:t>
            </w:r>
            <w:r w:rsidR="001D6607">
              <w:rPr>
                <w:rFonts w:ascii="Calibri" w:hAnsi="Calibri" w:cs="Calibri"/>
                <w:b w:val="0"/>
                <w:color w:val="auto"/>
                <w:szCs w:val="22"/>
              </w:rPr>
              <w:t xml:space="preserve">financial data) </w:t>
            </w:r>
            <w:r>
              <w:rPr>
                <w:rFonts w:ascii="Calibri" w:hAnsi="Calibri" w:cs="Calibri"/>
                <w:b w:val="0"/>
                <w:color w:val="auto"/>
                <w:szCs w:val="22"/>
              </w:rPr>
              <w:t xml:space="preserve">were ultimately </w:t>
            </w:r>
            <w:r w:rsidRPr="00793C69">
              <w:rPr>
                <w:rFonts w:ascii="Calibri" w:hAnsi="Calibri" w:cs="Calibri"/>
                <w:b w:val="0"/>
                <w:color w:val="auto"/>
                <w:szCs w:val="22"/>
              </w:rPr>
              <w:t xml:space="preserve">utilized effectively to monitor progress </w:t>
            </w:r>
            <w:r>
              <w:rPr>
                <w:rFonts w:ascii="Calibri" w:hAnsi="Calibri" w:cs="Calibri"/>
                <w:b w:val="0"/>
                <w:color w:val="auto"/>
                <w:szCs w:val="22"/>
              </w:rPr>
              <w:t>toward the achievement of</w:t>
            </w:r>
            <w:r w:rsidRPr="00793C69">
              <w:rPr>
                <w:rFonts w:ascii="Calibri" w:hAnsi="Calibri" w:cs="Calibri"/>
                <w:b w:val="0"/>
                <w:color w:val="auto"/>
                <w:szCs w:val="22"/>
              </w:rPr>
              <w:t xml:space="preserve"> project outcomes over time</w:t>
            </w:r>
            <w:r>
              <w:rPr>
                <w:rFonts w:ascii="Calibri" w:hAnsi="Calibri" w:cs="Calibri"/>
                <w:b w:val="0"/>
                <w:color w:val="auto"/>
                <w:szCs w:val="22"/>
              </w:rPr>
              <w:t>,</w:t>
            </w:r>
            <w:r w:rsidRPr="00793C69">
              <w:rPr>
                <w:rFonts w:ascii="Calibri" w:hAnsi="Calibri" w:cs="Calibri"/>
                <w:b w:val="0"/>
                <w:color w:val="auto"/>
                <w:szCs w:val="22"/>
              </w:rPr>
              <w:t xml:space="preserve"> as well as at completion</w:t>
            </w:r>
            <w:r>
              <w:rPr>
                <w:rFonts w:ascii="Calibri" w:hAnsi="Calibri" w:cs="Calibri"/>
                <w:b w:val="0"/>
                <w:color w:val="auto"/>
                <w:szCs w:val="22"/>
              </w:rPr>
              <w:t xml:space="preserve">, and an important environmental monitoring system was installed and utilized at the </w:t>
            </w:r>
            <w:proofErr w:type="spellStart"/>
            <w:r w:rsidR="00E52891">
              <w:rPr>
                <w:rFonts w:ascii="Calibri" w:hAnsi="Calibri" w:cs="Calibri"/>
                <w:b w:val="0"/>
                <w:color w:val="auto"/>
                <w:szCs w:val="22"/>
              </w:rPr>
              <w:t>Malargüe</w:t>
            </w:r>
            <w:proofErr w:type="spellEnd"/>
            <w:r>
              <w:rPr>
                <w:rFonts w:ascii="Calibri" w:hAnsi="Calibri" w:cs="Calibri"/>
                <w:b w:val="0"/>
                <w:color w:val="auto"/>
                <w:szCs w:val="22"/>
              </w:rPr>
              <w:t xml:space="preserve"> site </w:t>
            </w:r>
            <w:proofErr w:type="gramStart"/>
            <w:r>
              <w:rPr>
                <w:rFonts w:ascii="Calibri" w:hAnsi="Calibri" w:cs="Calibri"/>
                <w:b w:val="0"/>
                <w:color w:val="auto"/>
                <w:szCs w:val="22"/>
              </w:rPr>
              <w:t>in order to</w:t>
            </w:r>
            <w:proofErr w:type="gramEnd"/>
            <w:r>
              <w:rPr>
                <w:rFonts w:ascii="Calibri" w:hAnsi="Calibri" w:cs="Calibri"/>
                <w:b w:val="0"/>
                <w:color w:val="auto"/>
                <w:szCs w:val="22"/>
              </w:rPr>
              <w:t xml:space="preserve"> track progress with respect to the reduction of radiological and other contaminants due to project interventions</w:t>
            </w:r>
            <w:r w:rsidRPr="00793C69">
              <w:rPr>
                <w:rFonts w:ascii="Calibri" w:hAnsi="Calibri" w:cs="Calibri"/>
                <w:b w:val="0"/>
                <w:color w:val="auto"/>
                <w:szCs w:val="22"/>
              </w:rPr>
              <w:t xml:space="preserve">.  </w:t>
            </w:r>
            <w:r>
              <w:rPr>
                <w:rFonts w:ascii="Calibri" w:hAnsi="Calibri" w:cs="Calibri"/>
                <w:b w:val="0"/>
                <w:color w:val="auto"/>
                <w:szCs w:val="22"/>
              </w:rPr>
              <w:t xml:space="preserve"> </w:t>
            </w:r>
          </w:p>
        </w:tc>
      </w:tr>
    </w:tbl>
    <w:p w14:paraId="00BD47B5" w14:textId="77777777" w:rsidR="003615CB" w:rsidRPr="00CB304D" w:rsidRDefault="003615CB"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2A210F0D" w14:textId="77777777" w:rsidTr="003615CB">
        <w:trPr>
          <w:trHeight w:val="80"/>
        </w:trPr>
        <w:tc>
          <w:tcPr>
            <w:tcW w:w="10710" w:type="dxa"/>
          </w:tcPr>
          <w:p w14:paraId="78748BB8" w14:textId="77777777" w:rsidR="003615CB" w:rsidRPr="00CB304D" w:rsidRDefault="002C3F71" w:rsidP="0061727A">
            <w:pPr>
              <w:pStyle w:val="Heading2"/>
              <w:keepLines w:val="0"/>
              <w:outlineLvl w:val="1"/>
              <w:rPr>
                <w:szCs w:val="22"/>
              </w:rPr>
            </w:pPr>
            <w:bookmarkStart w:id="68" w:name="_Toc256000026"/>
            <w:bookmarkStart w:id="69" w:name="_Toc433982421"/>
            <w:bookmarkStart w:id="70" w:name="_Toc460509201"/>
            <w:bookmarkStart w:id="71" w:name="_Toc485984556"/>
            <w:bookmarkStart w:id="72" w:name="_Toc502164474"/>
            <w:r w:rsidRPr="00CB304D">
              <w:rPr>
                <w:b/>
                <w:bCs/>
                <w:szCs w:val="22"/>
              </w:rPr>
              <w:t>B.</w:t>
            </w:r>
            <w:r w:rsidRPr="00CB304D">
              <w:rPr>
                <w:b/>
                <w:szCs w:val="22"/>
              </w:rPr>
              <w:t xml:space="preserve"> </w:t>
            </w:r>
            <w:r w:rsidR="007A3348" w:rsidRPr="00CB304D">
              <w:rPr>
                <w:b/>
                <w:szCs w:val="22"/>
              </w:rPr>
              <w:t>ENVIRONMENTAL, SOCIAL, AND FIDUCIARY COMPLIANCE</w:t>
            </w:r>
            <w:bookmarkEnd w:id="68"/>
            <w:bookmarkEnd w:id="69"/>
            <w:bookmarkEnd w:id="70"/>
            <w:bookmarkEnd w:id="71"/>
            <w:bookmarkEnd w:id="72"/>
          </w:p>
        </w:tc>
      </w:tr>
    </w:tbl>
    <w:p w14:paraId="514B38D1" w14:textId="77777777" w:rsidR="001E2150" w:rsidRDefault="001E2150" w:rsidP="001E2150">
      <w:pPr>
        <w:widowControl/>
        <w:spacing w:line="276" w:lineRule="auto"/>
        <w:jc w:val="both"/>
        <w:rPr>
          <w:rFonts w:ascii="Calibri" w:hAnsi="Calibri" w:cs="Calibri"/>
          <w:color w:val="auto"/>
          <w:szCs w:val="22"/>
        </w:rPr>
      </w:pPr>
    </w:p>
    <w:p w14:paraId="4DCF94A0" w14:textId="77777777" w:rsidR="00751F11" w:rsidRDefault="002C3F71" w:rsidP="00BC450C">
      <w:pPr>
        <w:pStyle w:val="ListParagraph"/>
        <w:widowControl/>
        <w:numPr>
          <w:ilvl w:val="0"/>
          <w:numId w:val="21"/>
        </w:numPr>
        <w:spacing w:line="276" w:lineRule="auto"/>
        <w:ind w:left="-360"/>
        <w:jc w:val="both"/>
        <w:rPr>
          <w:rFonts w:ascii="Calibri" w:hAnsi="Calibri" w:cs="Calibri"/>
          <w:b w:val="0"/>
          <w:color w:val="auto"/>
          <w:szCs w:val="22"/>
        </w:rPr>
      </w:pPr>
      <w:r w:rsidRPr="00751F11">
        <w:rPr>
          <w:rFonts w:ascii="Calibri" w:hAnsi="Calibri" w:cs="Calibri"/>
          <w:color w:val="auto"/>
          <w:szCs w:val="22"/>
        </w:rPr>
        <w:t>Environmental</w:t>
      </w:r>
      <w:r w:rsidRPr="00751F11">
        <w:rPr>
          <w:rFonts w:ascii="Calibri" w:hAnsi="Calibri" w:cs="Calibri"/>
          <w:b w:val="0"/>
          <w:color w:val="auto"/>
          <w:szCs w:val="22"/>
        </w:rPr>
        <w:t xml:space="preserve">.  </w:t>
      </w:r>
      <w:r w:rsidR="00FB66B2" w:rsidRPr="00751F11">
        <w:rPr>
          <w:rFonts w:ascii="Calibri" w:hAnsi="Calibri" w:cs="Calibri"/>
          <w:b w:val="0"/>
          <w:color w:val="auto"/>
          <w:szCs w:val="22"/>
        </w:rPr>
        <w:t>This was a Category A project and the only policy triggered was Environmental Assessment</w:t>
      </w:r>
      <w:r>
        <w:rPr>
          <w:rFonts w:ascii="Calibri" w:hAnsi="Calibri" w:cs="Calibri"/>
          <w:b w:val="0"/>
          <w:color w:val="auto"/>
          <w:szCs w:val="22"/>
        </w:rPr>
        <w:t xml:space="preserve"> (OP 4.01)</w:t>
      </w:r>
      <w:r w:rsidR="00FB66B2" w:rsidRPr="00751F11">
        <w:rPr>
          <w:rFonts w:ascii="Calibri" w:hAnsi="Calibri" w:cs="Calibri"/>
          <w:b w:val="0"/>
          <w:color w:val="auto"/>
          <w:szCs w:val="22"/>
        </w:rPr>
        <w:t xml:space="preserve">.  </w:t>
      </w:r>
      <w:r w:rsidRPr="00751F11">
        <w:rPr>
          <w:rFonts w:ascii="Calibri" w:hAnsi="Calibri" w:cs="Calibri"/>
          <w:b w:val="0"/>
          <w:color w:val="auto"/>
          <w:szCs w:val="22"/>
        </w:rPr>
        <w:t xml:space="preserve">At the time of project closing, Bank performance with respect to safeguards was rated </w:t>
      </w:r>
      <w:r w:rsidRPr="00751F11">
        <w:rPr>
          <w:rFonts w:ascii="Calibri" w:hAnsi="Calibri" w:cs="Calibri"/>
          <w:color w:val="auto"/>
          <w:szCs w:val="22"/>
        </w:rPr>
        <w:t>Moderately Satisfactory</w:t>
      </w:r>
      <w:r w:rsidRPr="00751F11">
        <w:rPr>
          <w:rFonts w:ascii="Calibri" w:hAnsi="Calibri" w:cs="Calibri"/>
          <w:b w:val="0"/>
          <w:color w:val="auto"/>
          <w:szCs w:val="22"/>
        </w:rPr>
        <w:t xml:space="preserve">.  </w:t>
      </w:r>
      <w:r w:rsidR="00FB66B2" w:rsidRPr="00751F11">
        <w:rPr>
          <w:rFonts w:ascii="Calibri" w:hAnsi="Calibri" w:cs="Calibri"/>
          <w:b w:val="0"/>
          <w:color w:val="auto"/>
          <w:szCs w:val="22"/>
        </w:rPr>
        <w:t>A thorough environmental assessment was prepared during preparation which helped guide the project on critical issues during implementation</w:t>
      </w:r>
      <w:r w:rsidR="001D6607">
        <w:rPr>
          <w:rFonts w:ascii="Calibri" w:hAnsi="Calibri" w:cs="Calibri"/>
          <w:b w:val="0"/>
          <w:color w:val="auto"/>
          <w:szCs w:val="22"/>
        </w:rPr>
        <w:t xml:space="preserve">, and the planned mitigation activities and implementation of safeguards instruments were completed </w:t>
      </w:r>
      <w:proofErr w:type="gramStart"/>
      <w:r w:rsidR="001D6607">
        <w:rPr>
          <w:rFonts w:ascii="Calibri" w:hAnsi="Calibri" w:cs="Calibri"/>
          <w:b w:val="0"/>
          <w:color w:val="auto"/>
          <w:szCs w:val="22"/>
        </w:rPr>
        <w:t>according to</w:t>
      </w:r>
      <w:proofErr w:type="gramEnd"/>
      <w:r w:rsidR="001D6607">
        <w:rPr>
          <w:rFonts w:ascii="Calibri" w:hAnsi="Calibri" w:cs="Calibri"/>
          <w:b w:val="0"/>
          <w:color w:val="auto"/>
          <w:szCs w:val="22"/>
        </w:rPr>
        <w:t xml:space="preserve"> Bank policies and procedures</w:t>
      </w:r>
      <w:r w:rsidR="00FB66B2" w:rsidRPr="00751F11">
        <w:rPr>
          <w:rFonts w:ascii="Calibri" w:hAnsi="Calibri" w:cs="Calibri"/>
          <w:b w:val="0"/>
          <w:color w:val="auto"/>
          <w:szCs w:val="22"/>
        </w:rPr>
        <w:t xml:space="preserve">.  The </w:t>
      </w:r>
      <w:r w:rsidRPr="00751F11">
        <w:rPr>
          <w:rFonts w:ascii="Calibri" w:hAnsi="Calibri" w:cs="Calibri"/>
          <w:b w:val="0"/>
          <w:color w:val="auto"/>
          <w:szCs w:val="22"/>
        </w:rPr>
        <w:t xml:space="preserve">Bank environmental specialists provided constant supervision and the PIU formed a team of experts and field technicians who implemented a detailed monitoring system at </w:t>
      </w:r>
      <w:proofErr w:type="spellStart"/>
      <w:r w:rsidR="00E52891">
        <w:rPr>
          <w:rFonts w:ascii="Calibri" w:hAnsi="Calibri" w:cs="Calibri"/>
          <w:b w:val="0"/>
          <w:color w:val="auto"/>
          <w:szCs w:val="22"/>
        </w:rPr>
        <w:t>Malargüe</w:t>
      </w:r>
      <w:proofErr w:type="spellEnd"/>
      <w:r w:rsidRPr="00751F11">
        <w:rPr>
          <w:rFonts w:ascii="Calibri" w:hAnsi="Calibri" w:cs="Calibri"/>
          <w:b w:val="0"/>
          <w:color w:val="auto"/>
          <w:szCs w:val="22"/>
        </w:rPr>
        <w:t xml:space="preserve">, measuring air, water (uranium, heavy metals, etc.), and soil quality as well as radiological parameters such as radiation at the project site as well as in the cities of </w:t>
      </w:r>
      <w:proofErr w:type="spellStart"/>
      <w:r w:rsidR="00E52891">
        <w:rPr>
          <w:rFonts w:ascii="Calibri" w:hAnsi="Calibri" w:cs="Calibri"/>
          <w:b w:val="0"/>
          <w:color w:val="auto"/>
          <w:szCs w:val="22"/>
        </w:rPr>
        <w:t>Malargüe</w:t>
      </w:r>
      <w:proofErr w:type="spellEnd"/>
      <w:r w:rsidRPr="00751F11">
        <w:rPr>
          <w:rFonts w:ascii="Calibri" w:hAnsi="Calibri" w:cs="Calibri"/>
          <w:b w:val="0"/>
          <w:color w:val="auto"/>
          <w:szCs w:val="22"/>
        </w:rPr>
        <w:t xml:space="preserve">, Cordoba, and other urban areas. </w:t>
      </w:r>
      <w:r w:rsidR="00FF1F84" w:rsidRPr="00751F11">
        <w:rPr>
          <w:rFonts w:ascii="Calibri" w:hAnsi="Calibri" w:cs="Calibri"/>
          <w:b w:val="0"/>
          <w:color w:val="auto"/>
          <w:szCs w:val="22"/>
        </w:rPr>
        <w:t xml:space="preserve">The environmental specialist participated </w:t>
      </w:r>
      <w:r>
        <w:rPr>
          <w:rFonts w:ascii="Calibri" w:hAnsi="Calibri" w:cs="Calibri"/>
          <w:b w:val="0"/>
          <w:color w:val="auto"/>
          <w:szCs w:val="22"/>
        </w:rPr>
        <w:t xml:space="preserve">in all </w:t>
      </w:r>
      <w:r w:rsidR="00FF1F84" w:rsidRPr="00751F11">
        <w:rPr>
          <w:rFonts w:ascii="Calibri" w:hAnsi="Calibri" w:cs="Calibri"/>
          <w:b w:val="0"/>
          <w:color w:val="auto"/>
          <w:szCs w:val="22"/>
        </w:rPr>
        <w:t>supervision missions and external technical consultants were hired to complement the team in</w:t>
      </w:r>
      <w:r>
        <w:rPr>
          <w:rFonts w:ascii="Calibri" w:hAnsi="Calibri" w:cs="Calibri"/>
          <w:b w:val="0"/>
          <w:color w:val="auto"/>
          <w:szCs w:val="22"/>
        </w:rPr>
        <w:t xml:space="preserve"> supervising the civil works and the security and stability of the works</w:t>
      </w:r>
      <w:r w:rsidR="00FF1F84" w:rsidRPr="00751F11">
        <w:rPr>
          <w:rFonts w:ascii="Calibri" w:hAnsi="Calibri" w:cs="Calibri"/>
          <w:b w:val="0"/>
          <w:color w:val="auto"/>
          <w:szCs w:val="22"/>
        </w:rPr>
        <w:t xml:space="preserve">.  </w:t>
      </w:r>
      <w:r w:rsidRPr="00751F11">
        <w:rPr>
          <w:rFonts w:ascii="Calibri" w:hAnsi="Calibri" w:cs="Calibri"/>
          <w:b w:val="0"/>
          <w:color w:val="auto"/>
          <w:szCs w:val="22"/>
        </w:rPr>
        <w:t xml:space="preserve">Three aspects reportedly could have been better managed, however: (i) reporting of the monitoring program, as reports were only shared with the Bank one year after the measurements had occurred, which delayed any needed response; (ii) public access to the results of the monitoring plan did not take place because CNEA was reluctant to share radiological information; and (iii) CNEA also informed the Bank very late about the claim from one neighbor who did not want his land to be cleaned by the project, even though CNEA was eventually able to reach a voluntary settlement with the land owners (see below).  </w:t>
      </w:r>
      <w:r>
        <w:rPr>
          <w:rFonts w:ascii="Calibri" w:hAnsi="Calibri" w:cs="Calibri"/>
          <w:b w:val="0"/>
          <w:color w:val="auto"/>
          <w:szCs w:val="22"/>
        </w:rPr>
        <w:t xml:space="preserve"> </w:t>
      </w:r>
      <w:r w:rsidR="00937569">
        <w:rPr>
          <w:rFonts w:ascii="Calibri" w:hAnsi="Calibri" w:cs="Calibri"/>
          <w:b w:val="0"/>
          <w:color w:val="auto"/>
          <w:szCs w:val="22"/>
        </w:rPr>
        <w:t xml:space="preserve">Consequently, for the most part </w:t>
      </w:r>
      <w:r>
        <w:rPr>
          <w:rFonts w:ascii="Calibri" w:hAnsi="Calibri" w:cs="Calibri"/>
          <w:b w:val="0"/>
          <w:color w:val="auto"/>
          <w:szCs w:val="22"/>
        </w:rPr>
        <w:t>OP 4.01 was complied</w:t>
      </w:r>
      <w:r w:rsidR="00937569">
        <w:rPr>
          <w:rFonts w:ascii="Calibri" w:hAnsi="Calibri" w:cs="Calibri"/>
          <w:b w:val="0"/>
          <w:color w:val="auto"/>
          <w:szCs w:val="22"/>
        </w:rPr>
        <w:t xml:space="preserve"> with</w:t>
      </w:r>
      <w:r>
        <w:rPr>
          <w:rFonts w:ascii="Calibri" w:hAnsi="Calibri" w:cs="Calibri"/>
          <w:b w:val="0"/>
          <w:color w:val="auto"/>
          <w:szCs w:val="22"/>
        </w:rPr>
        <w:t xml:space="preserve">. </w:t>
      </w:r>
    </w:p>
    <w:p w14:paraId="2F858AC7" w14:textId="77777777" w:rsidR="001E2150" w:rsidRPr="00751F11" w:rsidRDefault="001E2150" w:rsidP="00751F11">
      <w:pPr>
        <w:pStyle w:val="ListParagraph"/>
        <w:widowControl/>
        <w:spacing w:line="276" w:lineRule="auto"/>
        <w:ind w:left="-360"/>
        <w:jc w:val="both"/>
        <w:rPr>
          <w:rFonts w:ascii="Calibri" w:hAnsi="Calibri" w:cs="Calibri"/>
          <w:b w:val="0"/>
          <w:color w:val="auto"/>
          <w:szCs w:val="22"/>
        </w:rPr>
      </w:pPr>
    </w:p>
    <w:p w14:paraId="3129C72A" w14:textId="77777777" w:rsidR="00FB66B2" w:rsidRDefault="002C3F71" w:rsidP="00FB66B2">
      <w:pPr>
        <w:pStyle w:val="ListParagraph"/>
        <w:widowControl/>
        <w:numPr>
          <w:ilvl w:val="0"/>
          <w:numId w:val="21"/>
        </w:numPr>
        <w:spacing w:line="276" w:lineRule="auto"/>
        <w:ind w:left="-360"/>
        <w:jc w:val="both"/>
        <w:rPr>
          <w:b w:val="0"/>
          <w:bCs/>
          <w:color w:val="000000" w:themeColor="text1"/>
          <w:szCs w:val="22"/>
        </w:rPr>
      </w:pPr>
      <w:proofErr w:type="gramStart"/>
      <w:r w:rsidRPr="00FB66B2">
        <w:rPr>
          <w:b w:val="0"/>
          <w:bCs/>
          <w:color w:val="000000" w:themeColor="text1"/>
          <w:szCs w:val="22"/>
        </w:rPr>
        <w:t>With regard to</w:t>
      </w:r>
      <w:proofErr w:type="gramEnd"/>
      <w:r w:rsidRPr="00FB66B2">
        <w:rPr>
          <w:b w:val="0"/>
          <w:bCs/>
          <w:color w:val="000000" w:themeColor="text1"/>
          <w:szCs w:val="22"/>
        </w:rPr>
        <w:t xml:space="preserve"> environmental monitoring variables such as radiation, ground-water quality (both in the site and at the regional level), suspended particulate matter, and weather conditions affecting the works (wind speed, snowfall, rainfall), CNEA did a professional job by appointing well-trained technicians to implement systematic measurements.  While the reporting of such monitoring data was weak at first, it improved gradually during project implementation. With regards to the management of waste and occupational health and safety issues at the </w:t>
      </w:r>
      <w:proofErr w:type="spellStart"/>
      <w:r w:rsidR="00E52891">
        <w:rPr>
          <w:b w:val="0"/>
          <w:bCs/>
          <w:color w:val="000000" w:themeColor="text1"/>
          <w:szCs w:val="22"/>
        </w:rPr>
        <w:t>Malargüe</w:t>
      </w:r>
      <w:proofErr w:type="spellEnd"/>
      <w:r w:rsidRPr="00FB66B2">
        <w:rPr>
          <w:b w:val="0"/>
          <w:bCs/>
          <w:color w:val="000000" w:themeColor="text1"/>
          <w:szCs w:val="22"/>
        </w:rPr>
        <w:t xml:space="preserve"> site, however, the contractor’s performance was below standards leading to minor accidents that were reported with delays.</w:t>
      </w:r>
    </w:p>
    <w:p w14:paraId="2ACA6C0D" w14:textId="77777777" w:rsidR="00FB66B2" w:rsidRPr="00FB66B2" w:rsidRDefault="00FB66B2" w:rsidP="00FB66B2">
      <w:pPr>
        <w:pStyle w:val="ListParagraph"/>
        <w:rPr>
          <w:bCs/>
          <w:color w:val="000000" w:themeColor="text1"/>
          <w:szCs w:val="22"/>
        </w:rPr>
      </w:pPr>
    </w:p>
    <w:p w14:paraId="32A007BD" w14:textId="77777777" w:rsidR="006902E0" w:rsidRPr="00FB66B2" w:rsidRDefault="002C3F71" w:rsidP="00FB66B2">
      <w:pPr>
        <w:pStyle w:val="ListParagraph"/>
        <w:widowControl/>
        <w:numPr>
          <w:ilvl w:val="0"/>
          <w:numId w:val="21"/>
        </w:numPr>
        <w:spacing w:line="276" w:lineRule="auto"/>
        <w:ind w:left="-360"/>
        <w:jc w:val="both"/>
        <w:rPr>
          <w:b w:val="0"/>
          <w:bCs/>
          <w:color w:val="000000" w:themeColor="text1"/>
          <w:szCs w:val="22"/>
        </w:rPr>
      </w:pPr>
      <w:r w:rsidRPr="00FB66B2">
        <w:rPr>
          <w:b w:val="0"/>
          <w:bCs/>
          <w:color w:val="000000" w:themeColor="text1"/>
          <w:szCs w:val="22"/>
        </w:rPr>
        <w:t xml:space="preserve">In addition to remediation of the </w:t>
      </w:r>
      <w:proofErr w:type="spellStart"/>
      <w:r w:rsidRPr="00FB66B2">
        <w:rPr>
          <w:b w:val="0"/>
          <w:bCs/>
          <w:color w:val="000000" w:themeColor="text1"/>
          <w:szCs w:val="22"/>
        </w:rPr>
        <w:t>Malargüe</w:t>
      </w:r>
      <w:proofErr w:type="spellEnd"/>
      <w:r w:rsidRPr="00FB66B2">
        <w:rPr>
          <w:b w:val="0"/>
          <w:bCs/>
          <w:color w:val="000000" w:themeColor="text1"/>
          <w:szCs w:val="22"/>
        </w:rPr>
        <w:t xml:space="preserve"> site </w:t>
      </w:r>
      <w:r w:rsidRPr="00FB66B2">
        <w:rPr>
          <w:b w:val="0"/>
          <w:bCs/>
          <w:i/>
          <w:color w:val="000000" w:themeColor="text1"/>
          <w:szCs w:val="22"/>
        </w:rPr>
        <w:t>per se</w:t>
      </w:r>
      <w:r w:rsidRPr="00FB66B2">
        <w:rPr>
          <w:b w:val="0"/>
          <w:bCs/>
          <w:color w:val="000000" w:themeColor="text1"/>
          <w:szCs w:val="22"/>
        </w:rPr>
        <w:t>, cleanup of traces of tailings on two neighboring properties on which wind and overland flow had deposited contaminated material was undertaken during project implementation. On one of these properties (</w:t>
      </w:r>
      <w:r w:rsidRPr="00FB66B2">
        <w:rPr>
          <w:b w:val="0"/>
          <w:bCs/>
          <w:i/>
          <w:color w:val="000000" w:themeColor="text1"/>
          <w:szCs w:val="22"/>
        </w:rPr>
        <w:t xml:space="preserve">Cabañas </w:t>
      </w:r>
      <w:proofErr w:type="spellStart"/>
      <w:r w:rsidRPr="00FB66B2">
        <w:rPr>
          <w:b w:val="0"/>
          <w:bCs/>
          <w:i/>
          <w:color w:val="000000" w:themeColor="text1"/>
          <w:szCs w:val="22"/>
        </w:rPr>
        <w:t>Experimentales</w:t>
      </w:r>
      <w:proofErr w:type="spellEnd"/>
      <w:r w:rsidRPr="00FB66B2">
        <w:rPr>
          <w:b w:val="0"/>
          <w:bCs/>
          <w:color w:val="000000" w:themeColor="text1"/>
          <w:szCs w:val="22"/>
        </w:rPr>
        <w:t>), the owner voluntarily accepted the remediation of the topsoil layer and it was completed by August 2016. For the second property (</w:t>
      </w:r>
      <w:proofErr w:type="spellStart"/>
      <w:r w:rsidRPr="00FB66B2">
        <w:rPr>
          <w:b w:val="0"/>
          <w:bCs/>
          <w:i/>
          <w:color w:val="000000" w:themeColor="text1"/>
          <w:szCs w:val="22"/>
        </w:rPr>
        <w:t>Finca</w:t>
      </w:r>
      <w:proofErr w:type="spellEnd"/>
      <w:r w:rsidRPr="00FB66B2">
        <w:rPr>
          <w:b w:val="0"/>
          <w:bCs/>
          <w:i/>
          <w:color w:val="000000" w:themeColor="text1"/>
          <w:szCs w:val="22"/>
        </w:rPr>
        <w:t xml:space="preserve"> </w:t>
      </w:r>
      <w:proofErr w:type="spellStart"/>
      <w:r w:rsidRPr="00FB66B2">
        <w:rPr>
          <w:b w:val="0"/>
          <w:bCs/>
          <w:i/>
          <w:color w:val="000000" w:themeColor="text1"/>
          <w:szCs w:val="22"/>
        </w:rPr>
        <w:t>Cabus</w:t>
      </w:r>
      <w:proofErr w:type="spellEnd"/>
      <w:r w:rsidRPr="00FB66B2">
        <w:rPr>
          <w:b w:val="0"/>
          <w:bCs/>
          <w:color w:val="000000" w:themeColor="text1"/>
          <w:szCs w:val="22"/>
        </w:rPr>
        <w:t>), CNEA had maintained voluntary rental contracts with the owner for several years and, at the time of appraisal, was seeking to purchase the land. This purchase did not materialize and the owner initially opposed remediation of his land, possibly seeking monetary compensation. During 2016, however, negotiations took place and the parties reached an agreement that allowed for remediation of the property prior to project closing. The Bank team</w:t>
      </w:r>
      <w:r w:rsidR="001E2150" w:rsidRPr="00FB66B2">
        <w:rPr>
          <w:b w:val="0"/>
          <w:bCs/>
          <w:color w:val="000000" w:themeColor="text1"/>
          <w:szCs w:val="22"/>
        </w:rPr>
        <w:t xml:space="preserve"> </w:t>
      </w:r>
      <w:r w:rsidRPr="00FB66B2">
        <w:rPr>
          <w:b w:val="0"/>
          <w:bCs/>
          <w:color w:val="000000" w:themeColor="text1"/>
          <w:szCs w:val="22"/>
        </w:rPr>
        <w:t>reviewed this agreement and ensured that it was implemented.</w:t>
      </w:r>
      <w:r w:rsidR="00FF1F84" w:rsidRPr="00FB66B2">
        <w:rPr>
          <w:b w:val="0"/>
          <w:bCs/>
          <w:color w:val="000000" w:themeColor="text1"/>
          <w:szCs w:val="22"/>
        </w:rPr>
        <w:t xml:space="preserve"> </w:t>
      </w:r>
    </w:p>
    <w:p w14:paraId="4055AF68" w14:textId="77777777" w:rsidR="001E2150" w:rsidRPr="001E2150" w:rsidRDefault="001E2150" w:rsidP="001E2150">
      <w:pPr>
        <w:pStyle w:val="ListParagraph"/>
        <w:rPr>
          <w:bCs/>
          <w:color w:val="000000" w:themeColor="text1"/>
          <w:szCs w:val="22"/>
        </w:rPr>
      </w:pPr>
    </w:p>
    <w:p w14:paraId="32370924" w14:textId="77777777" w:rsidR="00FB66B2" w:rsidRDefault="002C3F71" w:rsidP="00FB66B2">
      <w:pPr>
        <w:pStyle w:val="ListParagraph"/>
        <w:widowControl/>
        <w:numPr>
          <w:ilvl w:val="0"/>
          <w:numId w:val="21"/>
        </w:numPr>
        <w:spacing w:line="276" w:lineRule="auto"/>
        <w:ind w:left="-360"/>
        <w:jc w:val="both"/>
        <w:rPr>
          <w:b w:val="0"/>
          <w:bCs/>
          <w:color w:val="000000" w:themeColor="text1"/>
          <w:szCs w:val="22"/>
        </w:rPr>
      </w:pPr>
      <w:r w:rsidRPr="00FB66B2">
        <w:rPr>
          <w:bCs/>
          <w:color w:val="000000" w:themeColor="text1"/>
          <w:szCs w:val="22"/>
        </w:rPr>
        <w:t xml:space="preserve">Social.  </w:t>
      </w:r>
      <w:r w:rsidRPr="00F52D76">
        <w:rPr>
          <w:b w:val="0"/>
          <w:bCs/>
          <w:color w:val="000000" w:themeColor="text1"/>
          <w:szCs w:val="22"/>
        </w:rPr>
        <w:t xml:space="preserve">At appraisal, </w:t>
      </w:r>
      <w:r w:rsidRPr="00AF1394">
        <w:rPr>
          <w:b w:val="0"/>
          <w:bCs/>
          <w:color w:val="000000" w:themeColor="text1"/>
          <w:szCs w:val="22"/>
        </w:rPr>
        <w:t>the</w:t>
      </w:r>
      <w:r w:rsidRPr="001E2150">
        <w:rPr>
          <w:b w:val="0"/>
          <w:bCs/>
          <w:color w:val="000000" w:themeColor="text1"/>
          <w:szCs w:val="22"/>
        </w:rPr>
        <w:t xml:space="preserve"> project did not trigger any of the Bank’s social safeguard polices as no involuntary resettlement or significant land acquisition was required.  This indeed proved to be the case during implementation even though, as indicated in the previous paragraph, at one point purchase of one neighboring property had been contemplated, but never occurred. </w:t>
      </w:r>
      <w:r>
        <w:rPr>
          <w:b w:val="0"/>
          <w:bCs/>
          <w:color w:val="000000" w:themeColor="text1"/>
          <w:szCs w:val="22"/>
        </w:rPr>
        <w:t xml:space="preserve"> In retrospect, perhaps OP 4.12 should have been triggered as a social specialist had to be added to the Bank team </w:t>
      </w:r>
      <w:proofErr w:type="gramStart"/>
      <w:r>
        <w:rPr>
          <w:b w:val="0"/>
          <w:bCs/>
          <w:color w:val="000000" w:themeColor="text1"/>
          <w:szCs w:val="22"/>
        </w:rPr>
        <w:t>in order to</w:t>
      </w:r>
      <w:proofErr w:type="gramEnd"/>
      <w:r>
        <w:rPr>
          <w:b w:val="0"/>
          <w:bCs/>
          <w:color w:val="000000" w:themeColor="text1"/>
          <w:szCs w:val="22"/>
        </w:rPr>
        <w:t xml:space="preserve"> deal with this issue during implementation. </w:t>
      </w:r>
      <w:r w:rsidRPr="001E2150">
        <w:rPr>
          <w:b w:val="0"/>
          <w:bCs/>
          <w:color w:val="000000" w:themeColor="text1"/>
          <w:szCs w:val="22"/>
        </w:rPr>
        <w:t xml:space="preserve">As also determined at appraisal, </w:t>
      </w:r>
      <w:r>
        <w:rPr>
          <w:b w:val="0"/>
          <w:bCs/>
          <w:color w:val="000000" w:themeColor="text1"/>
          <w:szCs w:val="22"/>
        </w:rPr>
        <w:t xml:space="preserve">however, </w:t>
      </w:r>
      <w:r w:rsidRPr="001E2150">
        <w:rPr>
          <w:b w:val="0"/>
          <w:bCs/>
          <w:color w:val="000000" w:themeColor="text1"/>
          <w:szCs w:val="22"/>
        </w:rPr>
        <w:t xml:space="preserve">no indigenous peoples were affected by the project.  </w:t>
      </w:r>
    </w:p>
    <w:p w14:paraId="04667430" w14:textId="77777777" w:rsidR="001E2150" w:rsidRPr="00FB66B2" w:rsidRDefault="001E2150" w:rsidP="00FB66B2">
      <w:pPr>
        <w:pStyle w:val="ListParagraph"/>
        <w:widowControl/>
        <w:spacing w:line="276" w:lineRule="auto"/>
        <w:ind w:left="-360"/>
        <w:jc w:val="both"/>
        <w:rPr>
          <w:bCs/>
          <w:color w:val="000000" w:themeColor="text1"/>
          <w:szCs w:val="22"/>
        </w:rPr>
      </w:pPr>
    </w:p>
    <w:p w14:paraId="6983FB33" w14:textId="77777777" w:rsidR="00FB66B2" w:rsidRDefault="002C3F71" w:rsidP="00FB66B2">
      <w:pPr>
        <w:pStyle w:val="ListParagraph"/>
        <w:widowControl/>
        <w:numPr>
          <w:ilvl w:val="0"/>
          <w:numId w:val="21"/>
        </w:numPr>
        <w:spacing w:line="276" w:lineRule="auto"/>
        <w:ind w:left="-360"/>
        <w:jc w:val="both"/>
        <w:rPr>
          <w:b w:val="0"/>
          <w:bCs/>
          <w:color w:val="000000" w:themeColor="text1"/>
          <w:szCs w:val="22"/>
        </w:rPr>
      </w:pPr>
      <w:r w:rsidRPr="001E2150">
        <w:rPr>
          <w:b w:val="0"/>
          <w:bCs/>
          <w:color w:val="000000" w:themeColor="text1"/>
          <w:szCs w:val="22"/>
        </w:rPr>
        <w:t xml:space="preserve">Overall safeguards </w:t>
      </w:r>
      <w:r>
        <w:rPr>
          <w:b w:val="0"/>
          <w:bCs/>
          <w:color w:val="000000" w:themeColor="text1"/>
          <w:szCs w:val="22"/>
        </w:rPr>
        <w:t>performance was</w:t>
      </w:r>
      <w:r w:rsidRPr="001E2150">
        <w:rPr>
          <w:b w:val="0"/>
          <w:bCs/>
          <w:color w:val="000000" w:themeColor="text1"/>
          <w:szCs w:val="22"/>
        </w:rPr>
        <w:t xml:space="preserve"> adequate since: (a) Being a Category A, it </w:t>
      </w:r>
      <w:r>
        <w:rPr>
          <w:b w:val="0"/>
          <w:bCs/>
          <w:color w:val="000000" w:themeColor="text1"/>
          <w:szCs w:val="22"/>
        </w:rPr>
        <w:t>required a full environmental impact assessment under</w:t>
      </w:r>
      <w:r w:rsidRPr="001E2150">
        <w:rPr>
          <w:b w:val="0"/>
          <w:bCs/>
          <w:color w:val="000000" w:themeColor="text1"/>
          <w:szCs w:val="22"/>
        </w:rPr>
        <w:t xml:space="preserve"> OP 4.01</w:t>
      </w:r>
      <w:r>
        <w:rPr>
          <w:b w:val="0"/>
          <w:bCs/>
          <w:color w:val="000000" w:themeColor="text1"/>
          <w:szCs w:val="22"/>
        </w:rPr>
        <w:t>;</w:t>
      </w:r>
      <w:r w:rsidRPr="001E2150">
        <w:rPr>
          <w:b w:val="0"/>
          <w:bCs/>
          <w:color w:val="000000" w:themeColor="text1"/>
          <w:szCs w:val="22"/>
        </w:rPr>
        <w:t xml:space="preserve"> (b) no involuntary resettlement or land acquisition was required; (c) </w:t>
      </w:r>
      <w:r w:rsidR="00C13632">
        <w:rPr>
          <w:b w:val="0"/>
          <w:bCs/>
          <w:color w:val="000000" w:themeColor="text1"/>
          <w:szCs w:val="22"/>
        </w:rPr>
        <w:t xml:space="preserve">the Bank’s environmental specialist participated in all missions and when needed, external technical consultants and a social specialist were brought on board; and (d) </w:t>
      </w:r>
      <w:r w:rsidRPr="001E2150">
        <w:rPr>
          <w:b w:val="0"/>
          <w:bCs/>
          <w:color w:val="000000" w:themeColor="text1"/>
          <w:szCs w:val="22"/>
        </w:rPr>
        <w:t>when an issue raised with regards to the remediation of a neighboring lot (</w:t>
      </w:r>
      <w:proofErr w:type="spellStart"/>
      <w:r w:rsidRPr="001E2150">
        <w:rPr>
          <w:b w:val="0"/>
          <w:bCs/>
          <w:color w:val="000000" w:themeColor="text1"/>
          <w:szCs w:val="22"/>
        </w:rPr>
        <w:t>Finca</w:t>
      </w:r>
      <w:proofErr w:type="spellEnd"/>
      <w:r w:rsidRPr="001E2150">
        <w:rPr>
          <w:b w:val="0"/>
          <w:bCs/>
          <w:color w:val="000000" w:themeColor="text1"/>
          <w:szCs w:val="22"/>
        </w:rPr>
        <w:t xml:space="preserve"> </w:t>
      </w:r>
      <w:proofErr w:type="spellStart"/>
      <w:r w:rsidRPr="001E2150">
        <w:rPr>
          <w:b w:val="0"/>
          <w:bCs/>
          <w:color w:val="000000" w:themeColor="text1"/>
          <w:szCs w:val="22"/>
        </w:rPr>
        <w:t>Cabus</w:t>
      </w:r>
      <w:proofErr w:type="spellEnd"/>
      <w:r w:rsidRPr="001E2150">
        <w:rPr>
          <w:b w:val="0"/>
          <w:bCs/>
          <w:color w:val="000000" w:themeColor="text1"/>
          <w:szCs w:val="22"/>
        </w:rPr>
        <w:t xml:space="preserve">), CNEA and the Bank team properly addressed the issue and the principle of </w:t>
      </w:r>
      <w:r>
        <w:rPr>
          <w:b w:val="0"/>
          <w:bCs/>
          <w:color w:val="000000" w:themeColor="text1"/>
          <w:szCs w:val="22"/>
        </w:rPr>
        <w:t xml:space="preserve">OP 4.12 </w:t>
      </w:r>
      <w:r w:rsidRPr="001E2150">
        <w:rPr>
          <w:b w:val="0"/>
          <w:bCs/>
          <w:color w:val="000000" w:themeColor="text1"/>
          <w:szCs w:val="22"/>
        </w:rPr>
        <w:t>was applied</w:t>
      </w:r>
      <w:r>
        <w:rPr>
          <w:b w:val="0"/>
          <w:bCs/>
          <w:color w:val="000000" w:themeColor="text1"/>
          <w:szCs w:val="22"/>
        </w:rPr>
        <w:t>.</w:t>
      </w:r>
      <w:r w:rsidRPr="001E2150">
        <w:rPr>
          <w:b w:val="0"/>
          <w:bCs/>
          <w:color w:val="000000" w:themeColor="text1"/>
          <w:szCs w:val="22"/>
        </w:rPr>
        <w:t xml:space="preserve"> </w:t>
      </w:r>
      <w:r w:rsidR="004C4F93">
        <w:rPr>
          <w:b w:val="0"/>
          <w:bCs/>
          <w:color w:val="000000" w:themeColor="text1"/>
          <w:szCs w:val="22"/>
        </w:rPr>
        <w:t>G</w:t>
      </w:r>
      <w:r w:rsidRPr="001E2150">
        <w:rPr>
          <w:b w:val="0"/>
          <w:bCs/>
          <w:color w:val="000000" w:themeColor="text1"/>
          <w:szCs w:val="22"/>
        </w:rPr>
        <w:t xml:space="preserve">iven the heavy emphasis on environmental monitoring undertaken throughout the project by CNEA, the </w:t>
      </w:r>
      <w:r>
        <w:rPr>
          <w:b w:val="0"/>
          <w:bCs/>
          <w:color w:val="000000" w:themeColor="text1"/>
          <w:szCs w:val="22"/>
        </w:rPr>
        <w:t xml:space="preserve">Bank’s environmental safeguards </w:t>
      </w:r>
      <w:r w:rsidRPr="001E2150">
        <w:rPr>
          <w:b w:val="0"/>
          <w:bCs/>
          <w:color w:val="000000" w:themeColor="text1"/>
          <w:szCs w:val="22"/>
        </w:rPr>
        <w:t>w</w:t>
      </w:r>
      <w:r>
        <w:rPr>
          <w:b w:val="0"/>
          <w:bCs/>
          <w:color w:val="000000" w:themeColor="text1"/>
          <w:szCs w:val="22"/>
        </w:rPr>
        <w:t>ere</w:t>
      </w:r>
      <w:r w:rsidRPr="001E2150">
        <w:rPr>
          <w:b w:val="0"/>
          <w:bCs/>
          <w:color w:val="000000" w:themeColor="text1"/>
          <w:szCs w:val="22"/>
        </w:rPr>
        <w:t xml:space="preserve"> </w:t>
      </w:r>
      <w:r>
        <w:rPr>
          <w:b w:val="0"/>
          <w:bCs/>
          <w:color w:val="000000" w:themeColor="text1"/>
          <w:szCs w:val="22"/>
        </w:rPr>
        <w:t xml:space="preserve">properly </w:t>
      </w:r>
      <w:r w:rsidRPr="001E2150">
        <w:rPr>
          <w:b w:val="0"/>
          <w:bCs/>
          <w:color w:val="000000" w:themeColor="text1"/>
          <w:szCs w:val="22"/>
        </w:rPr>
        <w:t>applied</w:t>
      </w:r>
      <w:r>
        <w:rPr>
          <w:b w:val="0"/>
          <w:bCs/>
          <w:color w:val="000000" w:themeColor="text1"/>
          <w:szCs w:val="22"/>
        </w:rPr>
        <w:t xml:space="preserve"> and supervised</w:t>
      </w:r>
      <w:r w:rsidRPr="001E2150">
        <w:rPr>
          <w:b w:val="0"/>
          <w:bCs/>
          <w:color w:val="000000" w:themeColor="text1"/>
          <w:szCs w:val="22"/>
        </w:rPr>
        <w:t xml:space="preserve">.  </w:t>
      </w:r>
    </w:p>
    <w:p w14:paraId="0748C25A" w14:textId="77777777" w:rsidR="001E2150" w:rsidRPr="001E2150" w:rsidRDefault="001E2150" w:rsidP="001E2150">
      <w:pPr>
        <w:pStyle w:val="ListParagraph"/>
        <w:rPr>
          <w:bCs/>
          <w:color w:val="000000" w:themeColor="text1"/>
          <w:szCs w:val="22"/>
        </w:rPr>
      </w:pPr>
    </w:p>
    <w:p w14:paraId="0D549C9D" w14:textId="77777777" w:rsidR="001E2150" w:rsidRDefault="002C3F71" w:rsidP="001E2150">
      <w:pPr>
        <w:pStyle w:val="ListParagraph"/>
        <w:widowControl/>
        <w:numPr>
          <w:ilvl w:val="0"/>
          <w:numId w:val="21"/>
        </w:numPr>
        <w:spacing w:line="276" w:lineRule="auto"/>
        <w:ind w:left="-360"/>
        <w:jc w:val="both"/>
        <w:rPr>
          <w:b w:val="0"/>
          <w:bCs/>
          <w:color w:val="000000" w:themeColor="text1"/>
          <w:szCs w:val="22"/>
        </w:rPr>
      </w:pPr>
      <w:r w:rsidRPr="00FB66B2">
        <w:rPr>
          <w:bCs/>
          <w:color w:val="000000" w:themeColor="text1"/>
          <w:szCs w:val="22"/>
        </w:rPr>
        <w:t xml:space="preserve">Procurement.  </w:t>
      </w:r>
      <w:r w:rsidRPr="00FB66B2">
        <w:rPr>
          <w:b w:val="0"/>
          <w:bCs/>
          <w:color w:val="000000" w:themeColor="text1"/>
          <w:szCs w:val="22"/>
        </w:rPr>
        <w:t xml:space="preserve">During implementation, the quality control of the documentation with respect to the acquisition processes, as well as that which sustained the evaluation of bids was not completely efficient.  Frequently, when the contracts were submitted for prior no objection, they went back and forth numerous times before the Bank was finally able to give its no objection.  </w:t>
      </w:r>
      <w:proofErr w:type="gramStart"/>
      <w:r w:rsidRPr="00FB66B2">
        <w:rPr>
          <w:b w:val="0"/>
          <w:bCs/>
          <w:color w:val="000000" w:themeColor="text1"/>
          <w:szCs w:val="22"/>
        </w:rPr>
        <w:t>In all likelihood</w:t>
      </w:r>
      <w:proofErr w:type="gramEnd"/>
      <w:r w:rsidRPr="00FB66B2">
        <w:rPr>
          <w:b w:val="0"/>
          <w:bCs/>
          <w:color w:val="000000" w:themeColor="text1"/>
          <w:szCs w:val="22"/>
        </w:rPr>
        <w:t xml:space="preserve">, insufficient articulation between the PIU and various departments within CNEA was responsible for some of the factors that led to these problems. In general, management of the contracts was </w:t>
      </w:r>
      <w:r w:rsidR="00280556">
        <w:rPr>
          <w:b w:val="0"/>
          <w:bCs/>
          <w:color w:val="000000" w:themeColor="text1"/>
          <w:szCs w:val="22"/>
        </w:rPr>
        <w:t>not without challenges</w:t>
      </w:r>
      <w:r w:rsidRPr="00FB66B2">
        <w:rPr>
          <w:b w:val="0"/>
          <w:bCs/>
          <w:color w:val="000000" w:themeColor="text1"/>
          <w:szCs w:val="22"/>
        </w:rPr>
        <w:t xml:space="preserve">.  Delays in payments, and </w:t>
      </w:r>
      <w:r w:rsidR="00751F11">
        <w:rPr>
          <w:b w:val="0"/>
          <w:bCs/>
          <w:color w:val="000000" w:themeColor="text1"/>
          <w:szCs w:val="22"/>
        </w:rPr>
        <w:t xml:space="preserve">slow </w:t>
      </w:r>
      <w:r w:rsidRPr="00FB66B2">
        <w:rPr>
          <w:b w:val="0"/>
          <w:bCs/>
          <w:color w:val="000000" w:themeColor="text1"/>
          <w:szCs w:val="22"/>
        </w:rPr>
        <w:t xml:space="preserve">performance of the contractor were elements that contributed to the delays in implementation of the most important civil works of the project, remediation of the </w:t>
      </w:r>
      <w:proofErr w:type="spellStart"/>
      <w:r w:rsidR="00E52891">
        <w:rPr>
          <w:b w:val="0"/>
          <w:bCs/>
          <w:color w:val="000000" w:themeColor="text1"/>
          <w:szCs w:val="22"/>
        </w:rPr>
        <w:t>Malargüe</w:t>
      </w:r>
      <w:proofErr w:type="spellEnd"/>
      <w:r w:rsidRPr="00FB66B2">
        <w:rPr>
          <w:b w:val="0"/>
          <w:bCs/>
          <w:color w:val="000000" w:themeColor="text1"/>
          <w:szCs w:val="22"/>
        </w:rPr>
        <w:t xml:space="preserve"> site.  These problems notwithstanding toward the end of the project, performance improved once CNEA took over more effective control of the contract.  The acquisition processes in general were not characterized by great complexity. </w:t>
      </w:r>
      <w:r w:rsidR="00FB66B2" w:rsidRPr="00FB66B2">
        <w:rPr>
          <w:b w:val="0"/>
          <w:bCs/>
          <w:color w:val="000000" w:themeColor="text1"/>
          <w:szCs w:val="22"/>
        </w:rPr>
        <w:t>Th</w:t>
      </w:r>
      <w:r w:rsidRPr="00FB66B2">
        <w:rPr>
          <w:b w:val="0"/>
          <w:bCs/>
          <w:color w:val="000000" w:themeColor="text1"/>
          <w:szCs w:val="22"/>
        </w:rPr>
        <w:t xml:space="preserve">e problems mentioned above did not have a significant impact on the achievement of project objectives, and thus its procurement risk was considered </w:t>
      </w:r>
      <w:r w:rsidRPr="00FB66B2">
        <w:rPr>
          <w:bCs/>
          <w:color w:val="000000" w:themeColor="text1"/>
          <w:szCs w:val="22"/>
        </w:rPr>
        <w:t>Moderate</w:t>
      </w:r>
      <w:r w:rsidR="00FB66B2" w:rsidRPr="00FB66B2">
        <w:rPr>
          <w:bCs/>
          <w:color w:val="000000" w:themeColor="text1"/>
          <w:szCs w:val="22"/>
        </w:rPr>
        <w:t xml:space="preserve"> </w:t>
      </w:r>
      <w:r w:rsidR="00FB66B2" w:rsidRPr="00FB66B2">
        <w:rPr>
          <w:b w:val="0"/>
          <w:bCs/>
          <w:color w:val="auto"/>
          <w:szCs w:val="22"/>
        </w:rPr>
        <w:t>throughout the implementation period</w:t>
      </w:r>
      <w:r w:rsidRPr="00FB66B2">
        <w:rPr>
          <w:b w:val="0"/>
          <w:bCs/>
          <w:color w:val="000000" w:themeColor="text1"/>
          <w:szCs w:val="22"/>
        </w:rPr>
        <w:t>.</w:t>
      </w:r>
    </w:p>
    <w:p w14:paraId="0208E311" w14:textId="77777777" w:rsidR="00FB66B2" w:rsidRPr="00FB66B2" w:rsidRDefault="00FB66B2" w:rsidP="00FB66B2">
      <w:pPr>
        <w:pStyle w:val="ListParagraph"/>
        <w:widowControl/>
        <w:spacing w:line="276" w:lineRule="auto"/>
        <w:ind w:left="-360"/>
        <w:jc w:val="both"/>
        <w:rPr>
          <w:b w:val="0"/>
          <w:bCs/>
          <w:color w:val="000000" w:themeColor="text1"/>
          <w:szCs w:val="22"/>
        </w:rPr>
      </w:pPr>
    </w:p>
    <w:p w14:paraId="29FBC736" w14:textId="77777777" w:rsidR="004D25B2" w:rsidRPr="001E2150" w:rsidRDefault="002C3F71" w:rsidP="001E2150">
      <w:pPr>
        <w:pStyle w:val="ListParagraph"/>
        <w:widowControl/>
        <w:numPr>
          <w:ilvl w:val="0"/>
          <w:numId w:val="21"/>
        </w:numPr>
        <w:spacing w:line="276" w:lineRule="auto"/>
        <w:ind w:left="-360"/>
        <w:jc w:val="both"/>
        <w:rPr>
          <w:b w:val="0"/>
          <w:bCs/>
          <w:color w:val="000000" w:themeColor="text1"/>
          <w:szCs w:val="22"/>
        </w:rPr>
      </w:pPr>
      <w:r w:rsidRPr="001E2150">
        <w:rPr>
          <w:bCs/>
          <w:color w:val="000000" w:themeColor="text1"/>
          <w:szCs w:val="22"/>
        </w:rPr>
        <w:t xml:space="preserve">Financial Management.  </w:t>
      </w:r>
      <w:r w:rsidRPr="001E2150">
        <w:rPr>
          <w:b w:val="0"/>
          <w:bCs/>
          <w:color w:val="auto"/>
          <w:szCs w:val="22"/>
        </w:rPr>
        <w:t xml:space="preserve">Project FM performance rating has ranged from </w:t>
      </w:r>
      <w:r w:rsidRPr="001E2150">
        <w:rPr>
          <w:bCs/>
          <w:color w:val="auto"/>
          <w:szCs w:val="22"/>
        </w:rPr>
        <w:t>Satisfactory</w:t>
      </w:r>
      <w:r w:rsidRPr="001E2150">
        <w:rPr>
          <w:b w:val="0"/>
          <w:bCs/>
          <w:color w:val="auto"/>
          <w:szCs w:val="22"/>
        </w:rPr>
        <w:t xml:space="preserve"> to </w:t>
      </w:r>
      <w:r w:rsidRPr="001E2150">
        <w:rPr>
          <w:bCs/>
          <w:color w:val="auto"/>
          <w:szCs w:val="22"/>
        </w:rPr>
        <w:t>Moderately Satisfactory</w:t>
      </w:r>
      <w:r w:rsidRPr="001E2150">
        <w:rPr>
          <w:b w:val="0"/>
          <w:bCs/>
          <w:color w:val="auto"/>
          <w:szCs w:val="22"/>
        </w:rPr>
        <w:t xml:space="preserve"> throughout the implementation period. The Project showed adequate FM arrangements that complied with Bank requirements. The project implementation initially developed at a very slow pace. Interim Financial Reports received by the Bank with some delays were reviewed and found acceptable. Some budgetary constraints caused delays on the remediation works payments. Extensions of the Loan closing date as well as reallocations of proceeds amongst disbursement categories were required by the client and approved by the Bank to allow CNEA to complete project implementation. Minor FM shortcomings identified during supervision missions were properly addressed by the project team and the FM agreed actions were complied with. The Project financial statements audits were carried out by Argentina Supreme Audit Institution (Auditoria General de la </w:t>
      </w:r>
      <w:proofErr w:type="spellStart"/>
      <w:r w:rsidRPr="001E2150">
        <w:rPr>
          <w:b w:val="0"/>
          <w:bCs/>
          <w:color w:val="auto"/>
          <w:szCs w:val="22"/>
        </w:rPr>
        <w:t>Nación</w:t>
      </w:r>
      <w:proofErr w:type="spellEnd"/>
      <w:r w:rsidRPr="001E2150">
        <w:rPr>
          <w:b w:val="0"/>
          <w:bCs/>
          <w:color w:val="auto"/>
          <w:szCs w:val="22"/>
        </w:rPr>
        <w:t xml:space="preserve">- AGN) since project inception. Audit reports were received by the Bank with some delay but were reviewed and found acceptable. No accountability issues have arisen throughout the entire project life. The last audit report, covering the period from January 1, 2017 to the closing date, including the grace period, is expected to be submitted to the Bank not later than April 27, 2018. The last advance to the Designated Account has not been fully documented yet. It is expected that CNEA will reimburse the Bank US$334,593 corresponding to non-executed funds.  </w:t>
      </w:r>
    </w:p>
    <w:p w14:paraId="3B1639C3" w14:textId="77777777" w:rsidR="00173499" w:rsidRPr="00CB304D" w:rsidRDefault="00173499" w:rsidP="007A3348">
      <w:pPr>
        <w:ind w:left="-360"/>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0AC2F9F9" w14:textId="77777777" w:rsidTr="003615CB">
        <w:trPr>
          <w:trHeight w:val="108"/>
        </w:trPr>
        <w:tc>
          <w:tcPr>
            <w:tcW w:w="10710" w:type="dxa"/>
          </w:tcPr>
          <w:p w14:paraId="5EB2C1D5" w14:textId="77777777" w:rsidR="003615CB" w:rsidRPr="00CB304D" w:rsidRDefault="002C3F71" w:rsidP="00F81AC2">
            <w:pPr>
              <w:pStyle w:val="Heading2"/>
              <w:keepLines w:val="0"/>
              <w:outlineLvl w:val="1"/>
              <w:rPr>
                <w:szCs w:val="22"/>
              </w:rPr>
            </w:pPr>
            <w:bookmarkStart w:id="73" w:name="_Toc256000027"/>
            <w:bookmarkStart w:id="74" w:name="_Toc433982422"/>
            <w:bookmarkStart w:id="75" w:name="_Toc460509202"/>
            <w:bookmarkStart w:id="76" w:name="_Toc485984557"/>
            <w:bookmarkStart w:id="77" w:name="_Toc502164475"/>
            <w:r w:rsidRPr="00CB304D">
              <w:rPr>
                <w:b/>
                <w:bCs/>
                <w:szCs w:val="22"/>
              </w:rPr>
              <w:t>C.</w:t>
            </w:r>
            <w:r w:rsidRPr="00CB304D">
              <w:rPr>
                <w:b/>
                <w:szCs w:val="22"/>
              </w:rPr>
              <w:t xml:space="preserve"> </w:t>
            </w:r>
            <w:r w:rsidR="007A3348" w:rsidRPr="00CB304D">
              <w:rPr>
                <w:b/>
                <w:szCs w:val="22"/>
              </w:rPr>
              <w:t>BANK PERFORMANCE</w:t>
            </w:r>
            <w:bookmarkEnd w:id="73"/>
            <w:bookmarkEnd w:id="74"/>
            <w:bookmarkEnd w:id="75"/>
            <w:bookmarkEnd w:id="76"/>
            <w:bookmarkEnd w:id="77"/>
          </w:p>
        </w:tc>
      </w:tr>
    </w:tbl>
    <w:p w14:paraId="74FC8704" w14:textId="77777777" w:rsidR="003615CB" w:rsidRPr="00CB304D" w:rsidRDefault="003615CB" w:rsidP="00F81AC2">
      <w:pPr>
        <w:ind w:left="-634"/>
        <w:rPr>
          <w:rFonts w:asciiTheme="minorHAnsi" w:hAnsiTheme="minorHAnsi"/>
          <w:bCs/>
          <w:color w:val="auto"/>
          <w:sz w:val="22"/>
          <w:szCs w:val="22"/>
        </w:rPr>
      </w:pPr>
    </w:p>
    <w:tbl>
      <w:tblPr>
        <w:tblW w:w="10980" w:type="dxa"/>
        <w:tblInd w:w="-81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2AA3F622" w14:textId="77777777" w:rsidTr="00F3497E">
        <w:trPr>
          <w:trHeight w:val="360"/>
        </w:trPr>
        <w:tc>
          <w:tcPr>
            <w:tcW w:w="10980" w:type="dxa"/>
            <w:shd w:val="clear" w:color="auto" w:fill="auto"/>
            <w:vAlign w:val="center"/>
          </w:tcPr>
          <w:p w14:paraId="16D4A230" w14:textId="77777777" w:rsidR="00F3497E" w:rsidRDefault="002C3F71" w:rsidP="0023268D">
            <w:pPr>
              <w:pStyle w:val="Heading3"/>
              <w:ind w:left="342"/>
              <w:rPr>
                <w:szCs w:val="22"/>
              </w:rPr>
            </w:pPr>
            <w:r w:rsidRPr="00CB304D">
              <w:rPr>
                <w:szCs w:val="22"/>
              </w:rPr>
              <w:t>Quality at Entry</w:t>
            </w:r>
          </w:p>
          <w:p w14:paraId="765EB71E" w14:textId="77777777" w:rsidR="004D25B2" w:rsidRPr="004D25B2" w:rsidRDefault="004D25B2" w:rsidP="004D25B2"/>
        </w:tc>
      </w:tr>
      <w:tr w:rsidR="00E63776" w14:paraId="2710F0D3" w14:textId="77777777" w:rsidTr="00F3497E">
        <w:trPr>
          <w:trHeight w:val="180"/>
        </w:trPr>
        <w:tc>
          <w:tcPr>
            <w:tcW w:w="10980" w:type="dxa"/>
            <w:shd w:val="clear" w:color="auto" w:fill="auto"/>
            <w:vAlign w:val="center"/>
          </w:tcPr>
          <w:p w14:paraId="6F26301E" w14:textId="77777777" w:rsidR="004D25B2" w:rsidRPr="0075425C" w:rsidRDefault="002C3F71" w:rsidP="001E2150">
            <w:pPr>
              <w:pStyle w:val="ListParagraph"/>
              <w:widowControl/>
              <w:numPr>
                <w:ilvl w:val="0"/>
                <w:numId w:val="21"/>
              </w:numPr>
              <w:spacing w:line="276" w:lineRule="auto"/>
              <w:ind w:left="249"/>
              <w:jc w:val="both"/>
              <w:rPr>
                <w:rFonts w:eastAsiaTheme="minorHAnsi" w:cstheme="minorBidi"/>
                <w:b w:val="0"/>
                <w:color w:val="000000" w:themeColor="text1"/>
                <w:szCs w:val="22"/>
              </w:rPr>
            </w:pPr>
            <w:r w:rsidRPr="0075425C">
              <w:rPr>
                <w:rFonts w:eastAsiaTheme="minorHAnsi" w:cstheme="minorBidi"/>
                <w:b w:val="0"/>
                <w:color w:val="000000" w:themeColor="text1"/>
                <w:szCs w:val="22"/>
              </w:rPr>
              <w:t xml:space="preserve">Quality at entry is rated </w:t>
            </w:r>
            <w:r w:rsidRPr="00FD6CF1">
              <w:rPr>
                <w:rFonts w:eastAsiaTheme="minorHAnsi" w:cstheme="minorBidi"/>
                <w:color w:val="000000" w:themeColor="text1"/>
                <w:szCs w:val="22"/>
              </w:rPr>
              <w:t xml:space="preserve">Moderately </w:t>
            </w:r>
            <w:r>
              <w:rPr>
                <w:rFonts w:eastAsiaTheme="minorHAnsi" w:cstheme="minorBidi"/>
                <w:color w:val="000000" w:themeColor="text1"/>
                <w:szCs w:val="22"/>
              </w:rPr>
              <w:t xml:space="preserve">Unsatisfactory </w:t>
            </w:r>
            <w:r>
              <w:rPr>
                <w:rFonts w:eastAsiaTheme="minorHAnsi" w:cstheme="minorBidi"/>
                <w:b w:val="0"/>
                <w:color w:val="000000" w:themeColor="text1"/>
                <w:szCs w:val="22"/>
              </w:rPr>
              <w:t>g</w:t>
            </w:r>
            <w:r w:rsidRPr="0075425C">
              <w:rPr>
                <w:rFonts w:eastAsiaTheme="minorHAnsi" w:cstheme="minorBidi"/>
                <w:b w:val="0"/>
                <w:color w:val="000000" w:themeColor="text1"/>
                <w:szCs w:val="22"/>
              </w:rPr>
              <w:t xml:space="preserve">iven the </w:t>
            </w:r>
            <w:r>
              <w:rPr>
                <w:rFonts w:eastAsiaTheme="minorHAnsi" w:cstheme="minorBidi"/>
                <w:b w:val="0"/>
                <w:color w:val="000000" w:themeColor="text1"/>
                <w:szCs w:val="22"/>
              </w:rPr>
              <w:t xml:space="preserve">shortcomings with: (i) the </w:t>
            </w:r>
            <w:r w:rsidR="00BA2F46">
              <w:rPr>
                <w:rFonts w:eastAsiaTheme="minorHAnsi" w:cstheme="minorBidi"/>
                <w:b w:val="0"/>
                <w:color w:val="000000" w:themeColor="text1"/>
                <w:szCs w:val="22"/>
              </w:rPr>
              <w:t xml:space="preserve">weak </w:t>
            </w:r>
            <w:r>
              <w:rPr>
                <w:rFonts w:eastAsiaTheme="minorHAnsi" w:cstheme="minorBidi"/>
                <w:b w:val="0"/>
                <w:color w:val="000000" w:themeColor="text1"/>
                <w:szCs w:val="22"/>
              </w:rPr>
              <w:t xml:space="preserve">M&amp;E system; (ii) the </w:t>
            </w:r>
            <w:r w:rsidRPr="0075425C">
              <w:rPr>
                <w:rFonts w:eastAsiaTheme="minorHAnsi" w:cstheme="minorBidi"/>
                <w:b w:val="0"/>
                <w:color w:val="000000" w:themeColor="text1"/>
                <w:szCs w:val="22"/>
              </w:rPr>
              <w:t xml:space="preserve">need to substantially revise the PDO and intermediate outcome indicators following the </w:t>
            </w:r>
            <w:r w:rsidR="00BA2F46">
              <w:rPr>
                <w:rFonts w:eastAsiaTheme="minorHAnsi" w:cstheme="minorBidi"/>
                <w:b w:val="0"/>
                <w:color w:val="000000" w:themeColor="text1"/>
                <w:szCs w:val="22"/>
              </w:rPr>
              <w:t>MTR</w:t>
            </w:r>
            <w:r w:rsidRPr="0075425C">
              <w:rPr>
                <w:rFonts w:eastAsiaTheme="minorHAnsi" w:cstheme="minorBidi"/>
                <w:b w:val="0"/>
                <w:color w:val="000000" w:themeColor="text1"/>
                <w:szCs w:val="22"/>
              </w:rPr>
              <w:t>, and again at a later date, through Level I</w:t>
            </w:r>
            <w:r w:rsidR="002E340B">
              <w:rPr>
                <w:rFonts w:eastAsiaTheme="minorHAnsi" w:cstheme="minorBidi"/>
                <w:b w:val="0"/>
                <w:color w:val="000000" w:themeColor="text1"/>
                <w:szCs w:val="22"/>
              </w:rPr>
              <w:t>I</w:t>
            </w:r>
            <w:r w:rsidRPr="0075425C">
              <w:rPr>
                <w:rFonts w:eastAsiaTheme="minorHAnsi" w:cstheme="minorBidi"/>
                <w:b w:val="0"/>
                <w:color w:val="000000" w:themeColor="text1"/>
                <w:szCs w:val="22"/>
              </w:rPr>
              <w:t xml:space="preserve"> restructurings in order to improve the relevance and quality of project monitoring activities</w:t>
            </w:r>
            <w:r w:rsidR="00BA2F46">
              <w:rPr>
                <w:rFonts w:eastAsiaTheme="minorHAnsi" w:cstheme="minorBidi"/>
                <w:b w:val="0"/>
                <w:color w:val="000000" w:themeColor="text1"/>
                <w:szCs w:val="22"/>
              </w:rPr>
              <w:t>;</w:t>
            </w:r>
            <w:r>
              <w:rPr>
                <w:rFonts w:eastAsiaTheme="minorHAnsi" w:cstheme="minorBidi"/>
                <w:b w:val="0"/>
                <w:color w:val="000000" w:themeColor="text1"/>
                <w:szCs w:val="22"/>
              </w:rPr>
              <w:t xml:space="preserve"> (iii) the inadequate calculations for the remediation costs under Component 1 (which had to be amended and required reallocation of Loan proceeds); (iv) the other deficiencies with the original economic analysis (i.e., the underestimation of the average remediation cost and the use of a measure of weight (US$/ton) rather than volume (US$/m3) at appraisal; and (v) the failure to trigger OP 4.12 although it was later correctly applied in practice</w:t>
            </w:r>
            <w:r w:rsidR="00BA2F46">
              <w:rPr>
                <w:rFonts w:eastAsiaTheme="minorHAnsi" w:cstheme="minorBidi"/>
                <w:b w:val="0"/>
                <w:color w:val="000000" w:themeColor="text1"/>
                <w:szCs w:val="22"/>
              </w:rPr>
              <w:t>.  In addition, t</w:t>
            </w:r>
            <w:r>
              <w:rPr>
                <w:rFonts w:eastAsiaTheme="minorHAnsi" w:cstheme="minorBidi"/>
                <w:b w:val="0"/>
                <w:color w:val="000000" w:themeColor="text1"/>
                <w:szCs w:val="22"/>
              </w:rPr>
              <w:t xml:space="preserve">here was also a disconnect between the way the second PDO was stated which referred to “potential health and economic damages” at </w:t>
            </w:r>
            <w:proofErr w:type="spellStart"/>
            <w:r w:rsidR="00E52891">
              <w:rPr>
                <w:rFonts w:eastAsiaTheme="minorHAnsi" w:cstheme="minorBidi"/>
                <w:b w:val="0"/>
                <w:color w:val="000000" w:themeColor="text1"/>
                <w:szCs w:val="22"/>
              </w:rPr>
              <w:t>Malargüe</w:t>
            </w:r>
            <w:proofErr w:type="spellEnd"/>
            <w:r>
              <w:rPr>
                <w:rFonts w:eastAsiaTheme="minorHAnsi" w:cstheme="minorBidi"/>
                <w:b w:val="0"/>
                <w:color w:val="000000" w:themeColor="text1"/>
                <w:szCs w:val="22"/>
              </w:rPr>
              <w:t xml:space="preserve"> rather than “potential health and economic risks” as in the Results Framework and associated project performance indicators. </w:t>
            </w:r>
            <w:r w:rsidRPr="0075425C">
              <w:rPr>
                <w:rFonts w:eastAsiaTheme="minorHAnsi" w:cstheme="minorBidi"/>
                <w:b w:val="0"/>
                <w:color w:val="000000" w:themeColor="text1"/>
                <w:szCs w:val="22"/>
              </w:rPr>
              <w:t xml:space="preserve">However, </w:t>
            </w:r>
            <w:r>
              <w:rPr>
                <w:rFonts w:eastAsiaTheme="minorHAnsi" w:cstheme="minorBidi"/>
                <w:b w:val="0"/>
                <w:color w:val="000000" w:themeColor="text1"/>
                <w:szCs w:val="22"/>
              </w:rPr>
              <w:t>this complex</w:t>
            </w:r>
            <w:r w:rsidR="00BA2F46">
              <w:rPr>
                <w:rFonts w:eastAsiaTheme="minorHAnsi" w:cstheme="minorBidi"/>
                <w:b w:val="0"/>
                <w:color w:val="000000" w:themeColor="text1"/>
                <w:szCs w:val="22"/>
              </w:rPr>
              <w:t xml:space="preserve">, ambitious </w:t>
            </w:r>
            <w:r>
              <w:rPr>
                <w:rFonts w:eastAsiaTheme="minorHAnsi" w:cstheme="minorBidi"/>
                <w:b w:val="0"/>
                <w:color w:val="000000" w:themeColor="text1"/>
                <w:szCs w:val="22"/>
              </w:rPr>
              <w:t xml:space="preserve">and pioneering project, the first of its kind by the Bank, was otherwise well-prepared </w:t>
            </w:r>
            <w:r w:rsidR="00BA2F46">
              <w:rPr>
                <w:rFonts w:eastAsiaTheme="minorHAnsi" w:cstheme="minorBidi"/>
                <w:b w:val="0"/>
                <w:color w:val="000000" w:themeColor="text1"/>
                <w:szCs w:val="22"/>
              </w:rPr>
              <w:t xml:space="preserve">and realistic </w:t>
            </w:r>
            <w:r>
              <w:rPr>
                <w:rFonts w:eastAsiaTheme="minorHAnsi" w:cstheme="minorBidi"/>
                <w:b w:val="0"/>
                <w:color w:val="000000" w:themeColor="text1"/>
                <w:szCs w:val="22"/>
              </w:rPr>
              <w:t>from a technical perspective and</w:t>
            </w:r>
            <w:r w:rsidRPr="0075425C">
              <w:rPr>
                <w:rFonts w:eastAsiaTheme="minorHAnsi" w:cstheme="minorBidi"/>
                <w:b w:val="0"/>
                <w:color w:val="000000" w:themeColor="text1"/>
                <w:szCs w:val="22"/>
              </w:rPr>
              <w:t xml:space="preserve"> its objectives and components remained unchanged</w:t>
            </w:r>
            <w:r>
              <w:rPr>
                <w:rFonts w:eastAsiaTheme="minorHAnsi" w:cstheme="minorBidi"/>
                <w:b w:val="0"/>
                <w:color w:val="000000" w:themeColor="text1"/>
                <w:szCs w:val="22"/>
              </w:rPr>
              <w:t xml:space="preserve"> during implementation except for the cost reallocation among components following the </w:t>
            </w:r>
            <w:r w:rsidR="00BA2F46">
              <w:rPr>
                <w:rFonts w:eastAsiaTheme="minorHAnsi" w:cstheme="minorBidi"/>
                <w:b w:val="0"/>
                <w:color w:val="000000" w:themeColor="text1"/>
                <w:szCs w:val="22"/>
              </w:rPr>
              <w:t xml:space="preserve">MTR </w:t>
            </w:r>
            <w:r>
              <w:rPr>
                <w:rFonts w:eastAsiaTheme="minorHAnsi" w:cstheme="minorBidi"/>
                <w:b w:val="0"/>
                <w:color w:val="000000" w:themeColor="text1"/>
                <w:szCs w:val="22"/>
              </w:rPr>
              <w:t>and the reorientation of Component 2.3 by substantially shifting the projects initial capacity building focus from the federal to the provincial and municipal levels</w:t>
            </w:r>
            <w:r w:rsidRPr="0075425C">
              <w:rPr>
                <w:rFonts w:eastAsiaTheme="minorHAnsi" w:cstheme="minorBidi"/>
                <w:b w:val="0"/>
                <w:color w:val="000000" w:themeColor="text1"/>
                <w:szCs w:val="22"/>
              </w:rPr>
              <w:t xml:space="preserve">. The Bank also </w:t>
            </w:r>
            <w:r>
              <w:rPr>
                <w:rFonts w:eastAsiaTheme="minorHAnsi" w:cstheme="minorBidi"/>
                <w:b w:val="0"/>
                <w:color w:val="000000" w:themeColor="text1"/>
                <w:szCs w:val="22"/>
              </w:rPr>
              <w:t xml:space="preserve">enabled </w:t>
            </w:r>
            <w:r w:rsidRPr="0075425C">
              <w:rPr>
                <w:rFonts w:eastAsiaTheme="minorHAnsi" w:cstheme="minorBidi"/>
                <w:b w:val="0"/>
                <w:color w:val="000000" w:themeColor="text1"/>
                <w:szCs w:val="22"/>
              </w:rPr>
              <w:t>two PPF</w:t>
            </w:r>
            <w:r>
              <w:rPr>
                <w:rFonts w:eastAsiaTheme="minorHAnsi" w:cstheme="minorBidi"/>
                <w:b w:val="0"/>
                <w:color w:val="000000" w:themeColor="text1"/>
                <w:szCs w:val="22"/>
              </w:rPr>
              <w:t xml:space="preserve"> advance</w:t>
            </w:r>
            <w:r w:rsidRPr="0075425C">
              <w:rPr>
                <w:rFonts w:eastAsiaTheme="minorHAnsi" w:cstheme="minorBidi"/>
                <w:b w:val="0"/>
                <w:color w:val="000000" w:themeColor="text1"/>
                <w:szCs w:val="22"/>
              </w:rPr>
              <w:t>s for purposes of project preparation that contributed to</w:t>
            </w:r>
            <w:r>
              <w:rPr>
                <w:rFonts w:eastAsiaTheme="minorHAnsi" w:cstheme="minorBidi"/>
                <w:b w:val="0"/>
                <w:color w:val="000000" w:themeColor="text1"/>
                <w:szCs w:val="22"/>
              </w:rPr>
              <w:t xml:space="preserve"> the readiness of the counterparts and to the </w:t>
            </w:r>
            <w:r w:rsidRPr="0075425C">
              <w:rPr>
                <w:rFonts w:eastAsiaTheme="minorHAnsi" w:cstheme="minorBidi"/>
                <w:b w:val="0"/>
                <w:color w:val="000000" w:themeColor="text1"/>
                <w:szCs w:val="22"/>
              </w:rPr>
              <w:t>quality</w:t>
            </w:r>
            <w:r>
              <w:rPr>
                <w:rFonts w:eastAsiaTheme="minorHAnsi" w:cstheme="minorBidi"/>
                <w:b w:val="0"/>
                <w:color w:val="000000" w:themeColor="text1"/>
                <w:szCs w:val="22"/>
              </w:rPr>
              <w:t xml:space="preserve"> of the project after effectiveness even though effectiveness itself was delayed for 21 months</w:t>
            </w:r>
            <w:r w:rsidRPr="0075425C">
              <w:rPr>
                <w:rFonts w:eastAsiaTheme="minorHAnsi" w:cstheme="minorBidi"/>
                <w:b w:val="0"/>
                <w:color w:val="000000" w:themeColor="text1"/>
                <w:szCs w:val="22"/>
              </w:rPr>
              <w:t>.</w:t>
            </w:r>
            <w:r>
              <w:rPr>
                <w:rFonts w:eastAsiaTheme="minorHAnsi" w:cstheme="minorBidi"/>
                <w:b w:val="0"/>
                <w:color w:val="000000" w:themeColor="text1"/>
                <w:szCs w:val="22"/>
              </w:rPr>
              <w:t xml:space="preserve"> </w:t>
            </w:r>
          </w:p>
        </w:tc>
      </w:tr>
      <w:tr w:rsidR="00E63776" w14:paraId="5165BD84" w14:textId="77777777" w:rsidTr="00F3497E">
        <w:trPr>
          <w:trHeight w:val="180"/>
        </w:trPr>
        <w:tc>
          <w:tcPr>
            <w:tcW w:w="10980" w:type="dxa"/>
            <w:shd w:val="clear" w:color="auto" w:fill="auto"/>
            <w:vAlign w:val="center"/>
          </w:tcPr>
          <w:p w14:paraId="4FF3A74B" w14:textId="77777777" w:rsidR="004D25B2" w:rsidRPr="00CB304D" w:rsidRDefault="004D25B2" w:rsidP="004D25B2">
            <w:pPr>
              <w:keepNext/>
              <w:keepLines/>
              <w:widowControl/>
              <w:autoSpaceDE/>
              <w:autoSpaceDN/>
              <w:adjustRightInd/>
              <w:spacing w:line="259" w:lineRule="auto"/>
              <w:ind w:left="360"/>
              <w:outlineLvl w:val="1"/>
              <w:rPr>
                <w:rFonts w:asciiTheme="minorHAnsi" w:eastAsiaTheme="majorEastAsia" w:hAnsiTheme="minorHAnsi" w:cstheme="majorBidi"/>
                <w:color w:val="auto"/>
                <w:sz w:val="22"/>
                <w:szCs w:val="22"/>
              </w:rPr>
            </w:pPr>
          </w:p>
        </w:tc>
      </w:tr>
      <w:tr w:rsidR="00E63776" w14:paraId="54A6F2D1" w14:textId="77777777" w:rsidTr="00F3497E">
        <w:trPr>
          <w:trHeight w:val="180"/>
        </w:trPr>
        <w:tc>
          <w:tcPr>
            <w:tcW w:w="10980" w:type="dxa"/>
            <w:shd w:val="clear" w:color="auto" w:fill="auto"/>
            <w:vAlign w:val="center"/>
          </w:tcPr>
          <w:p w14:paraId="47243F8E" w14:textId="77777777" w:rsidR="004D25B2" w:rsidRPr="00CB304D" w:rsidRDefault="002C3F71" w:rsidP="001E2150">
            <w:pPr>
              <w:pStyle w:val="Heading3"/>
              <w:rPr>
                <w:color w:val="1F4E79" w:themeColor="accent1" w:themeShade="80"/>
                <w:szCs w:val="22"/>
              </w:rPr>
            </w:pPr>
            <w:r w:rsidRPr="00CB304D">
              <w:rPr>
                <w:szCs w:val="22"/>
              </w:rPr>
              <w:t xml:space="preserve">Quality </w:t>
            </w:r>
            <w:r>
              <w:rPr>
                <w:szCs w:val="22"/>
              </w:rPr>
              <w:t>of</w:t>
            </w:r>
            <w:r w:rsidRPr="00CB304D">
              <w:rPr>
                <w:szCs w:val="22"/>
              </w:rPr>
              <w:t xml:space="preserve"> Supervision</w:t>
            </w:r>
          </w:p>
        </w:tc>
      </w:tr>
      <w:tr w:rsidR="00E63776" w14:paraId="4EEB4B26" w14:textId="77777777" w:rsidTr="00F3497E">
        <w:trPr>
          <w:trHeight w:val="180"/>
        </w:trPr>
        <w:tc>
          <w:tcPr>
            <w:tcW w:w="10980" w:type="dxa"/>
            <w:shd w:val="clear" w:color="auto" w:fill="auto"/>
            <w:vAlign w:val="center"/>
          </w:tcPr>
          <w:p w14:paraId="23BE19AA" w14:textId="77777777" w:rsidR="004D25B2" w:rsidRPr="00505DE2" w:rsidRDefault="004D25B2" w:rsidP="004D25B2"/>
        </w:tc>
      </w:tr>
      <w:tr w:rsidR="00E63776" w14:paraId="766E927B" w14:textId="77777777" w:rsidTr="00F3497E">
        <w:trPr>
          <w:trHeight w:val="180"/>
        </w:trPr>
        <w:tc>
          <w:tcPr>
            <w:tcW w:w="10980" w:type="dxa"/>
            <w:shd w:val="clear" w:color="auto" w:fill="auto"/>
            <w:vAlign w:val="center"/>
          </w:tcPr>
          <w:p w14:paraId="33AEDA14" w14:textId="77777777" w:rsidR="00A54D23" w:rsidRDefault="002C3F71" w:rsidP="006561F8">
            <w:pPr>
              <w:pStyle w:val="ListParagraph"/>
              <w:widowControl/>
              <w:numPr>
                <w:ilvl w:val="0"/>
                <w:numId w:val="21"/>
              </w:numPr>
              <w:spacing w:line="276" w:lineRule="auto"/>
              <w:jc w:val="both"/>
              <w:rPr>
                <w:rFonts w:eastAsiaTheme="minorHAnsi" w:cstheme="minorBidi"/>
                <w:b w:val="0"/>
                <w:color w:val="000000" w:themeColor="text1"/>
                <w:szCs w:val="22"/>
              </w:rPr>
            </w:pPr>
            <w:r w:rsidRPr="001E2150">
              <w:rPr>
                <w:rFonts w:eastAsiaTheme="minorHAnsi" w:cstheme="minorBidi"/>
                <w:b w:val="0"/>
                <w:color w:val="000000" w:themeColor="text1"/>
                <w:szCs w:val="22"/>
              </w:rPr>
              <w:t>The</w:t>
            </w:r>
            <w:r w:rsidRPr="00FD6CF1">
              <w:rPr>
                <w:rFonts w:ascii="Calibri" w:eastAsiaTheme="minorHAnsi" w:hAnsi="Calibri" w:cs="Calibri"/>
                <w:b w:val="0"/>
                <w:color w:val="000000" w:themeColor="text1"/>
                <w:szCs w:val="22"/>
              </w:rPr>
              <w:t xml:space="preserve"> quality of Bank supervision is rated </w:t>
            </w:r>
            <w:r w:rsidRPr="00A54D23">
              <w:rPr>
                <w:rFonts w:ascii="Calibri" w:eastAsiaTheme="minorHAnsi" w:hAnsi="Calibri" w:cs="Calibri"/>
                <w:color w:val="000000" w:themeColor="text1"/>
                <w:szCs w:val="22"/>
              </w:rPr>
              <w:t>Moderately</w:t>
            </w:r>
            <w:r>
              <w:rPr>
                <w:rFonts w:ascii="Calibri" w:eastAsiaTheme="minorHAnsi" w:hAnsi="Calibri" w:cs="Calibri"/>
                <w:b w:val="0"/>
                <w:color w:val="000000" w:themeColor="text1"/>
                <w:szCs w:val="22"/>
              </w:rPr>
              <w:t xml:space="preserve"> </w:t>
            </w:r>
            <w:r w:rsidRPr="00FD6CF1">
              <w:rPr>
                <w:rFonts w:ascii="Calibri" w:eastAsiaTheme="minorHAnsi" w:hAnsi="Calibri" w:cs="Calibri"/>
                <w:color w:val="000000" w:themeColor="text1"/>
                <w:szCs w:val="22"/>
              </w:rPr>
              <w:t>Satisfactory</w:t>
            </w:r>
            <w:r w:rsidRPr="00FD6CF1">
              <w:rPr>
                <w:rFonts w:ascii="Calibri" w:eastAsiaTheme="minorHAnsi" w:hAnsi="Calibri" w:cs="Calibri"/>
                <w:b w:val="0"/>
                <w:color w:val="000000" w:themeColor="text1"/>
                <w:szCs w:val="22"/>
              </w:rPr>
              <w:t xml:space="preserve">.  The project team was successfully able to improve the pertinence and quality of the project’s results indicators. It also </w:t>
            </w:r>
            <w:r w:rsidR="006B258B">
              <w:rPr>
                <w:rFonts w:ascii="Calibri" w:eastAsiaTheme="minorHAnsi" w:hAnsi="Calibri" w:cs="Calibri"/>
                <w:b w:val="0"/>
                <w:color w:val="000000" w:themeColor="text1"/>
                <w:szCs w:val="22"/>
              </w:rPr>
              <w:t xml:space="preserve">contributed in establishing </w:t>
            </w:r>
            <w:r w:rsidRPr="00FD6CF1">
              <w:rPr>
                <w:rFonts w:ascii="Calibri" w:eastAsiaTheme="minorHAnsi" w:hAnsi="Calibri" w:cs="Calibri"/>
                <w:b w:val="0"/>
                <w:color w:val="000000" w:themeColor="text1"/>
                <w:szCs w:val="22"/>
              </w:rPr>
              <w:t xml:space="preserve">the required International Advisory Panel when the Borrower proved unable to do so and at no additional cost to the project. </w:t>
            </w:r>
            <w:r w:rsidR="006561F8" w:rsidRPr="006561F8">
              <w:rPr>
                <w:rFonts w:ascii="Calibri" w:eastAsiaTheme="minorHAnsi" w:hAnsi="Calibri" w:cs="Calibri"/>
                <w:b w:val="0"/>
                <w:color w:val="000000" w:themeColor="text1"/>
                <w:szCs w:val="22"/>
              </w:rPr>
              <w:t xml:space="preserve">Even though the Borrower expressed general appreciation for the quality of the Bank’s supervision with respect to technical, financial, procurement, and safeguard issues, it also observed that the transition among the </w:t>
            </w:r>
            <w:r w:rsidR="006561F8">
              <w:rPr>
                <w:rFonts w:ascii="Calibri" w:eastAsiaTheme="minorHAnsi" w:hAnsi="Calibri" w:cs="Calibri"/>
                <w:b w:val="0"/>
                <w:color w:val="000000" w:themeColor="text1"/>
                <w:szCs w:val="22"/>
              </w:rPr>
              <w:t xml:space="preserve">four </w:t>
            </w:r>
            <w:r w:rsidR="006561F8" w:rsidRPr="006561F8">
              <w:rPr>
                <w:rFonts w:ascii="Calibri" w:eastAsiaTheme="minorHAnsi" w:hAnsi="Calibri" w:cs="Calibri"/>
                <w:b w:val="0"/>
                <w:color w:val="000000" w:themeColor="text1"/>
                <w:szCs w:val="22"/>
              </w:rPr>
              <w:t>TTLs led to continuity issues.</w:t>
            </w:r>
            <w:r w:rsidR="006561F8">
              <w:rPr>
                <w:rFonts w:ascii="Calibri" w:eastAsiaTheme="minorHAnsi" w:hAnsi="Calibri" w:cs="Calibri"/>
                <w:b w:val="0"/>
                <w:color w:val="000000" w:themeColor="text1"/>
                <w:szCs w:val="22"/>
              </w:rPr>
              <w:t xml:space="preserve"> </w:t>
            </w:r>
            <w:r w:rsidR="000717DA">
              <w:rPr>
                <w:rFonts w:eastAsiaTheme="minorHAnsi" w:cstheme="minorBidi"/>
                <w:b w:val="0"/>
                <w:color w:val="000000" w:themeColor="text1"/>
                <w:szCs w:val="22"/>
              </w:rPr>
              <w:t xml:space="preserve">The project’s ISRs were comprehensive and highlighted the key issues for management’s attention and as reflected above, the fiduciary and safeguards aspects well complied with. </w:t>
            </w:r>
            <w:r>
              <w:rPr>
                <w:rFonts w:eastAsiaTheme="minorHAnsi" w:cstheme="minorBidi"/>
                <w:b w:val="0"/>
                <w:color w:val="000000" w:themeColor="text1"/>
                <w:szCs w:val="22"/>
              </w:rPr>
              <w:t xml:space="preserve">The Bank team also demonstrated its ability to be responsive to government and improve on project design through the incorporation of the green space under Component 1.  Missions were carried out on average twice a year and the Bank team </w:t>
            </w:r>
            <w:r w:rsidR="006561F8">
              <w:rPr>
                <w:rFonts w:eastAsiaTheme="minorHAnsi" w:cstheme="minorBidi"/>
                <w:b w:val="0"/>
                <w:color w:val="000000" w:themeColor="text1"/>
                <w:szCs w:val="22"/>
              </w:rPr>
              <w:t xml:space="preserve">was proactive and </w:t>
            </w:r>
            <w:r>
              <w:rPr>
                <w:rFonts w:eastAsiaTheme="minorHAnsi" w:cstheme="minorBidi"/>
                <w:b w:val="0"/>
                <w:color w:val="000000" w:themeColor="text1"/>
                <w:szCs w:val="22"/>
              </w:rPr>
              <w:t xml:space="preserve">carried out its due diligence with regards to safeguards concerning the remediation of the neighboring lot (at </w:t>
            </w:r>
            <w:proofErr w:type="spellStart"/>
            <w:r>
              <w:rPr>
                <w:rFonts w:eastAsiaTheme="minorHAnsi" w:cstheme="minorBidi"/>
                <w:b w:val="0"/>
                <w:color w:val="000000" w:themeColor="text1"/>
                <w:szCs w:val="22"/>
              </w:rPr>
              <w:t>Finca</w:t>
            </w:r>
            <w:proofErr w:type="spellEnd"/>
            <w:r>
              <w:rPr>
                <w:rFonts w:eastAsiaTheme="minorHAnsi" w:cstheme="minorBidi"/>
                <w:b w:val="0"/>
                <w:color w:val="000000" w:themeColor="text1"/>
                <w:szCs w:val="22"/>
              </w:rPr>
              <w:t xml:space="preserve"> </w:t>
            </w:r>
            <w:proofErr w:type="spellStart"/>
            <w:r>
              <w:rPr>
                <w:rFonts w:eastAsiaTheme="minorHAnsi" w:cstheme="minorBidi"/>
                <w:b w:val="0"/>
                <w:color w:val="000000" w:themeColor="text1"/>
                <w:szCs w:val="22"/>
              </w:rPr>
              <w:t>Cabus</w:t>
            </w:r>
            <w:proofErr w:type="spellEnd"/>
            <w:r>
              <w:rPr>
                <w:rFonts w:eastAsiaTheme="minorHAnsi" w:cstheme="minorBidi"/>
                <w:b w:val="0"/>
                <w:color w:val="000000" w:themeColor="text1"/>
                <w:szCs w:val="22"/>
              </w:rPr>
              <w:t xml:space="preserve">). </w:t>
            </w:r>
          </w:p>
          <w:p w14:paraId="55F112F9" w14:textId="77777777" w:rsidR="00FD59CF" w:rsidRDefault="00FD59CF" w:rsidP="00FD59CF">
            <w:pPr>
              <w:pStyle w:val="ListParagraph"/>
              <w:widowControl/>
              <w:spacing w:line="276" w:lineRule="auto"/>
              <w:ind w:left="360"/>
              <w:jc w:val="both"/>
              <w:rPr>
                <w:rFonts w:eastAsiaTheme="minorHAnsi" w:cstheme="minorBidi"/>
                <w:b w:val="0"/>
                <w:color w:val="000000" w:themeColor="text1"/>
                <w:szCs w:val="22"/>
              </w:rPr>
            </w:pPr>
          </w:p>
          <w:p w14:paraId="1C71AEE7" w14:textId="77777777" w:rsidR="00FD59CF" w:rsidRPr="00FD59CF" w:rsidRDefault="002C3F71" w:rsidP="00FD59CF">
            <w:pPr>
              <w:pStyle w:val="ListParagraph"/>
              <w:numPr>
                <w:ilvl w:val="0"/>
                <w:numId w:val="21"/>
              </w:numPr>
              <w:rPr>
                <w:rFonts w:eastAsiaTheme="minorHAnsi" w:cstheme="minorBidi"/>
                <w:b w:val="0"/>
                <w:color w:val="000000" w:themeColor="text1"/>
                <w:szCs w:val="22"/>
              </w:rPr>
            </w:pPr>
            <w:r w:rsidRPr="00FD59CF">
              <w:rPr>
                <w:rFonts w:eastAsiaTheme="minorHAnsi" w:cstheme="minorBidi"/>
                <w:b w:val="0"/>
                <w:color w:val="000000" w:themeColor="text1"/>
                <w:szCs w:val="22"/>
              </w:rPr>
              <w:t xml:space="preserve">Overall Bank supervision was adequate in that it included a balanced team in terms of skills and competencies. When key issues need to be addressed (such as the lack of funding from government), the task team relied on the CMU for support.  Likewise, key consultants and technical staff (including a mining engineer and a social specialist) were brought on board to support the task team and address key challenges during implementation.   </w:t>
            </w:r>
          </w:p>
          <w:p w14:paraId="504FA298" w14:textId="77777777" w:rsidR="00FD59CF" w:rsidRDefault="00FD59CF" w:rsidP="00FD59CF">
            <w:pPr>
              <w:pStyle w:val="ListParagraph"/>
              <w:widowControl/>
              <w:spacing w:line="276" w:lineRule="auto"/>
              <w:ind w:left="360"/>
              <w:jc w:val="both"/>
              <w:rPr>
                <w:rFonts w:eastAsiaTheme="minorHAnsi" w:cstheme="minorBidi"/>
                <w:b w:val="0"/>
                <w:color w:val="000000" w:themeColor="text1"/>
                <w:szCs w:val="22"/>
              </w:rPr>
            </w:pPr>
          </w:p>
          <w:p w14:paraId="1A1D706C" w14:textId="77777777" w:rsidR="004D25B2" w:rsidRPr="00FD6CF1" w:rsidRDefault="004D25B2" w:rsidP="007F4ED5">
            <w:pPr>
              <w:pStyle w:val="ListParagraph"/>
              <w:spacing w:line="276" w:lineRule="auto"/>
              <w:ind w:left="1149"/>
              <w:jc w:val="both"/>
              <w:rPr>
                <w:rFonts w:eastAsiaTheme="minorHAnsi" w:cstheme="minorBidi"/>
                <w:b w:val="0"/>
                <w:color w:val="000000" w:themeColor="text1"/>
                <w:szCs w:val="22"/>
              </w:rPr>
            </w:pPr>
          </w:p>
        </w:tc>
      </w:tr>
      <w:tr w:rsidR="00E63776" w14:paraId="2DECDE2D" w14:textId="77777777" w:rsidTr="00F3497E">
        <w:trPr>
          <w:trHeight w:val="180"/>
        </w:trPr>
        <w:tc>
          <w:tcPr>
            <w:tcW w:w="10980" w:type="dxa"/>
            <w:shd w:val="clear" w:color="auto" w:fill="auto"/>
            <w:vAlign w:val="center"/>
          </w:tcPr>
          <w:p w14:paraId="0AF6822E" w14:textId="77777777" w:rsidR="004D25B2" w:rsidRPr="00CB304D" w:rsidRDefault="002C3F71" w:rsidP="004D25B2">
            <w:pPr>
              <w:pStyle w:val="Heading3"/>
              <w:ind w:left="342"/>
              <w:rPr>
                <w:color w:val="auto"/>
                <w:szCs w:val="22"/>
              </w:rPr>
            </w:pPr>
            <w:r w:rsidRPr="00CB304D">
              <w:rPr>
                <w:szCs w:val="22"/>
              </w:rPr>
              <w:t xml:space="preserve">Justification of Overall </w:t>
            </w:r>
            <w:r w:rsidRPr="00CC194F">
              <w:rPr>
                <w:szCs w:val="22"/>
              </w:rPr>
              <w:t>Rating</w:t>
            </w:r>
            <w:r>
              <w:rPr>
                <w:szCs w:val="22"/>
              </w:rPr>
              <w:t xml:space="preserve"> of </w:t>
            </w:r>
            <w:r w:rsidRPr="00CB304D">
              <w:rPr>
                <w:szCs w:val="22"/>
              </w:rPr>
              <w:t>Bank Performance</w:t>
            </w:r>
          </w:p>
        </w:tc>
      </w:tr>
      <w:tr w:rsidR="00E63776" w14:paraId="06C6065E" w14:textId="77777777" w:rsidTr="00F3497E">
        <w:trPr>
          <w:trHeight w:val="180"/>
        </w:trPr>
        <w:tc>
          <w:tcPr>
            <w:tcW w:w="10980" w:type="dxa"/>
            <w:shd w:val="clear" w:color="auto" w:fill="auto"/>
            <w:vAlign w:val="center"/>
          </w:tcPr>
          <w:tbl>
            <w:tblPr>
              <w:tblW w:w="10980" w:type="dxa"/>
              <w:tblBorders>
                <w:top w:val="nil"/>
                <w:left w:val="nil"/>
                <w:bottom w:val="nil"/>
                <w:right w:val="nil"/>
                <w:insideH w:val="nil"/>
                <w:insideV w:val="nil"/>
              </w:tblBorders>
              <w:shd w:val="clear" w:color="auto" w:fill="F2F7FC"/>
              <w:tblLayout w:type="fixed"/>
              <w:tblLook w:val="04A0" w:firstRow="1" w:lastRow="0" w:firstColumn="1" w:lastColumn="0" w:noHBand="0" w:noVBand="1"/>
            </w:tblPr>
            <w:tblGrid>
              <w:gridCol w:w="10980"/>
            </w:tblGrid>
            <w:tr w:rsidR="00E63776" w14:paraId="4D44F70E" w14:textId="77777777" w:rsidTr="00173499">
              <w:trPr>
                <w:trHeight w:val="180"/>
              </w:trPr>
              <w:tc>
                <w:tcPr>
                  <w:tcW w:w="10980" w:type="dxa"/>
                  <w:shd w:val="clear" w:color="auto" w:fill="auto"/>
                  <w:vAlign w:val="center"/>
                </w:tcPr>
                <w:p w14:paraId="7314386A" w14:textId="77777777" w:rsidR="004D25B2" w:rsidRPr="00FD6CF1" w:rsidRDefault="004D25B2" w:rsidP="004D25B2">
                  <w:pPr>
                    <w:widowControl/>
                    <w:autoSpaceDE/>
                    <w:autoSpaceDN/>
                    <w:adjustRightInd/>
                    <w:spacing w:after="160" w:line="276" w:lineRule="auto"/>
                    <w:ind w:left="342" w:hanging="3"/>
                    <w:jc w:val="both"/>
                    <w:rPr>
                      <w:rFonts w:ascii="Calibri" w:eastAsiaTheme="minorHAnsi" w:hAnsi="Calibri" w:cs="Calibri"/>
                      <w:color w:val="000000" w:themeColor="text1"/>
                      <w:sz w:val="22"/>
                      <w:szCs w:val="22"/>
                    </w:rPr>
                  </w:pPr>
                </w:p>
                <w:p w14:paraId="69C53311" w14:textId="77777777" w:rsidR="004D25B2" w:rsidRPr="00FD6CF1" w:rsidRDefault="002C3F71" w:rsidP="001E2150">
                  <w:pPr>
                    <w:pStyle w:val="ListParagraph"/>
                    <w:widowControl/>
                    <w:numPr>
                      <w:ilvl w:val="0"/>
                      <w:numId w:val="21"/>
                    </w:numPr>
                    <w:spacing w:line="276" w:lineRule="auto"/>
                    <w:ind w:left="249"/>
                    <w:jc w:val="both"/>
                    <w:rPr>
                      <w:rFonts w:ascii="Calibri" w:eastAsiaTheme="minorHAnsi" w:hAnsi="Calibri" w:cs="Calibri"/>
                      <w:b w:val="0"/>
                      <w:color w:val="000000" w:themeColor="text1"/>
                      <w:szCs w:val="22"/>
                    </w:rPr>
                  </w:pPr>
                  <w:r w:rsidRPr="00FD6CF1">
                    <w:rPr>
                      <w:rFonts w:ascii="Calibri" w:eastAsiaTheme="minorHAnsi" w:hAnsi="Calibri" w:cs="Calibri"/>
                      <w:b w:val="0"/>
                      <w:color w:val="000000" w:themeColor="text1"/>
                      <w:szCs w:val="22"/>
                    </w:rPr>
                    <w:t xml:space="preserve">The overall rating of Bank Performance is </w:t>
                  </w:r>
                  <w:r w:rsidRPr="00FD6CF1">
                    <w:rPr>
                      <w:rFonts w:ascii="Calibri" w:eastAsiaTheme="minorHAnsi" w:hAnsi="Calibri" w:cs="Calibri"/>
                      <w:color w:val="000000" w:themeColor="text1"/>
                      <w:szCs w:val="22"/>
                    </w:rPr>
                    <w:t>Moderately Satisfactory</w:t>
                  </w:r>
                  <w:r w:rsidRPr="00FD6CF1">
                    <w:rPr>
                      <w:rFonts w:ascii="Calibri" w:eastAsiaTheme="minorHAnsi" w:hAnsi="Calibri" w:cs="Calibri"/>
                      <w:b w:val="0"/>
                      <w:color w:val="000000" w:themeColor="text1"/>
                      <w:szCs w:val="22"/>
                    </w:rPr>
                    <w:t xml:space="preserve"> due to the initial quality at entry shortcomings </w:t>
                  </w:r>
                  <w:r w:rsidR="006561F8">
                    <w:rPr>
                      <w:rFonts w:ascii="Calibri" w:eastAsiaTheme="minorHAnsi" w:hAnsi="Calibri" w:cs="Calibri"/>
                      <w:b w:val="0"/>
                      <w:color w:val="000000" w:themeColor="text1"/>
                      <w:szCs w:val="22"/>
                    </w:rPr>
                    <w:t xml:space="preserve">highlighted above </w:t>
                  </w:r>
                  <w:r w:rsidRPr="00FD6CF1">
                    <w:rPr>
                      <w:rFonts w:ascii="Calibri" w:eastAsiaTheme="minorHAnsi" w:hAnsi="Calibri" w:cs="Calibri"/>
                      <w:b w:val="0"/>
                      <w:color w:val="000000" w:themeColor="text1"/>
                      <w:szCs w:val="22"/>
                    </w:rPr>
                    <w:t xml:space="preserve">with respect to the project’s </w:t>
                  </w:r>
                  <w:r>
                    <w:rPr>
                      <w:rFonts w:ascii="Calibri" w:eastAsiaTheme="minorHAnsi" w:hAnsi="Calibri" w:cs="Calibri"/>
                      <w:b w:val="0"/>
                      <w:color w:val="000000" w:themeColor="text1"/>
                      <w:szCs w:val="22"/>
                    </w:rPr>
                    <w:t xml:space="preserve">appraisal, including the economic analysis, and </w:t>
                  </w:r>
                  <w:r w:rsidRPr="00FD6CF1">
                    <w:rPr>
                      <w:rFonts w:ascii="Calibri" w:eastAsiaTheme="minorHAnsi" w:hAnsi="Calibri" w:cs="Calibri"/>
                      <w:b w:val="0"/>
                      <w:color w:val="000000" w:themeColor="text1"/>
                      <w:szCs w:val="22"/>
                    </w:rPr>
                    <w:t>monitoring indicators</w:t>
                  </w:r>
                  <w:r>
                    <w:rPr>
                      <w:rFonts w:ascii="Calibri" w:eastAsiaTheme="minorHAnsi" w:hAnsi="Calibri" w:cs="Calibri"/>
                      <w:b w:val="0"/>
                      <w:color w:val="000000" w:themeColor="text1"/>
                      <w:szCs w:val="22"/>
                    </w:rPr>
                    <w:t>. The latter, however, was</w:t>
                  </w:r>
                  <w:r w:rsidRPr="00FD6CF1">
                    <w:rPr>
                      <w:rFonts w:ascii="Calibri" w:eastAsiaTheme="minorHAnsi" w:hAnsi="Calibri" w:cs="Calibri"/>
                      <w:b w:val="0"/>
                      <w:color w:val="000000" w:themeColor="text1"/>
                      <w:szCs w:val="22"/>
                    </w:rPr>
                    <w:t xml:space="preserve"> successfully overcome during supervision</w:t>
                  </w:r>
                  <w:r>
                    <w:rPr>
                      <w:rFonts w:ascii="Calibri" w:eastAsiaTheme="minorHAnsi" w:hAnsi="Calibri" w:cs="Calibri"/>
                      <w:b w:val="0"/>
                      <w:color w:val="000000" w:themeColor="text1"/>
                      <w:szCs w:val="22"/>
                    </w:rPr>
                    <w:t xml:space="preserve"> although this required two restructurings (July 2013 and November 2015)</w:t>
                  </w:r>
                  <w:r w:rsidRPr="00FD6CF1">
                    <w:rPr>
                      <w:rFonts w:ascii="Calibri" w:eastAsiaTheme="minorHAnsi" w:hAnsi="Calibri" w:cs="Calibri"/>
                      <w:b w:val="0"/>
                      <w:color w:val="000000" w:themeColor="text1"/>
                      <w:szCs w:val="22"/>
                    </w:rPr>
                    <w:t xml:space="preserve">. Furthermore, the Bank had four TTLs during the life of the project </w:t>
                  </w:r>
                  <w:r>
                    <w:rPr>
                      <w:rFonts w:ascii="Calibri" w:eastAsiaTheme="minorHAnsi" w:hAnsi="Calibri" w:cs="Calibri"/>
                      <w:b w:val="0"/>
                      <w:color w:val="000000" w:themeColor="text1"/>
                      <w:szCs w:val="22"/>
                    </w:rPr>
                    <w:t xml:space="preserve">which, </w:t>
                  </w:r>
                  <w:proofErr w:type="gramStart"/>
                  <w:r>
                    <w:rPr>
                      <w:rFonts w:ascii="Calibri" w:eastAsiaTheme="minorHAnsi" w:hAnsi="Calibri" w:cs="Calibri"/>
                      <w:b w:val="0"/>
                      <w:color w:val="000000" w:themeColor="text1"/>
                      <w:szCs w:val="22"/>
                    </w:rPr>
                    <w:t>according to</w:t>
                  </w:r>
                  <w:proofErr w:type="gramEnd"/>
                  <w:r>
                    <w:rPr>
                      <w:rFonts w:ascii="Calibri" w:eastAsiaTheme="minorHAnsi" w:hAnsi="Calibri" w:cs="Calibri"/>
                      <w:b w:val="0"/>
                      <w:color w:val="000000" w:themeColor="text1"/>
                      <w:szCs w:val="22"/>
                    </w:rPr>
                    <w:t xml:space="preserve"> CNEA, contributed to interruptions in </w:t>
                  </w:r>
                  <w:r w:rsidRPr="00FD6CF1">
                    <w:rPr>
                      <w:rFonts w:ascii="Calibri" w:eastAsiaTheme="minorHAnsi" w:hAnsi="Calibri" w:cs="Calibri"/>
                      <w:b w:val="0"/>
                      <w:color w:val="000000" w:themeColor="text1"/>
                      <w:szCs w:val="22"/>
                    </w:rPr>
                    <w:t>operational continuity</w:t>
                  </w:r>
                  <w:r>
                    <w:rPr>
                      <w:rFonts w:ascii="Calibri" w:eastAsiaTheme="minorHAnsi" w:hAnsi="Calibri" w:cs="Calibri"/>
                      <w:b w:val="0"/>
                      <w:color w:val="000000" w:themeColor="text1"/>
                      <w:szCs w:val="22"/>
                    </w:rPr>
                    <w:t xml:space="preserve">. </w:t>
                  </w:r>
                </w:p>
              </w:tc>
            </w:tr>
          </w:tbl>
          <w:p w14:paraId="69C6B2CB" w14:textId="77777777" w:rsidR="00173499" w:rsidRPr="00CB304D" w:rsidRDefault="00173499" w:rsidP="004D25B2">
            <w:pPr>
              <w:widowControl/>
              <w:autoSpaceDE/>
              <w:autoSpaceDN/>
              <w:adjustRightInd/>
              <w:spacing w:after="160" w:line="259" w:lineRule="auto"/>
              <w:rPr>
                <w:rFonts w:asciiTheme="minorHAnsi" w:eastAsiaTheme="minorHAnsi" w:hAnsiTheme="minorHAnsi" w:cstheme="minorBidi"/>
                <w:color w:val="000000" w:themeColor="text1"/>
                <w:sz w:val="22"/>
                <w:szCs w:val="22"/>
              </w:rPr>
            </w:pPr>
          </w:p>
        </w:tc>
      </w:tr>
    </w:tbl>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63776" w14:paraId="06795740" w14:textId="77777777" w:rsidTr="003615CB">
        <w:trPr>
          <w:trHeight w:val="108"/>
        </w:trPr>
        <w:tc>
          <w:tcPr>
            <w:tcW w:w="10710" w:type="dxa"/>
          </w:tcPr>
          <w:p w14:paraId="75EEF7D9" w14:textId="77777777" w:rsidR="001E2150" w:rsidRDefault="001E2150" w:rsidP="00F81AC2">
            <w:pPr>
              <w:pStyle w:val="Heading2"/>
              <w:keepLines w:val="0"/>
              <w:outlineLvl w:val="1"/>
              <w:rPr>
                <w:b/>
                <w:bCs/>
                <w:szCs w:val="22"/>
              </w:rPr>
            </w:pPr>
            <w:bookmarkStart w:id="78" w:name="_Toc256000030"/>
            <w:bookmarkStart w:id="79" w:name="_Toc460509203"/>
            <w:bookmarkStart w:id="80" w:name="_Toc485984558"/>
          </w:p>
          <w:p w14:paraId="6BA72668" w14:textId="77777777" w:rsidR="003615CB" w:rsidRPr="00CB304D" w:rsidRDefault="002C3F71" w:rsidP="00F81AC2">
            <w:pPr>
              <w:pStyle w:val="Heading2"/>
              <w:keepLines w:val="0"/>
              <w:outlineLvl w:val="1"/>
              <w:rPr>
                <w:szCs w:val="22"/>
              </w:rPr>
            </w:pPr>
            <w:bookmarkStart w:id="81" w:name="_Toc502164476"/>
            <w:r w:rsidRPr="00CB304D">
              <w:rPr>
                <w:b/>
                <w:bCs/>
                <w:szCs w:val="22"/>
              </w:rPr>
              <w:t>D.</w:t>
            </w:r>
            <w:r w:rsidRPr="00CB304D">
              <w:rPr>
                <w:b/>
                <w:szCs w:val="22"/>
              </w:rPr>
              <w:t xml:space="preserve"> </w:t>
            </w:r>
            <w:r w:rsidR="00F3497E" w:rsidRPr="00CB304D">
              <w:rPr>
                <w:b/>
                <w:szCs w:val="22"/>
              </w:rPr>
              <w:t>RISK TO DEVELOPMENT OUTCOME</w:t>
            </w:r>
            <w:bookmarkEnd w:id="78"/>
            <w:bookmarkEnd w:id="79"/>
            <w:bookmarkEnd w:id="80"/>
            <w:bookmarkEnd w:id="81"/>
          </w:p>
        </w:tc>
      </w:tr>
    </w:tbl>
    <w:p w14:paraId="7814E247" w14:textId="77777777" w:rsidR="00173499" w:rsidRPr="00CB304D" w:rsidRDefault="00173499" w:rsidP="00173499">
      <w:pPr>
        <w:ind w:left="-634"/>
        <w:rPr>
          <w:rFonts w:asciiTheme="minorHAnsi" w:hAnsiTheme="minorHAnsi"/>
          <w:bCs/>
          <w:color w:val="000000" w:themeColor="text1"/>
          <w:sz w:val="22"/>
          <w:szCs w:val="22"/>
        </w:rPr>
      </w:pPr>
    </w:p>
    <w:p w14:paraId="5439A831" w14:textId="77777777" w:rsidR="00A54D23" w:rsidRPr="00173499" w:rsidRDefault="002C3F71" w:rsidP="00A54D23">
      <w:pPr>
        <w:pStyle w:val="ListParagraph"/>
        <w:widowControl/>
        <w:numPr>
          <w:ilvl w:val="0"/>
          <w:numId w:val="21"/>
        </w:numPr>
        <w:spacing w:line="276" w:lineRule="auto"/>
        <w:ind w:left="-360"/>
        <w:jc w:val="both"/>
        <w:rPr>
          <w:rFonts w:ascii="Calibri" w:eastAsiaTheme="minorHAnsi" w:hAnsi="Calibri" w:cs="Calibri"/>
          <w:b w:val="0"/>
          <w:color w:val="000000" w:themeColor="text1"/>
          <w:szCs w:val="22"/>
        </w:rPr>
      </w:pPr>
      <w:r w:rsidRPr="00173499">
        <w:rPr>
          <w:rFonts w:ascii="Calibri" w:eastAsiaTheme="minorHAnsi" w:hAnsi="Calibri" w:cs="Calibri"/>
          <w:b w:val="0"/>
          <w:color w:val="000000" w:themeColor="text1"/>
          <w:szCs w:val="22"/>
        </w:rPr>
        <w:t xml:space="preserve">As part of the project’s legal agreement between the World Bank and the GOA (through CNEA), the remediation of </w:t>
      </w:r>
      <w:proofErr w:type="spellStart"/>
      <w:r w:rsidR="00E52891">
        <w:rPr>
          <w:rFonts w:ascii="Calibri" w:eastAsiaTheme="minorHAnsi" w:hAnsi="Calibri" w:cs="Calibri"/>
          <w:b w:val="0"/>
          <w:color w:val="000000" w:themeColor="text1"/>
          <w:szCs w:val="22"/>
        </w:rPr>
        <w:t>Malargüe</w:t>
      </w:r>
      <w:proofErr w:type="spellEnd"/>
      <w:r w:rsidRPr="00173499">
        <w:rPr>
          <w:rFonts w:ascii="Calibri" w:eastAsiaTheme="minorHAnsi" w:hAnsi="Calibri" w:cs="Calibri"/>
          <w:b w:val="0"/>
          <w:color w:val="000000" w:themeColor="text1"/>
          <w:szCs w:val="22"/>
        </w:rPr>
        <w:t xml:space="preserve"> and other sites included in the environmental and radiological monitoring plan </w:t>
      </w:r>
      <w:proofErr w:type="gramStart"/>
      <w:r w:rsidRPr="00173499">
        <w:rPr>
          <w:rFonts w:ascii="Calibri" w:eastAsiaTheme="minorHAnsi" w:hAnsi="Calibri" w:cs="Calibri"/>
          <w:b w:val="0"/>
          <w:color w:val="000000" w:themeColor="text1"/>
          <w:szCs w:val="22"/>
        </w:rPr>
        <w:t>will have to</w:t>
      </w:r>
      <w:proofErr w:type="gramEnd"/>
      <w:r w:rsidRPr="00173499">
        <w:rPr>
          <w:rFonts w:ascii="Calibri" w:eastAsiaTheme="minorHAnsi" w:hAnsi="Calibri" w:cs="Calibri"/>
          <w:b w:val="0"/>
          <w:color w:val="000000" w:themeColor="text1"/>
          <w:szCs w:val="22"/>
        </w:rPr>
        <w:t xml:space="preserve"> be monitored for at least 20 years.  The development of SIGA, an intelligent remote environmental monitoring system financed by the project, will support the collection, storage, and management of the information that will demonstrate if the remediation works at </w:t>
      </w:r>
      <w:proofErr w:type="spellStart"/>
      <w:r w:rsidR="00E52891">
        <w:rPr>
          <w:rFonts w:ascii="Calibri" w:eastAsiaTheme="minorHAnsi" w:hAnsi="Calibri" w:cs="Calibri"/>
          <w:b w:val="0"/>
          <w:color w:val="000000" w:themeColor="text1"/>
          <w:szCs w:val="22"/>
        </w:rPr>
        <w:t>Malargüe</w:t>
      </w:r>
      <w:proofErr w:type="spellEnd"/>
      <w:r w:rsidRPr="00173499">
        <w:rPr>
          <w:rFonts w:ascii="Calibri" w:eastAsiaTheme="minorHAnsi" w:hAnsi="Calibri" w:cs="Calibri"/>
          <w:b w:val="0"/>
          <w:color w:val="000000" w:themeColor="text1"/>
          <w:szCs w:val="22"/>
        </w:rPr>
        <w:t xml:space="preserve"> are successful over the long term.  To date, the monitoring results indicate a very significant reduction of gamma radiation.  In addition, the local governments of San Rafael and </w:t>
      </w:r>
      <w:proofErr w:type="spellStart"/>
      <w:r w:rsidR="00E52891">
        <w:rPr>
          <w:rFonts w:ascii="Calibri" w:eastAsiaTheme="minorHAnsi" w:hAnsi="Calibri" w:cs="Calibri"/>
          <w:b w:val="0"/>
          <w:color w:val="000000" w:themeColor="text1"/>
          <w:szCs w:val="22"/>
        </w:rPr>
        <w:t>Malargüe</w:t>
      </w:r>
      <w:proofErr w:type="spellEnd"/>
      <w:r w:rsidRPr="00173499">
        <w:rPr>
          <w:rFonts w:ascii="Calibri" w:eastAsiaTheme="minorHAnsi" w:hAnsi="Calibri" w:cs="Calibri"/>
          <w:b w:val="0"/>
          <w:color w:val="000000" w:themeColor="text1"/>
          <w:szCs w:val="22"/>
        </w:rPr>
        <w:t xml:space="preserve"> have established their own procedures to monitor the remediation site with the assistance and participation of the University of </w:t>
      </w:r>
      <w:proofErr w:type="spellStart"/>
      <w:r w:rsidRPr="00173499">
        <w:rPr>
          <w:rFonts w:ascii="Calibri" w:eastAsiaTheme="minorHAnsi" w:hAnsi="Calibri" w:cs="Calibri"/>
          <w:b w:val="0"/>
          <w:color w:val="000000" w:themeColor="text1"/>
          <w:szCs w:val="22"/>
        </w:rPr>
        <w:t>Cuyo</w:t>
      </w:r>
      <w:proofErr w:type="spellEnd"/>
      <w:r w:rsidRPr="00173499">
        <w:rPr>
          <w:rFonts w:ascii="Calibri" w:eastAsiaTheme="minorHAnsi" w:hAnsi="Calibri" w:cs="Calibri"/>
          <w:b w:val="0"/>
          <w:color w:val="000000" w:themeColor="text1"/>
          <w:szCs w:val="22"/>
        </w:rPr>
        <w:t>.</w:t>
      </w:r>
      <w:r>
        <w:rPr>
          <w:rFonts w:ascii="Calibri" w:eastAsiaTheme="minorHAnsi" w:hAnsi="Calibri" w:cs="Calibri"/>
          <w:b w:val="0"/>
          <w:color w:val="000000" w:themeColor="text1"/>
          <w:szCs w:val="22"/>
        </w:rPr>
        <w:t xml:space="preserve">  Due to the project’s activities under Component 1, CNEA’s mine restoration planning and environmental management arrangements have been considerably strengthened and it has gained the experience necessary to assess risks and undertake remediation of the other seven contaminated former uranium mining or milling sites in the country once the required financial resources, whether from international or exclusively domestic sources, become available.  Thus, risk to development outcome can be considered </w:t>
      </w:r>
      <w:r w:rsidRPr="00A54D23">
        <w:rPr>
          <w:rFonts w:ascii="Calibri" w:eastAsiaTheme="minorHAnsi" w:hAnsi="Calibri" w:cs="Calibri"/>
          <w:color w:val="000000" w:themeColor="text1"/>
          <w:szCs w:val="22"/>
        </w:rPr>
        <w:t>moderate</w:t>
      </w:r>
      <w:r>
        <w:rPr>
          <w:rFonts w:ascii="Calibri" w:eastAsiaTheme="minorHAnsi" w:hAnsi="Calibri" w:cs="Calibri"/>
          <w:b w:val="0"/>
          <w:color w:val="000000" w:themeColor="text1"/>
          <w:szCs w:val="22"/>
        </w:rPr>
        <w:t>.</w:t>
      </w:r>
    </w:p>
    <w:p w14:paraId="42F636F1" w14:textId="77777777" w:rsidR="00173499" w:rsidRPr="00CB304D" w:rsidRDefault="00173499" w:rsidP="00F81AC2">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E63776" w14:paraId="652AFE93" w14:textId="77777777" w:rsidTr="008565D8">
        <w:trPr>
          <w:trHeight w:val="432"/>
        </w:trPr>
        <w:tc>
          <w:tcPr>
            <w:tcW w:w="10962" w:type="dxa"/>
            <w:shd w:val="clear" w:color="auto" w:fill="F2F7FC"/>
            <w:vAlign w:val="center"/>
          </w:tcPr>
          <w:p w14:paraId="7AA69EE7" w14:textId="77777777" w:rsidR="003615CB" w:rsidRPr="00CB304D" w:rsidRDefault="002C3F71" w:rsidP="0073364B">
            <w:pPr>
              <w:pStyle w:val="NoSpacing"/>
              <w:keepNext/>
              <w:numPr>
                <w:ilvl w:val="0"/>
                <w:numId w:val="1"/>
              </w:numPr>
              <w:ind w:left="288" w:hanging="288"/>
              <w:outlineLvl w:val="0"/>
              <w:rPr>
                <w:rFonts w:asciiTheme="minorHAnsi" w:hAnsiTheme="minorHAnsi"/>
                <w:b/>
                <w:sz w:val="22"/>
                <w:szCs w:val="22"/>
              </w:rPr>
            </w:pPr>
            <w:bookmarkStart w:id="82" w:name="_Toc256000031"/>
            <w:bookmarkStart w:id="83" w:name="_Toc485984559"/>
            <w:bookmarkStart w:id="84" w:name="_Toc502164477"/>
            <w:r w:rsidRPr="00CB304D">
              <w:rPr>
                <w:rFonts w:asciiTheme="minorHAnsi" w:hAnsiTheme="minorHAnsi"/>
                <w:b/>
                <w:sz w:val="22"/>
                <w:szCs w:val="22"/>
              </w:rPr>
              <w:t>LESSONS AND RECOMMENDATIONS</w:t>
            </w:r>
            <w:bookmarkEnd w:id="82"/>
            <w:bookmarkEnd w:id="83"/>
            <w:bookmarkEnd w:id="84"/>
          </w:p>
        </w:tc>
      </w:tr>
    </w:tbl>
    <w:p w14:paraId="3D753494" w14:textId="77777777" w:rsidR="003615CB" w:rsidRPr="00CB304D" w:rsidRDefault="003615CB" w:rsidP="00222B3C">
      <w:pPr>
        <w:keepNext/>
        <w:ind w:left="-634"/>
        <w:rPr>
          <w:rFonts w:asciiTheme="minorHAnsi" w:hAnsiTheme="minorHAnsi"/>
          <w:bCs/>
          <w:color w:val="auto"/>
          <w:sz w:val="22"/>
          <w:szCs w:val="22"/>
        </w:rPr>
      </w:pPr>
    </w:p>
    <w:p w14:paraId="546EF02D" w14:textId="77777777" w:rsidR="00173499" w:rsidRPr="00173499" w:rsidRDefault="002C3F71" w:rsidP="001E2150">
      <w:pPr>
        <w:pStyle w:val="ListParagraph"/>
        <w:widowControl/>
        <w:numPr>
          <w:ilvl w:val="0"/>
          <w:numId w:val="21"/>
        </w:numPr>
        <w:spacing w:line="276" w:lineRule="auto"/>
        <w:ind w:left="-360"/>
        <w:jc w:val="both"/>
        <w:rPr>
          <w:b w:val="0"/>
          <w:bCs/>
          <w:color w:val="000000" w:themeColor="text1"/>
          <w:szCs w:val="22"/>
        </w:rPr>
      </w:pPr>
      <w:r w:rsidRPr="00173499">
        <w:rPr>
          <w:b w:val="0"/>
          <w:bCs/>
          <w:color w:val="000000" w:themeColor="text1"/>
          <w:szCs w:val="22"/>
        </w:rPr>
        <w:t xml:space="preserve">The key lessons and recommendations are as follows: </w:t>
      </w:r>
    </w:p>
    <w:p w14:paraId="3F00C318" w14:textId="77777777" w:rsidR="00173499" w:rsidRPr="00173499" w:rsidRDefault="00173499" w:rsidP="00173499">
      <w:pPr>
        <w:spacing w:line="276" w:lineRule="auto"/>
        <w:jc w:val="both"/>
        <w:rPr>
          <w:rFonts w:ascii="Calibri" w:eastAsiaTheme="minorHAnsi" w:hAnsi="Calibri" w:cs="Calibri"/>
          <w:color w:val="000000" w:themeColor="text1"/>
          <w:szCs w:val="22"/>
        </w:rPr>
      </w:pPr>
    </w:p>
    <w:p w14:paraId="1B4933E8" w14:textId="77777777" w:rsidR="006B410A" w:rsidRPr="006B410A" w:rsidRDefault="002C3F71" w:rsidP="006B410A">
      <w:pPr>
        <w:pStyle w:val="ListParagraph"/>
        <w:numPr>
          <w:ilvl w:val="0"/>
          <w:numId w:val="32"/>
        </w:numPr>
        <w:rPr>
          <w:b w:val="0"/>
          <w:bCs/>
          <w:color w:val="000000" w:themeColor="text1"/>
          <w:szCs w:val="22"/>
        </w:rPr>
      </w:pPr>
      <w:r w:rsidRPr="006B410A">
        <w:rPr>
          <w:bCs/>
          <w:color w:val="000000" w:themeColor="text1"/>
          <w:szCs w:val="22"/>
        </w:rPr>
        <w:t>Complex remediation works need to consider exogenous factors in calculating overall contracting time</w:t>
      </w:r>
      <w:r w:rsidRPr="006B410A">
        <w:rPr>
          <w:b w:val="0"/>
          <w:bCs/>
          <w:color w:val="000000" w:themeColor="text1"/>
          <w:szCs w:val="22"/>
        </w:rPr>
        <w:t>. In addition to the largely underestimated contract time for remediation works</w:t>
      </w:r>
      <w:r w:rsidR="001E2150">
        <w:rPr>
          <w:b w:val="0"/>
          <w:bCs/>
          <w:color w:val="000000" w:themeColor="text1"/>
          <w:szCs w:val="22"/>
        </w:rPr>
        <w:t>,</w:t>
      </w:r>
      <w:r w:rsidRPr="006B410A">
        <w:rPr>
          <w:b w:val="0"/>
          <w:bCs/>
          <w:color w:val="000000" w:themeColor="text1"/>
          <w:szCs w:val="22"/>
        </w:rPr>
        <w:t xml:space="preserve"> key climatological and seasonal weather factors that affected implementation were not </w:t>
      </w:r>
      <w:proofErr w:type="gramStart"/>
      <w:r w:rsidRPr="006B410A">
        <w:rPr>
          <w:b w:val="0"/>
          <w:bCs/>
          <w:color w:val="000000" w:themeColor="text1"/>
          <w:szCs w:val="22"/>
        </w:rPr>
        <w:t>taken into account</w:t>
      </w:r>
      <w:proofErr w:type="gramEnd"/>
      <w:r w:rsidRPr="006B410A">
        <w:rPr>
          <w:b w:val="0"/>
          <w:bCs/>
          <w:color w:val="000000" w:themeColor="text1"/>
          <w:szCs w:val="22"/>
        </w:rPr>
        <w:t xml:space="preserve">, leading to additional delays and the need to amend the contract multiple times. </w:t>
      </w:r>
    </w:p>
    <w:p w14:paraId="625909FF" w14:textId="77777777" w:rsidR="006B410A" w:rsidRPr="006B410A" w:rsidRDefault="006B410A" w:rsidP="006B410A">
      <w:pPr>
        <w:pStyle w:val="ListParagraph"/>
        <w:ind w:left="86"/>
        <w:rPr>
          <w:b w:val="0"/>
          <w:bCs/>
          <w:color w:val="000000" w:themeColor="text1"/>
          <w:szCs w:val="22"/>
        </w:rPr>
      </w:pPr>
    </w:p>
    <w:p w14:paraId="0CE156C1" w14:textId="77777777" w:rsidR="006B410A" w:rsidRPr="006B410A" w:rsidRDefault="002C3F71" w:rsidP="006B410A">
      <w:pPr>
        <w:pStyle w:val="ListParagraph"/>
        <w:numPr>
          <w:ilvl w:val="0"/>
          <w:numId w:val="32"/>
        </w:numPr>
        <w:rPr>
          <w:b w:val="0"/>
          <w:bCs/>
          <w:color w:val="000000" w:themeColor="text1"/>
          <w:szCs w:val="22"/>
        </w:rPr>
      </w:pPr>
      <w:r w:rsidRPr="006B410A">
        <w:rPr>
          <w:bCs/>
          <w:color w:val="000000" w:themeColor="text1"/>
          <w:szCs w:val="22"/>
        </w:rPr>
        <w:t>Political and budgetary decisions at the federal level affecting provision of project and counterpart funding need to be properly dimensioned</w:t>
      </w:r>
      <w:r w:rsidRPr="006B410A">
        <w:rPr>
          <w:b w:val="0"/>
          <w:bCs/>
          <w:color w:val="000000" w:themeColor="text1"/>
          <w:szCs w:val="22"/>
        </w:rPr>
        <w:t xml:space="preserve">. The Fiduciary </w:t>
      </w:r>
      <w:r w:rsidR="001E2150">
        <w:rPr>
          <w:b w:val="0"/>
          <w:bCs/>
          <w:color w:val="000000" w:themeColor="text1"/>
          <w:szCs w:val="22"/>
        </w:rPr>
        <w:t>R</w:t>
      </w:r>
      <w:r w:rsidRPr="006B410A">
        <w:rPr>
          <w:b w:val="0"/>
          <w:bCs/>
          <w:color w:val="000000" w:themeColor="text1"/>
          <w:szCs w:val="22"/>
        </w:rPr>
        <w:t>isks at appraisal did not consider that budgetary restrictions or changes in political priorities at the federal level (Ministry of Economy/Finance, Ministry</w:t>
      </w:r>
      <w:r w:rsidR="001E2150">
        <w:rPr>
          <w:b w:val="0"/>
          <w:bCs/>
          <w:color w:val="000000" w:themeColor="text1"/>
          <w:szCs w:val="22"/>
        </w:rPr>
        <w:t xml:space="preserve"> of Planning/Energy and Mines), </w:t>
      </w:r>
      <w:r w:rsidRPr="006B410A">
        <w:rPr>
          <w:b w:val="0"/>
          <w:bCs/>
          <w:color w:val="000000" w:themeColor="text1"/>
          <w:szCs w:val="22"/>
        </w:rPr>
        <w:t xml:space="preserve">could pose one of the key challenges to project implementation.  Future project should adequately identify this risk with proper mitigation measures. </w:t>
      </w:r>
    </w:p>
    <w:p w14:paraId="3BC9D8CB" w14:textId="77777777" w:rsidR="006B410A" w:rsidRPr="006B410A" w:rsidRDefault="006B410A" w:rsidP="006B410A">
      <w:pPr>
        <w:pStyle w:val="ListParagraph"/>
        <w:ind w:left="86"/>
        <w:rPr>
          <w:b w:val="0"/>
          <w:bCs/>
          <w:color w:val="000000" w:themeColor="text1"/>
          <w:szCs w:val="22"/>
        </w:rPr>
      </w:pPr>
    </w:p>
    <w:p w14:paraId="498EC3CE" w14:textId="77777777" w:rsidR="006B410A" w:rsidRPr="006B410A" w:rsidRDefault="002C3F71" w:rsidP="006B410A">
      <w:pPr>
        <w:pStyle w:val="ListParagraph"/>
        <w:numPr>
          <w:ilvl w:val="0"/>
          <w:numId w:val="32"/>
        </w:numPr>
        <w:rPr>
          <w:b w:val="0"/>
          <w:bCs/>
          <w:color w:val="000000" w:themeColor="text1"/>
          <w:szCs w:val="22"/>
        </w:rPr>
      </w:pPr>
      <w:r w:rsidRPr="006B410A">
        <w:rPr>
          <w:bCs/>
          <w:color w:val="000000" w:themeColor="text1"/>
          <w:szCs w:val="22"/>
        </w:rPr>
        <w:t>Local regulations should be reviewed and understood during project preparation</w:t>
      </w:r>
      <w:r w:rsidRPr="006B410A">
        <w:rPr>
          <w:b w:val="0"/>
          <w:bCs/>
          <w:color w:val="000000" w:themeColor="text1"/>
          <w:szCs w:val="22"/>
        </w:rPr>
        <w:t xml:space="preserve">. The project was expected to finance a panel of international experts to advise on international best practice with respect to the planning and design remediation efforts.  However, due to internal contractual regulations of the Ministry of Energy and Mines (initially the Ministry of Planning and Public Works) this panel was not established as originally envisioned. </w:t>
      </w:r>
    </w:p>
    <w:p w14:paraId="04FA8A6F" w14:textId="77777777" w:rsidR="006B410A" w:rsidRPr="006B410A" w:rsidRDefault="006B410A" w:rsidP="006B410A">
      <w:pPr>
        <w:pStyle w:val="ListParagraph"/>
        <w:ind w:left="86"/>
        <w:rPr>
          <w:b w:val="0"/>
          <w:bCs/>
          <w:color w:val="000000" w:themeColor="text1"/>
          <w:szCs w:val="22"/>
        </w:rPr>
      </w:pPr>
    </w:p>
    <w:p w14:paraId="1A9D7A93" w14:textId="77777777" w:rsidR="006B410A" w:rsidRPr="006B410A" w:rsidRDefault="002C3F71" w:rsidP="006B410A">
      <w:pPr>
        <w:pStyle w:val="ListParagraph"/>
        <w:numPr>
          <w:ilvl w:val="0"/>
          <w:numId w:val="32"/>
        </w:numPr>
        <w:rPr>
          <w:b w:val="0"/>
          <w:bCs/>
          <w:color w:val="000000" w:themeColor="text1"/>
          <w:szCs w:val="22"/>
        </w:rPr>
      </w:pPr>
      <w:r w:rsidRPr="006B410A">
        <w:rPr>
          <w:bCs/>
          <w:color w:val="000000" w:themeColor="text1"/>
          <w:szCs w:val="22"/>
        </w:rPr>
        <w:t>Currency fluctuations and inflation need to be considered as potential risks to project implementation</w:t>
      </w:r>
      <w:r w:rsidRPr="006B410A">
        <w:rPr>
          <w:b w:val="0"/>
          <w:bCs/>
          <w:color w:val="000000" w:themeColor="text1"/>
          <w:szCs w:val="22"/>
        </w:rPr>
        <w:t xml:space="preserve">.  The multiple currency devaluations and inflation affected the remediation works contract leading to a series of delays and contractual amendments.  This fiduciary risk should be contemplated with possible mitigation measures during project preparation/design.  </w:t>
      </w:r>
    </w:p>
    <w:p w14:paraId="2674205C" w14:textId="77777777" w:rsidR="006B410A" w:rsidRPr="00A35B01" w:rsidRDefault="006B410A" w:rsidP="00A35B01">
      <w:pPr>
        <w:rPr>
          <w:bCs/>
          <w:color w:val="000000" w:themeColor="text1"/>
          <w:szCs w:val="22"/>
        </w:rPr>
      </w:pPr>
    </w:p>
    <w:p w14:paraId="500A43C9" w14:textId="77777777" w:rsidR="006B410A" w:rsidRPr="006B410A" w:rsidRDefault="002C3F71" w:rsidP="006B410A">
      <w:pPr>
        <w:pStyle w:val="ListParagraph"/>
        <w:numPr>
          <w:ilvl w:val="0"/>
          <w:numId w:val="32"/>
        </w:numPr>
        <w:rPr>
          <w:b w:val="0"/>
          <w:bCs/>
          <w:color w:val="000000" w:themeColor="text1"/>
          <w:szCs w:val="22"/>
        </w:rPr>
      </w:pPr>
      <w:r w:rsidRPr="006B410A">
        <w:rPr>
          <w:bCs/>
          <w:color w:val="000000" w:themeColor="text1"/>
          <w:szCs w:val="22"/>
        </w:rPr>
        <w:t>A communication strategy should be developed and applied from effectiveness and should consider institutional restrictions</w:t>
      </w:r>
      <w:r w:rsidRPr="006B410A">
        <w:rPr>
          <w:b w:val="0"/>
          <w:bCs/>
          <w:color w:val="000000" w:themeColor="text1"/>
          <w:szCs w:val="22"/>
        </w:rPr>
        <w:t xml:space="preserve">. While the project succeeded in undertaking some important communication campaigns and established a dialogue with local government on tailing remediation which had not previously been done in Argentina, a broad communication strategy which considers community risk perception (vs. actual risks) and include risk management should be designed and implemented from the outset.  </w:t>
      </w:r>
      <w:r>
        <w:rPr>
          <w:b w:val="0"/>
          <w:bCs/>
          <w:color w:val="000000" w:themeColor="text1"/>
          <w:szCs w:val="22"/>
        </w:rPr>
        <w:t xml:space="preserve"> </w:t>
      </w:r>
    </w:p>
    <w:p w14:paraId="34D7521B" w14:textId="77777777" w:rsidR="00173499" w:rsidRPr="005B2403" w:rsidRDefault="00173499" w:rsidP="00173499">
      <w:pPr>
        <w:ind w:left="-634"/>
        <w:rPr>
          <w:rFonts w:asciiTheme="minorHAnsi" w:hAnsiTheme="minorHAnsi"/>
          <w:bCs/>
          <w:color w:val="000000" w:themeColor="text1"/>
          <w:sz w:val="22"/>
          <w:szCs w:val="22"/>
        </w:rPr>
      </w:pPr>
    </w:p>
    <w:p w14:paraId="4375B8B7" w14:textId="77777777" w:rsidR="00173499" w:rsidRPr="005B2403" w:rsidRDefault="002C3F71" w:rsidP="00173499">
      <w:pPr>
        <w:pStyle w:val="ListParagraph"/>
        <w:numPr>
          <w:ilvl w:val="0"/>
          <w:numId w:val="32"/>
        </w:numPr>
        <w:rPr>
          <w:b w:val="0"/>
          <w:bCs/>
          <w:color w:val="000000" w:themeColor="text1"/>
          <w:szCs w:val="22"/>
        </w:rPr>
      </w:pPr>
      <w:r w:rsidRPr="005B2403">
        <w:rPr>
          <w:bCs/>
          <w:color w:val="000000" w:themeColor="text1"/>
          <w:szCs w:val="22"/>
        </w:rPr>
        <w:t>Enhancing local ownership are key to project acceptance</w:t>
      </w:r>
      <w:r w:rsidRPr="005B2403">
        <w:rPr>
          <w:b w:val="0"/>
          <w:bCs/>
          <w:color w:val="000000" w:themeColor="text1"/>
          <w:szCs w:val="22"/>
        </w:rPr>
        <w:t xml:space="preserve">.  A key lesson, particularly for a sensitive project related to remediation of contaminated sites, was the incorporation of the public (green) space as a mitigation measures at the legacy site.  </w:t>
      </w:r>
      <w:r w:rsidR="0047727A">
        <w:rPr>
          <w:b w:val="0"/>
          <w:bCs/>
          <w:color w:val="000000" w:themeColor="text1"/>
          <w:szCs w:val="22"/>
        </w:rPr>
        <w:t>T</w:t>
      </w:r>
      <w:r w:rsidRPr="005B2403">
        <w:rPr>
          <w:b w:val="0"/>
          <w:bCs/>
          <w:color w:val="000000" w:themeColor="text1"/>
          <w:szCs w:val="22"/>
        </w:rPr>
        <w:t xml:space="preserve">he flexibility that </w:t>
      </w:r>
      <w:r w:rsidR="0047727A">
        <w:rPr>
          <w:b w:val="0"/>
          <w:bCs/>
          <w:color w:val="000000" w:themeColor="text1"/>
          <w:szCs w:val="22"/>
        </w:rPr>
        <w:t>CNEA</w:t>
      </w:r>
      <w:r w:rsidRPr="005B2403">
        <w:rPr>
          <w:b w:val="0"/>
          <w:bCs/>
          <w:color w:val="000000" w:themeColor="text1"/>
          <w:szCs w:val="22"/>
        </w:rPr>
        <w:t xml:space="preserve">, the municipality and the Bank had in incorporating a new activity is noteworthy. </w:t>
      </w:r>
      <w:proofErr w:type="gramStart"/>
      <w:r w:rsidRPr="005B2403">
        <w:rPr>
          <w:b w:val="0"/>
          <w:bCs/>
          <w:color w:val="000000" w:themeColor="text1"/>
          <w:szCs w:val="22"/>
        </w:rPr>
        <w:t>As a result</w:t>
      </w:r>
      <w:proofErr w:type="gramEnd"/>
      <w:r w:rsidRPr="005B2403">
        <w:rPr>
          <w:b w:val="0"/>
          <w:bCs/>
          <w:color w:val="000000" w:themeColor="text1"/>
          <w:szCs w:val="22"/>
        </w:rPr>
        <w:t xml:space="preserve">, a general acceptance for the remediation works at </w:t>
      </w:r>
      <w:proofErr w:type="spellStart"/>
      <w:r w:rsidR="00E52891">
        <w:rPr>
          <w:b w:val="0"/>
          <w:bCs/>
          <w:color w:val="000000" w:themeColor="text1"/>
          <w:szCs w:val="22"/>
        </w:rPr>
        <w:t>Malargüe</w:t>
      </w:r>
      <w:proofErr w:type="spellEnd"/>
      <w:r w:rsidRPr="005B2403">
        <w:rPr>
          <w:b w:val="0"/>
          <w:bCs/>
          <w:color w:val="000000" w:themeColor="text1"/>
          <w:szCs w:val="22"/>
        </w:rPr>
        <w:t xml:space="preserve"> has been increased. </w:t>
      </w:r>
    </w:p>
    <w:p w14:paraId="163C1555" w14:textId="77777777" w:rsidR="00173499" w:rsidRDefault="00173499" w:rsidP="00173499">
      <w:pPr>
        <w:ind w:left="-634"/>
        <w:rPr>
          <w:rFonts w:asciiTheme="minorHAnsi" w:hAnsiTheme="minorHAnsi"/>
          <w:bCs/>
          <w:color w:val="000000" w:themeColor="text1"/>
          <w:sz w:val="22"/>
          <w:szCs w:val="22"/>
        </w:rPr>
      </w:pPr>
    </w:p>
    <w:p w14:paraId="1A0B10FC" w14:textId="77777777" w:rsidR="00173499" w:rsidRDefault="002C3F71" w:rsidP="00173499">
      <w:pPr>
        <w:pStyle w:val="ListParagraph"/>
        <w:numPr>
          <w:ilvl w:val="0"/>
          <w:numId w:val="32"/>
        </w:numPr>
        <w:rPr>
          <w:b w:val="0"/>
          <w:bCs/>
          <w:color w:val="000000" w:themeColor="text1"/>
          <w:szCs w:val="22"/>
        </w:rPr>
      </w:pPr>
      <w:r w:rsidRPr="005B2403">
        <w:rPr>
          <w:bCs/>
          <w:color w:val="000000" w:themeColor="text1"/>
          <w:szCs w:val="22"/>
        </w:rPr>
        <w:t xml:space="preserve">The Bank should </w:t>
      </w:r>
      <w:r w:rsidR="00F51191">
        <w:rPr>
          <w:bCs/>
          <w:color w:val="000000" w:themeColor="text1"/>
          <w:szCs w:val="22"/>
        </w:rPr>
        <w:t xml:space="preserve">consider further engaging in </w:t>
      </w:r>
      <w:r w:rsidR="002021E3">
        <w:rPr>
          <w:bCs/>
          <w:color w:val="000000" w:themeColor="text1"/>
          <w:szCs w:val="22"/>
        </w:rPr>
        <w:t>high risk-high return operations</w:t>
      </w:r>
      <w:r w:rsidRPr="005B2403">
        <w:rPr>
          <w:b w:val="0"/>
          <w:bCs/>
          <w:color w:val="000000" w:themeColor="text1"/>
          <w:szCs w:val="22"/>
        </w:rPr>
        <w:t xml:space="preserve">.  </w:t>
      </w:r>
      <w:r w:rsidR="00F51191">
        <w:rPr>
          <w:b w:val="0"/>
          <w:bCs/>
          <w:color w:val="000000" w:themeColor="text1"/>
          <w:szCs w:val="22"/>
        </w:rPr>
        <w:t xml:space="preserve">While the project had </w:t>
      </w:r>
      <w:r w:rsidR="004661CE">
        <w:rPr>
          <w:b w:val="0"/>
          <w:bCs/>
          <w:color w:val="000000" w:themeColor="text1"/>
          <w:szCs w:val="22"/>
        </w:rPr>
        <w:t xml:space="preserve">several </w:t>
      </w:r>
      <w:r w:rsidR="00F51191">
        <w:rPr>
          <w:b w:val="0"/>
          <w:bCs/>
          <w:color w:val="000000" w:themeColor="text1"/>
          <w:szCs w:val="22"/>
        </w:rPr>
        <w:t xml:space="preserve">shortcomings ultimately the Bank managed to support </w:t>
      </w:r>
      <w:proofErr w:type="spellStart"/>
      <w:r w:rsidR="004661CE">
        <w:rPr>
          <w:b w:val="0"/>
          <w:bCs/>
          <w:color w:val="000000" w:themeColor="text1"/>
          <w:szCs w:val="22"/>
        </w:rPr>
        <w:t>GoA</w:t>
      </w:r>
      <w:proofErr w:type="spellEnd"/>
      <w:r w:rsidR="004661CE">
        <w:rPr>
          <w:b w:val="0"/>
          <w:bCs/>
          <w:color w:val="000000" w:themeColor="text1"/>
          <w:szCs w:val="22"/>
        </w:rPr>
        <w:t xml:space="preserve"> </w:t>
      </w:r>
      <w:r w:rsidR="00F51191">
        <w:rPr>
          <w:b w:val="0"/>
          <w:bCs/>
          <w:color w:val="000000" w:themeColor="text1"/>
          <w:szCs w:val="22"/>
        </w:rPr>
        <w:t xml:space="preserve">in delivering the first uranium </w:t>
      </w:r>
      <w:r w:rsidR="000616F3">
        <w:rPr>
          <w:b w:val="0"/>
          <w:bCs/>
          <w:color w:val="000000" w:themeColor="text1"/>
          <w:szCs w:val="22"/>
        </w:rPr>
        <w:t xml:space="preserve">site </w:t>
      </w:r>
      <w:r w:rsidR="00F51191">
        <w:rPr>
          <w:b w:val="0"/>
          <w:bCs/>
          <w:color w:val="000000" w:themeColor="text1"/>
          <w:szCs w:val="22"/>
        </w:rPr>
        <w:t>remediation in the country setting a new preceden</w:t>
      </w:r>
      <w:r w:rsidR="004661CE">
        <w:rPr>
          <w:b w:val="0"/>
          <w:bCs/>
          <w:color w:val="000000" w:themeColor="text1"/>
          <w:szCs w:val="22"/>
        </w:rPr>
        <w:t>t and model for future remediation efforts in the country</w:t>
      </w:r>
      <w:r w:rsidR="00F51191">
        <w:rPr>
          <w:b w:val="0"/>
          <w:bCs/>
          <w:color w:val="000000" w:themeColor="text1"/>
          <w:szCs w:val="22"/>
        </w:rPr>
        <w:t xml:space="preserve">.  </w:t>
      </w:r>
      <w:proofErr w:type="gramStart"/>
      <w:r w:rsidR="004661CE">
        <w:rPr>
          <w:b w:val="0"/>
          <w:bCs/>
          <w:color w:val="000000" w:themeColor="text1"/>
          <w:szCs w:val="22"/>
        </w:rPr>
        <w:t>According to</w:t>
      </w:r>
      <w:proofErr w:type="gramEnd"/>
      <w:r w:rsidR="004661CE">
        <w:rPr>
          <w:b w:val="0"/>
          <w:bCs/>
          <w:color w:val="000000" w:themeColor="text1"/>
          <w:szCs w:val="22"/>
        </w:rPr>
        <w:t xml:space="preserve"> IAEA experts, despite all its limitations the Bank is still one of the few global institutions capable of bringing technical expertise, sound environmental and social standards, financial resources and best international practices in the remediation of contaminated sites, demonstrating that it is worth engaging in high risk – high return operations.  </w:t>
      </w:r>
    </w:p>
    <w:p w14:paraId="35974261" w14:textId="77777777" w:rsidR="004661CE" w:rsidRPr="006B410A" w:rsidRDefault="004661CE" w:rsidP="0082486A">
      <w:pPr>
        <w:pStyle w:val="ListParagraph"/>
        <w:rPr>
          <w:b w:val="0"/>
          <w:bCs/>
          <w:color w:val="000000" w:themeColor="text1"/>
          <w:szCs w:val="22"/>
        </w:rPr>
      </w:pPr>
    </w:p>
    <w:p w14:paraId="06DA4AE0" w14:textId="77777777" w:rsidR="004661CE" w:rsidRDefault="002C3F71" w:rsidP="00173499">
      <w:pPr>
        <w:pStyle w:val="ListParagraph"/>
        <w:numPr>
          <w:ilvl w:val="0"/>
          <w:numId w:val="32"/>
        </w:numPr>
        <w:rPr>
          <w:b w:val="0"/>
          <w:bCs/>
          <w:color w:val="000000" w:themeColor="text1"/>
          <w:szCs w:val="22"/>
        </w:rPr>
      </w:pPr>
      <w:r>
        <w:rPr>
          <w:bCs/>
          <w:color w:val="000000" w:themeColor="text1"/>
          <w:szCs w:val="22"/>
        </w:rPr>
        <w:t xml:space="preserve">Technical criteria in the </w:t>
      </w:r>
      <w:r w:rsidRPr="0020074A">
        <w:rPr>
          <w:bCs/>
          <w:color w:val="000000" w:themeColor="text1"/>
          <w:szCs w:val="22"/>
        </w:rPr>
        <w:t>selection process for complex works</w:t>
      </w:r>
      <w:r>
        <w:rPr>
          <w:bCs/>
          <w:color w:val="000000" w:themeColor="text1"/>
          <w:szCs w:val="22"/>
        </w:rPr>
        <w:t xml:space="preserve"> should be robust and should consider implementation risks</w:t>
      </w:r>
      <w:r>
        <w:rPr>
          <w:b w:val="0"/>
          <w:bCs/>
          <w:color w:val="000000" w:themeColor="text1"/>
          <w:szCs w:val="22"/>
        </w:rPr>
        <w:t xml:space="preserve">.  </w:t>
      </w:r>
      <w:r w:rsidR="0020074A">
        <w:rPr>
          <w:b w:val="0"/>
          <w:bCs/>
          <w:color w:val="000000" w:themeColor="text1"/>
          <w:szCs w:val="22"/>
        </w:rPr>
        <w:t xml:space="preserve">While the </w:t>
      </w:r>
      <w:r>
        <w:rPr>
          <w:b w:val="0"/>
          <w:bCs/>
          <w:color w:val="000000" w:themeColor="text1"/>
          <w:szCs w:val="22"/>
        </w:rPr>
        <w:t>remediation works under Component 1</w:t>
      </w:r>
      <w:r w:rsidR="0020074A">
        <w:rPr>
          <w:b w:val="0"/>
          <w:bCs/>
          <w:color w:val="000000" w:themeColor="text1"/>
          <w:szCs w:val="22"/>
        </w:rPr>
        <w:t xml:space="preserve"> were concluded in a technically sound manner</w:t>
      </w:r>
      <w:r>
        <w:rPr>
          <w:b w:val="0"/>
          <w:bCs/>
          <w:color w:val="000000" w:themeColor="text1"/>
          <w:szCs w:val="22"/>
        </w:rPr>
        <w:t xml:space="preserve">, </w:t>
      </w:r>
      <w:r w:rsidR="0020074A">
        <w:rPr>
          <w:b w:val="0"/>
          <w:bCs/>
          <w:color w:val="000000" w:themeColor="text1"/>
          <w:szCs w:val="22"/>
        </w:rPr>
        <w:t xml:space="preserve">the selected firm </w:t>
      </w:r>
      <w:r w:rsidR="00701799">
        <w:rPr>
          <w:b w:val="0"/>
          <w:bCs/>
          <w:color w:val="000000" w:themeColor="text1"/>
          <w:szCs w:val="22"/>
        </w:rPr>
        <w:t xml:space="preserve">through a least cost </w:t>
      </w:r>
      <w:r w:rsidR="0020074A">
        <w:rPr>
          <w:b w:val="0"/>
          <w:bCs/>
          <w:color w:val="000000" w:themeColor="text1"/>
          <w:szCs w:val="22"/>
        </w:rPr>
        <w:t xml:space="preserve">bidding process </w:t>
      </w:r>
      <w:r>
        <w:rPr>
          <w:b w:val="0"/>
          <w:bCs/>
          <w:color w:val="000000" w:themeColor="text1"/>
          <w:szCs w:val="22"/>
        </w:rPr>
        <w:t>lacked certain technical expertise</w:t>
      </w:r>
      <w:r w:rsidR="0020074A">
        <w:rPr>
          <w:b w:val="0"/>
          <w:bCs/>
          <w:color w:val="000000" w:themeColor="text1"/>
          <w:szCs w:val="22"/>
        </w:rPr>
        <w:t xml:space="preserve"> </w:t>
      </w:r>
      <w:r>
        <w:rPr>
          <w:b w:val="0"/>
          <w:bCs/>
          <w:color w:val="000000" w:themeColor="text1"/>
          <w:szCs w:val="22"/>
        </w:rPr>
        <w:t xml:space="preserve">(as no remediation had previously been </w:t>
      </w:r>
      <w:r w:rsidR="00701799">
        <w:rPr>
          <w:b w:val="0"/>
          <w:bCs/>
          <w:color w:val="000000" w:themeColor="text1"/>
          <w:szCs w:val="22"/>
        </w:rPr>
        <w:t xml:space="preserve">done </w:t>
      </w:r>
      <w:r>
        <w:rPr>
          <w:b w:val="0"/>
          <w:bCs/>
          <w:color w:val="000000" w:themeColor="text1"/>
          <w:szCs w:val="22"/>
        </w:rPr>
        <w:t>in Argentina)</w:t>
      </w:r>
      <w:r w:rsidR="00701799">
        <w:rPr>
          <w:b w:val="0"/>
          <w:bCs/>
          <w:color w:val="000000" w:themeColor="text1"/>
          <w:szCs w:val="22"/>
        </w:rPr>
        <w:t>.  In this case, b</w:t>
      </w:r>
      <w:r>
        <w:rPr>
          <w:b w:val="0"/>
          <w:bCs/>
          <w:color w:val="000000" w:themeColor="text1"/>
          <w:szCs w:val="22"/>
        </w:rPr>
        <w:t xml:space="preserve">udgetary restrictions </w:t>
      </w:r>
      <w:r w:rsidR="00701799">
        <w:rPr>
          <w:b w:val="0"/>
          <w:bCs/>
          <w:color w:val="000000" w:themeColor="text1"/>
          <w:szCs w:val="22"/>
        </w:rPr>
        <w:t xml:space="preserve">ended up affecting more the </w:t>
      </w:r>
      <w:r>
        <w:rPr>
          <w:b w:val="0"/>
          <w:bCs/>
          <w:color w:val="000000" w:themeColor="text1"/>
          <w:szCs w:val="22"/>
        </w:rPr>
        <w:t xml:space="preserve">implementation </w:t>
      </w:r>
      <w:r w:rsidR="00701799">
        <w:rPr>
          <w:b w:val="0"/>
          <w:bCs/>
          <w:color w:val="000000" w:themeColor="text1"/>
          <w:szCs w:val="22"/>
        </w:rPr>
        <w:t xml:space="preserve">of works which </w:t>
      </w:r>
      <w:r>
        <w:rPr>
          <w:b w:val="0"/>
          <w:bCs/>
          <w:color w:val="000000" w:themeColor="text1"/>
          <w:szCs w:val="22"/>
        </w:rPr>
        <w:t>led to multiple amendments to the contract.</w:t>
      </w:r>
      <w:r w:rsidR="0020074A">
        <w:rPr>
          <w:b w:val="0"/>
          <w:bCs/>
          <w:color w:val="000000" w:themeColor="text1"/>
          <w:szCs w:val="22"/>
        </w:rPr>
        <w:t xml:space="preserve"> </w:t>
      </w:r>
    </w:p>
    <w:p w14:paraId="7F77195C" w14:textId="77777777" w:rsidR="00A54D23" w:rsidRPr="00A54D23" w:rsidRDefault="00A54D23" w:rsidP="00A54D23">
      <w:pPr>
        <w:pStyle w:val="ListParagraph"/>
        <w:rPr>
          <w:b w:val="0"/>
          <w:bCs/>
          <w:color w:val="000000" w:themeColor="text1"/>
          <w:szCs w:val="22"/>
        </w:rPr>
      </w:pPr>
    </w:p>
    <w:p w14:paraId="1714E226" w14:textId="77777777" w:rsidR="00A54D23" w:rsidRDefault="002C3F71" w:rsidP="00450B30">
      <w:pPr>
        <w:pStyle w:val="ListParagraph"/>
        <w:numPr>
          <w:ilvl w:val="0"/>
          <w:numId w:val="32"/>
        </w:numPr>
        <w:rPr>
          <w:b w:val="0"/>
          <w:bCs/>
          <w:color w:val="000000" w:themeColor="text1"/>
          <w:szCs w:val="22"/>
        </w:rPr>
      </w:pPr>
      <w:r w:rsidRPr="005B2403">
        <w:rPr>
          <w:bCs/>
          <w:color w:val="000000" w:themeColor="text1"/>
          <w:szCs w:val="22"/>
        </w:rPr>
        <w:t xml:space="preserve">Relying on </w:t>
      </w:r>
      <w:r w:rsidR="00E42B49">
        <w:rPr>
          <w:bCs/>
          <w:color w:val="000000" w:themeColor="text1"/>
          <w:szCs w:val="22"/>
        </w:rPr>
        <w:t xml:space="preserve">PPFs </w:t>
      </w:r>
      <w:r w:rsidRPr="005B2403">
        <w:rPr>
          <w:bCs/>
          <w:color w:val="000000" w:themeColor="text1"/>
          <w:szCs w:val="22"/>
        </w:rPr>
        <w:t xml:space="preserve">during project preparation </w:t>
      </w:r>
      <w:r w:rsidR="00E42B49">
        <w:rPr>
          <w:bCs/>
          <w:color w:val="000000" w:themeColor="text1"/>
          <w:szCs w:val="22"/>
        </w:rPr>
        <w:t xml:space="preserve">was not a guarantee to ensure </w:t>
      </w:r>
      <w:r w:rsidRPr="005B2403">
        <w:rPr>
          <w:bCs/>
          <w:color w:val="000000" w:themeColor="text1"/>
          <w:szCs w:val="22"/>
        </w:rPr>
        <w:t xml:space="preserve">project </w:t>
      </w:r>
      <w:r w:rsidR="00E42B49">
        <w:rPr>
          <w:bCs/>
          <w:color w:val="000000" w:themeColor="text1"/>
          <w:szCs w:val="22"/>
        </w:rPr>
        <w:t>readiness</w:t>
      </w:r>
      <w:r w:rsidRPr="005B2403">
        <w:rPr>
          <w:b w:val="0"/>
          <w:bCs/>
          <w:color w:val="000000" w:themeColor="text1"/>
          <w:szCs w:val="22"/>
        </w:rPr>
        <w:t>. The two Project Preparation Facility (PPF) grants that were approved during project preparation were key in undertaking key studies, the operational manual, safeguard consultations</w:t>
      </w:r>
      <w:r w:rsidR="00E42B49">
        <w:rPr>
          <w:b w:val="0"/>
          <w:bCs/>
          <w:color w:val="000000" w:themeColor="text1"/>
          <w:szCs w:val="22"/>
        </w:rPr>
        <w:t xml:space="preserve">, feasibility studies </w:t>
      </w:r>
      <w:r w:rsidRPr="005B2403">
        <w:rPr>
          <w:b w:val="0"/>
          <w:bCs/>
          <w:color w:val="000000" w:themeColor="text1"/>
          <w:szCs w:val="22"/>
        </w:rPr>
        <w:t xml:space="preserve">and for the establishment of the GP.  </w:t>
      </w:r>
      <w:r w:rsidR="00E42B49">
        <w:rPr>
          <w:b w:val="0"/>
          <w:bCs/>
          <w:color w:val="000000" w:themeColor="text1"/>
          <w:szCs w:val="22"/>
        </w:rPr>
        <w:t xml:space="preserve">While all this was positive and it </w:t>
      </w:r>
      <w:r w:rsidRPr="005B2403">
        <w:rPr>
          <w:b w:val="0"/>
          <w:bCs/>
          <w:color w:val="000000" w:themeColor="text1"/>
          <w:szCs w:val="22"/>
        </w:rPr>
        <w:t xml:space="preserve">contributed to a </w:t>
      </w:r>
      <w:r w:rsidR="00E42B49">
        <w:rPr>
          <w:b w:val="0"/>
          <w:bCs/>
          <w:color w:val="000000" w:themeColor="text1"/>
          <w:szCs w:val="22"/>
        </w:rPr>
        <w:t xml:space="preserve">certain </w:t>
      </w:r>
      <w:r w:rsidRPr="005B2403">
        <w:rPr>
          <w:b w:val="0"/>
          <w:bCs/>
          <w:color w:val="000000" w:themeColor="text1"/>
          <w:szCs w:val="22"/>
        </w:rPr>
        <w:t>familiarity with the Bank’s requirements and procedure</w:t>
      </w:r>
      <w:r w:rsidR="00E42B49">
        <w:rPr>
          <w:b w:val="0"/>
          <w:bCs/>
          <w:color w:val="000000" w:themeColor="text1"/>
          <w:szCs w:val="22"/>
        </w:rPr>
        <w:t>s, they were no guarantee in ensuring overall project readiness by appraisal</w:t>
      </w:r>
      <w:r w:rsidR="002021E3">
        <w:rPr>
          <w:b w:val="0"/>
          <w:bCs/>
          <w:color w:val="000000" w:themeColor="text1"/>
          <w:szCs w:val="22"/>
        </w:rPr>
        <w:t>, and thus should have been complemented with broader commitment, resources (human and financial), and capacity at the local level</w:t>
      </w:r>
      <w:r w:rsidR="00E42B49">
        <w:rPr>
          <w:b w:val="0"/>
          <w:bCs/>
          <w:color w:val="000000" w:themeColor="text1"/>
          <w:szCs w:val="22"/>
        </w:rPr>
        <w:t xml:space="preserve">. The PPFs did not, for instance, contribute </w:t>
      </w:r>
      <w:r w:rsidR="00A62C69">
        <w:rPr>
          <w:b w:val="0"/>
          <w:bCs/>
          <w:color w:val="000000" w:themeColor="text1"/>
          <w:szCs w:val="22"/>
        </w:rPr>
        <w:t>to</w:t>
      </w:r>
      <w:r w:rsidR="00E42B49">
        <w:rPr>
          <w:b w:val="0"/>
          <w:bCs/>
          <w:color w:val="000000" w:themeColor="text1"/>
          <w:szCs w:val="22"/>
        </w:rPr>
        <w:t xml:space="preserve"> building a solid baseline with regards to economic and health impacts from the </w:t>
      </w:r>
      <w:proofErr w:type="spellStart"/>
      <w:r w:rsidR="00450B30">
        <w:rPr>
          <w:b w:val="0"/>
          <w:bCs/>
          <w:color w:val="000000" w:themeColor="text1"/>
          <w:szCs w:val="22"/>
        </w:rPr>
        <w:t>Malargüe</w:t>
      </w:r>
      <w:proofErr w:type="spellEnd"/>
      <w:r w:rsidR="00450B30">
        <w:rPr>
          <w:b w:val="0"/>
          <w:bCs/>
          <w:color w:val="000000" w:themeColor="text1"/>
          <w:szCs w:val="22"/>
        </w:rPr>
        <w:t xml:space="preserve"> site</w:t>
      </w:r>
      <w:r w:rsidRPr="005B2403">
        <w:rPr>
          <w:b w:val="0"/>
          <w:bCs/>
          <w:color w:val="000000" w:themeColor="text1"/>
          <w:szCs w:val="22"/>
        </w:rPr>
        <w:t xml:space="preserve">.  </w:t>
      </w:r>
    </w:p>
    <w:p w14:paraId="17348BDF" w14:textId="77777777" w:rsidR="00701799" w:rsidRPr="00701799" w:rsidRDefault="00701799" w:rsidP="00701799">
      <w:pPr>
        <w:pStyle w:val="ListParagraph"/>
        <w:rPr>
          <w:b w:val="0"/>
          <w:bCs/>
          <w:color w:val="000000" w:themeColor="text1"/>
          <w:szCs w:val="22"/>
        </w:rPr>
      </w:pPr>
    </w:p>
    <w:p w14:paraId="55E6A91A" w14:textId="77777777" w:rsidR="00A54D23" w:rsidRPr="005B2403" w:rsidRDefault="00A54D23" w:rsidP="00A54D23">
      <w:pPr>
        <w:pStyle w:val="ListParagraph"/>
        <w:ind w:left="86"/>
        <w:rPr>
          <w:b w:val="0"/>
          <w:bCs/>
          <w:color w:val="000000" w:themeColor="text1"/>
          <w:szCs w:val="22"/>
        </w:rPr>
      </w:pPr>
    </w:p>
    <w:p w14:paraId="0CF2220A" w14:textId="77777777" w:rsidR="00173499" w:rsidRPr="005B2403" w:rsidRDefault="00173499" w:rsidP="00173499">
      <w:pPr>
        <w:ind w:left="-634"/>
        <w:rPr>
          <w:rFonts w:asciiTheme="minorHAnsi" w:hAnsiTheme="minorHAnsi"/>
          <w:bCs/>
          <w:color w:val="000000" w:themeColor="text1"/>
          <w:sz w:val="22"/>
          <w:szCs w:val="22"/>
        </w:rPr>
      </w:pPr>
    </w:p>
    <w:p w14:paraId="40109A12" w14:textId="77777777" w:rsidR="003615CB" w:rsidRPr="00CB304D" w:rsidRDefault="003615CB" w:rsidP="00222B3C">
      <w:pPr>
        <w:ind w:left="-634"/>
        <w:rPr>
          <w:rFonts w:asciiTheme="minorHAnsi" w:hAnsiTheme="minorHAnsi"/>
          <w:bCs/>
          <w:color w:val="000000" w:themeColor="text1"/>
          <w:sz w:val="22"/>
          <w:szCs w:val="22"/>
        </w:rPr>
      </w:pPr>
    </w:p>
    <w:p w14:paraId="57F38678" w14:textId="77777777" w:rsidR="003615CB" w:rsidRPr="00CB304D" w:rsidRDefault="003615CB" w:rsidP="00F81AC2">
      <w:pPr>
        <w:ind w:left="-634"/>
        <w:rPr>
          <w:rFonts w:asciiTheme="minorHAnsi" w:hAnsiTheme="minorHAnsi"/>
          <w:bCs/>
          <w:color w:val="000000" w:themeColor="text1"/>
          <w:sz w:val="22"/>
          <w:szCs w:val="22"/>
        </w:rPr>
      </w:pPr>
    </w:p>
    <w:sdt>
      <w:sdtPr>
        <w:rPr>
          <w:rFonts w:asciiTheme="minorHAnsi" w:hAnsiTheme="minorHAnsi"/>
          <w:b/>
          <w:bCs/>
          <w:color w:val="7F7F7F" w:themeColor="text1" w:themeTint="80"/>
          <w:sz w:val="22"/>
          <w:szCs w:val="22"/>
        </w:rPr>
        <w:id w:val="2093274737"/>
        <w:lock w:val="sdtContentLocked"/>
        <w:placeholder>
          <w:docPart w:val="907ABA86110D43A3A29F785143380194"/>
        </w:placeholder>
        <w:showingPlcHdr/>
      </w:sdtPr>
      <w:sdtEndPr/>
      <w:sdtContent>
        <w:p w14:paraId="347A92F2" w14:textId="77777777" w:rsidR="003615CB" w:rsidRDefault="002C3F71" w:rsidP="00701799">
          <w:pPr>
            <w:spacing w:line="14" w:lineRule="exact"/>
            <w:ind w:left="-792"/>
            <w:rPr>
              <w:rFonts w:asciiTheme="minorHAnsi" w:hAnsiTheme="minorHAnsi"/>
              <w:b/>
              <w:bCs/>
              <w:color w:val="7F7F7F" w:themeColor="text1" w:themeTint="80"/>
              <w:sz w:val="22"/>
              <w:szCs w:val="22"/>
            </w:rPr>
            <w:sectPr w:rsidR="003615CB" w:rsidSect="00F81AC2">
              <w:pgSz w:w="12240" w:h="15840" w:code="1"/>
              <w:pgMar w:top="1440" w:right="1440" w:bottom="1440" w:left="1440" w:header="720" w:footer="720" w:gutter="0"/>
              <w:cols w:space="720"/>
              <w:docGrid w:linePitch="360"/>
            </w:sectPr>
          </w:pPr>
          <w:r w:rsidRPr="00764859">
            <w:rPr>
              <w:rStyle w:val="PlaceholderText"/>
            </w:rPr>
            <w:t>.</w:t>
          </w:r>
        </w:p>
      </w:sdtContent>
    </w:sdt>
    <w:tbl>
      <w:tblPr>
        <w:tblStyle w:val="TableGrid"/>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4130"/>
      </w:tblGrid>
      <w:tr w:rsidR="00E63776" w14:paraId="62CF5164" w14:textId="77777777" w:rsidTr="008565D8">
        <w:trPr>
          <w:trHeight w:val="432"/>
        </w:trPr>
        <w:tc>
          <w:tcPr>
            <w:tcW w:w="14130" w:type="dxa"/>
            <w:shd w:val="clear" w:color="auto" w:fill="F2F7FC"/>
            <w:vAlign w:val="center"/>
          </w:tcPr>
          <w:p w14:paraId="5D641039" w14:textId="77777777" w:rsidR="003615CB" w:rsidRPr="00B77CBF" w:rsidRDefault="002C3F71" w:rsidP="003615CB">
            <w:pPr>
              <w:pStyle w:val="NoSpacing"/>
              <w:jc w:val="center"/>
              <w:outlineLvl w:val="0"/>
              <w:rPr>
                <w:rFonts w:asciiTheme="minorHAnsi" w:hAnsiTheme="minorHAnsi"/>
                <w:b/>
              </w:rPr>
            </w:pPr>
            <w:bookmarkStart w:id="85" w:name="_Toc256000032"/>
            <w:bookmarkStart w:id="86" w:name="_Toc485984560"/>
            <w:bookmarkStart w:id="87" w:name="_Toc502164478"/>
            <w:r w:rsidRPr="00467FB1">
              <w:rPr>
                <w:rFonts w:asciiTheme="minorHAnsi" w:hAnsiTheme="minorHAnsi"/>
                <w:b/>
              </w:rPr>
              <w:t>ANNEX 1. RESULTS FRAMEWORK AND KEY OUTPUTS</w:t>
            </w:r>
            <w:bookmarkEnd w:id="85"/>
            <w:bookmarkEnd w:id="86"/>
            <w:bookmarkEnd w:id="87"/>
          </w:p>
        </w:tc>
      </w:tr>
    </w:tbl>
    <w:p w14:paraId="46725EBE" w14:textId="77777777" w:rsidR="003615CB" w:rsidRDefault="003615CB" w:rsidP="003939DF">
      <w:pPr>
        <w:ind w:left="-792"/>
        <w:rPr>
          <w:rFonts w:asciiTheme="minorHAnsi" w:hAnsiTheme="minorHAnsi"/>
          <w:b/>
          <w:bCs/>
          <w:color w:val="7F7F7F" w:themeColor="text1" w:themeTint="80"/>
          <w:sz w:val="22"/>
          <w:szCs w:val="22"/>
        </w:rPr>
      </w:pPr>
    </w:p>
    <w:p w14:paraId="2CA96AB4" w14:textId="77777777" w:rsidR="00735935" w:rsidRDefault="00735935" w:rsidP="001C4803">
      <w:pPr>
        <w:ind w:left="-792"/>
        <w:rPr>
          <w:rFonts w:asciiTheme="minorHAnsi" w:hAnsiTheme="minorHAnsi"/>
          <w:b/>
          <w:bCs/>
          <w:color w:val="7F7F7F" w:themeColor="text1" w:themeTint="80"/>
          <w:sz w:val="22"/>
          <w:szCs w:val="22"/>
        </w:rPr>
      </w:pPr>
    </w:p>
    <w:p w14:paraId="7A6F4065" w14:textId="77777777" w:rsidR="001C4803" w:rsidRDefault="002C3F71" w:rsidP="001C4803">
      <w:pPr>
        <w:ind w:left="-630"/>
        <w:rPr>
          <w:rFonts w:asciiTheme="minorHAnsi" w:hAnsiTheme="minorHAnsi"/>
          <w:b/>
          <w:bCs/>
          <w:color w:val="7F7F7F" w:themeColor="text1" w:themeTint="80"/>
          <w:sz w:val="22"/>
          <w:szCs w:val="22"/>
        </w:rPr>
      </w:pPr>
      <w:r>
        <w:rPr>
          <w:noProof/>
        </w:rPr>
        <mc:AlternateContent>
          <mc:Choice Requires="wps">
            <w:drawing>
              <wp:anchor distT="0" distB="0" distL="114300" distR="114300" simplePos="0" relativeHeight="251660288" behindDoc="0" locked="0" layoutInCell="1" allowOverlap="1" wp14:anchorId="487F9B73" wp14:editId="627B733A">
                <wp:simplePos x="0" y="0"/>
                <wp:positionH relativeFrom="column">
                  <wp:posOffset>-896951</wp:posOffset>
                </wp:positionH>
                <wp:positionV relativeFrom="paragraph">
                  <wp:posOffset>161290</wp:posOffset>
                </wp:positionV>
                <wp:extent cx="10113645" cy="0"/>
                <wp:effectExtent l="0" t="0" r="1905" b="19050"/>
                <wp:wrapNone/>
                <wp:docPr id="228" name="Straight Connector 228"/>
                <wp:cNvGraphicFramePr/>
                <a:graphic xmlns:a="http://schemas.openxmlformats.org/drawingml/2006/main">
                  <a:graphicData uri="http://schemas.microsoft.com/office/word/2010/wordprocessingShape">
                    <wps:wsp>
                      <wps:cNvCnPr/>
                      <wps:spPr>
                        <a:xfrm>
                          <a:off x="0" y="0"/>
                          <a:ext cx="1011364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28" o:spid="_x0000_s1029" style="mso-height-percent:0;mso-height-relative:margin;mso-width-percent:0;mso-width-relative:margin;mso-wrap-distance-bottom:0;mso-wrap-distance-left:9pt;mso-wrap-distance-right:9pt;mso-wrap-distance-top:0;mso-wrap-style:square;position:absolute;visibility:visible;z-index:251661312" from="-70.65pt,12.7pt" to="725.7pt,12.7pt" strokecolor="gray">
                <v:stroke joinstyle="miter" dashstyle="dash" opacity="26214f"/>
              </v:line>
            </w:pict>
          </mc:Fallback>
        </mc:AlternateContent>
      </w:r>
    </w:p>
    <w:p w14:paraId="19066E10" w14:textId="77777777" w:rsidR="001C4803" w:rsidRDefault="001C4803" w:rsidP="00C63E2C">
      <w:pPr>
        <w:ind w:left="-691" w:right="-418"/>
        <w:rPr>
          <w:rFonts w:asciiTheme="minorHAnsi" w:hAnsiTheme="minorHAnsi"/>
          <w:b/>
          <w:bCs/>
          <w:color w:val="7F7F7F" w:themeColor="text1" w:themeTint="80"/>
          <w:sz w:val="22"/>
          <w:szCs w:val="22"/>
        </w:rPr>
      </w:pPr>
    </w:p>
    <w:sdt>
      <w:sdtPr>
        <w:rPr>
          <w:rFonts w:asciiTheme="minorHAnsi" w:hAnsiTheme="minorHAnsi"/>
          <w:b/>
          <w:bCs/>
          <w:color w:val="7F7F7F" w:themeColor="text1" w:themeTint="80"/>
          <w:sz w:val="22"/>
          <w:szCs w:val="22"/>
        </w:rPr>
        <w:id w:val="952872967"/>
        <w:lock w:val="sdtContentLocked"/>
        <w:placeholder>
          <w:docPart w:val="3F0B331C2F344760AE61C9A706D5C719"/>
        </w:placeholder>
        <w:showingPlcHdr/>
      </w:sdtPr>
      <w:sdtEndPr/>
      <w:sdtContent>
        <w:p w14:paraId="26B90998" w14:textId="77777777" w:rsidR="00735935" w:rsidRDefault="002C3F71" w:rsidP="00C63E2C">
          <w:pPr>
            <w:spacing w:line="14" w:lineRule="exact"/>
            <w:ind w:left="-691" w:right="-418"/>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t xml:space="preserve"> </w:t>
          </w:r>
        </w:p>
      </w:sdtContent>
    </w:sdt>
    <w:p w14:paraId="23B1E563" w14:textId="77777777" w:rsidR="00735935" w:rsidRDefault="00735935" w:rsidP="00C63E2C">
      <w:pPr>
        <w:spacing w:line="14" w:lineRule="exact"/>
        <w:ind w:left="-691" w:right="-418"/>
        <w:rPr>
          <w:rFonts w:asciiTheme="minorHAnsi" w:hAnsiTheme="minorHAnsi"/>
          <w:b/>
          <w:bCs/>
          <w:color w:val="7F7F7F" w:themeColor="text1" w:themeTint="80"/>
          <w:sz w:val="22"/>
          <w:szCs w:val="22"/>
        </w:rPr>
        <w:sectPr w:rsidR="00735935" w:rsidSect="00F81AC2">
          <w:headerReference w:type="default" r:id="rId17"/>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tag w:val="OPS_CORE_DATA_BLOCK"/>
        <w:id w:val="2035526006"/>
        <w:lock w:val="sdtContentLocked"/>
        <w:placeholder>
          <w:docPart w:val="DefaultPlaceholder_22675703"/>
        </w:placeholder>
        <w:group/>
      </w:sdtPr>
      <w:sdtEndPr/>
      <w:sdtContent>
        <w:sdt>
          <w:sdtPr>
            <w:rPr>
              <w:rFonts w:asciiTheme="minorHAnsi" w:hAnsiTheme="minorHAnsi"/>
              <w:b/>
              <w:bCs/>
              <w:color w:val="7F7F7F" w:themeColor="text1" w:themeTint="80"/>
              <w:sz w:val="22"/>
              <w:szCs w:val="22"/>
            </w:rPr>
            <w:tag w:val="OPS_CORE_SECTION_START_9"/>
            <w:id w:val="1287369088"/>
            <w:lock w:val="sdtContentLocked"/>
            <w:placeholder>
              <w:docPart w:val="38EE8AFCAAEB42E59B4C2A50AE10D130"/>
            </w:placeholder>
          </w:sdtPr>
          <w:sdtEndPr/>
          <w:sdtContent>
            <w:p w14:paraId="7AB9C048" w14:textId="77777777" w:rsidR="00735935" w:rsidRPr="00735935" w:rsidRDefault="002C3F71" w:rsidP="00C63E2C">
              <w:pPr>
                <w:spacing w:line="14" w:lineRule="exact"/>
                <w:ind w:left="-691" w:right="-418"/>
                <w:rPr>
                  <w:rFonts w:asciiTheme="minorHAnsi" w:hAnsiTheme="minorHAnsi"/>
                  <w:b/>
                  <w:bCs/>
                  <w:color w:val="7F7F7F" w:themeColor="text1" w:themeTint="80"/>
                  <w:sz w:val="22"/>
                  <w:szCs w:val="22"/>
                </w:rPr>
              </w:pPr>
              <w:r w:rsidRPr="00735935">
                <w:rPr>
                  <w:rFonts w:asciiTheme="minorHAnsi" w:hAnsiTheme="minorHAnsi"/>
                  <w:b/>
                  <w:bCs/>
                  <w:color w:val="7F7F7F" w:themeColor="text1" w:themeTint="80"/>
                  <w:sz w:val="22"/>
                  <w:szCs w:val="22"/>
                </w:rPr>
                <w:t xml:space="preserve"> </w:t>
              </w:r>
            </w:p>
          </w:sdtContent>
        </w:sdt>
        <w:p w14:paraId="431288A3" w14:textId="77777777" w:rsidR="00C63E2C" w:rsidRPr="00C63E2C" w:rsidRDefault="00C63E2C" w:rsidP="00C63E2C">
          <w:pPr>
            <w:pStyle w:val="Normal69"/>
            <w:shd w:val="clear" w:color="auto" w:fill="F7F7F7"/>
            <w:ind w:left="-691" w:right="-418"/>
            <w:rPr>
              <w:rFonts w:asciiTheme="minorHAnsi" w:hAnsiTheme="minorHAnsi"/>
              <w:b/>
              <w:bCs/>
              <w:color w:val="7F7F7F" w:themeColor="text1" w:themeTint="80"/>
              <w:sz w:val="22"/>
              <w:szCs w:val="22"/>
            </w:rPr>
          </w:pPr>
        </w:p>
        <w:p w14:paraId="3910A012" w14:textId="77777777" w:rsidR="00C63E2C" w:rsidRPr="00C63E2C" w:rsidRDefault="002C3F71" w:rsidP="00C63E2C">
          <w:pPr>
            <w:pStyle w:val="Normal69"/>
            <w:numPr>
              <w:ilvl w:val="0"/>
              <w:numId w:val="16"/>
            </w:numPr>
            <w:shd w:val="clear" w:color="auto" w:fill="F7F7F7"/>
            <w:ind w:right="-418"/>
            <w:contextualSpacing/>
            <w:rPr>
              <w:rFonts w:asciiTheme="minorHAnsi" w:hAnsiTheme="minorHAnsi"/>
              <w:b/>
              <w:bCs/>
              <w:color w:val="172D5F"/>
              <w:sz w:val="22"/>
            </w:rPr>
          </w:pPr>
          <w:r w:rsidRPr="00C63E2C">
            <w:rPr>
              <w:rFonts w:asciiTheme="minorHAnsi" w:hAnsiTheme="minorHAnsi"/>
              <w:b/>
              <w:bCs/>
              <w:color w:val="172D5F"/>
              <w:sz w:val="22"/>
            </w:rPr>
            <w:t>RESULTS INDICATORS</w:t>
          </w:r>
        </w:p>
        <w:p w14:paraId="4DD9979F" w14:textId="77777777" w:rsidR="00C63E2C" w:rsidRPr="00C63E2C" w:rsidRDefault="00C63E2C" w:rsidP="00C63E2C">
          <w:pPr>
            <w:pStyle w:val="Normal69"/>
            <w:shd w:val="clear" w:color="auto" w:fill="F7F7F7"/>
            <w:ind w:left="-691" w:right="-418"/>
            <w:rPr>
              <w:rFonts w:asciiTheme="minorHAnsi" w:hAnsiTheme="minorHAnsi"/>
              <w:b/>
              <w:bCs/>
              <w:color w:val="7F7F7F" w:themeColor="text1" w:themeTint="80"/>
              <w:sz w:val="22"/>
              <w:szCs w:val="22"/>
            </w:rPr>
          </w:pPr>
        </w:p>
        <w:tbl>
          <w:tblPr>
            <w:tblStyle w:val="TableGrid105"/>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E63776" w14:paraId="78799953" w14:textId="77777777" w:rsidTr="009E631B">
            <w:trPr>
              <w:trHeight w:val="243"/>
            </w:trPr>
            <w:tc>
              <w:tcPr>
                <w:tcW w:w="14130" w:type="dxa"/>
                <w:shd w:val="clear" w:color="auto" w:fill="F7F7F7"/>
              </w:tcPr>
              <w:p w14:paraId="2F9A9ABC" w14:textId="77777777" w:rsidR="00C63E2C" w:rsidRPr="00C63E2C" w:rsidRDefault="002C3F71" w:rsidP="00C63E2C">
                <w:pPr>
                  <w:pStyle w:val="Normal69"/>
                  <w:keepNext/>
                  <w:rPr>
                    <w:rFonts w:asciiTheme="minorHAnsi" w:hAnsiTheme="minorHAnsi"/>
                    <w:b/>
                    <w:bCs/>
                    <w:color w:val="172D5F"/>
                    <w:sz w:val="22"/>
                  </w:rPr>
                </w:pPr>
                <w:r w:rsidRPr="00C63E2C">
                  <w:rPr>
                    <w:rFonts w:asciiTheme="minorHAnsi" w:hAnsiTheme="minorHAnsi"/>
                    <w:b/>
                    <w:bCs/>
                    <w:color w:val="172D5F"/>
                    <w:sz w:val="22"/>
                  </w:rPr>
                  <w:t>A.1 PDO Indicators</w:t>
                </w:r>
              </w:p>
              <w:p w14:paraId="592EEE52" w14:textId="77777777" w:rsidR="00C63E2C" w:rsidRPr="00C63E2C" w:rsidRDefault="00C63E2C" w:rsidP="00C63E2C">
                <w:pPr>
                  <w:pStyle w:val="Normal69"/>
                  <w:keepNext/>
                  <w:rPr>
                    <w:rFonts w:asciiTheme="minorHAnsi" w:hAnsiTheme="minorHAnsi"/>
                    <w:sz w:val="22"/>
                  </w:rPr>
                </w:pPr>
              </w:p>
            </w:tc>
          </w:tr>
        </w:tbl>
        <w:p w14:paraId="6BFC07AD" w14:textId="77777777" w:rsidR="00C63E2C" w:rsidRPr="00C63E2C" w:rsidRDefault="00C63E2C" w:rsidP="00C63E2C">
          <w:pPr>
            <w:pStyle w:val="Normal69"/>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5"/>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14130"/>
          </w:tblGrid>
          <w:tr w:rsidR="00E63776" w14:paraId="4F1A82C0" w14:textId="77777777" w:rsidTr="009E631B">
            <w:trPr>
              <w:trHeight w:val="20"/>
              <w:tblHeader/>
            </w:trPr>
            <w:tc>
              <w:tcPr>
                <w:tcW w:w="14130" w:type="dxa"/>
                <w:shd w:val="clear" w:color="auto" w:fill="F7F7F7"/>
                <w:vAlign w:val="center"/>
              </w:tcPr>
              <w:p w14:paraId="3EBF61DF" w14:textId="77777777" w:rsidR="00C63E2C" w:rsidRPr="00C63E2C" w:rsidRDefault="00C63E2C" w:rsidP="00C63E2C">
                <w:pPr>
                  <w:pStyle w:val="Normal69"/>
                  <w:keepNext/>
                  <w:widowControl/>
                  <w:spacing w:line="14" w:lineRule="exact"/>
                  <w:ind w:left="115"/>
                  <w:rPr>
                    <w:rFonts w:ascii="Calibri" w:eastAsia="Times New Roman" w:hAnsi="Calibri"/>
                    <w:b/>
                    <w:color w:val="FF0000"/>
                    <w:sz w:val="2"/>
                    <w:szCs w:val="22"/>
                  </w:rPr>
                </w:pPr>
              </w:p>
            </w:tc>
          </w:tr>
          <w:tr w:rsidR="00E63776" w14:paraId="66C42CCF" w14:textId="77777777" w:rsidTr="009E631B">
            <w:trPr>
              <w:trHeight w:val="55"/>
            </w:trPr>
            <w:tc>
              <w:tcPr>
                <w:tcW w:w="14130" w:type="dxa"/>
                <w:shd w:val="clear" w:color="auto" w:fill="F7F7F7"/>
                <w:vAlign w:val="center"/>
              </w:tcPr>
              <w:p w14:paraId="4716D851" w14:textId="77777777" w:rsidR="00C63E2C" w:rsidRPr="00C63E2C" w:rsidRDefault="00C63E2C" w:rsidP="00C63E2C">
                <w:pPr>
                  <w:pStyle w:val="Normal69"/>
                  <w:shd w:val="clear" w:color="auto" w:fill="F7F7F7"/>
                  <w:spacing w:line="14" w:lineRule="exact"/>
                  <w:rPr>
                    <w:rFonts w:asciiTheme="minorHAnsi" w:hAnsiTheme="minorHAnsi"/>
                    <w:b/>
                    <w:bCs/>
                    <w:color w:val="F7F7F7"/>
                    <w:sz w:val="22"/>
                    <w:szCs w:val="22"/>
                  </w:rPr>
                </w:pPr>
              </w:p>
              <w:tbl>
                <w:tblPr>
                  <w:tblStyle w:val="TableGrid105"/>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14"/>
                  <w:gridCol w:w="2326"/>
                  <w:gridCol w:w="21"/>
                  <w:gridCol w:w="2319"/>
                  <w:gridCol w:w="21"/>
                </w:tblGrid>
                <w:tr w:rsidR="00E63776" w14:paraId="7D65D74A" w14:textId="77777777" w:rsidTr="00045582">
                  <w:trPr>
                    <w:gridAfter w:val="1"/>
                    <w:wAfter w:w="21" w:type="dxa"/>
                    <w:trHeight w:val="20"/>
                  </w:trPr>
                  <w:tc>
                    <w:tcPr>
                      <w:tcW w:w="13955" w:type="dxa"/>
                      <w:gridSpan w:val="9"/>
                      <w:tcBorders>
                        <w:top w:val="nil"/>
                        <w:left w:val="nil"/>
                        <w:bottom w:val="nil"/>
                        <w:right w:val="nil"/>
                      </w:tcBorders>
                      <w:shd w:val="clear" w:color="auto" w:fill="F7F7F7"/>
                      <w:vAlign w:val="center"/>
                    </w:tcPr>
                    <w:p w14:paraId="527569BA" w14:textId="77777777" w:rsidR="00001183" w:rsidRPr="00F16CCF" w:rsidRDefault="00001183" w:rsidP="00765087">
                      <w:pPr>
                        <w:pStyle w:val="Normal69"/>
                        <w:keepNext/>
                        <w:spacing w:line="14" w:lineRule="exact"/>
                        <w:ind w:left="115"/>
                        <w:rPr>
                          <w:rFonts w:asciiTheme="minorHAnsi" w:hAnsiTheme="minorHAnsi"/>
                          <w:b/>
                          <w:sz w:val="22"/>
                          <w:szCs w:val="22"/>
                        </w:rPr>
                      </w:pPr>
                    </w:p>
                  </w:tc>
                </w:tr>
                <w:tr w:rsidR="00E63776" w14:paraId="113966C8" w14:textId="77777777" w:rsidTr="00045582">
                  <w:trPr>
                    <w:gridAfter w:val="1"/>
                    <w:wAfter w:w="21" w:type="dxa"/>
                    <w:trHeight w:val="387"/>
                  </w:trPr>
                  <w:tc>
                    <w:tcPr>
                      <w:tcW w:w="13955" w:type="dxa"/>
                      <w:gridSpan w:val="9"/>
                      <w:tcBorders>
                        <w:top w:val="nil"/>
                        <w:left w:val="nil"/>
                        <w:bottom w:val="single" w:sz="4" w:space="0" w:color="D9D9D9"/>
                        <w:right w:val="nil"/>
                      </w:tcBorders>
                      <w:shd w:val="clear" w:color="auto" w:fill="F7F7F7"/>
                      <w:vAlign w:val="center"/>
                    </w:tcPr>
                    <w:p w14:paraId="4701201A" w14:textId="77777777" w:rsidR="00650668"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sidRPr="00F16CCF">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Objective/Outcome:</w:instrText>
                      </w:r>
                      <w:r w:rsidR="00D311A5">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Objective/Outcome:</w:t>
                      </w:r>
                      <w:r w:rsidR="00D311A5">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bCs/>
                          <w:noProof/>
                          <w:sz w:val="22"/>
                          <w:szCs w:val="22"/>
                        </w:rPr>
                        <w:t>(a) strengthen Government of Argentina's capacity to assess and mitigate environmental risks associated with closed uranium mines, processing sites, and related mining sector investments in accordance</w:t>
                      </w:r>
                    </w:p>
                  </w:tc>
                </w:tr>
                <w:tr w:rsidR="00E63776" w14:paraId="27300D1F" w14:textId="77777777" w:rsidTr="00866A2C">
                  <w:trPr>
                    <w:trHeight w:val="288"/>
                  </w:trPr>
                  <w:tc>
                    <w:tcPr>
                      <w:tcW w:w="2975" w:type="dxa"/>
                      <w:tcBorders>
                        <w:top w:val="single" w:sz="4" w:space="0" w:color="D9D9D9"/>
                      </w:tcBorders>
                      <w:shd w:val="clear" w:color="auto" w:fill="F7F7F7"/>
                      <w:vAlign w:val="center"/>
                    </w:tcPr>
                    <w:p w14:paraId="6228B842"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14:paraId="4F319F42"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14:paraId="3DB7744E"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47" w:type="dxa"/>
                      <w:gridSpan w:val="2"/>
                      <w:tcBorders>
                        <w:top w:val="single" w:sz="4" w:space="0" w:color="D9D9D9"/>
                      </w:tcBorders>
                      <w:shd w:val="clear" w:color="auto" w:fill="F7F7F7"/>
                      <w:vAlign w:val="center"/>
                    </w:tcPr>
                    <w:p w14:paraId="41F59932"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0602EA3C"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14:paraId="38E0B5D2"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14:paraId="1FAC11B5"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E63776" w14:paraId="6C379E2B" w14:textId="77777777" w:rsidTr="00045582">
                  <w:trPr>
                    <w:gridAfter w:val="1"/>
                    <w:wAfter w:w="21" w:type="dxa"/>
                    <w:trHeight w:val="345"/>
                  </w:trPr>
                  <w:tc>
                    <w:tcPr>
                      <w:tcW w:w="2975" w:type="dxa"/>
                      <w:vMerge w:val="restart"/>
                      <w:tcBorders>
                        <w:top w:val="single" w:sz="4" w:space="0" w:color="D9D9D9"/>
                      </w:tcBorders>
                      <w:shd w:val="clear" w:color="auto" w:fill="F7F7F7"/>
                    </w:tcPr>
                    <w:p w14:paraId="797412DC" w14:textId="77777777" w:rsidR="00C63E2C" w:rsidRPr="00C63E2C" w:rsidRDefault="002C3F71" w:rsidP="00C63E2C">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Environmental risks of Los Gigantes and El Chichon sites identified; baseline environmental studies completed; remediation plan consulted and agreed with authorities and engineering design completed</w:t>
                      </w:r>
                    </w:p>
                  </w:tc>
                  <w:tc>
                    <w:tcPr>
                      <w:tcW w:w="1620" w:type="dxa"/>
                      <w:tcBorders>
                        <w:top w:val="single" w:sz="4" w:space="0" w:color="D9D9D9"/>
                        <w:bottom w:val="nil"/>
                      </w:tcBorders>
                      <w:shd w:val="clear" w:color="auto" w:fill="F7F7F7"/>
                    </w:tcPr>
                    <w:p w14:paraId="75046F64" w14:textId="77777777" w:rsidR="00C63E2C" w:rsidRPr="00C63E2C" w:rsidRDefault="002C3F71" w:rsidP="00C63E2C">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0" w:type="dxa"/>
                      <w:tcBorders>
                        <w:top w:val="single" w:sz="4" w:space="0" w:color="D9D9D9"/>
                        <w:bottom w:val="nil"/>
                      </w:tcBorders>
                      <w:shd w:val="clear" w:color="auto" w:fill="F7F7F7"/>
                    </w:tcPr>
                    <w:p w14:paraId="463237B4"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gridSpan w:val="2"/>
                      <w:tcBorders>
                        <w:top w:val="single" w:sz="4" w:space="0" w:color="D9D9D9"/>
                        <w:bottom w:val="nil"/>
                      </w:tcBorders>
                      <w:shd w:val="clear" w:color="auto" w:fill="F7F7F7"/>
                    </w:tcPr>
                    <w:p w14:paraId="0F8FCF48"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Engineering design completed</w:t>
                      </w:r>
                    </w:p>
                    <w:p w14:paraId="1B0FBD4C" w14:textId="77777777" w:rsidR="00E63776" w:rsidRPr="00C63E2C" w:rsidRDefault="00E63776" w:rsidP="00C63E2C">
                      <w:pPr>
                        <w:pStyle w:val="Normal69"/>
                        <w:spacing w:before="100" w:after="100"/>
                        <w:ind w:left="144" w:right="144"/>
                        <w:rPr>
                          <w:rFonts w:asciiTheme="minorHAnsi" w:hAnsiTheme="minorHAnsi"/>
                          <w:bCs/>
                          <w:sz w:val="22"/>
                          <w:szCs w:val="22"/>
                        </w:rPr>
                      </w:pPr>
                    </w:p>
                  </w:tc>
                  <w:tc>
                    <w:tcPr>
                      <w:tcW w:w="2340" w:type="dxa"/>
                      <w:gridSpan w:val="2"/>
                      <w:tcBorders>
                        <w:top w:val="single" w:sz="4" w:space="0" w:color="D9D9D9"/>
                        <w:bottom w:val="nil"/>
                      </w:tcBorders>
                      <w:shd w:val="clear" w:color="auto" w:fill="F7F7F7"/>
                    </w:tcPr>
                    <w:p w14:paraId="45DDD2AB"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Baseline Environmental Study completed; Remediation plan consulted and agreed with local authorities;</w:t>
                      </w:r>
                    </w:p>
                    <w:p w14:paraId="69E7BD97" w14:textId="77777777" w:rsidR="00E63776"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Detailed engineering design completed</w:t>
                      </w:r>
                    </w:p>
                  </w:tc>
                  <w:tc>
                    <w:tcPr>
                      <w:tcW w:w="2340" w:type="dxa"/>
                      <w:gridSpan w:val="2"/>
                      <w:tcBorders>
                        <w:top w:val="single" w:sz="4" w:space="0" w:color="D9D9D9"/>
                        <w:bottom w:val="nil"/>
                      </w:tcBorders>
                      <w:shd w:val="clear" w:color="auto" w:fill="F7F7F7"/>
                    </w:tcPr>
                    <w:p w14:paraId="7A613107"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Baseline Environmental Study completed; Remediation plan consulted and agreed with local authorities;</w:t>
                      </w:r>
                    </w:p>
                    <w:p w14:paraId="7DA2DE50" w14:textId="77777777" w:rsidR="00E63776"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Detailed engineering design completed</w:t>
                      </w:r>
                    </w:p>
                  </w:tc>
                </w:tr>
                <w:tr w:rsidR="00E63776" w14:paraId="3F33A259" w14:textId="77777777" w:rsidTr="00045582">
                  <w:trPr>
                    <w:gridAfter w:val="1"/>
                    <w:wAfter w:w="21" w:type="dxa"/>
                    <w:trHeight w:val="345"/>
                  </w:trPr>
                  <w:tc>
                    <w:tcPr>
                      <w:tcW w:w="2975" w:type="dxa"/>
                      <w:vMerge/>
                      <w:shd w:val="clear" w:color="auto" w:fill="F7F7F7"/>
                    </w:tcPr>
                    <w:p w14:paraId="2CBBC23F" w14:textId="77777777" w:rsidR="00C63E2C" w:rsidRPr="00C63E2C" w:rsidRDefault="00C63E2C" w:rsidP="00C63E2C">
                      <w:pPr>
                        <w:pStyle w:val="Normal69"/>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14:paraId="3A17B0A5" w14:textId="77777777" w:rsidR="00C63E2C" w:rsidRPr="00C63E2C" w:rsidRDefault="00C63E2C" w:rsidP="00C63E2C">
                      <w:pPr>
                        <w:pStyle w:val="Normal69"/>
                        <w:spacing w:before="100" w:after="100"/>
                        <w:ind w:left="144"/>
                        <w:rPr>
                          <w:rFonts w:asciiTheme="minorHAnsi" w:hAnsiTheme="minorHAnsi"/>
                          <w:bCs/>
                          <w:sz w:val="22"/>
                          <w:szCs w:val="22"/>
                        </w:rPr>
                      </w:pPr>
                    </w:p>
                  </w:tc>
                  <w:tc>
                    <w:tcPr>
                      <w:tcW w:w="2340" w:type="dxa"/>
                      <w:tcBorders>
                        <w:top w:val="nil"/>
                      </w:tcBorders>
                      <w:shd w:val="clear" w:color="auto" w:fill="F7F7F7"/>
                    </w:tcPr>
                    <w:p w14:paraId="39E087E7"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gridSpan w:val="2"/>
                      <w:tcBorders>
                        <w:top w:val="nil"/>
                      </w:tcBorders>
                      <w:shd w:val="clear" w:color="auto" w:fill="F7F7F7"/>
                    </w:tcPr>
                    <w:p w14:paraId="75CA7A36"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73BF6CE4"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16-Feb-2017</w:t>
                      </w:r>
                    </w:p>
                  </w:tc>
                  <w:tc>
                    <w:tcPr>
                      <w:tcW w:w="2340" w:type="dxa"/>
                      <w:gridSpan w:val="2"/>
                      <w:tcBorders>
                        <w:top w:val="nil"/>
                      </w:tcBorders>
                      <w:shd w:val="clear" w:color="auto" w:fill="F7F7F7"/>
                    </w:tcPr>
                    <w:p w14:paraId="11C149A9" w14:textId="77777777" w:rsidR="00C63E2C" w:rsidRPr="00C63E2C" w:rsidRDefault="002C3F71" w:rsidP="00C63E2C">
                      <w:pPr>
                        <w:pStyle w:val="Normal69"/>
                        <w:spacing w:before="100" w:after="100"/>
                        <w:ind w:left="144" w:right="144"/>
                        <w:rPr>
                          <w:rFonts w:asciiTheme="minorHAnsi" w:hAnsiTheme="minorHAnsi"/>
                          <w:sz w:val="22"/>
                          <w:szCs w:val="22"/>
                        </w:rPr>
                      </w:pPr>
                      <w:r w:rsidRPr="00C63E2C">
                        <w:rPr>
                          <w:rFonts w:asciiTheme="minorHAnsi" w:hAnsiTheme="minorHAnsi"/>
                          <w:noProof/>
                          <w:sz w:val="22"/>
                          <w:szCs w:val="22"/>
                        </w:rPr>
                        <w:t>29-May-2017</w:t>
                      </w:r>
                    </w:p>
                  </w:tc>
                </w:tr>
                <w:tr w:rsidR="00E63776" w14:paraId="74761929" w14:textId="77777777" w:rsidTr="00045582">
                  <w:trPr>
                    <w:gridAfter w:val="1"/>
                    <w:wAfter w:w="21" w:type="dxa"/>
                    <w:trHeight w:val="288"/>
                  </w:trPr>
                  <w:tc>
                    <w:tcPr>
                      <w:tcW w:w="13955" w:type="dxa"/>
                      <w:gridSpan w:val="9"/>
                      <w:tcBorders>
                        <w:bottom w:val="nil"/>
                      </w:tcBorders>
                      <w:shd w:val="clear" w:color="auto" w:fill="F7F7F7"/>
                    </w:tcPr>
                    <w:p w14:paraId="3AE814E3" w14:textId="77777777" w:rsidR="00C63E2C" w:rsidRPr="00C63E2C" w:rsidRDefault="00C63E2C" w:rsidP="00C63E2C">
                      <w:pPr>
                        <w:pStyle w:val="Normal69"/>
                        <w:spacing w:line="14" w:lineRule="exact"/>
                        <w:ind w:left="72"/>
                        <w:rPr>
                          <w:rFonts w:asciiTheme="minorHAnsi" w:hAnsiTheme="minorHAnsi"/>
                          <w:noProof/>
                          <w:sz w:val="22"/>
                          <w:szCs w:val="22"/>
                        </w:rPr>
                      </w:pPr>
                    </w:p>
                  </w:tc>
                </w:tr>
                <w:tr w:rsidR="00E63776" w14:paraId="7BF657B6" w14:textId="77777777" w:rsidTr="00045582">
                  <w:trPr>
                    <w:gridAfter w:val="1"/>
                    <w:wAfter w:w="21" w:type="dxa"/>
                    <w:trHeight w:val="288"/>
                  </w:trPr>
                  <w:tc>
                    <w:tcPr>
                      <w:tcW w:w="13955" w:type="dxa"/>
                      <w:gridSpan w:val="9"/>
                      <w:tcBorders>
                        <w:top w:val="nil"/>
                        <w:bottom w:val="single" w:sz="4" w:space="0" w:color="D9D9D9"/>
                      </w:tcBorders>
                      <w:shd w:val="clear" w:color="auto" w:fill="F7F7F7"/>
                    </w:tcPr>
                    <w:p w14:paraId="71B02BC8"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0E8C9B75" w14:textId="77777777" w:rsidR="00D87C3F" w:rsidRDefault="00D87C3F" w:rsidP="00D87C3F">
                      <w:pPr>
                        <w:pStyle w:val="Normal69"/>
                        <w:ind w:left="90"/>
                        <w:rPr>
                          <w:rFonts w:asciiTheme="minorHAnsi" w:hAnsiTheme="minorHAnsi"/>
                          <w:sz w:val="22"/>
                          <w:szCs w:val="22"/>
                        </w:rPr>
                      </w:pPr>
                    </w:p>
                    <w:p w14:paraId="43349E76"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1)</w:t>
                      </w:r>
                      <w:r>
                        <w:rPr>
                          <w:rFonts w:asciiTheme="minorHAnsi" w:hAnsiTheme="minorHAnsi"/>
                          <w:noProof/>
                          <w:sz w:val="22"/>
                          <w:szCs w:val="22"/>
                        </w:rPr>
                        <w:tab/>
                        <w:t xml:space="preserve">Environmental risks of Los Gigantes and El Chichon sites identified. This was achieved by undertaking baseline environmental studies, a legacy characterization, and through environmental legacy management studies at Los Gigantes and el Chichon. This highlighted the environmental risks (leachate of radioactive material to the aquifer, exposure through suspended materials etc.) and potential impacts at both sites and a methodology on how to address them.  </w:t>
                      </w:r>
                    </w:p>
                    <w:p w14:paraId="54AFEF3B" w14:textId="77777777" w:rsidR="00D87C3F" w:rsidRDefault="00D87C3F" w:rsidP="00D87C3F">
                      <w:pPr>
                        <w:pStyle w:val="Normal69"/>
                        <w:ind w:left="90"/>
                        <w:rPr>
                          <w:rFonts w:asciiTheme="minorHAnsi" w:hAnsiTheme="minorHAnsi"/>
                          <w:sz w:val="22"/>
                          <w:szCs w:val="22"/>
                        </w:rPr>
                      </w:pPr>
                    </w:p>
                    <w:p w14:paraId="7C798684"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2)</w:t>
                      </w:r>
                      <w:r>
                        <w:rPr>
                          <w:rFonts w:asciiTheme="minorHAnsi" w:hAnsiTheme="minorHAnsi"/>
                          <w:noProof/>
                          <w:sz w:val="22"/>
                          <w:szCs w:val="22"/>
                        </w:rPr>
                        <w:tab/>
                        <w:t xml:space="preserve">Baseline environmental studies completed. By developing environmental baseline studies, the GoA, and in particular the provincial government of Cordoba, have enhanced its capacity to understand the magnitude of the mining legacies and its associated environmental risks; </w:t>
                      </w:r>
                    </w:p>
                    <w:p w14:paraId="5D2A7F38" w14:textId="77777777" w:rsidR="00D87C3F" w:rsidRDefault="00D87C3F" w:rsidP="00D87C3F">
                      <w:pPr>
                        <w:pStyle w:val="Normal69"/>
                        <w:ind w:left="90"/>
                        <w:rPr>
                          <w:rFonts w:asciiTheme="minorHAnsi" w:hAnsiTheme="minorHAnsi"/>
                          <w:sz w:val="22"/>
                          <w:szCs w:val="22"/>
                        </w:rPr>
                      </w:pPr>
                    </w:p>
                    <w:p w14:paraId="425F7E8E"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3)</w:t>
                      </w:r>
                      <w:r>
                        <w:rPr>
                          <w:rFonts w:asciiTheme="minorHAnsi" w:hAnsiTheme="minorHAnsi"/>
                          <w:noProof/>
                          <w:sz w:val="22"/>
                          <w:szCs w:val="22"/>
                        </w:rPr>
                        <w:tab/>
                        <w:t xml:space="preserve">Engineering design completed: Based on the baseline studies and legacy characterization, engineering design studies (which included seismic analysis) were developed. The engineering designs outline the technical solutions for the remediation plan on how to address and mitigate the latent environmental risks posed by the mining uranium legacies.  </w:t>
                      </w:r>
                    </w:p>
                    <w:p w14:paraId="6486E70C" w14:textId="77777777" w:rsidR="00D87C3F" w:rsidRDefault="00D87C3F" w:rsidP="00D87C3F">
                      <w:pPr>
                        <w:pStyle w:val="Normal69"/>
                        <w:ind w:left="90"/>
                        <w:rPr>
                          <w:rFonts w:asciiTheme="minorHAnsi" w:hAnsiTheme="minorHAnsi"/>
                          <w:sz w:val="22"/>
                          <w:szCs w:val="22"/>
                        </w:rPr>
                      </w:pPr>
                    </w:p>
                    <w:p w14:paraId="265AB2E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4)</w:t>
                      </w:r>
                      <w:r>
                        <w:rPr>
                          <w:rFonts w:asciiTheme="minorHAnsi" w:hAnsiTheme="minorHAnsi"/>
                          <w:noProof/>
                          <w:sz w:val="22"/>
                          <w:szCs w:val="22"/>
                        </w:rPr>
                        <w:tab/>
                        <w:t xml:space="preserve">Remediation plan consulted and agreed with authorities.  Based on the engineering design studies, the remediation plan (which a population perception analysis, social and communication aspects) was developed and presented to provincial and local governments for their consent.  Both the local authorities of El Chichon and Los Gigantes agreed with the proposed elements of the remediation plan. </w:t>
                      </w:r>
                    </w:p>
                    <w:p w14:paraId="008EA902" w14:textId="77777777" w:rsidR="00C63E2C" w:rsidRPr="00C63E2C" w:rsidRDefault="00C63E2C" w:rsidP="00D87C3F">
                      <w:pPr>
                        <w:pStyle w:val="Normal69"/>
                        <w:ind w:left="90"/>
                        <w:rPr>
                          <w:rFonts w:asciiTheme="minorHAnsi" w:hAnsiTheme="minorHAnsi"/>
                          <w:sz w:val="22"/>
                          <w:szCs w:val="22"/>
                        </w:rPr>
                      </w:pPr>
                    </w:p>
                  </w:tc>
                </w:tr>
                <w:tr w:rsidR="00E63776" w14:paraId="0F4AFDED" w14:textId="77777777" w:rsidTr="00045582">
                  <w:trPr>
                    <w:gridAfter w:val="1"/>
                    <w:wAfter w:w="21" w:type="dxa"/>
                    <w:trHeight w:val="288"/>
                  </w:trPr>
                  <w:tc>
                    <w:tcPr>
                      <w:tcW w:w="13955" w:type="dxa"/>
                      <w:gridSpan w:val="9"/>
                      <w:tcBorders>
                        <w:top w:val="single" w:sz="4" w:space="0" w:color="D9D9D9"/>
                        <w:left w:val="nil"/>
                        <w:bottom w:val="nil"/>
                        <w:right w:val="nil"/>
                      </w:tcBorders>
                      <w:shd w:val="clear" w:color="auto" w:fill="F7F7F7"/>
                    </w:tcPr>
                    <w:p w14:paraId="348FE4D8" w14:textId="77777777" w:rsidR="00765087" w:rsidRPr="00055E38" w:rsidRDefault="00765087" w:rsidP="00C63E2C">
                      <w:pPr>
                        <w:pStyle w:val="Normal69"/>
                        <w:ind w:left="90"/>
                        <w:rPr>
                          <w:rFonts w:asciiTheme="minorHAnsi" w:eastAsia="Times New Roman" w:hAnsiTheme="minorHAnsi"/>
                          <w:b/>
                          <w:bCs/>
                          <w:color w:val="7F7F7F"/>
                          <w:sz w:val="22"/>
                          <w:szCs w:val="22"/>
                        </w:rPr>
                      </w:pPr>
                    </w:p>
                  </w:tc>
                </w:tr>
              </w:tbl>
              <w:p w14:paraId="4AFC1D34" w14:textId="77777777" w:rsidR="00C63E2C" w:rsidRPr="00C63E2C" w:rsidRDefault="00C63E2C" w:rsidP="00C63E2C">
                <w:pPr>
                  <w:pStyle w:val="Normal69"/>
                  <w:shd w:val="clear" w:color="auto" w:fill="F7F7F7"/>
                  <w:spacing w:line="14" w:lineRule="exact"/>
                  <w:rPr>
                    <w:rFonts w:asciiTheme="minorHAnsi" w:hAnsiTheme="minorHAnsi"/>
                    <w:b/>
                    <w:bCs/>
                    <w:color w:val="7F7F7F" w:themeColor="text1" w:themeTint="80"/>
                    <w:sz w:val="22"/>
                    <w:szCs w:val="22"/>
                  </w:rPr>
                </w:pPr>
              </w:p>
              <w:p w14:paraId="44F91EE5" w14:textId="77777777" w:rsidR="00C63E2C" w:rsidRPr="00C63E2C" w:rsidRDefault="00C63E2C" w:rsidP="00C63E2C">
                <w:pPr>
                  <w:pStyle w:val="Normal69"/>
                  <w:shd w:val="clear" w:color="auto" w:fill="F7F7F7"/>
                  <w:spacing w:line="14" w:lineRule="exact"/>
                  <w:rPr>
                    <w:rFonts w:asciiTheme="minorHAnsi" w:hAnsiTheme="minorHAnsi"/>
                    <w:b/>
                    <w:bCs/>
                    <w:color w:val="F7F7F7"/>
                    <w:sz w:val="22"/>
                    <w:szCs w:val="22"/>
                  </w:rPr>
                </w:pPr>
              </w:p>
              <w:tbl>
                <w:tblPr>
                  <w:tblStyle w:val="TableGrid105"/>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14"/>
                  <w:gridCol w:w="2326"/>
                  <w:gridCol w:w="21"/>
                  <w:gridCol w:w="2319"/>
                  <w:gridCol w:w="21"/>
                </w:tblGrid>
                <w:tr w:rsidR="00E63776" w14:paraId="4DC141CC" w14:textId="77777777" w:rsidTr="00866A2C">
                  <w:trPr>
                    <w:trHeight w:val="288"/>
                  </w:trPr>
                  <w:tc>
                    <w:tcPr>
                      <w:tcW w:w="2975" w:type="dxa"/>
                      <w:tcBorders>
                        <w:top w:val="single" w:sz="4" w:space="0" w:color="D9D9D9"/>
                      </w:tcBorders>
                      <w:shd w:val="clear" w:color="auto" w:fill="F7F7F7"/>
                      <w:vAlign w:val="center"/>
                    </w:tcPr>
                    <w:p w14:paraId="24230A37"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14:paraId="6F4B9D58"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14:paraId="42E0301B"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47" w:type="dxa"/>
                      <w:gridSpan w:val="2"/>
                      <w:tcBorders>
                        <w:top w:val="single" w:sz="4" w:space="0" w:color="D9D9D9"/>
                      </w:tcBorders>
                      <w:shd w:val="clear" w:color="auto" w:fill="F7F7F7"/>
                      <w:vAlign w:val="center"/>
                    </w:tcPr>
                    <w:p w14:paraId="2DA24E75"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46A89F64"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14:paraId="4DF7A4B5"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14:paraId="30768461"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E63776" w14:paraId="4B8E11C7" w14:textId="77777777" w:rsidTr="00045582">
                  <w:trPr>
                    <w:gridAfter w:val="1"/>
                    <w:wAfter w:w="21" w:type="dxa"/>
                    <w:trHeight w:val="345"/>
                  </w:trPr>
                  <w:tc>
                    <w:tcPr>
                      <w:tcW w:w="2975" w:type="dxa"/>
                      <w:vMerge w:val="restart"/>
                      <w:tcBorders>
                        <w:top w:val="single" w:sz="4" w:space="0" w:color="D9D9D9"/>
                      </w:tcBorders>
                      <w:shd w:val="clear" w:color="auto" w:fill="F7F7F7"/>
                    </w:tcPr>
                    <w:p w14:paraId="0A0610AB" w14:textId="77777777" w:rsidR="00C63E2C" w:rsidRPr="00C63E2C" w:rsidRDefault="002C3F71" w:rsidP="00C63E2C">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Environmental risks of other five legacy sites (Tonco-Salta, Pichiñán- Chubut, La Estela-San Luis, Los Colorados-La Rioja and Huemul-Mendoza) identified  and baseline environmental studies completed</w:t>
                      </w:r>
                    </w:p>
                  </w:tc>
                  <w:tc>
                    <w:tcPr>
                      <w:tcW w:w="1620" w:type="dxa"/>
                      <w:tcBorders>
                        <w:top w:val="single" w:sz="4" w:space="0" w:color="D9D9D9"/>
                        <w:bottom w:val="nil"/>
                      </w:tcBorders>
                      <w:shd w:val="clear" w:color="auto" w:fill="F7F7F7"/>
                    </w:tcPr>
                    <w:p w14:paraId="25BA36A1" w14:textId="77777777" w:rsidR="00C63E2C" w:rsidRPr="00C63E2C" w:rsidRDefault="002C3F71" w:rsidP="00C63E2C">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Yes/No</w:t>
                      </w:r>
                    </w:p>
                  </w:tc>
                  <w:tc>
                    <w:tcPr>
                      <w:tcW w:w="2340" w:type="dxa"/>
                      <w:tcBorders>
                        <w:top w:val="single" w:sz="4" w:space="0" w:color="D9D9D9"/>
                        <w:bottom w:val="nil"/>
                      </w:tcBorders>
                      <w:shd w:val="clear" w:color="auto" w:fill="F7F7F7"/>
                    </w:tcPr>
                    <w:p w14:paraId="73CE9567"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N</w:t>
                      </w:r>
                    </w:p>
                  </w:tc>
                  <w:tc>
                    <w:tcPr>
                      <w:tcW w:w="2340" w:type="dxa"/>
                      <w:gridSpan w:val="2"/>
                      <w:tcBorders>
                        <w:top w:val="single" w:sz="4" w:space="0" w:color="D9D9D9"/>
                        <w:bottom w:val="nil"/>
                      </w:tcBorders>
                      <w:shd w:val="clear" w:color="auto" w:fill="F7F7F7"/>
                    </w:tcPr>
                    <w:p w14:paraId="5746853B"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Y</w:t>
                      </w:r>
                    </w:p>
                  </w:tc>
                  <w:tc>
                    <w:tcPr>
                      <w:tcW w:w="2340" w:type="dxa"/>
                      <w:gridSpan w:val="2"/>
                      <w:tcBorders>
                        <w:top w:val="single" w:sz="4" w:space="0" w:color="D9D9D9"/>
                        <w:bottom w:val="nil"/>
                      </w:tcBorders>
                      <w:shd w:val="clear" w:color="auto" w:fill="F7F7F7"/>
                    </w:tcPr>
                    <w:p w14:paraId="4772092A"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Y</w:t>
                      </w:r>
                    </w:p>
                  </w:tc>
                  <w:tc>
                    <w:tcPr>
                      <w:tcW w:w="2340" w:type="dxa"/>
                      <w:gridSpan w:val="2"/>
                      <w:tcBorders>
                        <w:top w:val="single" w:sz="4" w:space="0" w:color="D9D9D9"/>
                        <w:bottom w:val="nil"/>
                      </w:tcBorders>
                      <w:shd w:val="clear" w:color="auto" w:fill="F7F7F7"/>
                    </w:tcPr>
                    <w:p w14:paraId="7CD67D33"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Y</w:t>
                      </w:r>
                    </w:p>
                  </w:tc>
                </w:tr>
                <w:tr w:rsidR="00E63776" w14:paraId="05E203CB" w14:textId="77777777" w:rsidTr="00045582">
                  <w:trPr>
                    <w:gridAfter w:val="1"/>
                    <w:wAfter w:w="21" w:type="dxa"/>
                    <w:trHeight w:val="345"/>
                  </w:trPr>
                  <w:tc>
                    <w:tcPr>
                      <w:tcW w:w="2975" w:type="dxa"/>
                      <w:vMerge/>
                      <w:shd w:val="clear" w:color="auto" w:fill="F7F7F7"/>
                    </w:tcPr>
                    <w:p w14:paraId="244CC9B3" w14:textId="77777777" w:rsidR="00C63E2C" w:rsidRPr="00C63E2C" w:rsidRDefault="00C63E2C" w:rsidP="00C63E2C">
                      <w:pPr>
                        <w:pStyle w:val="Normal69"/>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14:paraId="30E299AA" w14:textId="77777777" w:rsidR="00C63E2C" w:rsidRPr="00C63E2C" w:rsidRDefault="00C63E2C" w:rsidP="00C63E2C">
                      <w:pPr>
                        <w:pStyle w:val="Normal69"/>
                        <w:spacing w:before="100" w:after="100"/>
                        <w:ind w:left="144"/>
                        <w:rPr>
                          <w:rFonts w:asciiTheme="minorHAnsi" w:hAnsiTheme="minorHAnsi"/>
                          <w:bCs/>
                          <w:sz w:val="22"/>
                          <w:szCs w:val="22"/>
                        </w:rPr>
                      </w:pPr>
                    </w:p>
                  </w:tc>
                  <w:tc>
                    <w:tcPr>
                      <w:tcW w:w="2340" w:type="dxa"/>
                      <w:tcBorders>
                        <w:top w:val="nil"/>
                      </w:tcBorders>
                      <w:shd w:val="clear" w:color="auto" w:fill="F7F7F7"/>
                    </w:tcPr>
                    <w:p w14:paraId="002DED19"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gridSpan w:val="2"/>
                      <w:tcBorders>
                        <w:top w:val="nil"/>
                      </w:tcBorders>
                      <w:shd w:val="clear" w:color="auto" w:fill="F7F7F7"/>
                    </w:tcPr>
                    <w:p w14:paraId="7CED7F7E"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3E40F372"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06-Feb-2017</w:t>
                      </w:r>
                    </w:p>
                  </w:tc>
                  <w:tc>
                    <w:tcPr>
                      <w:tcW w:w="2340" w:type="dxa"/>
                      <w:gridSpan w:val="2"/>
                      <w:tcBorders>
                        <w:top w:val="nil"/>
                      </w:tcBorders>
                      <w:shd w:val="clear" w:color="auto" w:fill="F7F7F7"/>
                    </w:tcPr>
                    <w:p w14:paraId="5CC82937" w14:textId="77777777" w:rsidR="00C63E2C" w:rsidRPr="00C63E2C" w:rsidRDefault="002C3F71" w:rsidP="00C63E2C">
                      <w:pPr>
                        <w:pStyle w:val="Normal69"/>
                        <w:spacing w:before="100" w:after="100"/>
                        <w:ind w:left="144" w:right="144"/>
                        <w:rPr>
                          <w:rFonts w:asciiTheme="minorHAnsi" w:hAnsiTheme="minorHAnsi"/>
                          <w:sz w:val="22"/>
                          <w:szCs w:val="22"/>
                        </w:rPr>
                      </w:pPr>
                      <w:r w:rsidRPr="00C63E2C">
                        <w:rPr>
                          <w:rFonts w:asciiTheme="minorHAnsi" w:hAnsiTheme="minorHAnsi"/>
                          <w:noProof/>
                          <w:sz w:val="22"/>
                          <w:szCs w:val="22"/>
                        </w:rPr>
                        <w:t>29-May-2017</w:t>
                      </w:r>
                    </w:p>
                  </w:tc>
                </w:tr>
                <w:tr w:rsidR="00E63776" w14:paraId="162D8F97" w14:textId="77777777" w:rsidTr="00045582">
                  <w:trPr>
                    <w:gridAfter w:val="1"/>
                    <w:wAfter w:w="21" w:type="dxa"/>
                    <w:trHeight w:val="288"/>
                  </w:trPr>
                  <w:tc>
                    <w:tcPr>
                      <w:tcW w:w="13955" w:type="dxa"/>
                      <w:gridSpan w:val="9"/>
                      <w:tcBorders>
                        <w:bottom w:val="nil"/>
                      </w:tcBorders>
                      <w:shd w:val="clear" w:color="auto" w:fill="F7F7F7"/>
                    </w:tcPr>
                    <w:p w14:paraId="4AB829EF" w14:textId="77777777" w:rsidR="00C63E2C" w:rsidRPr="00C63E2C" w:rsidRDefault="00C63E2C" w:rsidP="00C63E2C">
                      <w:pPr>
                        <w:pStyle w:val="Normal69"/>
                        <w:spacing w:line="14" w:lineRule="exact"/>
                        <w:ind w:left="72"/>
                        <w:rPr>
                          <w:rFonts w:asciiTheme="minorHAnsi" w:hAnsiTheme="minorHAnsi"/>
                          <w:noProof/>
                          <w:sz w:val="22"/>
                          <w:szCs w:val="22"/>
                        </w:rPr>
                      </w:pPr>
                    </w:p>
                  </w:tc>
                </w:tr>
                <w:tr w:rsidR="00E63776" w14:paraId="763A7175" w14:textId="77777777" w:rsidTr="00045582">
                  <w:trPr>
                    <w:gridAfter w:val="1"/>
                    <w:wAfter w:w="21" w:type="dxa"/>
                    <w:trHeight w:val="288"/>
                  </w:trPr>
                  <w:tc>
                    <w:tcPr>
                      <w:tcW w:w="13955" w:type="dxa"/>
                      <w:gridSpan w:val="9"/>
                      <w:tcBorders>
                        <w:top w:val="nil"/>
                        <w:bottom w:val="single" w:sz="4" w:space="0" w:color="D9D9D9"/>
                      </w:tcBorders>
                      <w:shd w:val="clear" w:color="auto" w:fill="F7F7F7"/>
                    </w:tcPr>
                    <w:p w14:paraId="6CEA5E8E" w14:textId="77777777" w:rsidR="00C63E2C" w:rsidRPr="00C63E2C" w:rsidRDefault="002C3F71" w:rsidP="00D87C3F">
                      <w:pPr>
                        <w:pStyle w:val="Normal69"/>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sidR="00D87C3F">
                        <w:rPr>
                          <w:rFonts w:asciiTheme="minorHAnsi" w:hAnsiTheme="minorHAnsi"/>
                          <w:noProof/>
                          <w:sz w:val="22"/>
                          <w:szCs w:val="22"/>
                        </w:rPr>
                        <w:t>Through baseline studies and environmental risks analysis at the five additional legacy sites (Tonco-Salta, Pichiñán-Chubut, La Estela-San Luis, Los Colorados-La Rioja, and Huemul-Mendoza) the local authorities have been able to identify the key impacts and risks posed to the environment and the population.  These studies not only highlight the environmental risks and potential impacts (leaching radioactive materials to the water bodies, aerobic exposure through suspended particles, etc.), but the key elements that would have to be considered as part of the remediation plan.</w:t>
                      </w:r>
                    </w:p>
                  </w:tc>
                </w:tr>
                <w:tr w:rsidR="00E63776" w14:paraId="43F32731" w14:textId="77777777" w:rsidTr="00045582">
                  <w:trPr>
                    <w:gridAfter w:val="1"/>
                    <w:wAfter w:w="21" w:type="dxa"/>
                    <w:trHeight w:val="288"/>
                  </w:trPr>
                  <w:tc>
                    <w:tcPr>
                      <w:tcW w:w="13955" w:type="dxa"/>
                      <w:gridSpan w:val="9"/>
                      <w:tcBorders>
                        <w:top w:val="single" w:sz="4" w:space="0" w:color="D9D9D9"/>
                        <w:left w:val="nil"/>
                        <w:bottom w:val="nil"/>
                        <w:right w:val="nil"/>
                      </w:tcBorders>
                      <w:shd w:val="clear" w:color="auto" w:fill="F7F7F7"/>
                    </w:tcPr>
                    <w:p w14:paraId="3B1F89B8" w14:textId="77777777" w:rsidR="00765087" w:rsidRPr="00055E38" w:rsidRDefault="00765087" w:rsidP="00C63E2C">
                      <w:pPr>
                        <w:pStyle w:val="Normal69"/>
                        <w:ind w:left="90"/>
                        <w:rPr>
                          <w:rFonts w:asciiTheme="minorHAnsi" w:eastAsia="Times New Roman" w:hAnsiTheme="minorHAnsi"/>
                          <w:b/>
                          <w:bCs/>
                          <w:color w:val="7F7F7F"/>
                          <w:sz w:val="22"/>
                          <w:szCs w:val="22"/>
                        </w:rPr>
                      </w:pPr>
                    </w:p>
                  </w:tc>
                </w:tr>
              </w:tbl>
              <w:p w14:paraId="62336A5A" w14:textId="77777777" w:rsidR="00C63E2C" w:rsidRPr="00C63E2C" w:rsidRDefault="00C63E2C" w:rsidP="00C63E2C">
                <w:pPr>
                  <w:pStyle w:val="Normal69"/>
                  <w:shd w:val="clear" w:color="auto" w:fill="F7F7F7"/>
                  <w:spacing w:line="14" w:lineRule="exact"/>
                  <w:rPr>
                    <w:rFonts w:asciiTheme="minorHAnsi" w:hAnsiTheme="minorHAnsi"/>
                    <w:b/>
                    <w:bCs/>
                    <w:color w:val="7F7F7F" w:themeColor="text1" w:themeTint="80"/>
                    <w:sz w:val="22"/>
                    <w:szCs w:val="22"/>
                  </w:rPr>
                </w:pPr>
              </w:p>
              <w:p w14:paraId="6983D995" w14:textId="77777777" w:rsidR="00C63E2C" w:rsidRPr="00C63E2C" w:rsidRDefault="00C63E2C" w:rsidP="00C63E2C">
                <w:pPr>
                  <w:pStyle w:val="Normal69"/>
                  <w:shd w:val="clear" w:color="auto" w:fill="F7F7F7"/>
                  <w:spacing w:line="14" w:lineRule="exact"/>
                  <w:rPr>
                    <w:rFonts w:asciiTheme="minorHAnsi" w:hAnsiTheme="minorHAnsi"/>
                    <w:b/>
                    <w:bCs/>
                    <w:color w:val="F7F7F7"/>
                    <w:sz w:val="22"/>
                    <w:szCs w:val="22"/>
                  </w:rPr>
                </w:pPr>
              </w:p>
              <w:tbl>
                <w:tblPr>
                  <w:tblStyle w:val="TableGrid105"/>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14"/>
                  <w:gridCol w:w="2326"/>
                  <w:gridCol w:w="21"/>
                  <w:gridCol w:w="2319"/>
                  <w:gridCol w:w="21"/>
                </w:tblGrid>
                <w:tr w:rsidR="00E63776" w14:paraId="2F416209" w14:textId="77777777" w:rsidTr="00866A2C">
                  <w:trPr>
                    <w:trHeight w:val="288"/>
                  </w:trPr>
                  <w:tc>
                    <w:tcPr>
                      <w:tcW w:w="2975" w:type="dxa"/>
                      <w:tcBorders>
                        <w:top w:val="single" w:sz="4" w:space="0" w:color="D9D9D9"/>
                      </w:tcBorders>
                      <w:shd w:val="clear" w:color="auto" w:fill="F7F7F7"/>
                      <w:vAlign w:val="center"/>
                    </w:tcPr>
                    <w:p w14:paraId="023F0FA3"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14:paraId="48477FE9"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14:paraId="7A02E11D"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47" w:type="dxa"/>
                      <w:gridSpan w:val="2"/>
                      <w:tcBorders>
                        <w:top w:val="single" w:sz="4" w:space="0" w:color="D9D9D9"/>
                      </w:tcBorders>
                      <w:shd w:val="clear" w:color="auto" w:fill="F7F7F7"/>
                      <w:vAlign w:val="center"/>
                    </w:tcPr>
                    <w:p w14:paraId="5B8313B7"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4E9828D3"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14:paraId="3E62FC39"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14:paraId="7672DAD0"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E63776" w14:paraId="6FFE69B5" w14:textId="77777777" w:rsidTr="00045582">
                  <w:trPr>
                    <w:gridAfter w:val="1"/>
                    <w:wAfter w:w="21" w:type="dxa"/>
                    <w:trHeight w:val="345"/>
                  </w:trPr>
                  <w:tc>
                    <w:tcPr>
                      <w:tcW w:w="2975" w:type="dxa"/>
                      <w:vMerge w:val="restart"/>
                      <w:tcBorders>
                        <w:top w:val="single" w:sz="4" w:space="0" w:color="D9D9D9"/>
                      </w:tcBorders>
                      <w:shd w:val="clear" w:color="auto" w:fill="F7F7F7"/>
                    </w:tcPr>
                    <w:p w14:paraId="7A5AD280" w14:textId="77777777" w:rsidR="00C63E2C" w:rsidRPr="00C63E2C" w:rsidRDefault="002C3F71" w:rsidP="00C63E2C">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CNEA laboratories accredited ISO 17025 to monitor water, air, soil and radiological parameters</w:t>
                      </w:r>
                    </w:p>
                  </w:tc>
                  <w:tc>
                    <w:tcPr>
                      <w:tcW w:w="1620" w:type="dxa"/>
                      <w:tcBorders>
                        <w:top w:val="single" w:sz="4" w:space="0" w:color="D9D9D9"/>
                        <w:bottom w:val="nil"/>
                      </w:tcBorders>
                      <w:shd w:val="clear" w:color="auto" w:fill="F7F7F7"/>
                    </w:tcPr>
                    <w:p w14:paraId="094A7389" w14:textId="77777777" w:rsidR="00C63E2C" w:rsidRPr="00C63E2C" w:rsidRDefault="002C3F71" w:rsidP="00C63E2C">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0" w:type="dxa"/>
                      <w:tcBorders>
                        <w:top w:val="single" w:sz="4" w:space="0" w:color="D9D9D9"/>
                        <w:bottom w:val="nil"/>
                      </w:tcBorders>
                      <w:shd w:val="clear" w:color="auto" w:fill="F7F7F7"/>
                    </w:tcPr>
                    <w:p w14:paraId="083F0C24"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gridSpan w:val="2"/>
                      <w:tcBorders>
                        <w:top w:val="single" w:sz="4" w:space="0" w:color="D9D9D9"/>
                        <w:bottom w:val="nil"/>
                      </w:tcBorders>
                      <w:shd w:val="clear" w:color="auto" w:fill="F7F7F7"/>
                    </w:tcPr>
                    <w:p w14:paraId="75C16B7C"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4</w:t>
                      </w:r>
                    </w:p>
                  </w:tc>
                  <w:tc>
                    <w:tcPr>
                      <w:tcW w:w="2340" w:type="dxa"/>
                      <w:gridSpan w:val="2"/>
                      <w:tcBorders>
                        <w:top w:val="single" w:sz="4" w:space="0" w:color="D9D9D9"/>
                        <w:bottom w:val="nil"/>
                      </w:tcBorders>
                      <w:shd w:val="clear" w:color="auto" w:fill="F7F7F7"/>
                    </w:tcPr>
                    <w:p w14:paraId="18456CE9"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4</w:t>
                      </w:r>
                    </w:p>
                  </w:tc>
                  <w:tc>
                    <w:tcPr>
                      <w:tcW w:w="2340" w:type="dxa"/>
                      <w:gridSpan w:val="2"/>
                      <w:tcBorders>
                        <w:top w:val="single" w:sz="4" w:space="0" w:color="D9D9D9"/>
                        <w:bottom w:val="nil"/>
                      </w:tcBorders>
                      <w:shd w:val="clear" w:color="auto" w:fill="F7F7F7"/>
                    </w:tcPr>
                    <w:p w14:paraId="3A6FD9AC"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4</w:t>
                      </w:r>
                    </w:p>
                  </w:tc>
                </w:tr>
                <w:tr w:rsidR="00E63776" w14:paraId="5A6CFA0A" w14:textId="77777777" w:rsidTr="00045582">
                  <w:trPr>
                    <w:gridAfter w:val="1"/>
                    <w:wAfter w:w="21" w:type="dxa"/>
                    <w:trHeight w:val="345"/>
                  </w:trPr>
                  <w:tc>
                    <w:tcPr>
                      <w:tcW w:w="2975" w:type="dxa"/>
                      <w:vMerge/>
                      <w:shd w:val="clear" w:color="auto" w:fill="F7F7F7"/>
                    </w:tcPr>
                    <w:p w14:paraId="0E2A36E0" w14:textId="77777777" w:rsidR="00C63E2C" w:rsidRPr="00C63E2C" w:rsidRDefault="00C63E2C" w:rsidP="00C63E2C">
                      <w:pPr>
                        <w:pStyle w:val="Normal69"/>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14:paraId="0487D511" w14:textId="77777777" w:rsidR="00C63E2C" w:rsidRPr="00C63E2C" w:rsidRDefault="00C63E2C" w:rsidP="00C63E2C">
                      <w:pPr>
                        <w:pStyle w:val="Normal69"/>
                        <w:spacing w:before="100" w:after="100"/>
                        <w:ind w:left="144"/>
                        <w:rPr>
                          <w:rFonts w:asciiTheme="minorHAnsi" w:hAnsiTheme="minorHAnsi"/>
                          <w:bCs/>
                          <w:sz w:val="22"/>
                          <w:szCs w:val="22"/>
                        </w:rPr>
                      </w:pPr>
                    </w:p>
                  </w:tc>
                  <w:tc>
                    <w:tcPr>
                      <w:tcW w:w="2340" w:type="dxa"/>
                      <w:tcBorders>
                        <w:top w:val="nil"/>
                      </w:tcBorders>
                      <w:shd w:val="clear" w:color="auto" w:fill="F7F7F7"/>
                    </w:tcPr>
                    <w:p w14:paraId="6A05AEA9"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gridSpan w:val="2"/>
                      <w:tcBorders>
                        <w:top w:val="nil"/>
                      </w:tcBorders>
                      <w:shd w:val="clear" w:color="auto" w:fill="F7F7F7"/>
                    </w:tcPr>
                    <w:p w14:paraId="770A8027"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68E3548C"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16-Feb-2017</w:t>
                      </w:r>
                    </w:p>
                  </w:tc>
                  <w:tc>
                    <w:tcPr>
                      <w:tcW w:w="2340" w:type="dxa"/>
                      <w:gridSpan w:val="2"/>
                      <w:tcBorders>
                        <w:top w:val="nil"/>
                      </w:tcBorders>
                      <w:shd w:val="clear" w:color="auto" w:fill="F7F7F7"/>
                    </w:tcPr>
                    <w:p w14:paraId="742F6CC7" w14:textId="77777777" w:rsidR="00C63E2C" w:rsidRPr="00C63E2C" w:rsidRDefault="002C3F71" w:rsidP="00C63E2C">
                      <w:pPr>
                        <w:pStyle w:val="Normal69"/>
                        <w:spacing w:before="100" w:after="100"/>
                        <w:ind w:left="144" w:right="144"/>
                        <w:rPr>
                          <w:rFonts w:asciiTheme="minorHAnsi" w:hAnsiTheme="minorHAnsi"/>
                          <w:sz w:val="22"/>
                          <w:szCs w:val="22"/>
                        </w:rPr>
                      </w:pPr>
                      <w:r w:rsidRPr="00C63E2C">
                        <w:rPr>
                          <w:rFonts w:asciiTheme="minorHAnsi" w:hAnsiTheme="minorHAnsi"/>
                          <w:noProof/>
                          <w:sz w:val="22"/>
                          <w:szCs w:val="22"/>
                        </w:rPr>
                        <w:t>29-May-2017</w:t>
                      </w:r>
                    </w:p>
                  </w:tc>
                </w:tr>
                <w:tr w:rsidR="00E63776" w14:paraId="0BD8852F" w14:textId="77777777" w:rsidTr="00045582">
                  <w:trPr>
                    <w:gridAfter w:val="1"/>
                    <w:wAfter w:w="21" w:type="dxa"/>
                    <w:trHeight w:val="288"/>
                  </w:trPr>
                  <w:tc>
                    <w:tcPr>
                      <w:tcW w:w="13955" w:type="dxa"/>
                      <w:gridSpan w:val="9"/>
                      <w:tcBorders>
                        <w:bottom w:val="nil"/>
                      </w:tcBorders>
                      <w:shd w:val="clear" w:color="auto" w:fill="F7F7F7"/>
                    </w:tcPr>
                    <w:p w14:paraId="21C13344" w14:textId="77777777" w:rsidR="00C63E2C" w:rsidRPr="00C63E2C" w:rsidRDefault="00C63E2C" w:rsidP="00C63E2C">
                      <w:pPr>
                        <w:pStyle w:val="Normal69"/>
                        <w:spacing w:line="14" w:lineRule="exact"/>
                        <w:ind w:left="72"/>
                        <w:rPr>
                          <w:rFonts w:asciiTheme="minorHAnsi" w:hAnsiTheme="minorHAnsi"/>
                          <w:noProof/>
                          <w:sz w:val="22"/>
                          <w:szCs w:val="22"/>
                        </w:rPr>
                      </w:pPr>
                    </w:p>
                  </w:tc>
                </w:tr>
                <w:tr w:rsidR="00E63776" w14:paraId="57115555" w14:textId="77777777" w:rsidTr="00045582">
                  <w:trPr>
                    <w:gridAfter w:val="1"/>
                    <w:wAfter w:w="21" w:type="dxa"/>
                    <w:trHeight w:val="288"/>
                  </w:trPr>
                  <w:tc>
                    <w:tcPr>
                      <w:tcW w:w="13955" w:type="dxa"/>
                      <w:gridSpan w:val="9"/>
                      <w:tcBorders>
                        <w:top w:val="nil"/>
                        <w:bottom w:val="single" w:sz="4" w:space="0" w:color="D9D9D9"/>
                      </w:tcBorders>
                      <w:shd w:val="clear" w:color="auto" w:fill="F7F7F7"/>
                    </w:tcPr>
                    <w:p w14:paraId="0C7A0883"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40A5320D"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CNEA laboratories at San Rafael; Cordoba; Mendoza; &amp; Ezeiza have been fully equipped and accredited by ISO 17025 and currently have the recognized quality and capacity to monitor water, air, soil and radiological parameters (obtaining ISO 17025 accreditation entails to have demonstrated the installed capacity and standards to be deemed technically competent for processing, testing and interpreting water air, soil and radiological samples according to international principles and criteria).  The ISO 17025 standard itself comprises five elements that include Scope, Normative References, Terms and Definitions, Management Requirements and Technical Requirements.  Laboratories use ISO 17025 to implement a quality system aimed at improving their ability to consistently produce valid results. It is also the basis for accreditation from an accreditation body. Since the standard is about competence, accreditation is simply formal recognition of a demonstration of that competence. A prerequisite for a laboratory to become accredited is to have a documented quality management system. The usual contents of the quality manual follow the outline of the ISO 17025 standard.</w:t>
                      </w:r>
                    </w:p>
                    <w:p w14:paraId="1C7DF9DC" w14:textId="77777777" w:rsidR="00D87C3F" w:rsidRDefault="00D87C3F" w:rsidP="00D87C3F">
                      <w:pPr>
                        <w:pStyle w:val="Normal69"/>
                        <w:ind w:left="90"/>
                        <w:rPr>
                          <w:rFonts w:asciiTheme="minorHAnsi" w:hAnsiTheme="minorHAnsi"/>
                          <w:sz w:val="22"/>
                          <w:szCs w:val="22"/>
                        </w:rPr>
                      </w:pPr>
                    </w:p>
                    <w:p w14:paraId="27E73E4C"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This has allowed CNEA to reduce the time in processing and analyzing data and the reliance on external and private laboratories, thereby consolidating and strengthening the quality of information and the time for reaction.   In addition, the installed equipment and improved protocols has allowed the laboratories to implement improved analysis techniques for solid and liquid parameters with enhanced precision and detection limits (using national norms but consistent with international standards). Strengthening and improving the capacity of the labs has also enhanced the autonomy in the determination of physical/chemical and radio-chemical analysis. All of this has been complemented by the sample monitoring protocols and the capacity building to the CNEA and provincial technical teams.  The enhanced data collection and analysis is for CNEA’s internal processing and for taking specific action depending on the analyzed sample parameters. </w:t>
                      </w:r>
                    </w:p>
                    <w:p w14:paraId="6D4DA720" w14:textId="77777777" w:rsidR="00C63E2C" w:rsidRPr="00C63E2C" w:rsidRDefault="00C63E2C" w:rsidP="00D87C3F">
                      <w:pPr>
                        <w:pStyle w:val="Normal69"/>
                        <w:ind w:left="90"/>
                        <w:rPr>
                          <w:rFonts w:asciiTheme="minorHAnsi" w:hAnsiTheme="minorHAnsi"/>
                          <w:sz w:val="22"/>
                          <w:szCs w:val="22"/>
                        </w:rPr>
                      </w:pPr>
                    </w:p>
                  </w:tc>
                </w:tr>
                <w:tr w:rsidR="00E63776" w14:paraId="567E7833" w14:textId="77777777" w:rsidTr="00045582">
                  <w:trPr>
                    <w:gridAfter w:val="1"/>
                    <w:wAfter w:w="21" w:type="dxa"/>
                    <w:trHeight w:val="288"/>
                  </w:trPr>
                  <w:tc>
                    <w:tcPr>
                      <w:tcW w:w="13955" w:type="dxa"/>
                      <w:gridSpan w:val="9"/>
                      <w:tcBorders>
                        <w:top w:val="single" w:sz="4" w:space="0" w:color="D9D9D9"/>
                        <w:left w:val="nil"/>
                        <w:bottom w:val="nil"/>
                        <w:right w:val="nil"/>
                      </w:tcBorders>
                      <w:shd w:val="clear" w:color="auto" w:fill="F7F7F7"/>
                    </w:tcPr>
                    <w:p w14:paraId="4F038E7F" w14:textId="77777777" w:rsidR="00765087" w:rsidRPr="00055E38" w:rsidRDefault="00765087" w:rsidP="00C63E2C">
                      <w:pPr>
                        <w:pStyle w:val="Normal69"/>
                        <w:ind w:left="90"/>
                        <w:rPr>
                          <w:rFonts w:asciiTheme="minorHAnsi" w:eastAsia="Times New Roman" w:hAnsiTheme="minorHAnsi"/>
                          <w:b/>
                          <w:bCs/>
                          <w:color w:val="7F7F7F"/>
                          <w:sz w:val="22"/>
                          <w:szCs w:val="22"/>
                        </w:rPr>
                      </w:pPr>
                    </w:p>
                  </w:tc>
                </w:tr>
              </w:tbl>
              <w:p w14:paraId="4CD6231B" w14:textId="77777777" w:rsidR="00C63E2C" w:rsidRPr="00C63E2C" w:rsidRDefault="00C63E2C" w:rsidP="00C63E2C">
                <w:pPr>
                  <w:pStyle w:val="Normal69"/>
                  <w:shd w:val="clear" w:color="auto" w:fill="F7F7F7"/>
                  <w:spacing w:line="14" w:lineRule="exact"/>
                  <w:rPr>
                    <w:rFonts w:asciiTheme="minorHAnsi" w:hAnsiTheme="minorHAnsi"/>
                    <w:b/>
                    <w:bCs/>
                    <w:color w:val="7F7F7F" w:themeColor="text1" w:themeTint="80"/>
                    <w:sz w:val="22"/>
                    <w:szCs w:val="22"/>
                  </w:rPr>
                </w:pPr>
              </w:p>
              <w:p w14:paraId="4E0D8FD6" w14:textId="77777777" w:rsidR="00C63E2C" w:rsidRPr="00C63E2C" w:rsidRDefault="00C63E2C" w:rsidP="00C63E2C">
                <w:pPr>
                  <w:pStyle w:val="Normal69"/>
                  <w:shd w:val="clear" w:color="auto" w:fill="F7F7F7"/>
                  <w:spacing w:line="14" w:lineRule="exact"/>
                  <w:rPr>
                    <w:rFonts w:asciiTheme="minorHAnsi" w:hAnsiTheme="minorHAnsi"/>
                    <w:b/>
                    <w:bCs/>
                    <w:color w:val="F7F7F7"/>
                    <w:sz w:val="22"/>
                    <w:szCs w:val="22"/>
                  </w:rPr>
                </w:pPr>
              </w:p>
              <w:tbl>
                <w:tblPr>
                  <w:tblStyle w:val="TableGrid105"/>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14"/>
                  <w:gridCol w:w="2326"/>
                  <w:gridCol w:w="21"/>
                  <w:gridCol w:w="2319"/>
                  <w:gridCol w:w="21"/>
                </w:tblGrid>
                <w:tr w:rsidR="00E63776" w14:paraId="5B3B5F35" w14:textId="77777777" w:rsidTr="00866A2C">
                  <w:trPr>
                    <w:trHeight w:val="288"/>
                  </w:trPr>
                  <w:tc>
                    <w:tcPr>
                      <w:tcW w:w="2975" w:type="dxa"/>
                      <w:tcBorders>
                        <w:top w:val="single" w:sz="4" w:space="0" w:color="D9D9D9"/>
                      </w:tcBorders>
                      <w:shd w:val="clear" w:color="auto" w:fill="F7F7F7"/>
                      <w:vAlign w:val="center"/>
                    </w:tcPr>
                    <w:p w14:paraId="7953D417"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14:paraId="1FFC5DE9"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14:paraId="2FAB6852"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47" w:type="dxa"/>
                      <w:gridSpan w:val="2"/>
                      <w:tcBorders>
                        <w:top w:val="single" w:sz="4" w:space="0" w:color="D9D9D9"/>
                      </w:tcBorders>
                      <w:shd w:val="clear" w:color="auto" w:fill="F7F7F7"/>
                      <w:vAlign w:val="center"/>
                    </w:tcPr>
                    <w:p w14:paraId="5DCDDFDD"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3E120577"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14:paraId="54687A73"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14:paraId="472E6DE9"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E63776" w14:paraId="0010A5D0" w14:textId="77777777" w:rsidTr="00045582">
                  <w:trPr>
                    <w:gridAfter w:val="1"/>
                    <w:wAfter w:w="21" w:type="dxa"/>
                    <w:trHeight w:val="345"/>
                  </w:trPr>
                  <w:tc>
                    <w:tcPr>
                      <w:tcW w:w="2975" w:type="dxa"/>
                      <w:vMerge w:val="restart"/>
                      <w:tcBorders>
                        <w:top w:val="single" w:sz="4" w:space="0" w:color="D9D9D9"/>
                      </w:tcBorders>
                      <w:shd w:val="clear" w:color="auto" w:fill="F7F7F7"/>
                    </w:tcPr>
                    <w:p w14:paraId="0FC04CBF" w14:textId="77777777" w:rsidR="00C63E2C" w:rsidRPr="00C63E2C" w:rsidRDefault="002C3F71" w:rsidP="00C63E2C">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governmental agencies, where legacy sites are located, trained  on environmental monitoring procedures for management and supervision of mining operations or uranium  legacy sites</w:t>
                      </w:r>
                    </w:p>
                  </w:tc>
                  <w:tc>
                    <w:tcPr>
                      <w:tcW w:w="1620" w:type="dxa"/>
                      <w:tcBorders>
                        <w:top w:val="single" w:sz="4" w:space="0" w:color="D9D9D9"/>
                        <w:bottom w:val="nil"/>
                      </w:tcBorders>
                      <w:shd w:val="clear" w:color="auto" w:fill="F7F7F7"/>
                    </w:tcPr>
                    <w:p w14:paraId="5F4D02B8" w14:textId="77777777" w:rsidR="00C63E2C" w:rsidRPr="00C63E2C" w:rsidRDefault="002C3F71" w:rsidP="00C63E2C">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0" w:type="dxa"/>
                      <w:tcBorders>
                        <w:top w:val="single" w:sz="4" w:space="0" w:color="D9D9D9"/>
                        <w:bottom w:val="nil"/>
                      </w:tcBorders>
                      <w:shd w:val="clear" w:color="auto" w:fill="F7F7F7"/>
                    </w:tcPr>
                    <w:p w14:paraId="286E23B0"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gridSpan w:val="2"/>
                      <w:tcBorders>
                        <w:top w:val="single" w:sz="4" w:space="0" w:color="D9D9D9"/>
                        <w:bottom w:val="nil"/>
                      </w:tcBorders>
                      <w:shd w:val="clear" w:color="auto" w:fill="F7F7F7"/>
                    </w:tcPr>
                    <w:p w14:paraId="245BDE6C"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15</w:t>
                      </w:r>
                    </w:p>
                  </w:tc>
                  <w:tc>
                    <w:tcPr>
                      <w:tcW w:w="2340" w:type="dxa"/>
                      <w:gridSpan w:val="2"/>
                      <w:tcBorders>
                        <w:top w:val="single" w:sz="4" w:space="0" w:color="D9D9D9"/>
                        <w:bottom w:val="nil"/>
                      </w:tcBorders>
                      <w:shd w:val="clear" w:color="auto" w:fill="F7F7F7"/>
                    </w:tcPr>
                    <w:p w14:paraId="737093A6"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12</w:t>
                      </w:r>
                    </w:p>
                  </w:tc>
                  <w:tc>
                    <w:tcPr>
                      <w:tcW w:w="2340" w:type="dxa"/>
                      <w:gridSpan w:val="2"/>
                      <w:tcBorders>
                        <w:top w:val="single" w:sz="4" w:space="0" w:color="D9D9D9"/>
                        <w:bottom w:val="nil"/>
                      </w:tcBorders>
                      <w:shd w:val="clear" w:color="auto" w:fill="F7F7F7"/>
                    </w:tcPr>
                    <w:p w14:paraId="40DD2CE8"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12</w:t>
                      </w:r>
                    </w:p>
                  </w:tc>
                </w:tr>
                <w:tr w:rsidR="00E63776" w14:paraId="1964521B" w14:textId="77777777" w:rsidTr="00045582">
                  <w:trPr>
                    <w:gridAfter w:val="1"/>
                    <w:wAfter w:w="21" w:type="dxa"/>
                    <w:trHeight w:val="345"/>
                  </w:trPr>
                  <w:tc>
                    <w:tcPr>
                      <w:tcW w:w="2975" w:type="dxa"/>
                      <w:vMerge/>
                      <w:shd w:val="clear" w:color="auto" w:fill="F7F7F7"/>
                    </w:tcPr>
                    <w:p w14:paraId="19B5D4C3" w14:textId="77777777" w:rsidR="00C63E2C" w:rsidRPr="00C63E2C" w:rsidRDefault="00C63E2C" w:rsidP="00C63E2C">
                      <w:pPr>
                        <w:pStyle w:val="Normal69"/>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14:paraId="6FAFF928" w14:textId="77777777" w:rsidR="00C63E2C" w:rsidRPr="00C63E2C" w:rsidRDefault="00C63E2C" w:rsidP="00C63E2C">
                      <w:pPr>
                        <w:pStyle w:val="Normal69"/>
                        <w:spacing w:before="100" w:after="100"/>
                        <w:ind w:left="144"/>
                        <w:rPr>
                          <w:rFonts w:asciiTheme="minorHAnsi" w:hAnsiTheme="minorHAnsi"/>
                          <w:bCs/>
                          <w:sz w:val="22"/>
                          <w:szCs w:val="22"/>
                        </w:rPr>
                      </w:pPr>
                    </w:p>
                  </w:tc>
                  <w:tc>
                    <w:tcPr>
                      <w:tcW w:w="2340" w:type="dxa"/>
                      <w:tcBorders>
                        <w:top w:val="nil"/>
                      </w:tcBorders>
                      <w:shd w:val="clear" w:color="auto" w:fill="F7F7F7"/>
                    </w:tcPr>
                    <w:p w14:paraId="4CF6637E"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25-Jul-2013</w:t>
                      </w:r>
                    </w:p>
                  </w:tc>
                  <w:tc>
                    <w:tcPr>
                      <w:tcW w:w="2340" w:type="dxa"/>
                      <w:gridSpan w:val="2"/>
                      <w:tcBorders>
                        <w:top w:val="nil"/>
                      </w:tcBorders>
                      <w:shd w:val="clear" w:color="auto" w:fill="F7F7F7"/>
                    </w:tcPr>
                    <w:p w14:paraId="2353B90F"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5DEF3795"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16-Feb-2017</w:t>
                      </w:r>
                    </w:p>
                  </w:tc>
                  <w:tc>
                    <w:tcPr>
                      <w:tcW w:w="2340" w:type="dxa"/>
                      <w:gridSpan w:val="2"/>
                      <w:tcBorders>
                        <w:top w:val="nil"/>
                      </w:tcBorders>
                      <w:shd w:val="clear" w:color="auto" w:fill="F7F7F7"/>
                    </w:tcPr>
                    <w:p w14:paraId="3D3445BE" w14:textId="77777777" w:rsidR="00C63E2C" w:rsidRPr="00C63E2C" w:rsidRDefault="002C3F71" w:rsidP="00C63E2C">
                      <w:pPr>
                        <w:pStyle w:val="Normal69"/>
                        <w:spacing w:before="100" w:after="100"/>
                        <w:ind w:left="144" w:right="144"/>
                        <w:rPr>
                          <w:rFonts w:asciiTheme="minorHAnsi" w:hAnsiTheme="minorHAnsi"/>
                          <w:sz w:val="22"/>
                          <w:szCs w:val="22"/>
                        </w:rPr>
                      </w:pPr>
                      <w:r w:rsidRPr="00C63E2C">
                        <w:rPr>
                          <w:rFonts w:asciiTheme="minorHAnsi" w:hAnsiTheme="minorHAnsi"/>
                          <w:noProof/>
                          <w:sz w:val="22"/>
                          <w:szCs w:val="22"/>
                        </w:rPr>
                        <w:t>29-May-2017</w:t>
                      </w:r>
                    </w:p>
                  </w:tc>
                </w:tr>
                <w:tr w:rsidR="00E63776" w14:paraId="1F14164F" w14:textId="77777777" w:rsidTr="00045582">
                  <w:trPr>
                    <w:gridAfter w:val="1"/>
                    <w:wAfter w:w="21" w:type="dxa"/>
                    <w:trHeight w:val="288"/>
                  </w:trPr>
                  <w:tc>
                    <w:tcPr>
                      <w:tcW w:w="13955" w:type="dxa"/>
                      <w:gridSpan w:val="9"/>
                      <w:tcBorders>
                        <w:bottom w:val="nil"/>
                      </w:tcBorders>
                      <w:shd w:val="clear" w:color="auto" w:fill="F7F7F7"/>
                    </w:tcPr>
                    <w:p w14:paraId="38AEA59C" w14:textId="77777777" w:rsidR="00C63E2C" w:rsidRPr="00C63E2C" w:rsidRDefault="00C63E2C" w:rsidP="00C63E2C">
                      <w:pPr>
                        <w:pStyle w:val="Normal69"/>
                        <w:spacing w:line="14" w:lineRule="exact"/>
                        <w:ind w:left="72"/>
                        <w:rPr>
                          <w:rFonts w:asciiTheme="minorHAnsi" w:hAnsiTheme="minorHAnsi"/>
                          <w:noProof/>
                          <w:sz w:val="22"/>
                          <w:szCs w:val="22"/>
                        </w:rPr>
                      </w:pPr>
                    </w:p>
                  </w:tc>
                </w:tr>
                <w:tr w:rsidR="00E63776" w14:paraId="5CB35119" w14:textId="77777777" w:rsidTr="00045582">
                  <w:trPr>
                    <w:gridAfter w:val="1"/>
                    <w:wAfter w:w="21" w:type="dxa"/>
                    <w:trHeight w:val="288"/>
                  </w:trPr>
                  <w:tc>
                    <w:tcPr>
                      <w:tcW w:w="13955" w:type="dxa"/>
                      <w:gridSpan w:val="9"/>
                      <w:tcBorders>
                        <w:top w:val="nil"/>
                        <w:bottom w:val="single" w:sz="4" w:space="0" w:color="D9D9D9"/>
                      </w:tcBorders>
                      <w:shd w:val="clear" w:color="auto" w:fill="F7F7F7"/>
                    </w:tcPr>
                    <w:p w14:paraId="60A896DC"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3EB05EAC"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CNEA and 12 provincial governments have been trained to follow IAEA’s international best practice on procedures, protocols and standards on environmental monitoring and managing environmental risks associated to uranium mines and legacies and on procedures for management and supervision of mining uranium operations.   </w:t>
                      </w:r>
                    </w:p>
                    <w:p w14:paraId="0F2CC3C7" w14:textId="77777777" w:rsidR="00D87C3F" w:rsidRDefault="00D87C3F" w:rsidP="00D87C3F">
                      <w:pPr>
                        <w:pStyle w:val="Normal69"/>
                        <w:ind w:left="90"/>
                        <w:rPr>
                          <w:rFonts w:asciiTheme="minorHAnsi" w:hAnsiTheme="minorHAnsi"/>
                          <w:sz w:val="22"/>
                          <w:szCs w:val="22"/>
                        </w:rPr>
                      </w:pPr>
                    </w:p>
                    <w:p w14:paraId="435F7439"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addition to technical assistance and capacity building workshops, six key training modules have been delivered to technical and administrative staff from the Nuclear Regulatory Authority (ARN); the Environmental, Irrigation, Water and Mining Agencies from the Mendoza Province; the Environmental and Public Works Secretariat from the municipality of Malargue; the environmental, mining agencies of the province and municipality of Cordoba. More than 80 staff from these agencies have benefited from the training modules which have been delivered with support of the IAEA on planning and management for the remediation and monitoring of uranium remediation sites. As a result of these trainings, staff from these have already been applying updated environmental monitoring protocols. </w:t>
                      </w:r>
                    </w:p>
                    <w:p w14:paraId="3FFA7AC2" w14:textId="77777777" w:rsidR="00D87C3F" w:rsidRDefault="00D87C3F" w:rsidP="00D87C3F">
                      <w:pPr>
                        <w:pStyle w:val="Normal69"/>
                        <w:ind w:left="90"/>
                        <w:rPr>
                          <w:rFonts w:asciiTheme="minorHAnsi" w:hAnsiTheme="minorHAnsi"/>
                          <w:sz w:val="22"/>
                          <w:szCs w:val="22"/>
                        </w:rPr>
                      </w:pPr>
                    </w:p>
                    <w:p w14:paraId="07444C55"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addition, in spite of the change of focus from building capacity from the federal level to the local/provincial level, the Ministries of Environment and of Mines were also beneficiaries of the technical trainings (particularly on environmental risk management associated with uranium mining sites) that were provided under the project. </w:t>
                      </w:r>
                    </w:p>
                    <w:p w14:paraId="623102E9" w14:textId="77777777" w:rsidR="00D87C3F" w:rsidRDefault="00D87C3F" w:rsidP="00D87C3F">
                      <w:pPr>
                        <w:pStyle w:val="Normal69"/>
                        <w:ind w:left="90"/>
                        <w:rPr>
                          <w:rFonts w:asciiTheme="minorHAnsi" w:hAnsiTheme="minorHAnsi"/>
                          <w:sz w:val="22"/>
                          <w:szCs w:val="22"/>
                        </w:rPr>
                      </w:pPr>
                    </w:p>
                    <w:p w14:paraId="0D49A107" w14:textId="77777777" w:rsidR="00C63E2C" w:rsidRPr="00C63E2C" w:rsidRDefault="00C63E2C" w:rsidP="00D87C3F">
                      <w:pPr>
                        <w:pStyle w:val="Normal69"/>
                        <w:ind w:left="90"/>
                        <w:rPr>
                          <w:rFonts w:asciiTheme="minorHAnsi" w:hAnsiTheme="minorHAnsi"/>
                          <w:sz w:val="22"/>
                          <w:szCs w:val="22"/>
                        </w:rPr>
                      </w:pPr>
                    </w:p>
                  </w:tc>
                </w:tr>
                <w:tr w:rsidR="00E63776" w14:paraId="040E0180" w14:textId="77777777" w:rsidTr="00045582">
                  <w:trPr>
                    <w:gridAfter w:val="1"/>
                    <w:wAfter w:w="21" w:type="dxa"/>
                    <w:trHeight w:val="288"/>
                  </w:trPr>
                  <w:tc>
                    <w:tcPr>
                      <w:tcW w:w="13955" w:type="dxa"/>
                      <w:gridSpan w:val="9"/>
                      <w:tcBorders>
                        <w:top w:val="single" w:sz="4" w:space="0" w:color="D9D9D9"/>
                        <w:left w:val="nil"/>
                        <w:bottom w:val="nil"/>
                        <w:right w:val="nil"/>
                      </w:tcBorders>
                      <w:shd w:val="clear" w:color="auto" w:fill="F7F7F7"/>
                    </w:tcPr>
                    <w:p w14:paraId="663B17D4" w14:textId="77777777" w:rsidR="00765087" w:rsidRPr="00055E38" w:rsidRDefault="00765087" w:rsidP="00C63E2C">
                      <w:pPr>
                        <w:pStyle w:val="Normal69"/>
                        <w:ind w:left="90"/>
                        <w:rPr>
                          <w:rFonts w:asciiTheme="minorHAnsi" w:eastAsia="Times New Roman" w:hAnsiTheme="minorHAnsi"/>
                          <w:b/>
                          <w:bCs/>
                          <w:color w:val="7F7F7F"/>
                          <w:sz w:val="22"/>
                          <w:szCs w:val="22"/>
                        </w:rPr>
                      </w:pPr>
                    </w:p>
                  </w:tc>
                </w:tr>
              </w:tbl>
              <w:p w14:paraId="285C4B0A" w14:textId="77777777" w:rsidR="00C63E2C" w:rsidRPr="00C63E2C" w:rsidRDefault="00C63E2C" w:rsidP="00C63E2C">
                <w:pPr>
                  <w:pStyle w:val="Normal69"/>
                  <w:shd w:val="clear" w:color="auto" w:fill="F7F7F7"/>
                  <w:spacing w:line="14" w:lineRule="exact"/>
                  <w:rPr>
                    <w:rFonts w:asciiTheme="minorHAnsi" w:hAnsiTheme="minorHAnsi"/>
                    <w:b/>
                    <w:bCs/>
                    <w:color w:val="7F7F7F" w:themeColor="text1" w:themeTint="80"/>
                    <w:sz w:val="22"/>
                    <w:szCs w:val="22"/>
                  </w:rPr>
                </w:pPr>
              </w:p>
              <w:p w14:paraId="77B799AB" w14:textId="77777777" w:rsidR="00C63E2C" w:rsidRPr="00C63E2C" w:rsidRDefault="00C63E2C" w:rsidP="00C63E2C">
                <w:pPr>
                  <w:pStyle w:val="Normal69"/>
                  <w:shd w:val="clear" w:color="auto" w:fill="F7F7F7"/>
                  <w:spacing w:line="14" w:lineRule="exact"/>
                  <w:rPr>
                    <w:rFonts w:asciiTheme="minorHAnsi" w:hAnsiTheme="minorHAnsi"/>
                    <w:b/>
                    <w:bCs/>
                    <w:color w:val="F7F7F7"/>
                    <w:sz w:val="22"/>
                    <w:szCs w:val="22"/>
                  </w:rPr>
                </w:pPr>
              </w:p>
              <w:tbl>
                <w:tblPr>
                  <w:tblStyle w:val="TableGrid105"/>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14"/>
                  <w:gridCol w:w="2326"/>
                  <w:gridCol w:w="21"/>
                  <w:gridCol w:w="2319"/>
                  <w:gridCol w:w="21"/>
                </w:tblGrid>
                <w:tr w:rsidR="00E63776" w14:paraId="643A3747" w14:textId="77777777" w:rsidTr="00045582">
                  <w:trPr>
                    <w:gridAfter w:val="1"/>
                    <w:wAfter w:w="21" w:type="dxa"/>
                    <w:trHeight w:val="20"/>
                  </w:trPr>
                  <w:tc>
                    <w:tcPr>
                      <w:tcW w:w="13955" w:type="dxa"/>
                      <w:gridSpan w:val="9"/>
                      <w:tcBorders>
                        <w:top w:val="nil"/>
                        <w:left w:val="nil"/>
                        <w:bottom w:val="nil"/>
                        <w:right w:val="nil"/>
                      </w:tcBorders>
                      <w:shd w:val="clear" w:color="auto" w:fill="F7F7F7"/>
                      <w:vAlign w:val="center"/>
                    </w:tcPr>
                    <w:p w14:paraId="598F298F" w14:textId="77777777" w:rsidR="00001183" w:rsidRPr="00F16CCF" w:rsidRDefault="00001183" w:rsidP="00765087">
                      <w:pPr>
                        <w:pStyle w:val="Normal69"/>
                        <w:keepNext/>
                        <w:spacing w:line="14" w:lineRule="exact"/>
                        <w:ind w:left="115"/>
                        <w:rPr>
                          <w:rFonts w:asciiTheme="minorHAnsi" w:hAnsiTheme="minorHAnsi"/>
                          <w:b/>
                          <w:sz w:val="22"/>
                          <w:szCs w:val="22"/>
                        </w:rPr>
                      </w:pPr>
                    </w:p>
                  </w:tc>
                </w:tr>
                <w:tr w:rsidR="00E63776" w14:paraId="25CAC22C" w14:textId="77777777" w:rsidTr="00045582">
                  <w:trPr>
                    <w:gridAfter w:val="1"/>
                    <w:wAfter w:w="21" w:type="dxa"/>
                    <w:trHeight w:val="387"/>
                  </w:trPr>
                  <w:tc>
                    <w:tcPr>
                      <w:tcW w:w="13955" w:type="dxa"/>
                      <w:gridSpan w:val="9"/>
                      <w:tcBorders>
                        <w:top w:val="nil"/>
                        <w:left w:val="nil"/>
                        <w:bottom w:val="single" w:sz="4" w:space="0" w:color="D9D9D9"/>
                        <w:right w:val="nil"/>
                      </w:tcBorders>
                      <w:shd w:val="clear" w:color="auto" w:fill="F7F7F7"/>
                      <w:vAlign w:val="center"/>
                    </w:tcPr>
                    <w:p w14:paraId="286780F3" w14:textId="77777777" w:rsidR="00650668"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sidRPr="00F16CCF">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Objective/Outcome:</w:instrText>
                      </w:r>
                      <w:r w:rsidR="00D311A5">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Objective/Outcome:</w:t>
                      </w:r>
                      <w:r w:rsidR="00D311A5">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bCs/>
                          <w:noProof/>
                          <w:sz w:val="22"/>
                          <w:szCs w:val="22"/>
                        </w:rPr>
                        <w:t>(b) reduce potential economic and health damages associated with a closed uranium mining site in Malargue, Mendoza.</w:t>
                      </w:r>
                    </w:p>
                  </w:tc>
                </w:tr>
                <w:tr w:rsidR="00E63776" w14:paraId="676E5774" w14:textId="77777777" w:rsidTr="00866A2C">
                  <w:trPr>
                    <w:trHeight w:val="288"/>
                  </w:trPr>
                  <w:tc>
                    <w:tcPr>
                      <w:tcW w:w="2975" w:type="dxa"/>
                      <w:tcBorders>
                        <w:top w:val="single" w:sz="4" w:space="0" w:color="D9D9D9"/>
                      </w:tcBorders>
                      <w:shd w:val="clear" w:color="auto" w:fill="F7F7F7"/>
                      <w:vAlign w:val="center"/>
                    </w:tcPr>
                    <w:p w14:paraId="6E87C7EE"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14:paraId="6A0DED45"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14:paraId="33545AFD"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47" w:type="dxa"/>
                      <w:gridSpan w:val="2"/>
                      <w:tcBorders>
                        <w:top w:val="single" w:sz="4" w:space="0" w:color="D9D9D9"/>
                      </w:tcBorders>
                      <w:shd w:val="clear" w:color="auto" w:fill="F7F7F7"/>
                      <w:vAlign w:val="center"/>
                    </w:tcPr>
                    <w:p w14:paraId="46337D77"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40612B1A"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14:paraId="6ABF5B5C"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14:paraId="4A20CD3C" w14:textId="77777777" w:rsidR="00C63E2C" w:rsidRPr="00C63E2C" w:rsidRDefault="002C3F71" w:rsidP="003023B5">
                      <w:pPr>
                        <w:pStyle w:val="Normal69"/>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E63776" w14:paraId="7BF46FA6" w14:textId="77777777" w:rsidTr="00045582">
                  <w:trPr>
                    <w:gridAfter w:val="1"/>
                    <w:wAfter w:w="21" w:type="dxa"/>
                    <w:trHeight w:val="345"/>
                  </w:trPr>
                  <w:tc>
                    <w:tcPr>
                      <w:tcW w:w="2975" w:type="dxa"/>
                      <w:vMerge w:val="restart"/>
                      <w:tcBorders>
                        <w:top w:val="single" w:sz="4" w:space="0" w:color="D9D9D9"/>
                      </w:tcBorders>
                      <w:shd w:val="clear" w:color="auto" w:fill="F7F7F7"/>
                    </w:tcPr>
                    <w:p w14:paraId="0F1DE31F" w14:textId="77777777" w:rsidR="00C63E2C" w:rsidRPr="00C63E2C" w:rsidRDefault="002C3F71" w:rsidP="00C63E2C">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Reduced health, environmental and economic risks associated with the Malargüe site to be addressed through the removal of the tailings according to the remediation plan agreed with authorities</w:t>
                      </w:r>
                    </w:p>
                  </w:tc>
                  <w:tc>
                    <w:tcPr>
                      <w:tcW w:w="1620" w:type="dxa"/>
                      <w:tcBorders>
                        <w:top w:val="single" w:sz="4" w:space="0" w:color="D9D9D9"/>
                        <w:bottom w:val="nil"/>
                      </w:tcBorders>
                      <w:shd w:val="clear" w:color="auto" w:fill="F7F7F7"/>
                    </w:tcPr>
                    <w:p w14:paraId="089ED7E9" w14:textId="77777777" w:rsidR="00C63E2C" w:rsidRPr="00C63E2C" w:rsidRDefault="002C3F71" w:rsidP="00C63E2C">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0" w:type="dxa"/>
                      <w:tcBorders>
                        <w:top w:val="single" w:sz="4" w:space="0" w:color="D9D9D9"/>
                        <w:bottom w:val="nil"/>
                      </w:tcBorders>
                      <w:shd w:val="clear" w:color="auto" w:fill="F7F7F7"/>
                    </w:tcPr>
                    <w:p w14:paraId="50CDA93C"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gridSpan w:val="2"/>
                      <w:tcBorders>
                        <w:top w:val="single" w:sz="4" w:space="0" w:color="D9D9D9"/>
                        <w:bottom w:val="nil"/>
                      </w:tcBorders>
                      <w:shd w:val="clear" w:color="auto" w:fill="F7F7F7"/>
                    </w:tcPr>
                    <w:p w14:paraId="7CE24759"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0FD81865"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702CA64B" w14:textId="77777777" w:rsidR="00C63E2C" w:rsidRPr="00C63E2C" w:rsidRDefault="002C3F71" w:rsidP="00C63E2C">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r>
                <w:tr w:rsidR="00E63776" w14:paraId="27DA7A84" w14:textId="77777777" w:rsidTr="00045582">
                  <w:trPr>
                    <w:gridAfter w:val="1"/>
                    <w:wAfter w:w="21" w:type="dxa"/>
                    <w:trHeight w:val="345"/>
                  </w:trPr>
                  <w:tc>
                    <w:tcPr>
                      <w:tcW w:w="2975" w:type="dxa"/>
                      <w:vMerge/>
                      <w:shd w:val="clear" w:color="auto" w:fill="F7F7F7"/>
                    </w:tcPr>
                    <w:p w14:paraId="6B6C1C6D" w14:textId="77777777" w:rsidR="00C63E2C" w:rsidRPr="00C63E2C" w:rsidRDefault="00C63E2C" w:rsidP="00C63E2C">
                      <w:pPr>
                        <w:pStyle w:val="Normal69"/>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14:paraId="2D8B7BCF" w14:textId="77777777" w:rsidR="00C63E2C" w:rsidRPr="00C63E2C" w:rsidRDefault="00C63E2C" w:rsidP="00C63E2C">
                      <w:pPr>
                        <w:pStyle w:val="Normal69"/>
                        <w:spacing w:before="100" w:after="100"/>
                        <w:ind w:left="144"/>
                        <w:rPr>
                          <w:rFonts w:asciiTheme="minorHAnsi" w:hAnsiTheme="minorHAnsi"/>
                          <w:bCs/>
                          <w:sz w:val="22"/>
                          <w:szCs w:val="22"/>
                        </w:rPr>
                      </w:pPr>
                    </w:p>
                  </w:tc>
                  <w:tc>
                    <w:tcPr>
                      <w:tcW w:w="2340" w:type="dxa"/>
                      <w:tcBorders>
                        <w:top w:val="nil"/>
                      </w:tcBorders>
                      <w:shd w:val="clear" w:color="auto" w:fill="F7F7F7"/>
                    </w:tcPr>
                    <w:p w14:paraId="5B197190"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gridSpan w:val="2"/>
                      <w:tcBorders>
                        <w:top w:val="nil"/>
                      </w:tcBorders>
                      <w:shd w:val="clear" w:color="auto" w:fill="F7F7F7"/>
                    </w:tcPr>
                    <w:p w14:paraId="7A269872"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35B34646" w14:textId="77777777" w:rsidR="00C63E2C" w:rsidRPr="00C63E2C" w:rsidRDefault="002C3F71" w:rsidP="00C63E2C">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tcBorders>
                      <w:shd w:val="clear" w:color="auto" w:fill="F7F7F7"/>
                    </w:tcPr>
                    <w:p w14:paraId="399BC4D2" w14:textId="77777777" w:rsidR="00C63E2C" w:rsidRPr="00C63E2C" w:rsidRDefault="002C3F71" w:rsidP="00C63E2C">
                      <w:pPr>
                        <w:pStyle w:val="Normal69"/>
                        <w:spacing w:before="100" w:after="100"/>
                        <w:ind w:left="144" w:right="144"/>
                        <w:rPr>
                          <w:rFonts w:asciiTheme="minorHAnsi" w:hAnsiTheme="minorHAnsi"/>
                          <w:sz w:val="22"/>
                          <w:szCs w:val="22"/>
                        </w:rPr>
                      </w:pPr>
                      <w:r w:rsidRPr="00C63E2C">
                        <w:rPr>
                          <w:rFonts w:asciiTheme="minorHAnsi" w:hAnsiTheme="minorHAnsi"/>
                          <w:noProof/>
                          <w:sz w:val="22"/>
                          <w:szCs w:val="22"/>
                        </w:rPr>
                        <w:t>29-May-2017</w:t>
                      </w:r>
                    </w:p>
                  </w:tc>
                </w:tr>
                <w:tr w:rsidR="00E63776" w14:paraId="686B1CBB" w14:textId="77777777" w:rsidTr="00045582">
                  <w:trPr>
                    <w:gridAfter w:val="1"/>
                    <w:wAfter w:w="21" w:type="dxa"/>
                    <w:trHeight w:val="288"/>
                  </w:trPr>
                  <w:tc>
                    <w:tcPr>
                      <w:tcW w:w="13955" w:type="dxa"/>
                      <w:gridSpan w:val="9"/>
                      <w:tcBorders>
                        <w:bottom w:val="nil"/>
                      </w:tcBorders>
                      <w:shd w:val="clear" w:color="auto" w:fill="F7F7F7"/>
                    </w:tcPr>
                    <w:p w14:paraId="039AE5B6" w14:textId="77777777" w:rsidR="00C63E2C" w:rsidRPr="00C63E2C" w:rsidRDefault="00C63E2C" w:rsidP="00C63E2C">
                      <w:pPr>
                        <w:pStyle w:val="Normal69"/>
                        <w:spacing w:line="14" w:lineRule="exact"/>
                        <w:ind w:left="72"/>
                        <w:rPr>
                          <w:rFonts w:asciiTheme="minorHAnsi" w:hAnsiTheme="minorHAnsi"/>
                          <w:noProof/>
                          <w:sz w:val="22"/>
                          <w:szCs w:val="22"/>
                        </w:rPr>
                      </w:pPr>
                    </w:p>
                  </w:tc>
                </w:tr>
                <w:tr w:rsidR="00E63776" w14:paraId="07424D54" w14:textId="77777777" w:rsidTr="00045582">
                  <w:trPr>
                    <w:gridAfter w:val="1"/>
                    <w:wAfter w:w="21" w:type="dxa"/>
                    <w:trHeight w:val="288"/>
                  </w:trPr>
                  <w:tc>
                    <w:tcPr>
                      <w:tcW w:w="13955" w:type="dxa"/>
                      <w:gridSpan w:val="9"/>
                      <w:tcBorders>
                        <w:top w:val="nil"/>
                        <w:bottom w:val="single" w:sz="4" w:space="0" w:color="D9D9D9"/>
                      </w:tcBorders>
                      <w:shd w:val="clear" w:color="auto" w:fill="F7F7F7"/>
                    </w:tcPr>
                    <w:p w14:paraId="703A12D0"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7EF0B071"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Through the works at the Malargüe milling site which included the complete removal, transportation, containment, encapsulation and final closure of the uranium tailings, the agreed remediation plan was fully achieved and thus, the exposure to pollutants and radiation and its associated health and economic risks had been reduced. </w:t>
                      </w:r>
                    </w:p>
                    <w:p w14:paraId="72ADDB0E" w14:textId="77777777" w:rsidR="00D87C3F" w:rsidRDefault="00D87C3F" w:rsidP="00D87C3F">
                      <w:pPr>
                        <w:pStyle w:val="Normal69"/>
                        <w:ind w:left="90"/>
                        <w:rPr>
                          <w:rFonts w:asciiTheme="minorHAnsi" w:hAnsiTheme="minorHAnsi"/>
                          <w:sz w:val="22"/>
                          <w:szCs w:val="22"/>
                        </w:rPr>
                      </w:pPr>
                    </w:p>
                    <w:p w14:paraId="12B9999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project did not carry out a public health baseline (nor periodic sampling of the population during implementation) to determine radiation/pollution levels.  However, baseline reports undertaken during project preparation (December 2006) revealed that radon exposure from plumes of the untreated uranium tails could reach as far as 2.5 km and that the population directly exposed to the site and its plume could be at risk of gamma ray radiation and contamination from Radon 222 inhalation.  The study also disclosed that that surface and shallow groundwater systems, had traces of uranium contamination from the untreated tailings.    </w:t>
                      </w:r>
                    </w:p>
                    <w:p w14:paraId="754689F9" w14:textId="77777777" w:rsidR="00D87C3F" w:rsidRDefault="00D87C3F" w:rsidP="00D87C3F">
                      <w:pPr>
                        <w:pStyle w:val="Normal69"/>
                        <w:ind w:left="90"/>
                        <w:rPr>
                          <w:rFonts w:asciiTheme="minorHAnsi" w:hAnsiTheme="minorHAnsi"/>
                          <w:sz w:val="22"/>
                          <w:szCs w:val="22"/>
                        </w:rPr>
                      </w:pPr>
                    </w:p>
                    <w:p w14:paraId="2E281E47"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By contrast, the latest CNEA Technical Environmental Monitoring Reports (2016-17) reveal through multiple samples at Malargüe that the radon, gamma ray and pollution parameters tested for air, water, soil, and households have been contained to below the permissible international (US-EPA) and local levels thereby controlling the contamination exposure to the nearby population.  In addition, the testing done to CNEA workers at the Malargüe site (through semester blood and weekly urine samples) reveal that radiation levels were under the norm.</w:t>
                      </w:r>
                    </w:p>
                    <w:p w14:paraId="541E5758" w14:textId="77777777" w:rsidR="00D87C3F" w:rsidRDefault="00D87C3F" w:rsidP="00D87C3F">
                      <w:pPr>
                        <w:pStyle w:val="Normal69"/>
                        <w:ind w:left="90"/>
                        <w:rPr>
                          <w:rFonts w:asciiTheme="minorHAnsi" w:hAnsiTheme="minorHAnsi"/>
                          <w:sz w:val="22"/>
                          <w:szCs w:val="22"/>
                        </w:rPr>
                      </w:pPr>
                    </w:p>
                    <w:p w14:paraId="2B09A4BC"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spite of lacking public health baseline studies, it can be concluded through the recent radiation parameters monitored on the air, water, soil and through the health samples of CNEA’s workers at the site, that the project has had a decisively positive impact on public health of the Malargüe community by controlling a legacy that for the past 50 years had contaminated land, water, and air in the vicinity of the former milling site.  </w:t>
                      </w:r>
                    </w:p>
                    <w:p w14:paraId="2C018B00" w14:textId="77777777" w:rsidR="00D87C3F" w:rsidRDefault="00D87C3F" w:rsidP="00D87C3F">
                      <w:pPr>
                        <w:pStyle w:val="Normal69"/>
                        <w:ind w:left="90"/>
                        <w:rPr>
                          <w:rFonts w:asciiTheme="minorHAnsi" w:hAnsiTheme="minorHAnsi"/>
                          <w:sz w:val="22"/>
                          <w:szCs w:val="22"/>
                        </w:rPr>
                      </w:pPr>
                    </w:p>
                    <w:p w14:paraId="523E5C82"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Likewise, at time of appraisal the economic impacts associated to the pollution from uranium milling site were not estimated nor where monitored during implementation.  Nonetheless, it can be concluded that complementary to the human health, safety and environmental benefits that bring about improvements in the quality of life to the population of Malargüe, the effective containment and greening of the site would also help the local economy, which is dependent on tourism and on the wide marketability of local potato seedlings.  Reducing the perceived dangers of radioactive contamination is likely to bring additional benefits which could also include new employment opportunities and a greater demand for products and services in the area.</w:t>
                      </w:r>
                    </w:p>
                    <w:p w14:paraId="3D6FDB71" w14:textId="77777777" w:rsidR="00C63E2C" w:rsidRPr="00C63E2C" w:rsidRDefault="00C63E2C" w:rsidP="00D87C3F">
                      <w:pPr>
                        <w:pStyle w:val="Normal69"/>
                        <w:ind w:left="90"/>
                        <w:rPr>
                          <w:rFonts w:asciiTheme="minorHAnsi" w:hAnsiTheme="minorHAnsi"/>
                          <w:sz w:val="22"/>
                          <w:szCs w:val="22"/>
                        </w:rPr>
                      </w:pPr>
                    </w:p>
                  </w:tc>
                </w:tr>
                <w:tr w:rsidR="00E63776" w14:paraId="4E22904E" w14:textId="77777777" w:rsidTr="00045582">
                  <w:trPr>
                    <w:gridAfter w:val="1"/>
                    <w:wAfter w:w="21" w:type="dxa"/>
                    <w:trHeight w:val="288"/>
                  </w:trPr>
                  <w:tc>
                    <w:tcPr>
                      <w:tcW w:w="13955" w:type="dxa"/>
                      <w:gridSpan w:val="9"/>
                      <w:tcBorders>
                        <w:top w:val="single" w:sz="4" w:space="0" w:color="D9D9D9"/>
                        <w:left w:val="nil"/>
                        <w:bottom w:val="nil"/>
                        <w:right w:val="nil"/>
                      </w:tcBorders>
                      <w:shd w:val="clear" w:color="auto" w:fill="F7F7F7"/>
                    </w:tcPr>
                    <w:p w14:paraId="159D49BD" w14:textId="77777777" w:rsidR="00765087" w:rsidRPr="00055E38" w:rsidRDefault="00765087" w:rsidP="00C63E2C">
                      <w:pPr>
                        <w:pStyle w:val="Normal69"/>
                        <w:ind w:left="90"/>
                        <w:rPr>
                          <w:rFonts w:asciiTheme="minorHAnsi" w:eastAsia="Times New Roman" w:hAnsiTheme="minorHAnsi"/>
                          <w:b/>
                          <w:bCs/>
                          <w:color w:val="7F7F7F"/>
                          <w:sz w:val="22"/>
                          <w:szCs w:val="22"/>
                        </w:rPr>
                      </w:pPr>
                    </w:p>
                  </w:tc>
                </w:tr>
              </w:tbl>
              <w:p w14:paraId="1F06E677" w14:textId="77777777" w:rsidR="00C63E2C" w:rsidRPr="00C63E2C" w:rsidRDefault="00C63E2C" w:rsidP="00C63E2C">
                <w:pPr>
                  <w:pStyle w:val="Normal69"/>
                  <w:shd w:val="clear" w:color="auto" w:fill="F7F7F7"/>
                  <w:spacing w:line="14" w:lineRule="exact"/>
                  <w:rPr>
                    <w:rFonts w:asciiTheme="minorHAnsi" w:hAnsiTheme="minorHAnsi"/>
                    <w:b/>
                    <w:bCs/>
                    <w:color w:val="7F7F7F" w:themeColor="text1" w:themeTint="80"/>
                    <w:sz w:val="22"/>
                    <w:szCs w:val="22"/>
                  </w:rPr>
                </w:pPr>
              </w:p>
            </w:tc>
          </w:tr>
        </w:tbl>
        <w:p w14:paraId="0EF7E947" w14:textId="77777777" w:rsidR="00765087" w:rsidRDefault="00765087" w:rsidP="00C63E2C">
          <w:pPr>
            <w:pStyle w:val="Normal69"/>
            <w:shd w:val="clear" w:color="auto" w:fill="F7F7F7"/>
            <w:ind w:left="-691" w:right="-418"/>
            <w:rPr>
              <w:rFonts w:asciiTheme="minorHAnsi" w:hAnsiTheme="minorHAnsi"/>
              <w:b/>
              <w:bCs/>
              <w:color w:val="7F7F7F" w:themeColor="text1" w:themeTint="80"/>
              <w:sz w:val="22"/>
              <w:szCs w:val="22"/>
            </w:rPr>
          </w:pPr>
        </w:p>
        <w:tbl>
          <w:tblPr>
            <w:tblStyle w:val="TableGrid105"/>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E63776" w14:paraId="09DE80F4" w14:textId="77777777" w:rsidTr="009E631B">
            <w:trPr>
              <w:trHeight w:val="360"/>
            </w:trPr>
            <w:tc>
              <w:tcPr>
                <w:tcW w:w="14130" w:type="dxa"/>
                <w:shd w:val="clear" w:color="auto" w:fill="F7F7F7"/>
              </w:tcPr>
              <w:p w14:paraId="57BD07BB" w14:textId="77777777" w:rsidR="00C63E2C" w:rsidRPr="00C63E2C" w:rsidRDefault="002C3F71" w:rsidP="00C63E2C">
                <w:pPr>
                  <w:pStyle w:val="Normal69"/>
                  <w:keepNext/>
                  <w:rPr>
                    <w:rFonts w:asciiTheme="minorHAnsi" w:hAnsiTheme="minorHAnsi"/>
                    <w:sz w:val="22"/>
                  </w:rPr>
                </w:pPr>
                <w:r w:rsidRPr="00C63E2C">
                  <w:rPr>
                    <w:rFonts w:asciiTheme="minorHAnsi" w:hAnsiTheme="minorHAnsi"/>
                    <w:b/>
                    <w:bCs/>
                    <w:color w:val="172D5F"/>
                    <w:sz w:val="22"/>
                  </w:rPr>
                  <w:t>A.2 Intermediate Results Indicators</w:t>
                </w:r>
              </w:p>
            </w:tc>
          </w:tr>
        </w:tbl>
        <w:p w14:paraId="3805D952" w14:textId="77777777" w:rsidR="00C63E2C" w:rsidRPr="00C63E2C" w:rsidRDefault="00C63E2C" w:rsidP="00C63E2C">
          <w:pPr>
            <w:pStyle w:val="Normal69"/>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5"/>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115" w:type="dxa"/>
              <w:right w:w="115" w:type="dxa"/>
            </w:tblCellMar>
            <w:tblLook w:val="04A0" w:firstRow="1" w:lastRow="0" w:firstColumn="1" w:lastColumn="0" w:noHBand="0" w:noVBand="1"/>
          </w:tblPr>
          <w:tblGrid>
            <w:gridCol w:w="14130"/>
          </w:tblGrid>
          <w:tr w:rsidR="00E63776" w14:paraId="645EBD7C" w14:textId="77777777" w:rsidTr="009E631B">
            <w:trPr>
              <w:trHeight w:val="70"/>
              <w:tblHeader/>
            </w:trPr>
            <w:tc>
              <w:tcPr>
                <w:tcW w:w="14130" w:type="dxa"/>
                <w:shd w:val="clear" w:color="auto" w:fill="F7F7F7"/>
                <w:vAlign w:val="center"/>
              </w:tcPr>
              <w:p w14:paraId="536EFFF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c>
          </w:tr>
          <w:tr w:rsidR="00E63776" w14:paraId="1D41C311" w14:textId="77777777" w:rsidTr="009E631B">
            <w:trPr>
              <w:trHeight w:val="405"/>
            </w:trPr>
            <w:tc>
              <w:tcPr>
                <w:tcW w:w="14130" w:type="dxa"/>
                <w:shd w:val="clear" w:color="auto" w:fill="F7F7F7"/>
                <w:vAlign w:val="center"/>
              </w:tcPr>
              <w:p w14:paraId="21982992"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6A28834C" w14:textId="77777777" w:rsidTr="00847E06">
                  <w:trPr>
                    <w:gridAfter w:val="1"/>
                    <w:wAfter w:w="20" w:type="dxa"/>
                    <w:trHeight w:val="20"/>
                  </w:trPr>
                  <w:tc>
                    <w:tcPr>
                      <w:tcW w:w="13922" w:type="dxa"/>
                      <w:gridSpan w:val="7"/>
                      <w:tcBorders>
                        <w:top w:val="nil"/>
                        <w:left w:val="nil"/>
                        <w:bottom w:val="nil"/>
                        <w:right w:val="nil"/>
                      </w:tcBorders>
                      <w:shd w:val="clear" w:color="auto" w:fill="F7F7F7"/>
                      <w:vAlign w:val="center"/>
                    </w:tcPr>
                    <w:p w14:paraId="657F929D" w14:textId="77777777" w:rsidR="006B2F25" w:rsidRPr="00F16CCF" w:rsidRDefault="006B2F25" w:rsidP="006B2F25">
                      <w:pPr>
                        <w:pStyle w:val="Normal69"/>
                        <w:keepNext/>
                        <w:spacing w:line="14" w:lineRule="exact"/>
                        <w:ind w:left="115"/>
                        <w:rPr>
                          <w:rFonts w:asciiTheme="minorHAnsi" w:hAnsiTheme="minorHAnsi"/>
                          <w:b/>
                          <w:sz w:val="22"/>
                          <w:szCs w:val="22"/>
                        </w:rPr>
                      </w:pPr>
                    </w:p>
                  </w:tc>
                </w:tr>
                <w:tr w:rsidR="00E63776" w14:paraId="1142AF1C" w14:textId="77777777" w:rsidTr="00847E06">
                  <w:trPr>
                    <w:gridAfter w:val="1"/>
                    <w:wAfter w:w="20" w:type="dxa"/>
                    <w:trHeight w:val="288"/>
                  </w:trPr>
                  <w:tc>
                    <w:tcPr>
                      <w:tcW w:w="13922" w:type="dxa"/>
                      <w:gridSpan w:val="7"/>
                      <w:tcBorders>
                        <w:top w:val="nil"/>
                        <w:left w:val="nil"/>
                        <w:bottom w:val="nil"/>
                        <w:right w:val="nil"/>
                      </w:tcBorders>
                      <w:shd w:val="clear" w:color="auto" w:fill="F7F7F7"/>
                    </w:tcPr>
                    <w:p w14:paraId="2F41FAE3" w14:textId="77777777" w:rsidR="006B2F25" w:rsidRPr="005C762D" w:rsidRDefault="002C3F71" w:rsidP="006B2F25">
                      <w:pPr>
                        <w:pStyle w:val="Normal69"/>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Component 1 : Remediation of the closed uranium milling site in Malargue, Mendoza</w:t>
                      </w:r>
                    </w:p>
                  </w:tc>
                </w:tr>
                <w:tr w:rsidR="00E63776" w14:paraId="450FF896" w14:textId="77777777" w:rsidTr="00847E06">
                  <w:trPr>
                    <w:trHeight w:val="288"/>
                  </w:trPr>
                  <w:tc>
                    <w:tcPr>
                      <w:tcW w:w="2943" w:type="dxa"/>
                      <w:tcBorders>
                        <w:top w:val="single" w:sz="4" w:space="0" w:color="D9D9D9"/>
                      </w:tcBorders>
                      <w:shd w:val="clear" w:color="auto" w:fill="F7F7F7"/>
                      <w:vAlign w:val="center"/>
                    </w:tcPr>
                    <w:p w14:paraId="4644741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4B25F1D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09BC99E2"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23682A7A"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6E3246B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19CF9D6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4CD5E71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16428D0A" w14:textId="77777777" w:rsidTr="00847E06">
                  <w:trPr>
                    <w:gridAfter w:val="1"/>
                    <w:wAfter w:w="20" w:type="dxa"/>
                    <w:trHeight w:val="368"/>
                  </w:trPr>
                  <w:tc>
                    <w:tcPr>
                      <w:tcW w:w="2943" w:type="dxa"/>
                      <w:vMerge w:val="restart"/>
                      <w:tcBorders>
                        <w:top w:val="single" w:sz="4" w:space="0" w:color="D9D9D9"/>
                      </w:tcBorders>
                      <w:shd w:val="clear" w:color="auto" w:fill="F7F7F7"/>
                    </w:tcPr>
                    <w:p w14:paraId="10C05D0D"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Percentage of planned site -Malargue- remediation works completed</w:t>
                      </w:r>
                    </w:p>
                  </w:tc>
                  <w:tc>
                    <w:tcPr>
                      <w:tcW w:w="1616" w:type="dxa"/>
                      <w:tcBorders>
                        <w:top w:val="single" w:sz="4" w:space="0" w:color="D9D9D9"/>
                        <w:bottom w:val="nil"/>
                      </w:tcBorders>
                      <w:shd w:val="clear" w:color="auto" w:fill="F7F7F7"/>
                    </w:tcPr>
                    <w:p w14:paraId="3EBE64EF"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2932FAEB"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23D0D7E6"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tcBorders>
                        <w:top w:val="single" w:sz="4" w:space="0" w:color="D9D9D9"/>
                        <w:bottom w:val="nil"/>
                      </w:tcBorders>
                      <w:shd w:val="clear" w:color="auto" w:fill="F7F7F7"/>
                    </w:tcPr>
                    <w:p w14:paraId="1DF753D2"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34575AC8"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100%</w:t>
                      </w:r>
                    </w:p>
                  </w:tc>
                </w:tr>
                <w:tr w:rsidR="00E63776" w14:paraId="37C33E0F" w14:textId="77777777" w:rsidTr="00847E06">
                  <w:trPr>
                    <w:gridAfter w:val="1"/>
                    <w:wAfter w:w="20" w:type="dxa"/>
                    <w:trHeight w:val="367"/>
                  </w:trPr>
                  <w:tc>
                    <w:tcPr>
                      <w:tcW w:w="2943" w:type="dxa"/>
                      <w:vMerge/>
                      <w:shd w:val="clear" w:color="auto" w:fill="F7F7F7"/>
                    </w:tcPr>
                    <w:p w14:paraId="12297F12"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5CFC7F1F"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5DA5C132"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3AF17B73"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5D19ADE9"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3D31BA42"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5ADA7CE2" w14:textId="77777777" w:rsidTr="00847E06">
                  <w:trPr>
                    <w:gridAfter w:val="1"/>
                    <w:wAfter w:w="20" w:type="dxa"/>
                    <w:trHeight w:val="288"/>
                  </w:trPr>
                  <w:tc>
                    <w:tcPr>
                      <w:tcW w:w="13922" w:type="dxa"/>
                      <w:gridSpan w:val="7"/>
                      <w:tcBorders>
                        <w:bottom w:val="single" w:sz="4" w:space="0" w:color="D9D9D9"/>
                      </w:tcBorders>
                      <w:shd w:val="clear" w:color="auto" w:fill="F7F7F7"/>
                    </w:tcPr>
                    <w:p w14:paraId="5830953F"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4BE090C8"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0AF5D2A1"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139E2CE1"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The works at Malargue included the following two key activities: (i) relocating the tailings from their current location (which were subjected to frequent flooding) to the highest location at the site, and (ii) encapsulating (or geologically isolating) the relocated tailings so as to confine it with materials that would control the radiation from being in contact with key environmental media (namely soil, water and air) and thus comply with the established radiation norms and standards. To ensure the containment of the mineral waste piles, an engineering solution comprising a system of multiple and redundant barriers of impermeable clays and rocks that supported their encapsulation, and designed a semi-peripheral drainage system in order to depress the level of the phreatic aquifer below the relocated tailings’ site.</w:t>
                      </w:r>
                    </w:p>
                    <w:p w14:paraId="362C64AB" w14:textId="77777777" w:rsidR="00D87C3F" w:rsidRDefault="00D87C3F" w:rsidP="00D87C3F">
                      <w:pPr>
                        <w:pStyle w:val="Normal69"/>
                        <w:ind w:left="90"/>
                        <w:rPr>
                          <w:rFonts w:asciiTheme="minorHAnsi" w:hAnsiTheme="minorHAnsi"/>
                          <w:sz w:val="22"/>
                          <w:szCs w:val="22"/>
                        </w:rPr>
                      </w:pPr>
                    </w:p>
                    <w:p w14:paraId="601EBF0C"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Thus, the Malargüe remediation Works were fully achieved (including the tailing removal (completed 100) and the encapsulation cell (100% completed)).</w:t>
                      </w:r>
                    </w:p>
                    <w:p w14:paraId="169421C7" w14:textId="77777777" w:rsidR="006B2F25" w:rsidRPr="00C63E2C" w:rsidRDefault="006B2F25" w:rsidP="00D87C3F">
                      <w:pPr>
                        <w:pStyle w:val="Normal69"/>
                        <w:ind w:left="90"/>
                        <w:rPr>
                          <w:rFonts w:asciiTheme="minorHAnsi" w:hAnsiTheme="minorHAnsi"/>
                          <w:sz w:val="22"/>
                          <w:szCs w:val="22"/>
                        </w:rPr>
                      </w:pPr>
                    </w:p>
                  </w:tc>
                </w:tr>
                <w:tr w:rsidR="00E63776" w14:paraId="2111041B"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011F190F"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24D7475E"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71D9B20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493A3F8A" w14:textId="77777777" w:rsidTr="00847E06">
                  <w:trPr>
                    <w:trHeight w:val="288"/>
                  </w:trPr>
                  <w:tc>
                    <w:tcPr>
                      <w:tcW w:w="2943" w:type="dxa"/>
                      <w:tcBorders>
                        <w:top w:val="single" w:sz="4" w:space="0" w:color="D9D9D9"/>
                      </w:tcBorders>
                      <w:shd w:val="clear" w:color="auto" w:fill="F7F7F7"/>
                      <w:vAlign w:val="center"/>
                    </w:tcPr>
                    <w:p w14:paraId="478FCD09"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72B9B8B2"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59EF6A1E"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50C6D8A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7771D9F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65C33F5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0E6163B1"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599FF8C8" w14:textId="77777777" w:rsidTr="00847E06">
                  <w:trPr>
                    <w:gridAfter w:val="1"/>
                    <w:wAfter w:w="20" w:type="dxa"/>
                    <w:trHeight w:val="368"/>
                  </w:trPr>
                  <w:tc>
                    <w:tcPr>
                      <w:tcW w:w="2943" w:type="dxa"/>
                      <w:vMerge w:val="restart"/>
                      <w:tcBorders>
                        <w:top w:val="single" w:sz="4" w:space="0" w:color="D9D9D9"/>
                      </w:tcBorders>
                      <w:shd w:val="clear" w:color="auto" w:fill="F7F7F7"/>
                    </w:tcPr>
                    <w:p w14:paraId="5AA45A7C"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Reduced risk of environmental pollution by the transportation and removal of tailings</w:t>
                      </w:r>
                    </w:p>
                  </w:tc>
                  <w:tc>
                    <w:tcPr>
                      <w:tcW w:w="1616" w:type="dxa"/>
                      <w:tcBorders>
                        <w:top w:val="single" w:sz="4" w:space="0" w:color="D9D9D9"/>
                        <w:bottom w:val="nil"/>
                      </w:tcBorders>
                      <w:shd w:val="clear" w:color="auto" w:fill="F7F7F7"/>
                    </w:tcPr>
                    <w:p w14:paraId="6E304094"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4C2A5F6E"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109BEDEF"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 transportation of tailings completed</w:t>
                      </w:r>
                    </w:p>
                  </w:tc>
                  <w:tc>
                    <w:tcPr>
                      <w:tcW w:w="2340" w:type="dxa"/>
                      <w:tcBorders>
                        <w:top w:val="single" w:sz="4" w:space="0" w:color="D9D9D9"/>
                        <w:bottom w:val="nil"/>
                      </w:tcBorders>
                      <w:shd w:val="clear" w:color="auto" w:fill="F7F7F7"/>
                    </w:tcPr>
                    <w:p w14:paraId="49039DAD"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2AC4C400"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100%</w:t>
                      </w:r>
                    </w:p>
                  </w:tc>
                </w:tr>
                <w:tr w:rsidR="00E63776" w14:paraId="6B2EAD6E" w14:textId="77777777" w:rsidTr="00847E06">
                  <w:trPr>
                    <w:gridAfter w:val="1"/>
                    <w:wAfter w:w="20" w:type="dxa"/>
                    <w:trHeight w:val="367"/>
                  </w:trPr>
                  <w:tc>
                    <w:tcPr>
                      <w:tcW w:w="2943" w:type="dxa"/>
                      <w:vMerge/>
                      <w:shd w:val="clear" w:color="auto" w:fill="F7F7F7"/>
                    </w:tcPr>
                    <w:p w14:paraId="6918071E"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59D5EA68"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7E8E6FD2"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3964B58A"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6795387C"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62A4E694"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02F7FBCF" w14:textId="77777777" w:rsidTr="00847E06">
                  <w:trPr>
                    <w:gridAfter w:val="1"/>
                    <w:wAfter w:w="20" w:type="dxa"/>
                    <w:trHeight w:val="288"/>
                  </w:trPr>
                  <w:tc>
                    <w:tcPr>
                      <w:tcW w:w="13922" w:type="dxa"/>
                      <w:gridSpan w:val="7"/>
                      <w:tcBorders>
                        <w:bottom w:val="single" w:sz="4" w:space="0" w:color="D9D9D9"/>
                      </w:tcBorders>
                      <w:shd w:val="clear" w:color="auto" w:fill="F7F7F7"/>
                    </w:tcPr>
                    <w:p w14:paraId="78C043DA"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3501E6B8"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7E83E02E" w14:textId="77777777" w:rsidR="006B2F25" w:rsidRPr="00C63E2C" w:rsidRDefault="002C3F71" w:rsidP="00D87C3F">
                      <w:pPr>
                        <w:pStyle w:val="Normal69"/>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sidR="00D87C3F">
                        <w:rPr>
                          <w:rFonts w:asciiTheme="minorHAnsi" w:hAnsiTheme="minorHAnsi"/>
                          <w:noProof/>
                          <w:sz w:val="22"/>
                          <w:szCs w:val="22"/>
                        </w:rPr>
                        <w:t>Indicator Achieved [100%].  The transportation of tailings and final enclosure completed.</w:t>
                      </w:r>
                    </w:p>
                    <w:p w14:paraId="243C3675" w14:textId="77777777" w:rsidR="006B2F25" w:rsidRPr="00C63E2C" w:rsidRDefault="006B2F25" w:rsidP="00D87C3F">
                      <w:pPr>
                        <w:pStyle w:val="Normal69"/>
                        <w:ind w:left="90"/>
                        <w:rPr>
                          <w:rFonts w:asciiTheme="minorHAnsi" w:hAnsiTheme="minorHAnsi"/>
                          <w:sz w:val="22"/>
                          <w:szCs w:val="22"/>
                        </w:rPr>
                      </w:pPr>
                    </w:p>
                  </w:tc>
                </w:tr>
                <w:tr w:rsidR="00E63776" w14:paraId="163E535D"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24FCEDDF"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7010D7F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513A465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19B8B751" w14:textId="77777777" w:rsidTr="00847E06">
                  <w:trPr>
                    <w:trHeight w:val="288"/>
                  </w:trPr>
                  <w:tc>
                    <w:tcPr>
                      <w:tcW w:w="2943" w:type="dxa"/>
                      <w:tcBorders>
                        <w:top w:val="single" w:sz="4" w:space="0" w:color="D9D9D9"/>
                      </w:tcBorders>
                      <w:shd w:val="clear" w:color="auto" w:fill="F7F7F7"/>
                      <w:vAlign w:val="center"/>
                    </w:tcPr>
                    <w:p w14:paraId="43A9848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594EBBE2"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3C8AC2D0"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32608D1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3D126C6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06D651B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670A85B7"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6AEC534C" w14:textId="77777777" w:rsidTr="00847E06">
                  <w:trPr>
                    <w:gridAfter w:val="1"/>
                    <w:wAfter w:w="20" w:type="dxa"/>
                    <w:trHeight w:val="368"/>
                  </w:trPr>
                  <w:tc>
                    <w:tcPr>
                      <w:tcW w:w="2943" w:type="dxa"/>
                      <w:vMerge w:val="restart"/>
                      <w:tcBorders>
                        <w:top w:val="single" w:sz="4" w:space="0" w:color="D9D9D9"/>
                      </w:tcBorders>
                      <w:shd w:val="clear" w:color="auto" w:fill="F7F7F7"/>
                    </w:tcPr>
                    <w:p w14:paraId="5E5D5F3D"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Proportion of field samples and lab analysis which adhere to QA/QC procedures</w:t>
                      </w:r>
                    </w:p>
                  </w:tc>
                  <w:tc>
                    <w:tcPr>
                      <w:tcW w:w="1616" w:type="dxa"/>
                      <w:tcBorders>
                        <w:top w:val="single" w:sz="4" w:space="0" w:color="D9D9D9"/>
                        <w:bottom w:val="nil"/>
                      </w:tcBorders>
                      <w:shd w:val="clear" w:color="auto" w:fill="F7F7F7"/>
                    </w:tcPr>
                    <w:p w14:paraId="3F1B8592"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Percentage</w:t>
                      </w:r>
                    </w:p>
                  </w:tc>
                  <w:tc>
                    <w:tcPr>
                      <w:tcW w:w="2346" w:type="dxa"/>
                      <w:tcBorders>
                        <w:top w:val="single" w:sz="4" w:space="0" w:color="D9D9D9"/>
                        <w:bottom w:val="nil"/>
                      </w:tcBorders>
                      <w:shd w:val="clear" w:color="auto" w:fill="F7F7F7"/>
                    </w:tcPr>
                    <w:p w14:paraId="1DE006C9"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14:paraId="36711135"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100.00</w:t>
                      </w:r>
                    </w:p>
                  </w:tc>
                  <w:tc>
                    <w:tcPr>
                      <w:tcW w:w="2340" w:type="dxa"/>
                      <w:tcBorders>
                        <w:top w:val="single" w:sz="4" w:space="0" w:color="D9D9D9"/>
                        <w:bottom w:val="nil"/>
                      </w:tcBorders>
                      <w:shd w:val="clear" w:color="auto" w:fill="F7F7F7"/>
                    </w:tcPr>
                    <w:p w14:paraId="2AADDCF8"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100.00</w:t>
                      </w:r>
                    </w:p>
                  </w:tc>
                  <w:tc>
                    <w:tcPr>
                      <w:tcW w:w="2340" w:type="dxa"/>
                      <w:gridSpan w:val="2"/>
                      <w:tcBorders>
                        <w:top w:val="single" w:sz="4" w:space="0" w:color="D9D9D9"/>
                        <w:bottom w:val="nil"/>
                      </w:tcBorders>
                      <w:shd w:val="clear" w:color="auto" w:fill="F7F7F7"/>
                    </w:tcPr>
                    <w:p w14:paraId="6B02F134"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100.00</w:t>
                      </w:r>
                    </w:p>
                  </w:tc>
                </w:tr>
                <w:tr w:rsidR="00E63776" w14:paraId="7212975B" w14:textId="77777777" w:rsidTr="00847E06">
                  <w:trPr>
                    <w:gridAfter w:val="1"/>
                    <w:wAfter w:w="20" w:type="dxa"/>
                    <w:trHeight w:val="367"/>
                  </w:trPr>
                  <w:tc>
                    <w:tcPr>
                      <w:tcW w:w="2943" w:type="dxa"/>
                      <w:vMerge/>
                      <w:shd w:val="clear" w:color="auto" w:fill="F7F7F7"/>
                    </w:tcPr>
                    <w:p w14:paraId="07446ABF"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66BFD6A9"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689AF0DA"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1B16C4C6"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538790C8"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12CA32FC"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57550CC3" w14:textId="77777777" w:rsidTr="00847E06">
                  <w:trPr>
                    <w:gridAfter w:val="1"/>
                    <w:wAfter w:w="20" w:type="dxa"/>
                    <w:trHeight w:val="288"/>
                  </w:trPr>
                  <w:tc>
                    <w:tcPr>
                      <w:tcW w:w="13922" w:type="dxa"/>
                      <w:gridSpan w:val="7"/>
                      <w:tcBorders>
                        <w:bottom w:val="single" w:sz="4" w:space="0" w:color="D9D9D9"/>
                      </w:tcBorders>
                      <w:shd w:val="clear" w:color="auto" w:fill="F7F7F7"/>
                    </w:tcPr>
                    <w:p w14:paraId="4E456589"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63C68525"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74D7866E"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0B4D11E4"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All samples collected as part of the environmental, physical and radiological monitoring plan followed quality assurance and control procedures in the field and in the laboratories in conformity to the IAEA standards. The ARN and COCALIN (for labs) verified that the QA/QC procedures consistent with local norms and up to international standards.  Considering that prior to the project the samples did not follow any particular protocol, it can be concluded that capacity has been improved and strengthened for undertaking field samples and laboratory analysis.</w:t>
                      </w:r>
                    </w:p>
                    <w:p w14:paraId="26B408E8" w14:textId="77777777" w:rsidR="006B2F25" w:rsidRPr="00C63E2C" w:rsidRDefault="006B2F25" w:rsidP="00D87C3F">
                      <w:pPr>
                        <w:pStyle w:val="Normal69"/>
                        <w:ind w:left="90"/>
                        <w:rPr>
                          <w:rFonts w:asciiTheme="minorHAnsi" w:hAnsiTheme="minorHAnsi"/>
                          <w:sz w:val="22"/>
                          <w:szCs w:val="22"/>
                        </w:rPr>
                      </w:pPr>
                    </w:p>
                  </w:tc>
                </w:tr>
                <w:tr w:rsidR="00E63776" w14:paraId="50465DA2"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51EEC69D"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3682FF92"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5A935735"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644CBF5A" w14:textId="77777777" w:rsidTr="00847E06">
                  <w:trPr>
                    <w:trHeight w:val="288"/>
                  </w:trPr>
                  <w:tc>
                    <w:tcPr>
                      <w:tcW w:w="2943" w:type="dxa"/>
                      <w:tcBorders>
                        <w:top w:val="single" w:sz="4" w:space="0" w:color="D9D9D9"/>
                      </w:tcBorders>
                      <w:shd w:val="clear" w:color="auto" w:fill="F7F7F7"/>
                      <w:vAlign w:val="center"/>
                    </w:tcPr>
                    <w:p w14:paraId="61857DEB"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593C8F4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0350F6F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541E9A8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351BD7A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082C4C7A"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267EAA01"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147753F7" w14:textId="77777777" w:rsidTr="00847E06">
                  <w:trPr>
                    <w:gridAfter w:val="1"/>
                    <w:wAfter w:w="20" w:type="dxa"/>
                    <w:trHeight w:val="368"/>
                  </w:trPr>
                  <w:tc>
                    <w:tcPr>
                      <w:tcW w:w="2943" w:type="dxa"/>
                      <w:vMerge w:val="restart"/>
                      <w:tcBorders>
                        <w:top w:val="single" w:sz="4" w:space="0" w:color="D9D9D9"/>
                      </w:tcBorders>
                      <w:shd w:val="clear" w:color="auto" w:fill="F7F7F7"/>
                    </w:tcPr>
                    <w:p w14:paraId="6F55DB79"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Communication Strategy in Malargüe is designed, implemented and results evaluated</w:t>
                      </w:r>
                    </w:p>
                  </w:tc>
                  <w:tc>
                    <w:tcPr>
                      <w:tcW w:w="1616" w:type="dxa"/>
                      <w:tcBorders>
                        <w:top w:val="single" w:sz="4" w:space="0" w:color="D9D9D9"/>
                        <w:bottom w:val="nil"/>
                      </w:tcBorders>
                      <w:shd w:val="clear" w:color="auto" w:fill="F7F7F7"/>
                    </w:tcPr>
                    <w:p w14:paraId="4BD1B3DB"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46EDBEFC"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29C4AF00"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tcBorders>
                        <w:top w:val="single" w:sz="4" w:space="0" w:color="D9D9D9"/>
                        <w:bottom w:val="nil"/>
                      </w:tcBorders>
                      <w:shd w:val="clear" w:color="auto" w:fill="F7F7F7"/>
                    </w:tcPr>
                    <w:p w14:paraId="797A6A97"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685809A8"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100</w:t>
                      </w:r>
                    </w:p>
                  </w:tc>
                </w:tr>
                <w:tr w:rsidR="00E63776" w14:paraId="2945EB23" w14:textId="77777777" w:rsidTr="00847E06">
                  <w:trPr>
                    <w:gridAfter w:val="1"/>
                    <w:wAfter w:w="20" w:type="dxa"/>
                    <w:trHeight w:val="367"/>
                  </w:trPr>
                  <w:tc>
                    <w:tcPr>
                      <w:tcW w:w="2943" w:type="dxa"/>
                      <w:vMerge/>
                      <w:shd w:val="clear" w:color="auto" w:fill="F7F7F7"/>
                    </w:tcPr>
                    <w:p w14:paraId="40DCEDB7"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76986E27"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50C6C4D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747AD49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273B305A"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27-Jun-2016</w:t>
                      </w:r>
                    </w:p>
                  </w:tc>
                  <w:tc>
                    <w:tcPr>
                      <w:tcW w:w="2340" w:type="dxa"/>
                      <w:gridSpan w:val="2"/>
                      <w:tcBorders>
                        <w:top w:val="nil"/>
                        <w:bottom w:val="single" w:sz="4" w:space="0" w:color="D9D9D9"/>
                      </w:tcBorders>
                      <w:shd w:val="clear" w:color="auto" w:fill="F7F7F7"/>
                    </w:tcPr>
                    <w:p w14:paraId="24BAB1D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7992AC4F" w14:textId="77777777" w:rsidTr="00847E06">
                  <w:trPr>
                    <w:gridAfter w:val="1"/>
                    <w:wAfter w:w="20" w:type="dxa"/>
                    <w:trHeight w:val="288"/>
                  </w:trPr>
                  <w:tc>
                    <w:tcPr>
                      <w:tcW w:w="13922" w:type="dxa"/>
                      <w:gridSpan w:val="7"/>
                      <w:tcBorders>
                        <w:bottom w:val="single" w:sz="4" w:space="0" w:color="D9D9D9"/>
                      </w:tcBorders>
                      <w:shd w:val="clear" w:color="auto" w:fill="F7F7F7"/>
                    </w:tcPr>
                    <w:p w14:paraId="7A5A699D"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7C46149B"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0AE951B5"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33F03BBC"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The communication strategy (which began with the consultation process before the project became effective) was implemented as follows: (a) a communication specialist was hired by PRAMU; (b) survey with focus groups were conducted at project sites and a report prepared; and (c) perception analysis were undertaken. In addition, events were organized to create awareness and to share best practices on the remediation of legacy mining sites. At Malargue, the results of the works were disseminated in a seminar delivered with ample participation of local stakeholders on April 19, 2017 during the National Radiological Protection Day.</w:t>
                      </w:r>
                    </w:p>
                    <w:p w14:paraId="223070DE" w14:textId="77777777" w:rsidR="00D87C3F" w:rsidRDefault="00D87C3F" w:rsidP="00D87C3F">
                      <w:pPr>
                        <w:pStyle w:val="Normal69"/>
                        <w:ind w:left="90"/>
                        <w:rPr>
                          <w:rFonts w:asciiTheme="minorHAnsi" w:hAnsiTheme="minorHAnsi"/>
                          <w:sz w:val="22"/>
                          <w:szCs w:val="22"/>
                        </w:rPr>
                      </w:pPr>
                    </w:p>
                    <w:p w14:paraId="3766B8C2"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Likewise, the Provincial Government of Mendoza organized an event in Malargue on May 5, 2017, the National Mining Day, to discuss the mining priorities of the invitees and had a site visit to the Malargue remediation site to show case good practice in remediation of mining legacies.</w:t>
                      </w:r>
                    </w:p>
                    <w:p w14:paraId="7ACAC895" w14:textId="77777777" w:rsidR="00D87C3F" w:rsidRDefault="00D87C3F" w:rsidP="00D87C3F">
                      <w:pPr>
                        <w:pStyle w:val="Normal69"/>
                        <w:ind w:left="90"/>
                        <w:rPr>
                          <w:rFonts w:asciiTheme="minorHAnsi" w:hAnsiTheme="minorHAnsi"/>
                          <w:sz w:val="22"/>
                          <w:szCs w:val="22"/>
                        </w:rPr>
                      </w:pPr>
                    </w:p>
                    <w:p w14:paraId="507E01BA"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Furthermore, the communication strategy included a consultation process and dissemination of the agreed design for the green public space at Malargue.   For the most part, the audience of the communication strategy were the communities at the project sites (namely Malargue, Los Gigantes and El Chichon).  The consultation processes and exchanges with the community often impacted on the works and plans (as evidenced by the design of the green public space at Malargue).</w:t>
                      </w:r>
                    </w:p>
                    <w:p w14:paraId="0D151151" w14:textId="77777777" w:rsidR="006B2F25" w:rsidRPr="00C63E2C" w:rsidRDefault="006B2F25" w:rsidP="00D87C3F">
                      <w:pPr>
                        <w:pStyle w:val="Normal69"/>
                        <w:ind w:left="90"/>
                        <w:rPr>
                          <w:rFonts w:asciiTheme="minorHAnsi" w:hAnsiTheme="minorHAnsi"/>
                          <w:sz w:val="22"/>
                          <w:szCs w:val="22"/>
                        </w:rPr>
                      </w:pPr>
                    </w:p>
                  </w:tc>
                </w:tr>
                <w:tr w:rsidR="00E63776" w14:paraId="155E65F1"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279189C1"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61798433"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0DD1747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261D03D4" w14:textId="77777777" w:rsidTr="00847E06">
                  <w:trPr>
                    <w:trHeight w:val="288"/>
                  </w:trPr>
                  <w:tc>
                    <w:tcPr>
                      <w:tcW w:w="2943" w:type="dxa"/>
                      <w:tcBorders>
                        <w:top w:val="single" w:sz="4" w:space="0" w:color="D9D9D9"/>
                      </w:tcBorders>
                      <w:shd w:val="clear" w:color="auto" w:fill="F7F7F7"/>
                      <w:vAlign w:val="center"/>
                    </w:tcPr>
                    <w:p w14:paraId="376DCE3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0A8C539F"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4470AD1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31AE0DC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7D532F68"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7B4E97BF"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11207B0B"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5FA3552C" w14:textId="77777777" w:rsidTr="00847E06">
                  <w:trPr>
                    <w:gridAfter w:val="1"/>
                    <w:wAfter w:w="20" w:type="dxa"/>
                    <w:trHeight w:val="368"/>
                  </w:trPr>
                  <w:tc>
                    <w:tcPr>
                      <w:tcW w:w="2943" w:type="dxa"/>
                      <w:vMerge w:val="restart"/>
                      <w:tcBorders>
                        <w:top w:val="single" w:sz="4" w:space="0" w:color="D9D9D9"/>
                      </w:tcBorders>
                      <w:shd w:val="clear" w:color="auto" w:fill="F7F7F7"/>
                    </w:tcPr>
                    <w:p w14:paraId="4228A3A6"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Design of public (green) space at the Malargüe site agreed with stakeholders and with municipality and preliminary works initiated</w:t>
                      </w:r>
                    </w:p>
                  </w:tc>
                  <w:tc>
                    <w:tcPr>
                      <w:tcW w:w="1616" w:type="dxa"/>
                      <w:tcBorders>
                        <w:top w:val="single" w:sz="4" w:space="0" w:color="D9D9D9"/>
                        <w:bottom w:val="nil"/>
                      </w:tcBorders>
                      <w:shd w:val="clear" w:color="auto" w:fill="F7F7F7"/>
                    </w:tcPr>
                    <w:p w14:paraId="2C1AE3A8"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1E9C8165"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751CBF9A"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tcBorders>
                        <w:top w:val="single" w:sz="4" w:space="0" w:color="D9D9D9"/>
                        <w:bottom w:val="nil"/>
                      </w:tcBorders>
                      <w:shd w:val="clear" w:color="auto" w:fill="F7F7F7"/>
                    </w:tcPr>
                    <w:p w14:paraId="6AEF74D3"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w:t>
                      </w:r>
                    </w:p>
                  </w:tc>
                  <w:tc>
                    <w:tcPr>
                      <w:tcW w:w="2340" w:type="dxa"/>
                      <w:gridSpan w:val="2"/>
                      <w:tcBorders>
                        <w:top w:val="single" w:sz="4" w:space="0" w:color="D9D9D9"/>
                        <w:bottom w:val="nil"/>
                      </w:tcBorders>
                      <w:shd w:val="clear" w:color="auto" w:fill="F7F7F7"/>
                    </w:tcPr>
                    <w:p w14:paraId="7F61A27B"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100</w:t>
                      </w:r>
                    </w:p>
                  </w:tc>
                </w:tr>
                <w:tr w:rsidR="00E63776" w14:paraId="76BF0CC5" w14:textId="77777777" w:rsidTr="00847E06">
                  <w:trPr>
                    <w:gridAfter w:val="1"/>
                    <w:wAfter w:w="20" w:type="dxa"/>
                    <w:trHeight w:val="367"/>
                  </w:trPr>
                  <w:tc>
                    <w:tcPr>
                      <w:tcW w:w="2943" w:type="dxa"/>
                      <w:vMerge/>
                      <w:shd w:val="clear" w:color="auto" w:fill="F7F7F7"/>
                    </w:tcPr>
                    <w:p w14:paraId="18076901"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6F54140B"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0791CB2F"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7F2C6DD0"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667DB70D"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7FE45C8A"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r>
                <w:tr w:rsidR="00E63776" w14:paraId="04B89A02" w14:textId="77777777" w:rsidTr="00847E06">
                  <w:trPr>
                    <w:gridAfter w:val="1"/>
                    <w:wAfter w:w="20" w:type="dxa"/>
                    <w:trHeight w:val="288"/>
                  </w:trPr>
                  <w:tc>
                    <w:tcPr>
                      <w:tcW w:w="13922" w:type="dxa"/>
                      <w:gridSpan w:val="7"/>
                      <w:tcBorders>
                        <w:bottom w:val="single" w:sz="4" w:space="0" w:color="D9D9D9"/>
                      </w:tcBorders>
                      <w:shd w:val="clear" w:color="auto" w:fill="F7F7F7"/>
                    </w:tcPr>
                    <w:p w14:paraId="1A59DE79"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43DE851B"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38F8EE3B"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40D82D6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Environmental Management Plan that resulted from the EIA, recommended the establishment of a green park/public recreational space adjacent to the remediated legacies.   Thus, as part of the mitigation measures at the legacy site, the municipality and CNEA agreed to build a public green space in a non-contaminated area adjacent to the Malargüe site based on a design proposed by local citizens through a consultation process.  The green park (valued at US$1.2M) comprises a 7-hectare space and includes bike paths, playground for kids, an amphitheater, sports facilities, and an expo space where the history of the milling site and the risks associated to radioactive pollution would be highlighted.  </w:t>
                      </w:r>
                    </w:p>
                    <w:p w14:paraId="40532F7F" w14:textId="77777777" w:rsidR="00D87C3F" w:rsidRDefault="00D87C3F" w:rsidP="00D87C3F">
                      <w:pPr>
                        <w:pStyle w:val="Normal69"/>
                        <w:ind w:left="90"/>
                        <w:rPr>
                          <w:rFonts w:asciiTheme="minorHAnsi" w:hAnsiTheme="minorHAnsi"/>
                          <w:sz w:val="22"/>
                          <w:szCs w:val="22"/>
                        </w:rPr>
                      </w:pPr>
                    </w:p>
                    <w:p w14:paraId="5251FBDE"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Since its inauguration, the park has had already a large number of visits, and an overall positive social impact to the community in that it has reduced the local concerns towards the legacy site.  By building this public space, CNEA (and local authorities) have enhanced its capacity by applying one of the key lessons of remediating a contaminated site: building the trust with the local community.  </w:t>
                      </w:r>
                    </w:p>
                    <w:p w14:paraId="2E386098" w14:textId="77777777" w:rsidR="006B2F25" w:rsidRPr="00C63E2C" w:rsidRDefault="006B2F25" w:rsidP="00D87C3F">
                      <w:pPr>
                        <w:pStyle w:val="Normal69"/>
                        <w:ind w:left="90"/>
                        <w:rPr>
                          <w:rFonts w:asciiTheme="minorHAnsi" w:hAnsiTheme="minorHAnsi"/>
                          <w:sz w:val="22"/>
                          <w:szCs w:val="22"/>
                        </w:rPr>
                      </w:pPr>
                    </w:p>
                  </w:tc>
                </w:tr>
                <w:tr w:rsidR="00E63776" w14:paraId="3CDB4ABF"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4AA52723"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43CF63D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063622E0"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0C955B0E" w14:textId="77777777" w:rsidTr="00847E06">
                  <w:trPr>
                    <w:gridAfter w:val="1"/>
                    <w:wAfter w:w="20" w:type="dxa"/>
                    <w:trHeight w:val="20"/>
                  </w:trPr>
                  <w:tc>
                    <w:tcPr>
                      <w:tcW w:w="13922" w:type="dxa"/>
                      <w:gridSpan w:val="7"/>
                      <w:tcBorders>
                        <w:top w:val="nil"/>
                        <w:left w:val="nil"/>
                        <w:bottom w:val="nil"/>
                        <w:right w:val="nil"/>
                      </w:tcBorders>
                      <w:shd w:val="clear" w:color="auto" w:fill="F7F7F7"/>
                      <w:vAlign w:val="center"/>
                    </w:tcPr>
                    <w:p w14:paraId="65E490D6" w14:textId="77777777" w:rsidR="006B2F25" w:rsidRPr="00F16CCF" w:rsidRDefault="006B2F25" w:rsidP="006B2F25">
                      <w:pPr>
                        <w:pStyle w:val="Normal69"/>
                        <w:keepNext/>
                        <w:spacing w:line="14" w:lineRule="exact"/>
                        <w:ind w:left="115"/>
                        <w:rPr>
                          <w:rFonts w:asciiTheme="minorHAnsi" w:hAnsiTheme="minorHAnsi"/>
                          <w:b/>
                          <w:sz w:val="22"/>
                          <w:szCs w:val="22"/>
                        </w:rPr>
                      </w:pPr>
                    </w:p>
                  </w:tc>
                </w:tr>
                <w:tr w:rsidR="00E63776" w14:paraId="2CAE0FF1" w14:textId="77777777" w:rsidTr="00847E06">
                  <w:trPr>
                    <w:gridAfter w:val="1"/>
                    <w:wAfter w:w="20" w:type="dxa"/>
                    <w:trHeight w:val="288"/>
                  </w:trPr>
                  <w:tc>
                    <w:tcPr>
                      <w:tcW w:w="13922" w:type="dxa"/>
                      <w:gridSpan w:val="7"/>
                      <w:tcBorders>
                        <w:top w:val="nil"/>
                        <w:left w:val="nil"/>
                        <w:bottom w:val="nil"/>
                        <w:right w:val="nil"/>
                      </w:tcBorders>
                      <w:shd w:val="clear" w:color="auto" w:fill="F7F7F7"/>
                    </w:tcPr>
                    <w:p w14:paraId="58D2DE7C" w14:textId="77777777" w:rsidR="006B2F25" w:rsidRPr="005C762D" w:rsidRDefault="002C3F71" w:rsidP="006B2F25">
                      <w:pPr>
                        <w:pStyle w:val="Normal69"/>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Component 2: Mine Restoration Planning and Institutional Strengthening by providing assistance designed to: (a) develop technical options, environmental, and social processes for addressing the remedi</w:t>
                      </w:r>
                    </w:p>
                  </w:tc>
                </w:tr>
                <w:tr w:rsidR="00E63776" w14:paraId="611D30AD" w14:textId="77777777" w:rsidTr="00847E06">
                  <w:trPr>
                    <w:trHeight w:val="288"/>
                  </w:trPr>
                  <w:tc>
                    <w:tcPr>
                      <w:tcW w:w="2943" w:type="dxa"/>
                      <w:tcBorders>
                        <w:top w:val="single" w:sz="4" w:space="0" w:color="D9D9D9"/>
                      </w:tcBorders>
                      <w:shd w:val="clear" w:color="auto" w:fill="F7F7F7"/>
                      <w:vAlign w:val="center"/>
                    </w:tcPr>
                    <w:p w14:paraId="2CA662A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06243D5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37514EA7"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45432AAB"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3CC8BF5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7C60F837"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2F1F5C1A"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4398E3DC" w14:textId="77777777" w:rsidTr="00847E06">
                  <w:trPr>
                    <w:gridAfter w:val="1"/>
                    <w:wAfter w:w="20" w:type="dxa"/>
                    <w:trHeight w:val="368"/>
                  </w:trPr>
                  <w:tc>
                    <w:tcPr>
                      <w:tcW w:w="2943" w:type="dxa"/>
                      <w:vMerge w:val="restart"/>
                      <w:tcBorders>
                        <w:top w:val="single" w:sz="4" w:space="0" w:color="D9D9D9"/>
                      </w:tcBorders>
                      <w:shd w:val="clear" w:color="auto" w:fill="F7F7F7"/>
                    </w:tcPr>
                    <w:p w14:paraId="37E157E1"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the other seven CNEA sites (El Chichon, Los Gigantes,Tonco, Pichiñan, La Estela, Los Colorados, Huemul) with environment evaluation of  legacy issues</w:t>
                      </w:r>
                    </w:p>
                  </w:tc>
                  <w:tc>
                    <w:tcPr>
                      <w:tcW w:w="1616" w:type="dxa"/>
                      <w:tcBorders>
                        <w:top w:val="single" w:sz="4" w:space="0" w:color="D9D9D9"/>
                        <w:bottom w:val="nil"/>
                      </w:tcBorders>
                      <w:shd w:val="clear" w:color="auto" w:fill="F7F7F7"/>
                    </w:tcPr>
                    <w:p w14:paraId="5AF53651"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0C31AAA1"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686B96DC"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7</w:t>
                      </w:r>
                    </w:p>
                  </w:tc>
                  <w:tc>
                    <w:tcPr>
                      <w:tcW w:w="2340" w:type="dxa"/>
                      <w:tcBorders>
                        <w:top w:val="single" w:sz="4" w:space="0" w:color="D9D9D9"/>
                        <w:bottom w:val="nil"/>
                      </w:tcBorders>
                      <w:shd w:val="clear" w:color="auto" w:fill="F7F7F7"/>
                    </w:tcPr>
                    <w:p w14:paraId="028774DB"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7</w:t>
                      </w:r>
                    </w:p>
                  </w:tc>
                  <w:tc>
                    <w:tcPr>
                      <w:tcW w:w="2340" w:type="dxa"/>
                      <w:gridSpan w:val="2"/>
                      <w:tcBorders>
                        <w:top w:val="single" w:sz="4" w:space="0" w:color="D9D9D9"/>
                        <w:bottom w:val="nil"/>
                      </w:tcBorders>
                      <w:shd w:val="clear" w:color="auto" w:fill="F7F7F7"/>
                    </w:tcPr>
                    <w:p w14:paraId="219A9D7F"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7</w:t>
                      </w:r>
                    </w:p>
                  </w:tc>
                </w:tr>
                <w:tr w:rsidR="00E63776" w14:paraId="5C0FDDA3" w14:textId="77777777" w:rsidTr="00847E06">
                  <w:trPr>
                    <w:gridAfter w:val="1"/>
                    <w:wAfter w:w="20" w:type="dxa"/>
                    <w:trHeight w:val="367"/>
                  </w:trPr>
                  <w:tc>
                    <w:tcPr>
                      <w:tcW w:w="2943" w:type="dxa"/>
                      <w:vMerge/>
                      <w:shd w:val="clear" w:color="auto" w:fill="F7F7F7"/>
                    </w:tcPr>
                    <w:p w14:paraId="5B6A4DC8"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1836C9D9"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08EA5BA8"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21CAFCFF"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035888A0"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767E0843"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62623384" w14:textId="77777777" w:rsidTr="00847E06">
                  <w:trPr>
                    <w:gridAfter w:val="1"/>
                    <w:wAfter w:w="20" w:type="dxa"/>
                    <w:trHeight w:val="288"/>
                  </w:trPr>
                  <w:tc>
                    <w:tcPr>
                      <w:tcW w:w="13922" w:type="dxa"/>
                      <w:gridSpan w:val="7"/>
                      <w:tcBorders>
                        <w:bottom w:val="single" w:sz="4" w:space="0" w:color="D9D9D9"/>
                      </w:tcBorders>
                      <w:shd w:val="clear" w:color="auto" w:fill="F7F7F7"/>
                    </w:tcPr>
                    <w:p w14:paraId="67B6943F"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62CC243F"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6C5F27BE"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1984873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The seven legacy sites:  Tonco-Salta, Pichiñan-Chubut, La Estela-San Luis, Los Colorados-La Rioja, and Huemul-Mendoza, in addition to Los Gigantes and El Chichon fully achieved the development of environment evaluation of their legacy issues in order to inform the local communities, provincial governments, and CNEA of the risks, potential magnitude of pollution and environmental dimensions of their uranium sites.</w:t>
                      </w:r>
                    </w:p>
                    <w:p w14:paraId="0C44A8CB" w14:textId="77777777" w:rsidR="00D87C3F" w:rsidRDefault="00D87C3F" w:rsidP="00D87C3F">
                      <w:pPr>
                        <w:pStyle w:val="Normal69"/>
                        <w:ind w:left="90"/>
                        <w:rPr>
                          <w:rFonts w:asciiTheme="minorHAnsi" w:hAnsiTheme="minorHAnsi"/>
                          <w:sz w:val="22"/>
                          <w:szCs w:val="22"/>
                        </w:rPr>
                      </w:pPr>
                    </w:p>
                    <w:p w14:paraId="410C3CBA"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For this, a firm was contracted to develop and environmental evaluation at each site.  The environmental evaluation consisted in reporting the environmental conditions of the mining legacy, volume, levels of pollution and radiation, topographical and groundwater analysis and development of a baseline report for each site.  These evaluations serve as a key decision making instrument and thus are considered a key element in strengthening the overall local and central technical capacity.  </w:t>
                      </w:r>
                    </w:p>
                    <w:p w14:paraId="0D828244" w14:textId="77777777" w:rsidR="006B2F25" w:rsidRPr="00C63E2C" w:rsidRDefault="006B2F25" w:rsidP="00D87C3F">
                      <w:pPr>
                        <w:pStyle w:val="Normal69"/>
                        <w:ind w:left="90"/>
                        <w:rPr>
                          <w:rFonts w:asciiTheme="minorHAnsi" w:hAnsiTheme="minorHAnsi"/>
                          <w:sz w:val="22"/>
                          <w:szCs w:val="22"/>
                        </w:rPr>
                      </w:pPr>
                    </w:p>
                  </w:tc>
                </w:tr>
                <w:tr w:rsidR="00E63776" w14:paraId="68F9B622"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4C9771E8"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4ECD22EC"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2EC19924"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34FDDAD3" w14:textId="77777777" w:rsidTr="00847E06">
                  <w:trPr>
                    <w:trHeight w:val="288"/>
                  </w:trPr>
                  <w:tc>
                    <w:tcPr>
                      <w:tcW w:w="2943" w:type="dxa"/>
                      <w:tcBorders>
                        <w:top w:val="single" w:sz="4" w:space="0" w:color="D9D9D9"/>
                      </w:tcBorders>
                      <w:shd w:val="clear" w:color="auto" w:fill="F7F7F7"/>
                      <w:vAlign w:val="center"/>
                    </w:tcPr>
                    <w:p w14:paraId="541CD90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71BE273F"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26F48FF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0F43450E"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22BCF38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45D6E918"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60B904E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3DAEB9C6" w14:textId="77777777" w:rsidTr="00847E06">
                  <w:trPr>
                    <w:gridAfter w:val="1"/>
                    <w:wAfter w:w="20" w:type="dxa"/>
                    <w:trHeight w:val="368"/>
                  </w:trPr>
                  <w:tc>
                    <w:tcPr>
                      <w:tcW w:w="2943" w:type="dxa"/>
                      <w:vMerge w:val="restart"/>
                      <w:tcBorders>
                        <w:top w:val="single" w:sz="4" w:space="0" w:color="D9D9D9"/>
                      </w:tcBorders>
                      <w:shd w:val="clear" w:color="auto" w:fill="F7F7F7"/>
                    </w:tcPr>
                    <w:p w14:paraId="09C0A061"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CNEA laboratories with equipment and installed capacity for monitoring environmental parameters (including radiological) on water, soil and air samples, which are supervised by COCALIN</w:t>
                      </w:r>
                    </w:p>
                  </w:tc>
                  <w:tc>
                    <w:tcPr>
                      <w:tcW w:w="1616" w:type="dxa"/>
                      <w:tcBorders>
                        <w:top w:val="single" w:sz="4" w:space="0" w:color="D9D9D9"/>
                        <w:bottom w:val="nil"/>
                      </w:tcBorders>
                      <w:shd w:val="clear" w:color="auto" w:fill="F7F7F7"/>
                    </w:tcPr>
                    <w:p w14:paraId="3DD566E8"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14:paraId="3ED99890"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14:paraId="3CBEB4B0"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5.00</w:t>
                      </w:r>
                    </w:p>
                  </w:tc>
                  <w:tc>
                    <w:tcPr>
                      <w:tcW w:w="2340" w:type="dxa"/>
                      <w:tcBorders>
                        <w:top w:val="single" w:sz="4" w:space="0" w:color="D9D9D9"/>
                        <w:bottom w:val="nil"/>
                      </w:tcBorders>
                      <w:shd w:val="clear" w:color="auto" w:fill="F7F7F7"/>
                    </w:tcPr>
                    <w:p w14:paraId="7B269EBF"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5.00</w:t>
                      </w:r>
                    </w:p>
                  </w:tc>
                  <w:tc>
                    <w:tcPr>
                      <w:tcW w:w="2340" w:type="dxa"/>
                      <w:gridSpan w:val="2"/>
                      <w:tcBorders>
                        <w:top w:val="single" w:sz="4" w:space="0" w:color="D9D9D9"/>
                        <w:bottom w:val="nil"/>
                      </w:tcBorders>
                      <w:shd w:val="clear" w:color="auto" w:fill="F7F7F7"/>
                    </w:tcPr>
                    <w:p w14:paraId="13A50B49"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5.00</w:t>
                      </w:r>
                    </w:p>
                  </w:tc>
                </w:tr>
                <w:tr w:rsidR="00E63776" w14:paraId="4D4E6D51" w14:textId="77777777" w:rsidTr="00847E06">
                  <w:trPr>
                    <w:gridAfter w:val="1"/>
                    <w:wAfter w:w="20" w:type="dxa"/>
                    <w:trHeight w:val="367"/>
                  </w:trPr>
                  <w:tc>
                    <w:tcPr>
                      <w:tcW w:w="2943" w:type="dxa"/>
                      <w:vMerge/>
                      <w:shd w:val="clear" w:color="auto" w:fill="F7F7F7"/>
                    </w:tcPr>
                    <w:p w14:paraId="7319BAFE"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3D2788DA"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30B9E04C"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65DE99ED"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27C3FC88"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27-Jun-2016</w:t>
                      </w:r>
                    </w:p>
                  </w:tc>
                  <w:tc>
                    <w:tcPr>
                      <w:tcW w:w="2340" w:type="dxa"/>
                      <w:gridSpan w:val="2"/>
                      <w:tcBorders>
                        <w:top w:val="nil"/>
                        <w:bottom w:val="single" w:sz="4" w:space="0" w:color="D9D9D9"/>
                      </w:tcBorders>
                      <w:shd w:val="clear" w:color="auto" w:fill="F7F7F7"/>
                    </w:tcPr>
                    <w:p w14:paraId="24BBA24F"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1477E3DF" w14:textId="77777777" w:rsidTr="00847E06">
                  <w:trPr>
                    <w:gridAfter w:val="1"/>
                    <w:wAfter w:w="20" w:type="dxa"/>
                    <w:trHeight w:val="288"/>
                  </w:trPr>
                  <w:tc>
                    <w:tcPr>
                      <w:tcW w:w="13922" w:type="dxa"/>
                      <w:gridSpan w:val="7"/>
                      <w:tcBorders>
                        <w:bottom w:val="single" w:sz="4" w:space="0" w:color="D9D9D9"/>
                      </w:tcBorders>
                      <w:shd w:val="clear" w:color="auto" w:fill="F7F7F7"/>
                    </w:tcPr>
                    <w:p w14:paraId="54C4943E"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13C84037"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566D9137"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4468D574"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addition to the 4 CNEA laboratories have been fully equipped and accredited by ISO 17025, one more laboratory (Buenos Aires Province) has been equipped and has the technical capacity to monitor water, air, soil and radiological parameters. This laboratory has not yet been certified by COCALIN. </w:t>
                      </w:r>
                    </w:p>
                    <w:p w14:paraId="04D1A141" w14:textId="77777777" w:rsidR="00D87C3F" w:rsidRDefault="00D87C3F" w:rsidP="00D87C3F">
                      <w:pPr>
                        <w:pStyle w:val="Normal69"/>
                        <w:ind w:left="90"/>
                        <w:rPr>
                          <w:rFonts w:asciiTheme="minorHAnsi" w:hAnsiTheme="minorHAnsi"/>
                          <w:sz w:val="22"/>
                          <w:szCs w:val="22"/>
                        </w:rPr>
                      </w:pPr>
                    </w:p>
                    <w:p w14:paraId="7923F37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This network of laboratories has allowed CNEA to reduce the time in processing and analyzing data and the reliance on external and private laboratories, thereby consolidating and strengthening the quality of information and the time for reaction.   In addition, the installed equipment and improved protocols has allowed the laboratories to implement improved analysis techniques for solid and liquid parameters with enhanced precision and detection limits (using national norms which are consistent with international standards).</w:t>
                      </w:r>
                    </w:p>
                    <w:p w14:paraId="7340B0B7" w14:textId="77777777" w:rsidR="006B2F25" w:rsidRPr="00C63E2C" w:rsidRDefault="006B2F25" w:rsidP="00D87C3F">
                      <w:pPr>
                        <w:pStyle w:val="Normal69"/>
                        <w:ind w:left="90"/>
                        <w:rPr>
                          <w:rFonts w:asciiTheme="minorHAnsi" w:hAnsiTheme="minorHAnsi"/>
                          <w:sz w:val="22"/>
                          <w:szCs w:val="22"/>
                        </w:rPr>
                      </w:pPr>
                    </w:p>
                  </w:tc>
                </w:tr>
                <w:tr w:rsidR="00E63776" w14:paraId="2BA136B2"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04542878"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62BC1FDB"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661F028D"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03FEA415" w14:textId="77777777" w:rsidTr="00847E06">
                  <w:trPr>
                    <w:trHeight w:val="288"/>
                  </w:trPr>
                  <w:tc>
                    <w:tcPr>
                      <w:tcW w:w="2943" w:type="dxa"/>
                      <w:tcBorders>
                        <w:top w:val="single" w:sz="4" w:space="0" w:color="D9D9D9"/>
                      </w:tcBorders>
                      <w:shd w:val="clear" w:color="auto" w:fill="F7F7F7"/>
                      <w:vAlign w:val="center"/>
                    </w:tcPr>
                    <w:p w14:paraId="4EB1CDF0"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16364D8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3C49DA2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7842483A"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21D9DF4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3E5719D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2E86C9F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77B27796" w14:textId="77777777" w:rsidTr="00847E06">
                  <w:trPr>
                    <w:gridAfter w:val="1"/>
                    <w:wAfter w:w="20" w:type="dxa"/>
                    <w:trHeight w:val="368"/>
                  </w:trPr>
                  <w:tc>
                    <w:tcPr>
                      <w:tcW w:w="2943" w:type="dxa"/>
                      <w:vMerge w:val="restart"/>
                      <w:tcBorders>
                        <w:top w:val="single" w:sz="4" w:space="0" w:color="D9D9D9"/>
                      </w:tcBorders>
                      <w:shd w:val="clear" w:color="auto" w:fill="F7F7F7"/>
                    </w:tcPr>
                    <w:p w14:paraId="5AE97891"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the other seven CNEA sites with remediation designs completed</w:t>
                      </w:r>
                    </w:p>
                  </w:tc>
                  <w:tc>
                    <w:tcPr>
                      <w:tcW w:w="1616" w:type="dxa"/>
                      <w:tcBorders>
                        <w:top w:val="single" w:sz="4" w:space="0" w:color="D9D9D9"/>
                        <w:bottom w:val="nil"/>
                      </w:tcBorders>
                      <w:shd w:val="clear" w:color="auto" w:fill="F7F7F7"/>
                    </w:tcPr>
                    <w:p w14:paraId="49C342B1"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14:paraId="62E26F58"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14:paraId="23D66427"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2.00</w:t>
                      </w:r>
                    </w:p>
                  </w:tc>
                  <w:tc>
                    <w:tcPr>
                      <w:tcW w:w="2340" w:type="dxa"/>
                      <w:tcBorders>
                        <w:top w:val="single" w:sz="4" w:space="0" w:color="D9D9D9"/>
                        <w:bottom w:val="nil"/>
                      </w:tcBorders>
                      <w:shd w:val="clear" w:color="auto" w:fill="F7F7F7"/>
                    </w:tcPr>
                    <w:p w14:paraId="72CCF632"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2.00</w:t>
                      </w:r>
                    </w:p>
                  </w:tc>
                  <w:tc>
                    <w:tcPr>
                      <w:tcW w:w="2340" w:type="dxa"/>
                      <w:gridSpan w:val="2"/>
                      <w:tcBorders>
                        <w:top w:val="single" w:sz="4" w:space="0" w:color="D9D9D9"/>
                        <w:bottom w:val="nil"/>
                      </w:tcBorders>
                      <w:shd w:val="clear" w:color="auto" w:fill="F7F7F7"/>
                    </w:tcPr>
                    <w:p w14:paraId="3C0DC7B0"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2.00</w:t>
                      </w:r>
                    </w:p>
                  </w:tc>
                </w:tr>
                <w:tr w:rsidR="00E63776" w14:paraId="7B141E13" w14:textId="77777777" w:rsidTr="00847E06">
                  <w:trPr>
                    <w:gridAfter w:val="1"/>
                    <w:wAfter w:w="20" w:type="dxa"/>
                    <w:trHeight w:val="367"/>
                  </w:trPr>
                  <w:tc>
                    <w:tcPr>
                      <w:tcW w:w="2943" w:type="dxa"/>
                      <w:vMerge/>
                      <w:shd w:val="clear" w:color="auto" w:fill="F7F7F7"/>
                    </w:tcPr>
                    <w:p w14:paraId="14A2AEBB"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4015EB83"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23F8E78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1ED78901"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4DAFA61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6684433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26EF1818" w14:textId="77777777" w:rsidTr="00847E06">
                  <w:trPr>
                    <w:gridAfter w:val="1"/>
                    <w:wAfter w:w="20" w:type="dxa"/>
                    <w:trHeight w:val="288"/>
                  </w:trPr>
                  <w:tc>
                    <w:tcPr>
                      <w:tcW w:w="13922" w:type="dxa"/>
                      <w:gridSpan w:val="7"/>
                      <w:tcBorders>
                        <w:bottom w:val="single" w:sz="4" w:space="0" w:color="D9D9D9"/>
                      </w:tcBorders>
                      <w:shd w:val="clear" w:color="auto" w:fill="F7F7F7"/>
                    </w:tcPr>
                    <w:p w14:paraId="4DD2B178"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7B15FB65"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3D7C1FD8"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5DDE741D"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The seven legacy sites which now have proposals for remediation of the contaminated sites and with engineering designs completed are: El Chichon, Los Gigantes, Tonco, Pichiñan, La Estela, Los Colorados, Huemul. This instrument will strengthen contribute to strengthening the local, provincial and central capacity to take technically sound decisions and actions regarding the eventual remediation of contaminated sites.</w:t>
                      </w:r>
                    </w:p>
                    <w:p w14:paraId="3A1963C9" w14:textId="77777777" w:rsidR="006B2F25" w:rsidRPr="00C63E2C" w:rsidRDefault="006B2F25" w:rsidP="00D87C3F">
                      <w:pPr>
                        <w:pStyle w:val="Normal69"/>
                        <w:ind w:left="90"/>
                        <w:rPr>
                          <w:rFonts w:asciiTheme="minorHAnsi" w:hAnsiTheme="minorHAnsi"/>
                          <w:sz w:val="22"/>
                          <w:szCs w:val="22"/>
                        </w:rPr>
                      </w:pPr>
                    </w:p>
                  </w:tc>
                </w:tr>
                <w:tr w:rsidR="00E63776" w14:paraId="43A2FFC5"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155A48AE"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5F3B0A1F"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77003421"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4285352A" w14:textId="77777777" w:rsidTr="00847E06">
                  <w:trPr>
                    <w:trHeight w:val="288"/>
                  </w:trPr>
                  <w:tc>
                    <w:tcPr>
                      <w:tcW w:w="2943" w:type="dxa"/>
                      <w:tcBorders>
                        <w:top w:val="single" w:sz="4" w:space="0" w:color="D9D9D9"/>
                      </w:tcBorders>
                      <w:shd w:val="clear" w:color="auto" w:fill="F7F7F7"/>
                      <w:vAlign w:val="center"/>
                    </w:tcPr>
                    <w:p w14:paraId="5DDCD34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7BA1CC8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092FC49D"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08967ACE"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0FF1D40E"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4B60DEC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5E501D69"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078B6D65" w14:textId="77777777" w:rsidTr="00847E06">
                  <w:trPr>
                    <w:gridAfter w:val="1"/>
                    <w:wAfter w:w="20" w:type="dxa"/>
                    <w:trHeight w:val="368"/>
                  </w:trPr>
                  <w:tc>
                    <w:tcPr>
                      <w:tcW w:w="2943" w:type="dxa"/>
                      <w:vMerge w:val="restart"/>
                      <w:tcBorders>
                        <w:top w:val="single" w:sz="4" w:space="0" w:color="D9D9D9"/>
                      </w:tcBorders>
                      <w:shd w:val="clear" w:color="auto" w:fill="F7F7F7"/>
                    </w:tcPr>
                    <w:p w14:paraId="0B5554F1"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Number of training modules (on environmental monitoring, remediation and other relevant topics) agreed and delivered to governmental agencies, where uranium legacies sites are located.</w:t>
                      </w:r>
                    </w:p>
                  </w:tc>
                  <w:tc>
                    <w:tcPr>
                      <w:tcW w:w="1616" w:type="dxa"/>
                      <w:tcBorders>
                        <w:top w:val="single" w:sz="4" w:space="0" w:color="D9D9D9"/>
                        <w:bottom w:val="nil"/>
                      </w:tcBorders>
                      <w:shd w:val="clear" w:color="auto" w:fill="F7F7F7"/>
                    </w:tcPr>
                    <w:p w14:paraId="63A85C5E"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Percentage</w:t>
                      </w:r>
                    </w:p>
                  </w:tc>
                  <w:tc>
                    <w:tcPr>
                      <w:tcW w:w="2346" w:type="dxa"/>
                      <w:tcBorders>
                        <w:top w:val="single" w:sz="4" w:space="0" w:color="D9D9D9"/>
                        <w:bottom w:val="nil"/>
                      </w:tcBorders>
                      <w:shd w:val="clear" w:color="auto" w:fill="F7F7F7"/>
                    </w:tcPr>
                    <w:p w14:paraId="4CEC728A"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14:paraId="25F303A8"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tcBorders>
                        <w:top w:val="single" w:sz="4" w:space="0" w:color="D9D9D9"/>
                        <w:bottom w:val="nil"/>
                      </w:tcBorders>
                      <w:shd w:val="clear" w:color="auto" w:fill="F7F7F7"/>
                    </w:tcPr>
                    <w:p w14:paraId="76E0109B"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5.00</w:t>
                      </w:r>
                    </w:p>
                  </w:tc>
                  <w:tc>
                    <w:tcPr>
                      <w:tcW w:w="2340" w:type="dxa"/>
                      <w:gridSpan w:val="2"/>
                      <w:tcBorders>
                        <w:top w:val="single" w:sz="4" w:space="0" w:color="D9D9D9"/>
                        <w:bottom w:val="nil"/>
                      </w:tcBorders>
                      <w:shd w:val="clear" w:color="auto" w:fill="F7F7F7"/>
                    </w:tcPr>
                    <w:p w14:paraId="0CE9FC94"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6.00</w:t>
                      </w:r>
                    </w:p>
                  </w:tc>
                </w:tr>
                <w:tr w:rsidR="00E63776" w14:paraId="22359F57" w14:textId="77777777" w:rsidTr="00847E06">
                  <w:trPr>
                    <w:gridAfter w:val="1"/>
                    <w:wAfter w:w="20" w:type="dxa"/>
                    <w:trHeight w:val="367"/>
                  </w:trPr>
                  <w:tc>
                    <w:tcPr>
                      <w:tcW w:w="2943" w:type="dxa"/>
                      <w:vMerge/>
                      <w:shd w:val="clear" w:color="auto" w:fill="F7F7F7"/>
                    </w:tcPr>
                    <w:p w14:paraId="0AF074F1"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45C2EC56"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61F16E37"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061E1F0F"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4C9A2537"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5092939C"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r>
                <w:tr w:rsidR="00E63776" w14:paraId="5BF114E6" w14:textId="77777777" w:rsidTr="00847E06">
                  <w:trPr>
                    <w:gridAfter w:val="1"/>
                    <w:wAfter w:w="20" w:type="dxa"/>
                    <w:trHeight w:val="288"/>
                  </w:trPr>
                  <w:tc>
                    <w:tcPr>
                      <w:tcW w:w="13922" w:type="dxa"/>
                      <w:gridSpan w:val="7"/>
                      <w:tcBorders>
                        <w:bottom w:val="single" w:sz="4" w:space="0" w:color="D9D9D9"/>
                      </w:tcBorders>
                      <w:shd w:val="clear" w:color="auto" w:fill="F7F7F7"/>
                    </w:tcPr>
                    <w:p w14:paraId="7E2E9402"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5F12FC77"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4ABBA547"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1BC079F3"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CNEA and 12 provincial governments have been trained to follow IAEA’s international best practice on procedures, protocols and standards on environmental monitoring and managing environmental risks associated to uranium mines and legacies and on procedures for management and supervision of mining uranium operations.   </w:t>
                      </w:r>
                    </w:p>
                    <w:p w14:paraId="42131AFF" w14:textId="77777777" w:rsidR="00D87C3F" w:rsidRDefault="00D87C3F" w:rsidP="00D87C3F">
                      <w:pPr>
                        <w:pStyle w:val="Normal69"/>
                        <w:ind w:left="90"/>
                        <w:rPr>
                          <w:rFonts w:asciiTheme="minorHAnsi" w:hAnsiTheme="minorHAnsi"/>
                          <w:sz w:val="22"/>
                          <w:szCs w:val="22"/>
                        </w:rPr>
                      </w:pPr>
                    </w:p>
                    <w:p w14:paraId="71FF798E"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addition to technical assistance and capacity building workshops, six key training modules have been delivered to technical and administrative staff from the Nuclear Regulatory Authority (ARN); the Environmental, Irrigation, Water and Mining Agencies from the Mendoza Province; the Environmental and Public Works Secretariat from the municipality of Malargue; the environmental, mining agencies of the province and municipality of Cordoba. More than 80 staff from these agencies have benefited from the training modules which have been delivered with support of the IAEA on planning and management for the remediation and monitoring of uranium remediation sites. As a result of these trainings, staff from these agencies have already been applying updated environmental monitoring protocols. </w:t>
                      </w:r>
                    </w:p>
                    <w:p w14:paraId="70E74361" w14:textId="77777777" w:rsidR="00D87C3F" w:rsidRDefault="00D87C3F" w:rsidP="00D87C3F">
                      <w:pPr>
                        <w:pStyle w:val="Normal69"/>
                        <w:ind w:left="90"/>
                        <w:rPr>
                          <w:rFonts w:asciiTheme="minorHAnsi" w:hAnsiTheme="minorHAnsi"/>
                          <w:sz w:val="22"/>
                          <w:szCs w:val="22"/>
                        </w:rPr>
                      </w:pPr>
                    </w:p>
                    <w:p w14:paraId="7310D7BF"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In addition, in spite of the change of focus from building capacity from the federal level to the local/provincial level, the Ministries of Environment and of Mines were also beneficiaries of the technical trainings (particularly on environmental risk management associated with uranium mining sites) that were provided under the project. </w:t>
                      </w:r>
                    </w:p>
                    <w:p w14:paraId="6831AFCC" w14:textId="77777777" w:rsidR="00D87C3F" w:rsidRDefault="00D87C3F" w:rsidP="00D87C3F">
                      <w:pPr>
                        <w:pStyle w:val="Normal69"/>
                        <w:ind w:left="90"/>
                        <w:rPr>
                          <w:rFonts w:asciiTheme="minorHAnsi" w:hAnsiTheme="minorHAnsi"/>
                          <w:sz w:val="22"/>
                          <w:szCs w:val="22"/>
                        </w:rPr>
                      </w:pPr>
                    </w:p>
                    <w:p w14:paraId="55321739"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six training modules include: </w:t>
                      </w:r>
                    </w:p>
                    <w:p w14:paraId="7DB1D80B" w14:textId="77777777" w:rsidR="00D87C3F" w:rsidRDefault="00D87C3F" w:rsidP="00D87C3F">
                      <w:pPr>
                        <w:pStyle w:val="Normal69"/>
                        <w:ind w:left="90"/>
                        <w:rPr>
                          <w:rFonts w:asciiTheme="minorHAnsi" w:hAnsiTheme="minorHAnsi"/>
                          <w:sz w:val="22"/>
                          <w:szCs w:val="22"/>
                        </w:rPr>
                      </w:pPr>
                    </w:p>
                    <w:p w14:paraId="2ABA253E"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1) Environmental Remediation Workshop, City of Carlos Paz (Cordoba) - April 2015</w:t>
                      </w:r>
                    </w:p>
                    <w:p w14:paraId="4233901E"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2) Environmental Management Workshop of the Uranium Mining, City of Cordoba- October 2015</w:t>
                      </w:r>
                    </w:p>
                    <w:p w14:paraId="4F2CAB82"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3) Workshop on Environmental Monitoring, City of Carlos Paz (Cordoba) - December 2015</w:t>
                      </w:r>
                    </w:p>
                    <w:p w14:paraId="7FBC878B"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4) Workshop Remediation Engineering - Malargue Site, Malargue (Mendoza) - March 2016</w:t>
                      </w:r>
                    </w:p>
                    <w:p w14:paraId="7EA8E038"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5 &amp; 6) Two 2 trainings held in Buenos Aires in June 2017 – with the support of the IAEA on Planning and Management, for monitoring of uranium remediation sites.</w:t>
                      </w:r>
                    </w:p>
                    <w:p w14:paraId="2FAEC6F2" w14:textId="77777777" w:rsidR="006B2F25" w:rsidRPr="00C63E2C" w:rsidRDefault="006B2F25" w:rsidP="00D87C3F">
                      <w:pPr>
                        <w:pStyle w:val="Normal69"/>
                        <w:ind w:left="90"/>
                        <w:rPr>
                          <w:rFonts w:asciiTheme="minorHAnsi" w:hAnsiTheme="minorHAnsi"/>
                          <w:sz w:val="22"/>
                          <w:szCs w:val="22"/>
                        </w:rPr>
                      </w:pPr>
                    </w:p>
                  </w:tc>
                </w:tr>
                <w:tr w:rsidR="00E63776" w14:paraId="3558E2B7"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766C572A"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2DFE5515"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1112CEDD"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4CC03D7A" w14:textId="77777777" w:rsidTr="00847E06">
                  <w:trPr>
                    <w:trHeight w:val="288"/>
                  </w:trPr>
                  <w:tc>
                    <w:tcPr>
                      <w:tcW w:w="2943" w:type="dxa"/>
                      <w:tcBorders>
                        <w:top w:val="single" w:sz="4" w:space="0" w:color="D9D9D9"/>
                      </w:tcBorders>
                      <w:shd w:val="clear" w:color="auto" w:fill="F7F7F7"/>
                      <w:vAlign w:val="center"/>
                    </w:tcPr>
                    <w:p w14:paraId="1996ABA9"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44442EC9"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06C3BE4C"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1E6824F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1C5E791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6F580FAA"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205DE253"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7C1A90C3" w14:textId="77777777" w:rsidTr="00847E06">
                  <w:trPr>
                    <w:gridAfter w:val="1"/>
                    <w:wAfter w:w="20" w:type="dxa"/>
                    <w:trHeight w:val="368"/>
                  </w:trPr>
                  <w:tc>
                    <w:tcPr>
                      <w:tcW w:w="2943" w:type="dxa"/>
                      <w:vMerge w:val="restart"/>
                      <w:tcBorders>
                        <w:top w:val="single" w:sz="4" w:space="0" w:color="D9D9D9"/>
                      </w:tcBorders>
                      <w:shd w:val="clear" w:color="auto" w:fill="F7F7F7"/>
                    </w:tcPr>
                    <w:p w14:paraId="06035B6C"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Environmental Information Management System developed and under implementation, consistent with best international practices, and including data on all Project sites</w:t>
                      </w:r>
                    </w:p>
                  </w:tc>
                  <w:tc>
                    <w:tcPr>
                      <w:tcW w:w="1616" w:type="dxa"/>
                      <w:tcBorders>
                        <w:top w:val="single" w:sz="4" w:space="0" w:color="D9D9D9"/>
                        <w:bottom w:val="nil"/>
                      </w:tcBorders>
                      <w:shd w:val="clear" w:color="auto" w:fill="F7F7F7"/>
                    </w:tcPr>
                    <w:p w14:paraId="49D6F981"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Percentage</w:t>
                      </w:r>
                    </w:p>
                  </w:tc>
                  <w:tc>
                    <w:tcPr>
                      <w:tcW w:w="2346" w:type="dxa"/>
                      <w:tcBorders>
                        <w:top w:val="single" w:sz="4" w:space="0" w:color="D9D9D9"/>
                        <w:bottom w:val="nil"/>
                      </w:tcBorders>
                      <w:shd w:val="clear" w:color="auto" w:fill="F7F7F7"/>
                    </w:tcPr>
                    <w:p w14:paraId="572E9757"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14:paraId="3170B767"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100.00</w:t>
                      </w:r>
                    </w:p>
                  </w:tc>
                  <w:tc>
                    <w:tcPr>
                      <w:tcW w:w="2340" w:type="dxa"/>
                      <w:tcBorders>
                        <w:top w:val="single" w:sz="4" w:space="0" w:color="D9D9D9"/>
                        <w:bottom w:val="nil"/>
                      </w:tcBorders>
                      <w:shd w:val="clear" w:color="auto" w:fill="F7F7F7"/>
                    </w:tcPr>
                    <w:p w14:paraId="4C38B93E"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100.00</w:t>
                      </w:r>
                    </w:p>
                  </w:tc>
                  <w:tc>
                    <w:tcPr>
                      <w:tcW w:w="2340" w:type="dxa"/>
                      <w:gridSpan w:val="2"/>
                      <w:tcBorders>
                        <w:top w:val="single" w:sz="4" w:space="0" w:color="D9D9D9"/>
                        <w:bottom w:val="nil"/>
                      </w:tcBorders>
                      <w:shd w:val="clear" w:color="auto" w:fill="F7F7F7"/>
                    </w:tcPr>
                    <w:p w14:paraId="37275CA9"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98.00</w:t>
                      </w:r>
                    </w:p>
                  </w:tc>
                </w:tr>
                <w:tr w:rsidR="00E63776" w14:paraId="1DE331ED" w14:textId="77777777" w:rsidTr="00847E06">
                  <w:trPr>
                    <w:gridAfter w:val="1"/>
                    <w:wAfter w:w="20" w:type="dxa"/>
                    <w:trHeight w:val="367"/>
                  </w:trPr>
                  <w:tc>
                    <w:tcPr>
                      <w:tcW w:w="2943" w:type="dxa"/>
                      <w:vMerge/>
                      <w:shd w:val="clear" w:color="auto" w:fill="F7F7F7"/>
                    </w:tcPr>
                    <w:p w14:paraId="22309316"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3C876B6A"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323092BB"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0C79E5E1"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3B74A954"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0590C506"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67B5322C" w14:textId="77777777" w:rsidTr="00847E06">
                  <w:trPr>
                    <w:gridAfter w:val="1"/>
                    <w:wAfter w:w="20" w:type="dxa"/>
                    <w:trHeight w:val="288"/>
                  </w:trPr>
                  <w:tc>
                    <w:tcPr>
                      <w:tcW w:w="13922" w:type="dxa"/>
                      <w:gridSpan w:val="7"/>
                      <w:tcBorders>
                        <w:bottom w:val="single" w:sz="4" w:space="0" w:color="D9D9D9"/>
                      </w:tcBorders>
                      <w:shd w:val="clear" w:color="auto" w:fill="F7F7F7"/>
                    </w:tcPr>
                    <w:p w14:paraId="2FFF1429"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0D1A9BBF"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2D52B48D" w14:textId="77777777" w:rsidR="006B2F25" w:rsidRPr="00C63E2C" w:rsidRDefault="002C3F71" w:rsidP="00D87C3F">
                      <w:pPr>
                        <w:pStyle w:val="Normal69"/>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sidR="00D87C3F">
                        <w:rPr>
                          <w:rFonts w:asciiTheme="minorHAnsi" w:hAnsiTheme="minorHAnsi"/>
                          <w:noProof/>
                          <w:sz w:val="22"/>
                          <w:szCs w:val="22"/>
                        </w:rPr>
                        <w:t>Indicator Partially Achieved [98%]</w:t>
                      </w:r>
                    </w:p>
                    <w:p w14:paraId="58E554A5"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SIGA was developed and it is fully functional at the PRAMU sites providing live environmental and radiological data to decision makers. The SIGA processes data collected as per agreed monitoring protocols to determine the environmental conditions and risk associated at eight uranium legacy sites.  The SIGA processes systematically data on more than 50 parameters including air, water, soil and radiological levels in about more than 50 field testing locations in the legacy sites.  The SIGA has been evaluated by IAEA specialist who consider it to be in line with best international practices and standards for monitoring networks.  </w:t>
                      </w:r>
                    </w:p>
                    <w:p w14:paraId="70ED2C75" w14:textId="77777777" w:rsidR="00D87C3F" w:rsidRDefault="00D87C3F" w:rsidP="00D87C3F">
                      <w:pPr>
                        <w:pStyle w:val="Normal69"/>
                        <w:ind w:left="90"/>
                        <w:rPr>
                          <w:rFonts w:asciiTheme="minorHAnsi" w:hAnsiTheme="minorHAnsi"/>
                          <w:sz w:val="22"/>
                          <w:szCs w:val="22"/>
                        </w:rPr>
                      </w:pPr>
                    </w:p>
                    <w:p w14:paraId="55CF81A2"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Notwithstanding the success of the SIGA as a key instrument for monitoring and informing and enabling an informed decision-making process to CNEA, ARN, and other central and provincial agencies, sharing monitoring data on a public website has not yet materialized. CNEA has indicated that this failure was due to “technical reasons,” but the underlying reason appears to be that CNEA does not consider it appropriate to share the results of radiological monitoring campaigns with the public since: (a) very few people are trained to properly interpret the raw data on radon radiation levels, which could easily lend to misinterpretations; (b) there is an embedded institutional culture at CNEA of not sharing data with the public; (c) the CNEA website had reportedly been hacked on multiple occasions and at the time of project closing an updated website was still under construction; and (d) CNEA wants to avoid concerns due to the external criticism of nuclear energy and associated tailings. While the disclosure of such information was not required in the Loan Agreement, CNEA has indicated that once its website is operational it will publish broad parameters from the monitoring campaigns that are easier to interpret by the public.  </w:t>
                      </w:r>
                    </w:p>
                    <w:p w14:paraId="14AD0AE2" w14:textId="77777777" w:rsidR="00D87C3F" w:rsidRDefault="00D87C3F" w:rsidP="00D87C3F">
                      <w:pPr>
                        <w:pStyle w:val="Normal69"/>
                        <w:ind w:left="90"/>
                        <w:rPr>
                          <w:rFonts w:asciiTheme="minorHAnsi" w:hAnsiTheme="minorHAnsi"/>
                          <w:sz w:val="22"/>
                          <w:szCs w:val="22"/>
                        </w:rPr>
                      </w:pPr>
                    </w:p>
                    <w:p w14:paraId="4D872A36"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Given that information is not yet shared to the public, the achievement of this indicator has been rated at 98%.  </w:t>
                      </w:r>
                    </w:p>
                    <w:p w14:paraId="556B369A" w14:textId="77777777" w:rsidR="006B2F25" w:rsidRPr="00C63E2C" w:rsidRDefault="006B2F25" w:rsidP="00D87C3F">
                      <w:pPr>
                        <w:pStyle w:val="Normal69"/>
                        <w:ind w:left="90"/>
                        <w:rPr>
                          <w:rFonts w:asciiTheme="minorHAnsi" w:hAnsiTheme="minorHAnsi"/>
                          <w:sz w:val="22"/>
                          <w:szCs w:val="22"/>
                        </w:rPr>
                      </w:pPr>
                    </w:p>
                  </w:tc>
                </w:tr>
                <w:tr w:rsidR="00E63776" w14:paraId="316CCD67"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50D5B425"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3610B9B7"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3AB17E64"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E63776" w14:paraId="4C1950B5" w14:textId="77777777" w:rsidTr="00847E06">
                  <w:trPr>
                    <w:trHeight w:val="288"/>
                  </w:trPr>
                  <w:tc>
                    <w:tcPr>
                      <w:tcW w:w="2943" w:type="dxa"/>
                      <w:tcBorders>
                        <w:top w:val="single" w:sz="4" w:space="0" w:color="D9D9D9"/>
                      </w:tcBorders>
                      <w:shd w:val="clear" w:color="auto" w:fill="F7F7F7"/>
                      <w:vAlign w:val="center"/>
                    </w:tcPr>
                    <w:p w14:paraId="464AA529"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14:paraId="38AEDFC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14:paraId="27CB8C84"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14:paraId="46DA78C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14:paraId="46580F15"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14:paraId="3B477996"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14:paraId="40104AFB" w14:textId="77777777" w:rsidR="006B2F25" w:rsidRPr="00AA6C25" w:rsidRDefault="002C3F71" w:rsidP="006B2F25">
                      <w:pPr>
                        <w:pStyle w:val="Normal69"/>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E63776" w14:paraId="527196F3" w14:textId="77777777" w:rsidTr="00847E06">
                  <w:trPr>
                    <w:gridAfter w:val="1"/>
                    <w:wAfter w:w="20" w:type="dxa"/>
                    <w:trHeight w:val="368"/>
                  </w:trPr>
                  <w:tc>
                    <w:tcPr>
                      <w:tcW w:w="2943" w:type="dxa"/>
                      <w:vMerge w:val="restart"/>
                      <w:tcBorders>
                        <w:top w:val="single" w:sz="4" w:space="0" w:color="D9D9D9"/>
                      </w:tcBorders>
                      <w:shd w:val="clear" w:color="auto" w:fill="F7F7F7"/>
                    </w:tcPr>
                    <w:p w14:paraId="0239FB36" w14:textId="77777777" w:rsidR="006B2F25" w:rsidRPr="00C63E2C" w:rsidRDefault="002C3F71" w:rsidP="006B2F25">
                      <w:pPr>
                        <w:pStyle w:val="Normal69"/>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Communication strategies under implementation at relevant CNEA sites included in the Project</w:t>
                      </w:r>
                    </w:p>
                  </w:tc>
                  <w:tc>
                    <w:tcPr>
                      <w:tcW w:w="1616" w:type="dxa"/>
                      <w:tcBorders>
                        <w:top w:val="single" w:sz="4" w:space="0" w:color="D9D9D9"/>
                        <w:bottom w:val="nil"/>
                      </w:tcBorders>
                      <w:shd w:val="clear" w:color="auto" w:fill="F7F7F7"/>
                    </w:tcPr>
                    <w:p w14:paraId="0566F6BA" w14:textId="77777777" w:rsidR="006B2F25" w:rsidRPr="00C63E2C" w:rsidRDefault="002C3F71" w:rsidP="006B2F25">
                      <w:pPr>
                        <w:pStyle w:val="Normal69"/>
                        <w:spacing w:before="100" w:after="100"/>
                        <w:ind w:left="144"/>
                        <w:rPr>
                          <w:rFonts w:asciiTheme="minorHAnsi" w:hAnsiTheme="minorHAnsi"/>
                          <w:bCs/>
                          <w:sz w:val="22"/>
                          <w:szCs w:val="22"/>
                        </w:rPr>
                      </w:pPr>
                      <w:r w:rsidRPr="00C63E2C">
                        <w:rPr>
                          <w:rFonts w:asciiTheme="minorHAnsi" w:hAnsiTheme="minorHAnsi"/>
                          <w:bCs/>
                          <w:noProof/>
                          <w:sz w:val="22"/>
                          <w:szCs w:val="22"/>
                        </w:rPr>
                        <w:t>Text</w:t>
                      </w:r>
                    </w:p>
                  </w:tc>
                  <w:tc>
                    <w:tcPr>
                      <w:tcW w:w="2346" w:type="dxa"/>
                      <w:tcBorders>
                        <w:top w:val="single" w:sz="4" w:space="0" w:color="D9D9D9"/>
                        <w:bottom w:val="nil"/>
                      </w:tcBorders>
                      <w:shd w:val="clear" w:color="auto" w:fill="F7F7F7"/>
                    </w:tcPr>
                    <w:p w14:paraId="5A13E236"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noProof/>
                          <w:sz w:val="22"/>
                          <w:szCs w:val="22"/>
                        </w:rPr>
                        <w:t>0</w:t>
                      </w:r>
                    </w:p>
                  </w:tc>
                  <w:tc>
                    <w:tcPr>
                      <w:tcW w:w="2340" w:type="dxa"/>
                      <w:tcBorders>
                        <w:top w:val="single" w:sz="4" w:space="0" w:color="D9D9D9"/>
                        <w:bottom w:val="nil"/>
                      </w:tcBorders>
                      <w:shd w:val="clear" w:color="auto" w:fill="F7F7F7"/>
                    </w:tcPr>
                    <w:p w14:paraId="47DA1BA2"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3</w:t>
                      </w:r>
                    </w:p>
                  </w:tc>
                  <w:tc>
                    <w:tcPr>
                      <w:tcW w:w="2340" w:type="dxa"/>
                      <w:tcBorders>
                        <w:top w:val="single" w:sz="4" w:space="0" w:color="D9D9D9"/>
                        <w:bottom w:val="nil"/>
                      </w:tcBorders>
                      <w:shd w:val="clear" w:color="auto" w:fill="F7F7F7"/>
                    </w:tcPr>
                    <w:p w14:paraId="1562E13B" w14:textId="77777777" w:rsidR="006B2F25" w:rsidRPr="00C63E2C" w:rsidRDefault="002C3F71" w:rsidP="006B2F25">
                      <w:pPr>
                        <w:pStyle w:val="Normal69"/>
                        <w:spacing w:before="100" w:after="100"/>
                        <w:ind w:left="144" w:right="144"/>
                        <w:rPr>
                          <w:rFonts w:asciiTheme="minorHAnsi" w:hAnsiTheme="minorHAnsi"/>
                          <w:bCs/>
                          <w:sz w:val="22"/>
                          <w:szCs w:val="22"/>
                        </w:rPr>
                      </w:pPr>
                      <w:r w:rsidRPr="00C63E2C">
                        <w:rPr>
                          <w:rFonts w:asciiTheme="minorHAnsi" w:hAnsiTheme="minorHAnsi"/>
                          <w:bCs/>
                          <w:noProof/>
                          <w:sz w:val="22"/>
                          <w:szCs w:val="22"/>
                        </w:rPr>
                        <w:t>3</w:t>
                      </w:r>
                    </w:p>
                  </w:tc>
                  <w:tc>
                    <w:tcPr>
                      <w:tcW w:w="2340" w:type="dxa"/>
                      <w:gridSpan w:val="2"/>
                      <w:tcBorders>
                        <w:top w:val="single" w:sz="4" w:space="0" w:color="D9D9D9"/>
                        <w:bottom w:val="nil"/>
                      </w:tcBorders>
                      <w:shd w:val="clear" w:color="auto" w:fill="F7F7F7"/>
                    </w:tcPr>
                    <w:p w14:paraId="0D6763F0" w14:textId="77777777" w:rsidR="006B2F25" w:rsidRPr="00C63E2C" w:rsidRDefault="002C3F71" w:rsidP="006B2F25">
                      <w:pPr>
                        <w:pStyle w:val="Normal69"/>
                        <w:spacing w:before="100" w:after="100"/>
                        <w:ind w:left="144" w:right="144"/>
                        <w:rPr>
                          <w:rFonts w:asciiTheme="minorHAnsi" w:hAnsiTheme="minorHAnsi"/>
                          <w:bCs/>
                          <w:sz w:val="22"/>
                          <w:szCs w:val="22"/>
                        </w:rPr>
                      </w:pPr>
                      <w:r>
                        <w:rPr>
                          <w:rFonts w:asciiTheme="minorHAnsi" w:hAnsiTheme="minorHAnsi"/>
                          <w:bCs/>
                          <w:noProof/>
                          <w:sz w:val="22"/>
                          <w:szCs w:val="22"/>
                        </w:rPr>
                        <w:t>3</w:t>
                      </w:r>
                    </w:p>
                  </w:tc>
                </w:tr>
                <w:tr w:rsidR="00E63776" w14:paraId="4F672E38" w14:textId="77777777" w:rsidTr="00847E06">
                  <w:trPr>
                    <w:gridAfter w:val="1"/>
                    <w:wAfter w:w="20" w:type="dxa"/>
                    <w:trHeight w:val="367"/>
                  </w:trPr>
                  <w:tc>
                    <w:tcPr>
                      <w:tcW w:w="2943" w:type="dxa"/>
                      <w:vMerge/>
                      <w:shd w:val="clear" w:color="auto" w:fill="F7F7F7"/>
                    </w:tcPr>
                    <w:p w14:paraId="6AB8BAEC" w14:textId="77777777" w:rsidR="006B2F25" w:rsidRPr="00C63E2C" w:rsidRDefault="006B2F25" w:rsidP="006B2F25">
                      <w:pPr>
                        <w:pStyle w:val="Normal69"/>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14:paraId="4BE7D6FC" w14:textId="77777777" w:rsidR="006B2F25" w:rsidRPr="00C63E2C" w:rsidRDefault="006B2F25" w:rsidP="006B2F25">
                      <w:pPr>
                        <w:pStyle w:val="Normal69"/>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14:paraId="182F66ED"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28-Apr-2010</w:t>
                      </w:r>
                    </w:p>
                  </w:tc>
                  <w:tc>
                    <w:tcPr>
                      <w:tcW w:w="2340" w:type="dxa"/>
                      <w:tcBorders>
                        <w:top w:val="nil"/>
                        <w:bottom w:val="single" w:sz="4" w:space="0" w:color="D9D9D9"/>
                      </w:tcBorders>
                      <w:shd w:val="clear" w:color="auto" w:fill="F7F7F7"/>
                    </w:tcPr>
                    <w:p w14:paraId="6D8C62B8"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30-Nov-2013</w:t>
                      </w:r>
                    </w:p>
                  </w:tc>
                  <w:tc>
                    <w:tcPr>
                      <w:tcW w:w="2340" w:type="dxa"/>
                      <w:tcBorders>
                        <w:top w:val="nil"/>
                        <w:bottom w:val="single" w:sz="4" w:space="0" w:color="D9D9D9"/>
                      </w:tcBorders>
                      <w:shd w:val="clear" w:color="auto" w:fill="F7F7F7"/>
                    </w:tcPr>
                    <w:p w14:paraId="3DB417C4"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27-Jun-2017</w:t>
                      </w:r>
                    </w:p>
                  </w:tc>
                  <w:tc>
                    <w:tcPr>
                      <w:tcW w:w="2340" w:type="dxa"/>
                      <w:gridSpan w:val="2"/>
                      <w:tcBorders>
                        <w:top w:val="nil"/>
                        <w:bottom w:val="single" w:sz="4" w:space="0" w:color="D9D9D9"/>
                      </w:tcBorders>
                      <w:shd w:val="clear" w:color="auto" w:fill="F7F7F7"/>
                    </w:tcPr>
                    <w:p w14:paraId="41009BD6" w14:textId="77777777" w:rsidR="006B2F25" w:rsidRPr="00C63E2C" w:rsidRDefault="002C3F71" w:rsidP="006B2F25">
                      <w:pPr>
                        <w:pStyle w:val="Normal69"/>
                        <w:spacing w:before="100" w:after="100"/>
                        <w:ind w:left="144" w:right="144"/>
                        <w:rPr>
                          <w:rFonts w:asciiTheme="minorHAnsi" w:hAnsiTheme="minorHAnsi"/>
                          <w:noProof/>
                          <w:sz w:val="22"/>
                          <w:szCs w:val="22"/>
                        </w:rPr>
                      </w:pPr>
                      <w:r w:rsidRPr="00C63E2C">
                        <w:rPr>
                          <w:rFonts w:asciiTheme="minorHAnsi" w:hAnsiTheme="minorHAnsi"/>
                          <w:noProof/>
                          <w:sz w:val="22"/>
                          <w:szCs w:val="22"/>
                        </w:rPr>
                        <w:t>29-May-2017</w:t>
                      </w:r>
                    </w:p>
                  </w:tc>
                </w:tr>
                <w:tr w:rsidR="00E63776" w14:paraId="6EEA4CE6" w14:textId="77777777" w:rsidTr="00847E06">
                  <w:trPr>
                    <w:gridAfter w:val="1"/>
                    <w:wAfter w:w="20" w:type="dxa"/>
                    <w:trHeight w:val="288"/>
                  </w:trPr>
                  <w:tc>
                    <w:tcPr>
                      <w:tcW w:w="13922" w:type="dxa"/>
                      <w:gridSpan w:val="7"/>
                      <w:tcBorders>
                        <w:bottom w:val="single" w:sz="4" w:space="0" w:color="D9D9D9"/>
                      </w:tcBorders>
                      <w:shd w:val="clear" w:color="auto" w:fill="F7F7F7"/>
                    </w:tcPr>
                    <w:p w14:paraId="4464ED24" w14:textId="77777777" w:rsidR="006B2F25" w:rsidRPr="00C63E2C" w:rsidRDefault="006B2F25" w:rsidP="006B2F25">
                      <w:pPr>
                        <w:pStyle w:val="Normal69"/>
                        <w:spacing w:line="14" w:lineRule="exact"/>
                        <w:ind w:left="72"/>
                        <w:rPr>
                          <w:rFonts w:asciiTheme="minorHAnsi" w:hAnsiTheme="minorHAnsi"/>
                          <w:noProof/>
                          <w:sz w:val="22"/>
                          <w:szCs w:val="22"/>
                        </w:rPr>
                      </w:pPr>
                    </w:p>
                  </w:tc>
                </w:tr>
                <w:tr w:rsidR="00E63776" w14:paraId="3C6385C2" w14:textId="77777777" w:rsidTr="00847E06">
                  <w:trPr>
                    <w:gridAfter w:val="1"/>
                    <w:wAfter w:w="20" w:type="dxa"/>
                    <w:trHeight w:val="288"/>
                  </w:trPr>
                  <w:tc>
                    <w:tcPr>
                      <w:tcW w:w="13922" w:type="dxa"/>
                      <w:gridSpan w:val="7"/>
                      <w:tcBorders>
                        <w:top w:val="single" w:sz="4" w:space="0" w:color="D9D9D9"/>
                        <w:bottom w:val="single" w:sz="4" w:space="0" w:color="D9D9D9"/>
                      </w:tcBorders>
                      <w:shd w:val="clear" w:color="auto" w:fill="F7F7F7"/>
                    </w:tcPr>
                    <w:p w14:paraId="2D95170E" w14:textId="77777777" w:rsidR="00D87C3F" w:rsidRDefault="002C3F71" w:rsidP="00D87C3F">
                      <w:pPr>
                        <w:pStyle w:val="Normal69"/>
                        <w:ind w:left="90"/>
                        <w:rPr>
                          <w:rFonts w:asciiTheme="minorHAnsi" w:hAnsiTheme="minorHAnsi"/>
                          <w:noProof/>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Theme="minorHAnsi" w:hAnsiTheme="minorHAnsi"/>
                          <w:noProof/>
                          <w:sz w:val="22"/>
                          <w:szCs w:val="22"/>
                        </w:rPr>
                        <w:t>Indicator Achieved [100%]</w:t>
                      </w:r>
                    </w:p>
                    <w:p w14:paraId="4BA24588"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3 core communication strategies (with its respective campaigns) have been developed and delivered at: </w:t>
                      </w:r>
                    </w:p>
                    <w:p w14:paraId="2B525D41"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a)</w:t>
                      </w:r>
                      <w:r>
                        <w:rPr>
                          <w:rFonts w:asciiTheme="minorHAnsi" w:hAnsiTheme="minorHAnsi"/>
                          <w:noProof/>
                          <w:sz w:val="22"/>
                          <w:szCs w:val="22"/>
                        </w:rPr>
                        <w:tab/>
                        <w:t xml:space="preserve">Malargue, </w:t>
                      </w:r>
                    </w:p>
                    <w:p w14:paraId="11D06134"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b)</w:t>
                      </w:r>
                      <w:r>
                        <w:rPr>
                          <w:rFonts w:asciiTheme="minorHAnsi" w:hAnsiTheme="minorHAnsi"/>
                          <w:noProof/>
                          <w:sz w:val="22"/>
                          <w:szCs w:val="22"/>
                        </w:rPr>
                        <w:tab/>
                        <w:t xml:space="preserve">EI Chichon and </w:t>
                      </w:r>
                    </w:p>
                    <w:p w14:paraId="022DD286"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c)</w:t>
                      </w:r>
                      <w:r>
                        <w:rPr>
                          <w:rFonts w:asciiTheme="minorHAnsi" w:hAnsiTheme="minorHAnsi"/>
                          <w:noProof/>
                          <w:sz w:val="22"/>
                          <w:szCs w:val="22"/>
                        </w:rPr>
                        <w:tab/>
                        <w:t>Los Gigantes,</w:t>
                      </w:r>
                    </w:p>
                    <w:p w14:paraId="32F20EDC" w14:textId="77777777" w:rsidR="00D87C3F" w:rsidRDefault="00D87C3F" w:rsidP="00D87C3F">
                      <w:pPr>
                        <w:pStyle w:val="Normal69"/>
                        <w:ind w:left="90"/>
                        <w:rPr>
                          <w:rFonts w:asciiTheme="minorHAnsi" w:hAnsiTheme="minorHAnsi"/>
                          <w:sz w:val="22"/>
                          <w:szCs w:val="22"/>
                        </w:rPr>
                      </w:pPr>
                    </w:p>
                    <w:p w14:paraId="0B30DFE6" w14:textId="77777777" w:rsidR="00D87C3F" w:rsidRDefault="002C3F71" w:rsidP="00D87C3F">
                      <w:pPr>
                        <w:pStyle w:val="Normal69"/>
                        <w:ind w:left="90"/>
                        <w:rPr>
                          <w:rFonts w:asciiTheme="minorHAnsi" w:hAnsiTheme="minorHAnsi"/>
                          <w:sz w:val="22"/>
                          <w:szCs w:val="22"/>
                        </w:rPr>
                      </w:pPr>
                      <w:r>
                        <w:rPr>
                          <w:rFonts w:asciiTheme="minorHAnsi" w:hAnsiTheme="minorHAnsi"/>
                          <w:noProof/>
                          <w:sz w:val="22"/>
                          <w:szCs w:val="22"/>
                        </w:rPr>
                        <w:t xml:space="preserve">The communication strategy included a consultation process and dissemination of the environmental risks, the way CNEA is addressing the issue and basic information on radiation that the local population should know.  The key audience of the communication strategy were the communities at the project sites (namely Malargue, Los Gigantes and El Chichon).  </w:t>
                      </w:r>
                    </w:p>
                    <w:p w14:paraId="6D0A3A17" w14:textId="77777777" w:rsidR="006B2F25" w:rsidRPr="00C63E2C" w:rsidRDefault="006B2F25" w:rsidP="00D87C3F">
                      <w:pPr>
                        <w:pStyle w:val="Normal69"/>
                        <w:ind w:left="90"/>
                        <w:rPr>
                          <w:rFonts w:asciiTheme="minorHAnsi" w:hAnsiTheme="minorHAnsi"/>
                          <w:sz w:val="22"/>
                          <w:szCs w:val="22"/>
                        </w:rPr>
                      </w:pPr>
                    </w:p>
                  </w:tc>
                </w:tr>
                <w:tr w:rsidR="00E63776" w14:paraId="4EEFB246" w14:textId="77777777"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14:paraId="510F31A0" w14:textId="77777777" w:rsidR="006B2F25" w:rsidRPr="00055E38" w:rsidRDefault="006B2F25" w:rsidP="006B2F25">
                      <w:pPr>
                        <w:pStyle w:val="Normal69"/>
                        <w:ind w:left="90"/>
                        <w:rPr>
                          <w:rFonts w:asciiTheme="minorHAnsi" w:eastAsia="Times New Roman" w:hAnsiTheme="minorHAnsi"/>
                          <w:b/>
                          <w:bCs/>
                          <w:color w:val="7F7F7F"/>
                          <w:sz w:val="22"/>
                          <w:szCs w:val="22"/>
                        </w:rPr>
                      </w:pPr>
                    </w:p>
                  </w:tc>
                </w:tr>
              </w:tbl>
              <w:p w14:paraId="5C96F787"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p w14:paraId="26A2D68D"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5"/>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13942"/>
                </w:tblGrid>
                <w:tr w:rsidR="00E63776" w14:paraId="393C6F97" w14:textId="77777777" w:rsidTr="00847E06">
                  <w:trPr>
                    <w:trHeight w:val="288"/>
                  </w:trPr>
                  <w:tc>
                    <w:tcPr>
                      <w:tcW w:w="13922" w:type="dxa"/>
                      <w:tcBorders>
                        <w:top w:val="single" w:sz="4" w:space="0" w:color="D9D9D9"/>
                        <w:left w:val="single" w:sz="4" w:space="0" w:color="D9D9D9"/>
                        <w:bottom w:val="single" w:sz="4" w:space="0" w:color="D9D9D9"/>
                        <w:right w:val="single" w:sz="4" w:space="0" w:color="D9D9D9"/>
                      </w:tcBorders>
                      <w:shd w:val="clear" w:color="auto" w:fill="F7F7F7"/>
                    </w:tcPr>
                    <w:p w14:paraId="500DB743" w14:textId="77777777" w:rsidR="006B2F25" w:rsidRPr="005C762D" w:rsidRDefault="002C3F71" w:rsidP="006B2F25">
                      <w:pPr>
                        <w:pStyle w:val="Normal69"/>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Component 3: Project management.</w:t>
                      </w:r>
                    </w:p>
                  </w:tc>
                </w:tr>
                <w:tr w:rsidR="00E63776" w14:paraId="180ED40D" w14:textId="77777777" w:rsidTr="00847E06">
                  <w:trPr>
                    <w:trHeight w:val="288"/>
                  </w:trPr>
                  <w:tc>
                    <w:tcPr>
                      <w:tcW w:w="13922" w:type="dxa"/>
                      <w:tcBorders>
                        <w:top w:val="nil"/>
                        <w:left w:val="nil"/>
                        <w:bottom w:val="nil"/>
                        <w:right w:val="nil"/>
                      </w:tcBorders>
                      <w:shd w:val="clear" w:color="auto" w:fill="F7F7F7"/>
                    </w:tcPr>
                    <w:p w14:paraId="5E91BD0F" w14:textId="77777777" w:rsidR="00E63776" w:rsidRDefault="00E63776"/>
                  </w:tc>
                </w:tr>
              </w:tbl>
              <w:p w14:paraId="0BE9A3E8" w14:textId="77777777" w:rsidR="00C63E2C" w:rsidRPr="00C63E2C" w:rsidRDefault="00C63E2C" w:rsidP="00C63E2C">
                <w:pPr>
                  <w:pStyle w:val="Normal69"/>
                  <w:shd w:val="clear" w:color="auto" w:fill="F7F7F7"/>
                  <w:spacing w:line="14" w:lineRule="exact"/>
                  <w:ind w:left="-115" w:right="-418"/>
                  <w:rPr>
                    <w:rFonts w:asciiTheme="minorHAnsi" w:hAnsiTheme="minorHAnsi"/>
                    <w:b/>
                    <w:bCs/>
                    <w:color w:val="7F7F7F" w:themeColor="text1" w:themeTint="80"/>
                    <w:sz w:val="22"/>
                    <w:szCs w:val="22"/>
                  </w:rPr>
                </w:pPr>
              </w:p>
            </w:tc>
          </w:tr>
        </w:tbl>
        <w:sdt>
          <w:sdtPr>
            <w:tag w:val="OPS_CORE_SECTION_END_9"/>
            <w:id w:val="165657312"/>
            <w:lock w:val="sdtContentLocked"/>
            <w:placeholder>
              <w:docPart w:val="4C6F3F8C360047F3AC0EDCD46E696C86"/>
            </w:placeholder>
          </w:sdtPr>
          <w:sdtEndPr/>
          <w:sdtContent>
            <w:p w14:paraId="7EE51719" w14:textId="77777777" w:rsidR="0020672B" w:rsidRDefault="002C3F71" w:rsidP="00C63E2C">
              <w:pPr>
                <w:pStyle w:val="Normal4"/>
                <w:spacing w:after="0" w:line="14" w:lineRule="exact"/>
                <w:ind w:left="-907"/>
                <w:sectPr w:rsidR="0020672B" w:rsidSect="003615CB">
                  <w:headerReference w:type="default" r:id="rId18"/>
                  <w:type w:val="continuous"/>
                  <w:pgSz w:w="15840" w:h="12240" w:orient="landscape"/>
                  <w:pgMar w:top="1440" w:right="1440" w:bottom="1440" w:left="1440" w:header="720" w:footer="720" w:gutter="0"/>
                  <w:cols w:space="720"/>
                  <w:docGrid w:linePitch="360"/>
                </w:sectPr>
              </w:pPr>
              <w:r>
                <w:t xml:space="preserve"> </w:t>
              </w:r>
            </w:p>
          </w:sdtContent>
        </w:sdt>
      </w:sdtContent>
    </w:sdt>
    <w:p w14:paraId="35B41591" w14:textId="77777777" w:rsidR="00A71DF4" w:rsidRDefault="00E166B0" w:rsidP="00120537">
      <w:pPr>
        <w:pStyle w:val="Normal4"/>
        <w:spacing w:after="0" w:line="240" w:lineRule="auto"/>
        <w:ind w:left="-907"/>
      </w:pPr>
      <w:sdt>
        <w:sdtPr>
          <w:id w:val="580356677"/>
          <w:lock w:val="sdtContentLocked"/>
          <w:placeholder>
            <w:docPart w:val="DC24153066F24F00AACEADBC73512BAC"/>
          </w:placeholder>
          <w:showingPlcHdr/>
        </w:sdtPr>
        <w:sdtEndPr/>
        <w:sdtContent>
          <w:r w:rsidR="0020672B">
            <w:t xml:space="preserve"> </w:t>
          </w:r>
        </w:sdtContent>
      </w:sdt>
      <w:r w:rsidR="0041674A">
        <w:tab/>
      </w:r>
      <w:r w:rsidR="0041674A">
        <w:tab/>
      </w:r>
    </w:p>
    <w:p w14:paraId="58AC1C56" w14:textId="77777777" w:rsidR="0020672B" w:rsidRDefault="002C3F71" w:rsidP="00FB678F">
      <w:pPr>
        <w:pStyle w:val="Normal4"/>
        <w:numPr>
          <w:ilvl w:val="0"/>
          <w:numId w:val="16"/>
        </w:numPr>
        <w:spacing w:after="0" w:line="240" w:lineRule="auto"/>
        <w:rPr>
          <w:rFonts w:eastAsiaTheme="minorEastAsia" w:cs="Arial"/>
          <w:b/>
          <w:bCs/>
          <w:color w:val="172D5F"/>
          <w:szCs w:val="24"/>
        </w:rPr>
      </w:pPr>
      <w:r w:rsidRPr="00FB678F">
        <w:rPr>
          <w:rFonts w:eastAsiaTheme="minorEastAsia" w:cs="Arial"/>
          <w:b/>
          <w:bCs/>
          <w:color w:val="172D5F"/>
          <w:szCs w:val="24"/>
        </w:rPr>
        <w:t>KEY OUTPUTS BY COMPONENT</w:t>
      </w:r>
    </w:p>
    <w:p w14:paraId="5DC80614" w14:textId="77777777" w:rsidR="0091700D" w:rsidRPr="00A71DF4" w:rsidRDefault="0091700D" w:rsidP="0091700D">
      <w:pPr>
        <w:pStyle w:val="Normal4"/>
        <w:spacing w:after="0" w:line="240" w:lineRule="auto"/>
        <w:ind w:left="-331"/>
        <w:rPr>
          <w:rFonts w:eastAsiaTheme="minorEastAsia" w:cs="Arial"/>
          <w:b/>
          <w:bCs/>
          <w:color w:val="172D5F"/>
          <w:szCs w:val="24"/>
        </w:rPr>
      </w:pPr>
    </w:p>
    <w:p w14:paraId="5D9E0A40" w14:textId="77777777" w:rsidR="0091700D" w:rsidRPr="0091700D" w:rsidRDefault="002C3F71" w:rsidP="0091700D">
      <w:pPr>
        <w:rPr>
          <w:rFonts w:asciiTheme="minorHAnsi" w:eastAsiaTheme="minorHAnsi" w:hAnsiTheme="minorHAnsi" w:cstheme="minorBidi"/>
          <w:b/>
          <w:color w:val="auto"/>
          <w:sz w:val="22"/>
          <w:szCs w:val="22"/>
        </w:rPr>
      </w:pPr>
      <w:r w:rsidRPr="0091700D">
        <w:rPr>
          <w:rFonts w:asciiTheme="minorHAnsi" w:eastAsiaTheme="minorHAnsi" w:hAnsiTheme="minorHAnsi" w:cstheme="minorBidi"/>
          <w:b/>
          <w:color w:val="auto"/>
          <w:sz w:val="22"/>
          <w:szCs w:val="22"/>
        </w:rPr>
        <w:t xml:space="preserve">Component 1. Remediation of </w:t>
      </w:r>
      <w:proofErr w:type="spellStart"/>
      <w:r w:rsidR="00E52891">
        <w:rPr>
          <w:rFonts w:asciiTheme="minorHAnsi" w:eastAsiaTheme="minorHAnsi" w:hAnsiTheme="minorHAnsi" w:cstheme="minorBidi"/>
          <w:b/>
          <w:color w:val="auto"/>
          <w:sz w:val="22"/>
          <w:szCs w:val="22"/>
        </w:rPr>
        <w:t>Malargüe</w:t>
      </w:r>
      <w:proofErr w:type="spellEnd"/>
      <w:r w:rsidRPr="0091700D">
        <w:rPr>
          <w:rFonts w:asciiTheme="minorHAnsi" w:eastAsiaTheme="minorHAnsi" w:hAnsiTheme="minorHAnsi" w:cstheme="minorBidi"/>
          <w:b/>
          <w:color w:val="auto"/>
          <w:sz w:val="22"/>
          <w:szCs w:val="22"/>
        </w:rPr>
        <w:t xml:space="preserve"> Site</w:t>
      </w:r>
    </w:p>
    <w:p w14:paraId="12FC230D" w14:textId="77777777" w:rsidR="0091700D" w:rsidRPr="0091700D" w:rsidRDefault="0091700D" w:rsidP="0091700D">
      <w:pPr>
        <w:rPr>
          <w:rFonts w:asciiTheme="minorHAnsi" w:eastAsiaTheme="minorHAnsi" w:hAnsiTheme="minorHAnsi" w:cstheme="minorBidi"/>
          <w:color w:val="auto"/>
          <w:sz w:val="22"/>
          <w:szCs w:val="22"/>
        </w:rPr>
      </w:pPr>
    </w:p>
    <w:p w14:paraId="6DD96F7A" w14:textId="77777777" w:rsidR="0091700D" w:rsidRPr="0091700D" w:rsidRDefault="002C3F71" w:rsidP="0091700D">
      <w:pPr>
        <w:pStyle w:val="ListParagraph"/>
        <w:numPr>
          <w:ilvl w:val="0"/>
          <w:numId w:val="37"/>
        </w:numPr>
        <w:rPr>
          <w:rFonts w:eastAsiaTheme="minorHAnsi" w:cstheme="minorHAnsi"/>
          <w:color w:val="auto"/>
          <w:szCs w:val="22"/>
        </w:rPr>
      </w:pPr>
      <w:r w:rsidRPr="0091700D">
        <w:rPr>
          <w:rFonts w:eastAsiaTheme="minorHAnsi" w:cstheme="minorBidi"/>
          <w:b w:val="0"/>
          <w:color w:val="auto"/>
          <w:szCs w:val="22"/>
        </w:rPr>
        <w:t xml:space="preserve">100% </w:t>
      </w:r>
      <w:r w:rsidRPr="0091700D">
        <w:rPr>
          <w:rFonts w:eastAsiaTheme="minorHAnsi" w:cstheme="minorHAnsi"/>
          <w:b w:val="0"/>
          <w:color w:val="auto"/>
          <w:szCs w:val="22"/>
        </w:rPr>
        <w:t>removal and encapsulation of uranium tailings which followed the remediation plan agreed with national authorities and the World Bank, reducing the risk associated with the pollution caused by the tailings to public health, the environment, and local economic assets.</w:t>
      </w:r>
    </w:p>
    <w:p w14:paraId="49969FA5" w14:textId="77777777" w:rsidR="0091700D" w:rsidRPr="0091700D" w:rsidRDefault="002C3F71" w:rsidP="0091700D">
      <w:pPr>
        <w:pStyle w:val="ListParagraph"/>
        <w:numPr>
          <w:ilvl w:val="0"/>
          <w:numId w:val="37"/>
        </w:numPr>
        <w:rPr>
          <w:rFonts w:eastAsiaTheme="minorHAnsi" w:cstheme="minorHAnsi"/>
          <w:color w:val="auto"/>
          <w:szCs w:val="22"/>
        </w:rPr>
      </w:pPr>
      <w:proofErr w:type="spellStart"/>
      <w:r>
        <w:rPr>
          <w:rFonts w:eastAsiaTheme="minorHAnsi" w:cstheme="minorBidi"/>
          <w:b w:val="0"/>
          <w:color w:val="auto"/>
          <w:szCs w:val="22"/>
        </w:rPr>
        <w:t>Malargüe</w:t>
      </w:r>
      <w:proofErr w:type="spellEnd"/>
      <w:r w:rsidRPr="0091700D">
        <w:rPr>
          <w:rFonts w:eastAsiaTheme="minorHAnsi" w:cstheme="minorBidi"/>
          <w:b w:val="0"/>
          <w:color w:val="auto"/>
          <w:szCs w:val="22"/>
        </w:rPr>
        <w:t xml:space="preserve"> site restoration works 100% completed.</w:t>
      </w:r>
    </w:p>
    <w:p w14:paraId="32774E64" w14:textId="77777777" w:rsidR="0091700D" w:rsidRPr="0091700D" w:rsidRDefault="002C3F71" w:rsidP="0091700D">
      <w:pPr>
        <w:pStyle w:val="ListParagraph"/>
        <w:numPr>
          <w:ilvl w:val="0"/>
          <w:numId w:val="37"/>
        </w:numPr>
        <w:rPr>
          <w:rFonts w:eastAsiaTheme="minorHAnsi" w:cstheme="minorHAnsi"/>
          <w:color w:val="auto"/>
          <w:szCs w:val="22"/>
        </w:rPr>
      </w:pPr>
      <w:r w:rsidRPr="0091700D">
        <w:rPr>
          <w:rFonts w:eastAsiaTheme="minorHAnsi" w:cstheme="minorHAnsi"/>
          <w:b w:val="0"/>
          <w:color w:val="auto"/>
          <w:szCs w:val="22"/>
        </w:rPr>
        <w:t>All samples collected as part of the environmental, physical, and radiological monitoring plan follow quality assurance and control procedures in the field and laboratories.</w:t>
      </w:r>
    </w:p>
    <w:p w14:paraId="260716D1" w14:textId="77777777" w:rsidR="0091700D" w:rsidRPr="0091700D" w:rsidRDefault="002C3F71" w:rsidP="0091700D">
      <w:pPr>
        <w:pStyle w:val="ListParagraph"/>
        <w:numPr>
          <w:ilvl w:val="0"/>
          <w:numId w:val="37"/>
        </w:numPr>
        <w:rPr>
          <w:rFonts w:eastAsiaTheme="minorHAnsi" w:cstheme="minorHAnsi"/>
          <w:color w:val="auto"/>
          <w:szCs w:val="22"/>
        </w:rPr>
      </w:pPr>
      <w:r w:rsidRPr="0091700D">
        <w:rPr>
          <w:rFonts w:eastAsiaTheme="minorHAnsi" w:cstheme="minorHAnsi"/>
          <w:b w:val="0"/>
          <w:color w:val="auto"/>
          <w:szCs w:val="22"/>
        </w:rPr>
        <w:t xml:space="preserve">The communication strategy with respect to the remediation and site restoration activities at </w:t>
      </w:r>
      <w:proofErr w:type="spellStart"/>
      <w:r w:rsidR="00E52891">
        <w:rPr>
          <w:rFonts w:eastAsiaTheme="minorHAnsi" w:cstheme="minorHAnsi"/>
          <w:b w:val="0"/>
          <w:color w:val="auto"/>
          <w:szCs w:val="22"/>
        </w:rPr>
        <w:t>Malargüe</w:t>
      </w:r>
      <w:proofErr w:type="spellEnd"/>
      <w:r w:rsidRPr="0091700D">
        <w:rPr>
          <w:rFonts w:eastAsiaTheme="minorHAnsi" w:cstheme="minorHAnsi"/>
          <w:b w:val="0"/>
          <w:color w:val="auto"/>
          <w:szCs w:val="22"/>
        </w:rPr>
        <w:t xml:space="preserve"> was implemented.  A communications professional was hired by the project to lead this work; a survey with focus groups was conducted and many events were carried out to create public awareness and share best practices in the remediation of legacy sites.</w:t>
      </w:r>
    </w:p>
    <w:p w14:paraId="79030426" w14:textId="77777777" w:rsidR="0091700D" w:rsidRPr="0091700D" w:rsidRDefault="002C3F71" w:rsidP="0091700D">
      <w:pPr>
        <w:pStyle w:val="ListParagraph"/>
        <w:numPr>
          <w:ilvl w:val="0"/>
          <w:numId w:val="37"/>
        </w:numPr>
        <w:rPr>
          <w:rFonts w:eastAsiaTheme="minorHAnsi" w:cstheme="minorHAnsi"/>
          <w:color w:val="auto"/>
          <w:szCs w:val="22"/>
        </w:rPr>
      </w:pPr>
      <w:r w:rsidRPr="0091700D">
        <w:rPr>
          <w:rFonts w:eastAsiaTheme="minorHAnsi" w:cstheme="minorHAnsi"/>
          <w:b w:val="0"/>
          <w:color w:val="auto"/>
          <w:szCs w:val="22"/>
        </w:rPr>
        <w:t>The civil works for the green par</w:t>
      </w:r>
      <w:r w:rsidR="001944E7">
        <w:rPr>
          <w:rFonts w:eastAsiaTheme="minorHAnsi" w:cstheme="minorHAnsi"/>
          <w:b w:val="0"/>
          <w:color w:val="auto"/>
          <w:szCs w:val="22"/>
        </w:rPr>
        <w:t>k</w:t>
      </w:r>
      <w:r w:rsidRPr="0091700D">
        <w:rPr>
          <w:rFonts w:eastAsiaTheme="minorHAnsi" w:cstheme="minorHAnsi"/>
          <w:b w:val="0"/>
          <w:color w:val="auto"/>
          <w:szCs w:val="22"/>
        </w:rPr>
        <w:t xml:space="preserve"> were completed by the project closing date.</w:t>
      </w:r>
    </w:p>
    <w:p w14:paraId="03C316CD" w14:textId="77777777" w:rsidR="0091700D" w:rsidRPr="0091700D" w:rsidRDefault="0091700D" w:rsidP="0091700D">
      <w:pPr>
        <w:rPr>
          <w:rFonts w:eastAsiaTheme="minorHAnsi" w:cstheme="minorHAnsi"/>
          <w:color w:val="auto"/>
          <w:szCs w:val="22"/>
        </w:rPr>
      </w:pPr>
    </w:p>
    <w:p w14:paraId="6E4E66A6" w14:textId="77777777" w:rsidR="0091700D" w:rsidRPr="0091700D" w:rsidRDefault="002C3F71" w:rsidP="0091700D">
      <w:pPr>
        <w:rPr>
          <w:rFonts w:asciiTheme="minorHAnsi" w:eastAsiaTheme="minorHAnsi" w:hAnsiTheme="minorHAnsi" w:cstheme="minorHAnsi"/>
          <w:b/>
          <w:color w:val="auto"/>
          <w:sz w:val="22"/>
          <w:szCs w:val="22"/>
        </w:rPr>
      </w:pPr>
      <w:r w:rsidRPr="0091700D">
        <w:rPr>
          <w:rFonts w:asciiTheme="minorHAnsi" w:eastAsiaTheme="minorHAnsi" w:hAnsiTheme="minorHAnsi" w:cstheme="minorHAnsi"/>
          <w:b/>
          <w:color w:val="auto"/>
          <w:sz w:val="22"/>
          <w:szCs w:val="22"/>
        </w:rPr>
        <w:t xml:space="preserve">Component 2. </w:t>
      </w:r>
      <w:bookmarkStart w:id="88" w:name="_Hlk502147343"/>
      <w:r w:rsidRPr="0091700D">
        <w:rPr>
          <w:rFonts w:asciiTheme="minorHAnsi" w:eastAsiaTheme="minorHAnsi" w:hAnsiTheme="minorHAnsi" w:cstheme="minorHAnsi"/>
          <w:b/>
          <w:color w:val="auto"/>
          <w:sz w:val="22"/>
          <w:szCs w:val="22"/>
        </w:rPr>
        <w:t>Mine Restoration Planning and Institutional Strengthening</w:t>
      </w:r>
      <w:bookmarkEnd w:id="88"/>
    </w:p>
    <w:p w14:paraId="50C4E6A4" w14:textId="77777777" w:rsidR="0091700D" w:rsidRPr="0091700D" w:rsidRDefault="0091700D" w:rsidP="0091700D">
      <w:pPr>
        <w:rPr>
          <w:rFonts w:asciiTheme="minorHAnsi" w:eastAsiaTheme="minorHAnsi" w:hAnsiTheme="minorHAnsi" w:cstheme="minorHAnsi"/>
          <w:color w:val="auto"/>
          <w:sz w:val="22"/>
          <w:szCs w:val="22"/>
        </w:rPr>
      </w:pPr>
    </w:p>
    <w:p w14:paraId="2CD0F0A1"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Environmental studies developed at all 7 legacy sites.  These evaluations consisted in reporting the environmental conditions of the mining legacy, volume, level of pollution and radiation, topographical and groundwater analysis, and development of a baseline report for each site.</w:t>
      </w:r>
    </w:p>
    <w:p w14:paraId="66AC1C2A"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Five CNEA laboratories fully equipped and possessing installed capacity to monitor environmental parameters (including radiological) on water, soil, and air samples which are supervised by COCALIN.</w:t>
      </w:r>
    </w:p>
    <w:p w14:paraId="73C162A1"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 xml:space="preserve">Proposals for the remediation of contaminated materials and engineering designs at the El </w:t>
      </w:r>
      <w:proofErr w:type="spellStart"/>
      <w:r w:rsidRPr="0091700D">
        <w:rPr>
          <w:rFonts w:eastAsiaTheme="minorHAnsi" w:cstheme="minorHAnsi"/>
          <w:b w:val="0"/>
          <w:color w:val="auto"/>
          <w:szCs w:val="22"/>
        </w:rPr>
        <w:t>C</w:t>
      </w:r>
      <w:r w:rsidR="00377CE6">
        <w:rPr>
          <w:rFonts w:eastAsiaTheme="minorHAnsi" w:cstheme="minorHAnsi"/>
          <w:b w:val="0"/>
          <w:color w:val="auto"/>
          <w:szCs w:val="22"/>
        </w:rPr>
        <w:t>h</w:t>
      </w:r>
      <w:r w:rsidRPr="0091700D">
        <w:rPr>
          <w:rFonts w:eastAsiaTheme="minorHAnsi" w:cstheme="minorHAnsi"/>
          <w:b w:val="0"/>
          <w:color w:val="auto"/>
          <w:szCs w:val="22"/>
        </w:rPr>
        <w:t>ichon</w:t>
      </w:r>
      <w:proofErr w:type="spellEnd"/>
      <w:r w:rsidRPr="0091700D">
        <w:rPr>
          <w:rFonts w:eastAsiaTheme="minorHAnsi" w:cstheme="minorHAnsi"/>
          <w:b w:val="0"/>
          <w:color w:val="auto"/>
          <w:szCs w:val="22"/>
        </w:rPr>
        <w:t xml:space="preserve"> and Los </w:t>
      </w:r>
      <w:proofErr w:type="spellStart"/>
      <w:r w:rsidRPr="0091700D">
        <w:rPr>
          <w:rFonts w:eastAsiaTheme="minorHAnsi" w:cstheme="minorHAnsi"/>
          <w:b w:val="0"/>
          <w:color w:val="auto"/>
          <w:szCs w:val="22"/>
        </w:rPr>
        <w:t>Gigantes</w:t>
      </w:r>
      <w:proofErr w:type="spellEnd"/>
      <w:r w:rsidRPr="0091700D">
        <w:rPr>
          <w:rFonts w:eastAsiaTheme="minorHAnsi" w:cstheme="minorHAnsi"/>
          <w:b w:val="0"/>
          <w:color w:val="auto"/>
          <w:szCs w:val="22"/>
        </w:rPr>
        <w:t xml:space="preserve"> legacy sites completed.</w:t>
      </w:r>
    </w:p>
    <w:p w14:paraId="5CF19F7D"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Six training modules on environmental monitoring, remediation, and other relevant topics agreed and delivered to government agencies where uranium legacy sites are located.</w:t>
      </w:r>
    </w:p>
    <w:p w14:paraId="3C8078EB"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Environmental Information Management System (SIGA) was developed and is fully functional at project sites.</w:t>
      </w:r>
    </w:p>
    <w:p w14:paraId="27ABA88A"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 xml:space="preserve">Communications campaigns carried out in </w:t>
      </w:r>
      <w:proofErr w:type="spellStart"/>
      <w:r w:rsidR="00E52891">
        <w:rPr>
          <w:rFonts w:eastAsiaTheme="minorHAnsi" w:cstheme="minorHAnsi"/>
          <w:b w:val="0"/>
          <w:color w:val="auto"/>
          <w:szCs w:val="22"/>
        </w:rPr>
        <w:t>Malargüe</w:t>
      </w:r>
      <w:proofErr w:type="spellEnd"/>
      <w:r w:rsidRPr="0091700D">
        <w:rPr>
          <w:rFonts w:eastAsiaTheme="minorHAnsi" w:cstheme="minorHAnsi"/>
          <w:b w:val="0"/>
          <w:color w:val="auto"/>
          <w:szCs w:val="22"/>
        </w:rPr>
        <w:t xml:space="preserve"> and Cordoba (El </w:t>
      </w:r>
      <w:proofErr w:type="spellStart"/>
      <w:r w:rsidRPr="0091700D">
        <w:rPr>
          <w:rFonts w:eastAsiaTheme="minorHAnsi" w:cstheme="minorHAnsi"/>
          <w:b w:val="0"/>
          <w:color w:val="auto"/>
          <w:szCs w:val="22"/>
        </w:rPr>
        <w:t>Cichon</w:t>
      </w:r>
      <w:proofErr w:type="spellEnd"/>
      <w:r w:rsidRPr="0091700D">
        <w:rPr>
          <w:rFonts w:eastAsiaTheme="minorHAnsi" w:cstheme="minorHAnsi"/>
          <w:b w:val="0"/>
          <w:color w:val="auto"/>
          <w:szCs w:val="22"/>
        </w:rPr>
        <w:t xml:space="preserve"> and Los </w:t>
      </w:r>
      <w:proofErr w:type="spellStart"/>
      <w:r w:rsidRPr="0091700D">
        <w:rPr>
          <w:rFonts w:eastAsiaTheme="minorHAnsi" w:cstheme="minorHAnsi"/>
          <w:b w:val="0"/>
          <w:color w:val="auto"/>
          <w:szCs w:val="22"/>
        </w:rPr>
        <w:t>Gigantes</w:t>
      </w:r>
      <w:proofErr w:type="spellEnd"/>
      <w:r w:rsidRPr="0091700D">
        <w:rPr>
          <w:rFonts w:eastAsiaTheme="minorHAnsi" w:cstheme="minorHAnsi"/>
          <w:b w:val="0"/>
          <w:color w:val="auto"/>
          <w:szCs w:val="22"/>
        </w:rPr>
        <w:t xml:space="preserve">) and a </w:t>
      </w:r>
      <w:proofErr w:type="gramStart"/>
      <w:r w:rsidRPr="0091700D">
        <w:rPr>
          <w:rFonts w:eastAsiaTheme="minorHAnsi" w:cstheme="minorHAnsi"/>
          <w:b w:val="0"/>
          <w:color w:val="auto"/>
          <w:szCs w:val="22"/>
        </w:rPr>
        <w:t>beneficiaries</w:t>
      </w:r>
      <w:proofErr w:type="gramEnd"/>
      <w:r w:rsidRPr="0091700D">
        <w:rPr>
          <w:rFonts w:eastAsiaTheme="minorHAnsi" w:cstheme="minorHAnsi"/>
          <w:b w:val="0"/>
          <w:color w:val="auto"/>
          <w:szCs w:val="22"/>
        </w:rPr>
        <w:t xml:space="preserve"> survey underway at </w:t>
      </w:r>
      <w:proofErr w:type="spellStart"/>
      <w:r w:rsidR="00E52891">
        <w:rPr>
          <w:rFonts w:eastAsiaTheme="minorHAnsi" w:cstheme="minorHAnsi"/>
          <w:b w:val="0"/>
          <w:color w:val="auto"/>
          <w:szCs w:val="22"/>
        </w:rPr>
        <w:t>Malargüe</w:t>
      </w:r>
      <w:proofErr w:type="spellEnd"/>
      <w:r w:rsidRPr="0091700D">
        <w:rPr>
          <w:rFonts w:eastAsiaTheme="minorHAnsi" w:cstheme="minorHAnsi"/>
          <w:b w:val="0"/>
          <w:color w:val="auto"/>
          <w:szCs w:val="22"/>
        </w:rPr>
        <w:t xml:space="preserve">. </w:t>
      </w:r>
    </w:p>
    <w:p w14:paraId="7F6D6F73" w14:textId="77777777" w:rsidR="0091700D" w:rsidRPr="0091700D" w:rsidRDefault="002C3F71" w:rsidP="0091700D">
      <w:pPr>
        <w:pStyle w:val="ListParagraph"/>
        <w:numPr>
          <w:ilvl w:val="0"/>
          <w:numId w:val="38"/>
        </w:numPr>
        <w:rPr>
          <w:rFonts w:eastAsiaTheme="minorHAnsi" w:cstheme="minorHAnsi"/>
          <w:color w:val="auto"/>
          <w:szCs w:val="22"/>
        </w:rPr>
      </w:pPr>
      <w:r w:rsidRPr="0091700D">
        <w:rPr>
          <w:rFonts w:eastAsiaTheme="minorHAnsi" w:cstheme="minorHAnsi"/>
          <w:b w:val="0"/>
          <w:color w:val="auto"/>
          <w:szCs w:val="22"/>
        </w:rPr>
        <w:t xml:space="preserve">A dissemination event was organized in </w:t>
      </w:r>
      <w:proofErr w:type="spellStart"/>
      <w:r w:rsidR="00E52891">
        <w:rPr>
          <w:rFonts w:eastAsiaTheme="minorHAnsi" w:cstheme="minorHAnsi"/>
          <w:b w:val="0"/>
          <w:color w:val="auto"/>
          <w:szCs w:val="22"/>
        </w:rPr>
        <w:t>Malargüe</w:t>
      </w:r>
      <w:proofErr w:type="spellEnd"/>
      <w:r w:rsidRPr="0091700D">
        <w:rPr>
          <w:rFonts w:eastAsiaTheme="minorHAnsi" w:cstheme="minorHAnsi"/>
          <w:b w:val="0"/>
          <w:color w:val="auto"/>
          <w:szCs w:val="22"/>
        </w:rPr>
        <w:t xml:space="preserve"> in June 2017 with the participation of national authorities, CNEA, and local stakeholders to communicate to the completion of the remediation and site restoration works.</w:t>
      </w:r>
    </w:p>
    <w:p w14:paraId="24598D42" w14:textId="77777777" w:rsidR="0091700D" w:rsidRPr="0091700D" w:rsidRDefault="0091700D" w:rsidP="0091700D">
      <w:pPr>
        <w:rPr>
          <w:rFonts w:eastAsiaTheme="minorHAnsi" w:cstheme="minorHAnsi"/>
          <w:color w:val="auto"/>
          <w:szCs w:val="22"/>
        </w:rPr>
      </w:pPr>
    </w:p>
    <w:p w14:paraId="1A8CE7D5" w14:textId="77777777" w:rsidR="0041674A" w:rsidRPr="0091700D" w:rsidRDefault="002C3F71" w:rsidP="0091700D">
      <w:pPr>
        <w:pStyle w:val="Normal4"/>
        <w:spacing w:after="0" w:line="240" w:lineRule="auto"/>
        <w:ind w:left="-907"/>
        <w:rPr>
          <w:sz w:val="18"/>
          <w:szCs w:val="18"/>
        </w:rPr>
      </w:pPr>
      <w:r>
        <w:rPr>
          <w:b/>
        </w:rPr>
        <w:t xml:space="preserve"> </w:t>
      </w:r>
    </w:p>
    <w:p w14:paraId="2AA69B77" w14:textId="77777777" w:rsidR="00DE494F" w:rsidRPr="0091700D" w:rsidRDefault="00DE494F" w:rsidP="00DE494F">
      <w:pPr>
        <w:pStyle w:val="Normal4"/>
        <w:spacing w:after="0" w:line="240" w:lineRule="auto"/>
        <w:ind w:left="-907"/>
        <w:rPr>
          <w:sz w:val="18"/>
          <w:szCs w:val="18"/>
        </w:rPr>
      </w:pPr>
    </w:p>
    <w:p w14:paraId="54A6E9D7" w14:textId="77777777" w:rsidR="00DE494F" w:rsidRDefault="00DE494F" w:rsidP="00DE494F">
      <w:pPr>
        <w:pStyle w:val="Normal4"/>
        <w:spacing w:after="0" w:line="240" w:lineRule="auto"/>
        <w:ind w:left="-907"/>
      </w:pPr>
    </w:p>
    <w:p w14:paraId="2265AD22" w14:textId="77777777" w:rsidR="00DE494F" w:rsidRDefault="00DE494F" w:rsidP="00FB02CD">
      <w:pPr>
        <w:pStyle w:val="Normal4"/>
        <w:spacing w:after="0" w:line="14" w:lineRule="exact"/>
        <w:ind w:left="-907"/>
      </w:pPr>
    </w:p>
    <w:p w14:paraId="31AFA487" w14:textId="77777777" w:rsidR="00DE494F" w:rsidRPr="0020672B" w:rsidRDefault="00DE494F" w:rsidP="00FB02CD">
      <w:pPr>
        <w:pStyle w:val="Normal4"/>
        <w:spacing w:after="0" w:line="14" w:lineRule="exact"/>
        <w:ind w:left="-907"/>
        <w:sectPr w:rsidR="00DE494F" w:rsidRPr="0020672B" w:rsidSect="00120537">
          <w:pgSz w:w="12240" w:h="15840"/>
          <w:pgMar w:top="1440" w:right="1440" w:bottom="1440" w:left="1440" w:header="720" w:footer="720" w:gutter="0"/>
          <w:cols w:space="720"/>
          <w:docGrid w:linePitch="360"/>
        </w:sectPr>
      </w:pPr>
    </w:p>
    <w:p w14:paraId="3A47AB35" w14:textId="77777777" w:rsidR="003615CB" w:rsidRDefault="003615CB" w:rsidP="003615CB">
      <w:pPr>
        <w:spacing w:line="20" w:lineRule="exact"/>
        <w:ind w:left="-792"/>
        <w:rPr>
          <w:rFonts w:asciiTheme="minorHAnsi" w:hAnsiTheme="minorHAnsi"/>
          <w:b/>
          <w:bCs/>
          <w:color w:val="7F7F7F" w:themeColor="text1" w:themeTint="80"/>
          <w:sz w:val="22"/>
          <w:szCs w:val="22"/>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800"/>
      </w:tblGrid>
      <w:tr w:rsidR="00E63776" w14:paraId="44EBD2EE" w14:textId="77777777" w:rsidTr="008565D8">
        <w:trPr>
          <w:trHeight w:val="432"/>
        </w:trPr>
        <w:tc>
          <w:tcPr>
            <w:tcW w:w="10800" w:type="dxa"/>
            <w:shd w:val="clear" w:color="auto" w:fill="F2F7FC"/>
            <w:vAlign w:val="center"/>
          </w:tcPr>
          <w:p w14:paraId="6A7FD3C3" w14:textId="77777777" w:rsidR="003615CB" w:rsidRPr="00D90F20" w:rsidRDefault="002C3F71" w:rsidP="00F07469">
            <w:pPr>
              <w:pStyle w:val="NoSpacing"/>
              <w:jc w:val="center"/>
              <w:outlineLvl w:val="0"/>
              <w:rPr>
                <w:rFonts w:asciiTheme="minorHAnsi" w:hAnsiTheme="minorHAnsi"/>
                <w:b/>
                <w:sz w:val="22"/>
                <w:szCs w:val="22"/>
              </w:rPr>
            </w:pPr>
            <w:bookmarkStart w:id="89" w:name="_Toc256000033"/>
            <w:bookmarkStart w:id="90" w:name="_Toc485984561"/>
            <w:bookmarkStart w:id="91" w:name="_Toc502164479"/>
            <w:r w:rsidRPr="00467FB1">
              <w:rPr>
                <w:rFonts w:asciiTheme="minorHAnsi" w:hAnsiTheme="minorHAnsi"/>
                <w:b/>
                <w:sz w:val="22"/>
                <w:szCs w:val="22"/>
              </w:rPr>
              <w:t>ANNEX 2. BANK LENDING AND IMPLEMENTATION SUPPORT/SUPERVISION</w:t>
            </w:r>
            <w:bookmarkEnd w:id="89"/>
            <w:bookmarkEnd w:id="90"/>
            <w:bookmarkEnd w:id="91"/>
          </w:p>
        </w:tc>
      </w:tr>
    </w:tbl>
    <w:p w14:paraId="2607CE4D" w14:textId="77777777" w:rsidR="00222B3C" w:rsidRDefault="00222B3C" w:rsidP="00222B3C">
      <w:pPr>
        <w:ind w:left="-634"/>
        <w:rPr>
          <w:rFonts w:asciiTheme="minorHAnsi" w:hAnsiTheme="minorHAnsi"/>
          <w:bCs/>
          <w:color w:val="auto"/>
          <w:sz w:val="22"/>
          <w:szCs w:val="22"/>
        </w:rPr>
      </w:pPr>
    </w:p>
    <w:p w14:paraId="148231A6" w14:textId="77777777" w:rsidR="00222B3C" w:rsidRDefault="00222B3C" w:rsidP="00222B3C">
      <w:pPr>
        <w:ind w:left="-634"/>
        <w:rPr>
          <w:rFonts w:asciiTheme="minorHAnsi" w:hAnsiTheme="minorHAnsi"/>
          <w:bCs/>
          <w:color w:val="auto"/>
          <w:sz w:val="22"/>
          <w:szCs w:val="22"/>
        </w:rPr>
      </w:pPr>
    </w:p>
    <w:tbl>
      <w:tblPr>
        <w:tblStyle w:val="TableGrid6"/>
        <w:tblW w:w="10710" w:type="dxa"/>
        <w:tblInd w:w="-660" w:type="dxa"/>
        <w:shd w:val="clear" w:color="auto" w:fill="F7F7F7"/>
        <w:tblLayout w:type="fixed"/>
        <w:tblLook w:val="04A0" w:firstRow="1" w:lastRow="0" w:firstColumn="1" w:lastColumn="0" w:noHBand="0" w:noVBand="1"/>
      </w:tblPr>
      <w:tblGrid>
        <w:gridCol w:w="10710"/>
      </w:tblGrid>
      <w:tr w:rsidR="00E63776" w14:paraId="52F76B1A" w14:textId="77777777" w:rsidTr="00643C70">
        <w:trPr>
          <w:trHeight w:val="354"/>
        </w:trPr>
        <w:tc>
          <w:tcPr>
            <w:tcW w:w="10710" w:type="dxa"/>
            <w:tcBorders>
              <w:top w:val="nil"/>
              <w:left w:val="single" w:sz="24" w:space="0" w:color="BFBFBF" w:themeColor="background1" w:themeShade="BF"/>
              <w:bottom w:val="nil"/>
              <w:right w:val="nil"/>
            </w:tcBorders>
            <w:shd w:val="clear" w:color="auto" w:fill="F2F2F2" w:themeFill="background1" w:themeFillShade="F2"/>
            <w:vAlign w:val="center"/>
            <w:hideMark/>
          </w:tcPr>
          <w:p w14:paraId="61B76054" w14:textId="77777777" w:rsidR="00643C70" w:rsidRPr="00643C70" w:rsidRDefault="002C3F71" w:rsidP="00643C70">
            <w:pPr>
              <w:widowControl/>
              <w:numPr>
                <w:ilvl w:val="0"/>
                <w:numId w:val="17"/>
              </w:numPr>
              <w:autoSpaceDE/>
              <w:autoSpaceDN/>
              <w:adjustRightInd/>
              <w:contextualSpacing/>
              <w:rPr>
                <w:rFonts w:asciiTheme="minorHAnsi" w:eastAsiaTheme="minorHAnsi" w:hAnsiTheme="minorHAnsi" w:cstheme="minorBidi"/>
                <w:b/>
                <w:color w:val="auto"/>
                <w:sz w:val="22"/>
                <w:szCs w:val="22"/>
              </w:rPr>
            </w:pPr>
            <w:r w:rsidRPr="00606DB1">
              <w:rPr>
                <w:rFonts w:asciiTheme="minorHAnsi" w:eastAsiaTheme="minorHAnsi" w:hAnsiTheme="minorHAnsi" w:cstheme="minorBidi"/>
                <w:b/>
                <w:color w:val="auto"/>
                <w:sz w:val="22"/>
                <w:szCs w:val="22"/>
              </w:rPr>
              <w:t>TASK TEAM MEMBERS</w:t>
            </w:r>
          </w:p>
        </w:tc>
      </w:tr>
    </w:tbl>
    <w:p w14:paraId="78D4B68F" w14:textId="77777777" w:rsidR="00222B3C" w:rsidRDefault="00222B3C" w:rsidP="00222B3C">
      <w:pPr>
        <w:ind w:left="-634"/>
        <w:rPr>
          <w:rFonts w:asciiTheme="minorHAnsi" w:hAnsiTheme="minorHAnsi"/>
          <w:bCs/>
          <w:color w:val="auto"/>
          <w:sz w:val="22"/>
          <w:szCs w:val="22"/>
        </w:rPr>
      </w:pPr>
    </w:p>
    <w:tbl>
      <w:tblPr>
        <w:tblStyle w:val="TableGrid"/>
        <w:tblW w:w="10800" w:type="dxa"/>
        <w:tblInd w:w="-720" w:type="dxa"/>
        <w:tblBorders>
          <w:top w:val="nil"/>
          <w:left w:val="nil"/>
          <w:bottom w:val="nil"/>
          <w:right w:val="nil"/>
          <w:insideH w:val="nil"/>
          <w:insideV w:val="nil"/>
        </w:tblBorders>
        <w:shd w:val="clear" w:color="auto" w:fill="FFFFFF" w:themeFill="background1"/>
        <w:tblLayout w:type="fixed"/>
        <w:tblLook w:val="04A0" w:firstRow="1" w:lastRow="0" w:firstColumn="1" w:lastColumn="0" w:noHBand="0" w:noVBand="1"/>
      </w:tblPr>
      <w:tblGrid>
        <w:gridCol w:w="5490"/>
        <w:gridCol w:w="5310"/>
      </w:tblGrid>
      <w:tr w:rsidR="00E63776" w14:paraId="5CC39C76" w14:textId="77777777" w:rsidTr="00C93BEF">
        <w:trPr>
          <w:trHeight w:val="387"/>
        </w:trPr>
        <w:tc>
          <w:tcPr>
            <w:tcW w:w="5490" w:type="dxa"/>
            <w:tcBorders>
              <w:top w:val="nil"/>
              <w:bottom w:val="single" w:sz="12" w:space="0" w:color="D9D9D9" w:themeColor="background1" w:themeShade="D9"/>
            </w:tcBorders>
            <w:shd w:val="clear" w:color="auto" w:fill="FFFFFF" w:themeFill="background1"/>
            <w:vAlign w:val="center"/>
          </w:tcPr>
          <w:p w14:paraId="136C7E4B" w14:textId="77777777" w:rsidR="00816875" w:rsidRPr="00816875" w:rsidRDefault="002C3F71" w:rsidP="001D102A">
            <w:pPr>
              <w:keepNext/>
              <w:rPr>
                <w:rFonts w:asciiTheme="minorHAnsi" w:hAnsiTheme="minorHAnsi"/>
                <w:b/>
                <w:sz w:val="22"/>
                <w:szCs w:val="22"/>
              </w:rPr>
            </w:pPr>
            <w:r w:rsidRPr="00816875">
              <w:rPr>
                <w:rFonts w:asciiTheme="minorHAnsi" w:hAnsiTheme="minorHAnsi"/>
                <w:b/>
                <w:bCs/>
                <w:color w:val="7F7F7F" w:themeColor="text1" w:themeTint="80"/>
                <w:sz w:val="22"/>
                <w:szCs w:val="22"/>
              </w:rPr>
              <w:t>Name</w:t>
            </w:r>
          </w:p>
        </w:tc>
        <w:tc>
          <w:tcPr>
            <w:tcW w:w="5310" w:type="dxa"/>
            <w:tcBorders>
              <w:top w:val="nil"/>
              <w:bottom w:val="single" w:sz="12" w:space="0" w:color="D9D9D9" w:themeColor="background1" w:themeShade="D9"/>
            </w:tcBorders>
            <w:shd w:val="clear" w:color="auto" w:fill="FFFFFF" w:themeFill="background1"/>
            <w:vAlign w:val="center"/>
          </w:tcPr>
          <w:p w14:paraId="4435BDEA" w14:textId="77777777" w:rsidR="00816875" w:rsidRPr="00816875" w:rsidRDefault="002C3F71" w:rsidP="001D102A">
            <w:pPr>
              <w:keepNext/>
              <w:rPr>
                <w:rFonts w:asciiTheme="minorHAnsi" w:hAnsiTheme="minorHAnsi"/>
                <w:b/>
                <w:sz w:val="22"/>
                <w:szCs w:val="22"/>
              </w:rPr>
            </w:pPr>
            <w:r w:rsidRPr="00816875">
              <w:rPr>
                <w:rFonts w:asciiTheme="minorHAnsi" w:hAnsiTheme="minorHAnsi"/>
                <w:b/>
                <w:bCs/>
                <w:color w:val="7F7F7F" w:themeColor="text1" w:themeTint="80"/>
                <w:sz w:val="22"/>
                <w:szCs w:val="22"/>
              </w:rPr>
              <w:t>Role</w:t>
            </w:r>
          </w:p>
        </w:tc>
      </w:tr>
      <w:tr w:rsidR="00E63776" w14:paraId="251368AE" w14:textId="77777777" w:rsidTr="00C93BEF">
        <w:trPr>
          <w:trHeight w:val="387"/>
        </w:trPr>
        <w:tc>
          <w:tcPr>
            <w:tcW w:w="10800" w:type="dxa"/>
            <w:gridSpan w:val="2"/>
            <w:tcBorders>
              <w:top w:val="single" w:sz="2" w:space="0" w:color="F2F2F2" w:themeColor="background1" w:themeShade="F2"/>
              <w:bottom w:val="single" w:sz="12" w:space="0" w:color="D9D9D9" w:themeColor="background1" w:themeShade="D9"/>
            </w:tcBorders>
            <w:shd w:val="clear" w:color="auto" w:fill="FFFFFF" w:themeFill="background1"/>
            <w:vAlign w:val="center"/>
          </w:tcPr>
          <w:p w14:paraId="57564EA1" w14:textId="77777777" w:rsidR="00816875" w:rsidRPr="00816875" w:rsidRDefault="002C3F71" w:rsidP="001D102A">
            <w:pPr>
              <w:rPr>
                <w:rFonts w:asciiTheme="minorHAnsi" w:hAnsiTheme="minorHAnsi"/>
                <w:b/>
                <w:noProof/>
                <w:sz w:val="22"/>
                <w:szCs w:val="22"/>
              </w:rPr>
            </w:pPr>
            <w:r w:rsidRPr="00816875">
              <w:rPr>
                <w:rFonts w:asciiTheme="minorHAnsi" w:hAnsiTheme="minorHAnsi"/>
                <w:b/>
                <w:noProof/>
                <w:sz w:val="22"/>
                <w:szCs w:val="22"/>
              </w:rPr>
              <w:t>Preparation</w:t>
            </w:r>
          </w:p>
        </w:tc>
      </w:tr>
      <w:tr w:rsidR="00E63776" w14:paraId="465D114B" w14:textId="77777777" w:rsidTr="00C93BEF">
        <w:trPr>
          <w:trHeight w:val="387"/>
        </w:trPr>
        <w:tc>
          <w:tcPr>
            <w:tcW w:w="10800" w:type="dxa"/>
            <w:gridSpan w:val="2"/>
            <w:tcBorders>
              <w:top w:val="single" w:sz="12" w:space="0" w:color="D9D9D9" w:themeColor="background1" w:themeShade="D9"/>
              <w:bottom w:val="single" w:sz="12" w:space="0" w:color="D9D9D9" w:themeColor="background1" w:themeShade="D9"/>
            </w:tcBorders>
            <w:shd w:val="clear" w:color="auto" w:fill="FFFFFF" w:themeFill="background1"/>
            <w:vAlign w:val="center"/>
          </w:tcPr>
          <w:p w14:paraId="74A3AE27" w14:textId="77777777" w:rsidR="00816875" w:rsidRPr="00816875" w:rsidRDefault="002C3F71" w:rsidP="001D102A">
            <w:pPr>
              <w:rPr>
                <w:rFonts w:asciiTheme="minorHAnsi" w:hAnsiTheme="minorHAnsi"/>
                <w:b/>
                <w:sz w:val="22"/>
                <w:szCs w:val="22"/>
              </w:rPr>
            </w:pPr>
            <w:r w:rsidRPr="00816875">
              <w:rPr>
                <w:rFonts w:asciiTheme="minorHAnsi" w:hAnsiTheme="minorHAnsi"/>
                <w:b/>
                <w:sz w:val="22"/>
                <w:szCs w:val="22"/>
              </w:rPr>
              <w:t>Supervision/ICR</w:t>
            </w:r>
          </w:p>
        </w:tc>
      </w:tr>
      <w:tr w:rsidR="00E63776" w14:paraId="12B2C74C"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7B6D3F49" w14:textId="77777777" w:rsidR="00C93BEF" w:rsidRPr="00643C70" w:rsidRDefault="002C3F71" w:rsidP="00882207">
            <w:pPr>
              <w:rPr>
                <w:rFonts w:asciiTheme="minorHAnsi" w:hAnsiTheme="minorHAnsi"/>
                <w:sz w:val="22"/>
              </w:rPr>
            </w:pPr>
            <w:r>
              <w:rPr>
                <w:rFonts w:asciiTheme="minorHAnsi" w:hAnsiTheme="minorHAnsi"/>
                <w:noProof/>
                <w:sz w:val="22"/>
                <w:szCs w:val="22"/>
              </w:rPr>
              <w:t>Ruth Tiffer-Sotomayor/R</w:t>
            </w:r>
            <w:r w:rsidR="00173499">
              <w:rPr>
                <w:rFonts w:asciiTheme="minorHAnsi" w:hAnsiTheme="minorHAnsi"/>
                <w:noProof/>
                <w:sz w:val="22"/>
                <w:szCs w:val="22"/>
              </w:rPr>
              <w:t>enan A. Poveda</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2921D9F1" w14:textId="77777777" w:rsidR="00C93BEF" w:rsidRPr="00643C70" w:rsidRDefault="002C3F71" w:rsidP="00882207">
            <w:pPr>
              <w:rPr>
                <w:rFonts w:asciiTheme="minorHAnsi" w:hAnsiTheme="minorHAnsi"/>
                <w:sz w:val="22"/>
              </w:rPr>
            </w:pPr>
            <w:r>
              <w:rPr>
                <w:rFonts w:asciiTheme="minorHAnsi" w:hAnsiTheme="minorHAnsi"/>
                <w:noProof/>
                <w:sz w:val="22"/>
              </w:rPr>
              <w:t>Task Team Leader(s)</w:t>
            </w:r>
          </w:p>
        </w:tc>
      </w:tr>
      <w:tr w:rsidR="00E63776" w14:paraId="29800BD7"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6F9472CB" w14:textId="77777777" w:rsidR="00C93BEF" w:rsidRPr="00643C70" w:rsidRDefault="002C3F71" w:rsidP="00882207">
            <w:pPr>
              <w:rPr>
                <w:rFonts w:asciiTheme="minorHAnsi" w:hAnsiTheme="minorHAnsi"/>
                <w:sz w:val="22"/>
              </w:rPr>
            </w:pPr>
            <w:r>
              <w:rPr>
                <w:rFonts w:asciiTheme="minorHAnsi" w:hAnsiTheme="minorHAnsi"/>
                <w:noProof/>
                <w:sz w:val="22"/>
                <w:szCs w:val="22"/>
              </w:rPr>
              <w:t>Gustavo Adrian Canu</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2D04BAD3" w14:textId="77777777" w:rsidR="00C93BEF" w:rsidRPr="00643C70" w:rsidRDefault="002C3F71" w:rsidP="00882207">
            <w:pPr>
              <w:rPr>
                <w:rFonts w:asciiTheme="minorHAnsi" w:hAnsiTheme="minorHAnsi"/>
                <w:sz w:val="22"/>
              </w:rPr>
            </w:pPr>
            <w:r>
              <w:rPr>
                <w:rFonts w:asciiTheme="minorHAnsi" w:hAnsiTheme="minorHAnsi"/>
                <w:noProof/>
                <w:sz w:val="22"/>
              </w:rPr>
              <w:t>Procurement Specialist(s)</w:t>
            </w:r>
          </w:p>
        </w:tc>
      </w:tr>
      <w:tr w:rsidR="00E63776" w14:paraId="771783B5"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3053131E" w14:textId="77777777" w:rsidR="00C93BEF" w:rsidRPr="00643C70" w:rsidRDefault="002C3F71" w:rsidP="00882207">
            <w:pPr>
              <w:rPr>
                <w:rFonts w:asciiTheme="minorHAnsi" w:hAnsiTheme="minorHAnsi"/>
                <w:sz w:val="22"/>
              </w:rPr>
            </w:pPr>
            <w:r>
              <w:rPr>
                <w:rFonts w:asciiTheme="minorHAnsi" w:hAnsiTheme="minorHAnsi"/>
                <w:noProof/>
                <w:sz w:val="22"/>
                <w:szCs w:val="22"/>
              </w:rPr>
              <w:t>Jose Simon Rezk</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7E1141D5" w14:textId="77777777" w:rsidR="00C93BEF" w:rsidRPr="00643C70" w:rsidRDefault="002C3F71" w:rsidP="00882207">
            <w:pPr>
              <w:rPr>
                <w:rFonts w:asciiTheme="minorHAnsi" w:hAnsiTheme="minorHAnsi"/>
                <w:sz w:val="22"/>
              </w:rPr>
            </w:pPr>
            <w:r>
              <w:rPr>
                <w:rFonts w:asciiTheme="minorHAnsi" w:hAnsiTheme="minorHAnsi"/>
                <w:noProof/>
                <w:sz w:val="22"/>
              </w:rPr>
              <w:t>Financial Management Specialist</w:t>
            </w:r>
          </w:p>
        </w:tc>
      </w:tr>
      <w:tr w:rsidR="00E63776" w14:paraId="2155A4FC"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5C24B65B" w14:textId="77777777" w:rsidR="00C93BEF" w:rsidRPr="00643C70" w:rsidRDefault="002C3F71" w:rsidP="00882207">
            <w:pPr>
              <w:rPr>
                <w:rFonts w:asciiTheme="minorHAnsi" w:hAnsiTheme="minorHAnsi"/>
                <w:sz w:val="22"/>
              </w:rPr>
            </w:pPr>
            <w:r>
              <w:rPr>
                <w:rFonts w:asciiTheme="minorHAnsi" w:hAnsiTheme="minorHAnsi"/>
                <w:noProof/>
                <w:sz w:val="22"/>
                <w:szCs w:val="22"/>
              </w:rPr>
              <w:t>Ramana V. Pemmaraju</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0774A7CA" w14:textId="77777777" w:rsidR="00C93BEF" w:rsidRPr="00643C70" w:rsidRDefault="002C3F71" w:rsidP="00882207">
            <w:pPr>
              <w:rPr>
                <w:rFonts w:asciiTheme="minorHAnsi" w:hAnsiTheme="minorHAnsi"/>
                <w:sz w:val="22"/>
              </w:rPr>
            </w:pPr>
            <w:r>
              <w:rPr>
                <w:rFonts w:asciiTheme="minorHAnsi" w:hAnsiTheme="minorHAnsi"/>
                <w:noProof/>
                <w:sz w:val="22"/>
              </w:rPr>
              <w:t xml:space="preserve">Information technology Officer </w:t>
            </w:r>
          </w:p>
        </w:tc>
      </w:tr>
      <w:tr w:rsidR="00E63776" w14:paraId="74AA01F0"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6DA71EA7" w14:textId="77777777" w:rsidR="00C93BEF" w:rsidRPr="00643C70" w:rsidRDefault="002C3F71" w:rsidP="00882207">
            <w:pPr>
              <w:rPr>
                <w:rFonts w:asciiTheme="minorHAnsi" w:hAnsiTheme="minorHAnsi"/>
                <w:sz w:val="22"/>
              </w:rPr>
            </w:pPr>
            <w:r>
              <w:rPr>
                <w:rFonts w:asciiTheme="minorHAnsi" w:hAnsiTheme="minorHAnsi"/>
                <w:noProof/>
                <w:sz w:val="22"/>
                <w:szCs w:val="22"/>
              </w:rPr>
              <w:t>Lilian Pedersen</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3F4FD4F8" w14:textId="77777777" w:rsidR="00C93BEF" w:rsidRPr="00643C70" w:rsidRDefault="002C3F71" w:rsidP="00882207">
            <w:pPr>
              <w:rPr>
                <w:rFonts w:asciiTheme="minorHAnsi" w:hAnsiTheme="minorHAnsi"/>
                <w:sz w:val="22"/>
              </w:rPr>
            </w:pPr>
            <w:r>
              <w:rPr>
                <w:rFonts w:asciiTheme="minorHAnsi" w:hAnsiTheme="minorHAnsi"/>
                <w:noProof/>
                <w:sz w:val="22"/>
              </w:rPr>
              <w:t>Social Safeguards Specialist</w:t>
            </w:r>
          </w:p>
        </w:tc>
      </w:tr>
      <w:tr w:rsidR="00E63776" w14:paraId="29DBCACA"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391937D8" w14:textId="77777777" w:rsidR="00C93BEF" w:rsidRPr="00643C70" w:rsidRDefault="002C3F71" w:rsidP="00882207">
            <w:pPr>
              <w:rPr>
                <w:rFonts w:asciiTheme="minorHAnsi" w:hAnsiTheme="minorHAnsi"/>
                <w:sz w:val="22"/>
              </w:rPr>
            </w:pPr>
            <w:r>
              <w:rPr>
                <w:rFonts w:asciiTheme="minorHAnsi" w:hAnsiTheme="minorHAnsi"/>
                <w:noProof/>
                <w:sz w:val="22"/>
                <w:szCs w:val="22"/>
              </w:rPr>
              <w:t>Esteban Fernando Travaglianti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1780236D" w14:textId="77777777" w:rsidR="00C93BEF" w:rsidRPr="00643C70" w:rsidRDefault="002C3F71" w:rsidP="00882207">
            <w:pPr>
              <w:rPr>
                <w:rFonts w:asciiTheme="minorHAnsi" w:hAnsiTheme="minorHAnsi"/>
                <w:sz w:val="22"/>
              </w:rPr>
            </w:pPr>
            <w:r>
              <w:rPr>
                <w:rFonts w:asciiTheme="minorHAnsi" w:hAnsiTheme="minorHAnsi"/>
                <w:noProof/>
                <w:sz w:val="22"/>
              </w:rPr>
              <w:t xml:space="preserve">Civil Enginer </w:t>
            </w:r>
          </w:p>
        </w:tc>
      </w:tr>
      <w:tr w:rsidR="00E63776" w14:paraId="60D0A0F7"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6FFF7814" w14:textId="77777777" w:rsidR="00C93BEF" w:rsidRPr="00643C70" w:rsidRDefault="002C3F71" w:rsidP="00882207">
            <w:pPr>
              <w:rPr>
                <w:rFonts w:asciiTheme="minorHAnsi" w:hAnsiTheme="minorHAnsi"/>
                <w:sz w:val="22"/>
              </w:rPr>
            </w:pPr>
            <w:r>
              <w:rPr>
                <w:rFonts w:asciiTheme="minorHAnsi" w:hAnsiTheme="minorHAnsi"/>
                <w:noProof/>
                <w:sz w:val="22"/>
                <w:szCs w:val="22"/>
              </w:rPr>
              <w:t>Pablo Francisco Herrera</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36AE8928" w14:textId="77777777" w:rsidR="00C93BEF" w:rsidRPr="00643C70" w:rsidRDefault="002C3F71" w:rsidP="00882207">
            <w:pPr>
              <w:rPr>
                <w:rFonts w:asciiTheme="minorHAnsi" w:hAnsiTheme="minorHAnsi"/>
                <w:sz w:val="22"/>
              </w:rPr>
            </w:pPr>
            <w:r>
              <w:rPr>
                <w:rFonts w:asciiTheme="minorHAnsi" w:hAnsiTheme="minorHAnsi"/>
                <w:noProof/>
                <w:sz w:val="22"/>
              </w:rPr>
              <w:t>Environmental Safeguards Specialist</w:t>
            </w:r>
          </w:p>
        </w:tc>
      </w:tr>
      <w:tr w:rsidR="00E63776" w14:paraId="7CCE902F" w14:textId="77777777"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14:paraId="3EBC10FA" w14:textId="77777777" w:rsidR="00C93BEF" w:rsidRPr="00643C70" w:rsidRDefault="002C3F71" w:rsidP="00882207">
            <w:pPr>
              <w:rPr>
                <w:rFonts w:asciiTheme="minorHAnsi" w:hAnsiTheme="minorHAnsi"/>
                <w:sz w:val="22"/>
              </w:rPr>
            </w:pPr>
            <w:r>
              <w:rPr>
                <w:rFonts w:asciiTheme="minorHAnsi" w:hAnsiTheme="minorHAnsi"/>
                <w:noProof/>
                <w:sz w:val="22"/>
                <w:szCs w:val="22"/>
              </w:rPr>
              <w:t>Paula Agostina Di Crocco</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14:paraId="4FE41A37" w14:textId="77777777" w:rsidR="00C93BEF" w:rsidRPr="00643C70" w:rsidRDefault="002C3F71" w:rsidP="00882207">
            <w:pPr>
              <w:rPr>
                <w:rFonts w:asciiTheme="minorHAnsi" w:hAnsiTheme="minorHAnsi"/>
                <w:sz w:val="22"/>
              </w:rPr>
            </w:pPr>
            <w:r>
              <w:rPr>
                <w:rFonts w:asciiTheme="minorHAnsi" w:hAnsiTheme="minorHAnsi"/>
                <w:noProof/>
                <w:sz w:val="22"/>
              </w:rPr>
              <w:t>Finnancial Management</w:t>
            </w:r>
          </w:p>
        </w:tc>
      </w:tr>
    </w:tbl>
    <w:p w14:paraId="1B7E63F9" w14:textId="77777777" w:rsidR="00816875" w:rsidRDefault="002C3F71" w:rsidP="00222B3C">
      <w:pPr>
        <w:ind w:left="-634"/>
        <w:rPr>
          <w:rFonts w:asciiTheme="minorHAnsi" w:hAnsiTheme="minorHAnsi"/>
          <w:bCs/>
          <w:color w:val="auto"/>
          <w:sz w:val="22"/>
          <w:szCs w:val="22"/>
        </w:rPr>
      </w:pPr>
      <w:r>
        <w:rPr>
          <w:rFonts w:asciiTheme="minorHAnsi" w:hAnsiTheme="minorHAnsi"/>
          <w:bCs/>
          <w:color w:val="auto"/>
          <w:sz w:val="22"/>
          <w:szCs w:val="22"/>
        </w:rPr>
        <w:t>Veronica Jarrin</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 xml:space="preserve">            </w:t>
      </w:r>
      <w:r w:rsidR="00391B57">
        <w:rPr>
          <w:rFonts w:asciiTheme="minorHAnsi" w:hAnsiTheme="minorHAnsi"/>
          <w:bCs/>
          <w:color w:val="auto"/>
          <w:sz w:val="22"/>
          <w:szCs w:val="22"/>
        </w:rPr>
        <w:t xml:space="preserve">Operations Analyst </w:t>
      </w:r>
    </w:p>
    <w:p w14:paraId="5ACDF589" w14:textId="77777777" w:rsidR="00391B57" w:rsidRDefault="00391B57" w:rsidP="00222B3C">
      <w:pPr>
        <w:ind w:left="-634"/>
        <w:rPr>
          <w:rFonts w:asciiTheme="minorHAnsi" w:hAnsiTheme="minorHAnsi"/>
          <w:bCs/>
          <w:color w:val="auto"/>
          <w:sz w:val="22"/>
          <w:szCs w:val="22"/>
        </w:rPr>
      </w:pPr>
    </w:p>
    <w:p w14:paraId="2A517DCF" w14:textId="77777777" w:rsidR="00222B3C" w:rsidRDefault="002C3F71" w:rsidP="00222B3C">
      <w:pPr>
        <w:ind w:left="-634"/>
        <w:rPr>
          <w:rFonts w:asciiTheme="minorHAnsi" w:hAnsiTheme="minorHAnsi"/>
          <w:bCs/>
          <w:color w:val="auto"/>
          <w:sz w:val="22"/>
          <w:szCs w:val="22"/>
        </w:rPr>
      </w:pPr>
      <w:r>
        <w:rPr>
          <w:noProof/>
        </w:rPr>
        <mc:AlternateContent>
          <mc:Choice Requires="wps">
            <w:drawing>
              <wp:anchor distT="0" distB="0" distL="114300" distR="114300" simplePos="0" relativeHeight="251664384" behindDoc="0" locked="0" layoutInCell="1" allowOverlap="1" wp14:anchorId="350059DA" wp14:editId="6983DB9B">
                <wp:simplePos x="0" y="0"/>
                <wp:positionH relativeFrom="column">
                  <wp:posOffset>-952500</wp:posOffset>
                </wp:positionH>
                <wp:positionV relativeFrom="paragraph">
                  <wp:posOffset>561975</wp:posOffset>
                </wp:positionV>
                <wp:extent cx="7799705" cy="0"/>
                <wp:effectExtent l="0" t="0" r="10795" b="19050"/>
                <wp:wrapNone/>
                <wp:docPr id="227" name="Straight Connector 227"/>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27" o:spid="_x0000_s1030" style="mso-width-percent:0;mso-width-relative:margin;mso-wrap-distance-bottom:0;mso-wrap-distance-left:9pt;mso-wrap-distance-right:9pt;mso-wrap-distance-top:0;mso-wrap-style:square;position:absolute;visibility:visible;z-index:251665408" from="-75pt,44.25pt" to="539.15pt,44.25pt" strokecolor="gray">
                <v:stroke joinstyle="miter" dashstyle="dash" opacity="26214f"/>
              </v:line>
            </w:pict>
          </mc:Fallback>
        </mc:AlternateContent>
      </w:r>
      <w:r w:rsidR="00391B57">
        <w:rPr>
          <w:rFonts w:asciiTheme="minorHAnsi" w:hAnsiTheme="minorHAnsi"/>
          <w:bCs/>
          <w:color w:val="auto"/>
          <w:sz w:val="22"/>
          <w:szCs w:val="22"/>
        </w:rPr>
        <w:t xml:space="preserve">John Redwood </w:t>
      </w:r>
      <w:r w:rsidR="00391B57">
        <w:rPr>
          <w:rFonts w:asciiTheme="minorHAnsi" w:hAnsiTheme="minorHAnsi"/>
          <w:bCs/>
          <w:color w:val="auto"/>
          <w:sz w:val="22"/>
          <w:szCs w:val="22"/>
        </w:rPr>
        <w:tab/>
      </w:r>
      <w:r w:rsidR="00391B57">
        <w:rPr>
          <w:rFonts w:asciiTheme="minorHAnsi" w:hAnsiTheme="minorHAnsi"/>
          <w:bCs/>
          <w:color w:val="auto"/>
          <w:sz w:val="22"/>
          <w:szCs w:val="22"/>
        </w:rPr>
        <w:tab/>
      </w:r>
      <w:r w:rsidR="00391B57">
        <w:rPr>
          <w:rFonts w:asciiTheme="minorHAnsi" w:hAnsiTheme="minorHAnsi"/>
          <w:bCs/>
          <w:color w:val="auto"/>
          <w:sz w:val="22"/>
          <w:szCs w:val="22"/>
        </w:rPr>
        <w:tab/>
      </w:r>
      <w:r w:rsidR="00391B57">
        <w:rPr>
          <w:rFonts w:asciiTheme="minorHAnsi" w:hAnsiTheme="minorHAnsi"/>
          <w:bCs/>
          <w:color w:val="auto"/>
          <w:sz w:val="22"/>
          <w:szCs w:val="22"/>
        </w:rPr>
        <w:tab/>
      </w:r>
      <w:r w:rsidR="00391B57">
        <w:rPr>
          <w:rFonts w:asciiTheme="minorHAnsi" w:hAnsiTheme="minorHAnsi"/>
          <w:bCs/>
          <w:color w:val="auto"/>
          <w:sz w:val="22"/>
          <w:szCs w:val="22"/>
        </w:rPr>
        <w:tab/>
      </w:r>
      <w:r w:rsidR="00391B57">
        <w:rPr>
          <w:rFonts w:asciiTheme="minorHAnsi" w:hAnsiTheme="minorHAnsi"/>
          <w:bCs/>
          <w:color w:val="auto"/>
          <w:sz w:val="22"/>
          <w:szCs w:val="22"/>
        </w:rPr>
        <w:tab/>
        <w:t xml:space="preserve">Senior </w:t>
      </w:r>
      <w:r w:rsidR="00DE56BA">
        <w:rPr>
          <w:rFonts w:asciiTheme="minorHAnsi" w:hAnsiTheme="minorHAnsi"/>
          <w:bCs/>
          <w:color w:val="auto"/>
          <w:sz w:val="22"/>
          <w:szCs w:val="22"/>
        </w:rPr>
        <w:t>Environmental</w:t>
      </w:r>
      <w:r w:rsidR="00391B57">
        <w:rPr>
          <w:rFonts w:asciiTheme="minorHAnsi" w:hAnsiTheme="minorHAnsi"/>
          <w:bCs/>
          <w:color w:val="auto"/>
          <w:sz w:val="22"/>
          <w:szCs w:val="22"/>
        </w:rPr>
        <w:t xml:space="preserve"> Consultant</w:t>
      </w:r>
    </w:p>
    <w:p w14:paraId="13543D67" w14:textId="77777777" w:rsidR="00222B3C" w:rsidRDefault="00222B3C" w:rsidP="00222B3C">
      <w:pPr>
        <w:ind w:left="-634"/>
        <w:rPr>
          <w:rFonts w:asciiTheme="minorHAnsi" w:hAnsiTheme="minorHAnsi"/>
          <w:bCs/>
          <w:color w:val="auto"/>
          <w:sz w:val="22"/>
          <w:szCs w:val="22"/>
        </w:rPr>
      </w:pPr>
    </w:p>
    <w:p w14:paraId="21C44BAC" w14:textId="77777777" w:rsidR="00643C70" w:rsidRDefault="00643C70" w:rsidP="00FB02CD">
      <w:pPr>
        <w:spacing w:line="14" w:lineRule="exact"/>
        <w:ind w:left="-634"/>
        <w:rPr>
          <w:rFonts w:asciiTheme="minorHAnsi" w:hAnsiTheme="minorHAnsi"/>
          <w:bCs/>
          <w:color w:val="auto"/>
          <w:sz w:val="22"/>
          <w:szCs w:val="22"/>
        </w:rPr>
      </w:pPr>
    </w:p>
    <w:sdt>
      <w:sdtPr>
        <w:id w:val="668368498"/>
        <w:lock w:val="contentLocked"/>
        <w:placeholder>
          <w:docPart w:val="78734B1EDCB14D0D822B3CF0C5FF1B1B"/>
        </w:placeholder>
      </w:sdtPr>
      <w:sdtEndPr/>
      <w:sdtContent>
        <w:p w14:paraId="0297C241" w14:textId="77777777" w:rsidR="00D4514A" w:rsidRDefault="002C3F71" w:rsidP="00FB02CD">
          <w:pPr>
            <w:spacing w:line="14" w:lineRule="exact"/>
            <w:ind w:left="-691" w:right="-518"/>
            <w:rPr>
              <w:rFonts w:asciiTheme="minorHAnsi" w:hAnsiTheme="minorHAnsi"/>
              <w:color w:val="767171" w:themeColor="background2" w:themeShade="80"/>
              <w:sz w:val="22"/>
              <w:szCs w:val="22"/>
            </w:rPr>
          </w:pPr>
          <w:r>
            <w:t xml:space="preserve"> </w:t>
          </w:r>
        </w:p>
      </w:sdtContent>
    </w:sdt>
    <w:p w14:paraId="1303F701" w14:textId="77777777" w:rsidR="00D4514A" w:rsidRDefault="00D4514A" w:rsidP="00FB02CD">
      <w:pPr>
        <w:spacing w:line="14" w:lineRule="exact"/>
        <w:ind w:left="-691" w:right="-518"/>
        <w:rPr>
          <w:rFonts w:asciiTheme="minorHAnsi" w:hAnsiTheme="minorHAnsi"/>
          <w:color w:val="767171" w:themeColor="background2" w:themeShade="80"/>
          <w:sz w:val="22"/>
          <w:szCs w:val="22"/>
        </w:rPr>
        <w:sectPr w:rsidR="00D4514A" w:rsidSect="001F2F8E">
          <w:headerReference w:type="default" r:id="rId19"/>
          <w:pgSz w:w="12240" w:h="15840"/>
          <w:pgMar w:top="1440" w:right="1440" w:bottom="1440" w:left="1440" w:header="720" w:footer="720" w:gutter="0"/>
          <w:cols w:space="720"/>
          <w:docGrid w:linePitch="360"/>
        </w:sectPr>
      </w:pPr>
    </w:p>
    <w:p w14:paraId="1A27AE78" w14:textId="77777777" w:rsidR="00D4514A" w:rsidRPr="00856F5A" w:rsidRDefault="00D4514A" w:rsidP="00FB02CD">
      <w:pPr>
        <w:spacing w:line="14" w:lineRule="exact"/>
        <w:ind w:left="-691" w:right="-518"/>
        <w:rPr>
          <w:rFonts w:asciiTheme="minorHAnsi" w:hAnsiTheme="minorHAnsi"/>
          <w:color w:val="767171" w:themeColor="background2" w:themeShade="80"/>
          <w:sz w:val="22"/>
          <w:szCs w:val="22"/>
        </w:rPr>
      </w:pPr>
    </w:p>
    <w:sdt>
      <w:sdtPr>
        <w:tag w:val="OPS_CORE_DATA_BLOCK"/>
        <w:id w:val="746949533"/>
        <w:lock w:val="sdtContentLocked"/>
        <w:placeholder>
          <w:docPart w:val="DefaultPlaceholder_22675703"/>
        </w:placeholder>
        <w:group/>
      </w:sdtPr>
      <w:sdtEndPr/>
      <w:sdtContent>
        <w:sdt>
          <w:sdtPr>
            <w:tag w:val="OPS_CORE_SECTION_START_12"/>
            <w:id w:val="152104335"/>
            <w:lock w:val="sdtContentLocked"/>
            <w:placeholder>
              <w:docPart w:val="E481BF2110E44A16B624ABFEBAEC25A3"/>
            </w:placeholder>
          </w:sdtPr>
          <w:sdtEndPr/>
          <w:sdtContent>
            <w:p w14:paraId="7F5CF88C" w14:textId="77777777" w:rsidR="00D4514A" w:rsidRDefault="002C3F71" w:rsidP="00FB02CD">
              <w:pPr>
                <w:pStyle w:val="Normal3"/>
                <w:spacing w:after="0" w:line="14" w:lineRule="exact"/>
                <w:ind w:left="-691" w:right="-518"/>
              </w:pPr>
              <w:r>
                <w:t xml:space="preserve"> </w:t>
              </w:r>
            </w:p>
          </w:sdtContent>
        </w:sdt>
        <w:p w14:paraId="2CB81396" w14:textId="77777777" w:rsidR="00D4514A" w:rsidRDefault="00D4514A" w:rsidP="00222B3C">
          <w:pPr>
            <w:pStyle w:val="Normal69"/>
            <w:ind w:left="-634"/>
            <w:rPr>
              <w:rFonts w:asciiTheme="minorHAnsi" w:hAnsiTheme="minorHAnsi"/>
              <w:bCs/>
              <w:color w:val="auto"/>
              <w:sz w:val="22"/>
              <w:szCs w:val="22"/>
            </w:rPr>
          </w:pPr>
        </w:p>
        <w:tbl>
          <w:tblPr>
            <w:tblStyle w:val="TableGrid65"/>
            <w:tblW w:w="10710" w:type="dxa"/>
            <w:tblInd w:w="-660" w:type="dxa"/>
            <w:shd w:val="clear" w:color="auto" w:fill="F7F7F7"/>
            <w:tblLayout w:type="fixed"/>
            <w:tblLook w:val="04A0" w:firstRow="1" w:lastRow="0" w:firstColumn="1" w:lastColumn="0" w:noHBand="0" w:noVBand="1"/>
          </w:tblPr>
          <w:tblGrid>
            <w:gridCol w:w="10710"/>
          </w:tblGrid>
          <w:tr w:rsidR="00E63776" w14:paraId="6550F969" w14:textId="77777777" w:rsidTr="001D102A">
            <w:trPr>
              <w:trHeight w:val="354"/>
            </w:trPr>
            <w:tc>
              <w:tcPr>
                <w:tcW w:w="10710" w:type="dxa"/>
                <w:tcBorders>
                  <w:top w:val="nil"/>
                  <w:left w:val="single" w:sz="24" w:space="0" w:color="BFBFBF"/>
                  <w:bottom w:val="nil"/>
                  <w:right w:val="nil"/>
                </w:tcBorders>
                <w:shd w:val="clear" w:color="auto" w:fill="F2F2F2"/>
                <w:vAlign w:val="center"/>
                <w:hideMark/>
              </w:tcPr>
              <w:p w14:paraId="2CD43DBB" w14:textId="77777777" w:rsidR="00643C70" w:rsidRPr="00643C70" w:rsidRDefault="002C3F71" w:rsidP="00643C70">
                <w:pPr>
                  <w:pStyle w:val="Normal69"/>
                  <w:widowControl/>
                  <w:numPr>
                    <w:ilvl w:val="0"/>
                    <w:numId w:val="17"/>
                  </w:numPr>
                  <w:autoSpaceDE/>
                  <w:autoSpaceDN/>
                  <w:adjustRightInd/>
                  <w:contextualSpacing/>
                  <w:rPr>
                    <w:rFonts w:asciiTheme="minorHAnsi" w:eastAsiaTheme="minorHAnsi" w:hAnsiTheme="minorHAnsi" w:cstheme="minorBidi"/>
                    <w:b/>
                    <w:color w:val="auto"/>
                    <w:sz w:val="22"/>
                    <w:szCs w:val="22"/>
                  </w:rPr>
                </w:pPr>
                <w:r w:rsidRPr="00606DB1">
                  <w:rPr>
                    <w:rFonts w:asciiTheme="minorHAnsi" w:hAnsiTheme="minorHAnsi"/>
                    <w:b/>
                    <w:sz w:val="22"/>
                  </w:rPr>
                  <w:t>STAFF TIME AND COST</w:t>
                </w:r>
              </w:p>
            </w:tc>
          </w:tr>
        </w:tbl>
        <w:tbl>
          <w:tblPr>
            <w:tblStyle w:val="TableGrid750"/>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E63776" w14:paraId="7EB2DDE6" w14:textId="77777777" w:rsidTr="00643C70">
            <w:trPr>
              <w:trHeight w:val="387"/>
            </w:trPr>
            <w:tc>
              <w:tcPr>
                <w:tcW w:w="2883" w:type="dxa"/>
                <w:tcBorders>
                  <w:top w:val="nil"/>
                  <w:bottom w:val="single" w:sz="12" w:space="0" w:color="D9D9D9"/>
                  <w:right w:val="nil"/>
                </w:tcBorders>
                <w:shd w:val="clear" w:color="auto" w:fill="F2F2F2"/>
                <w:vAlign w:val="center"/>
              </w:tcPr>
              <w:p w14:paraId="6E7D201C" w14:textId="77777777" w:rsidR="00643C70" w:rsidRDefault="00643C70" w:rsidP="001D102A">
                <w:pPr>
                  <w:pStyle w:val="Normal69"/>
                  <w:keepNext/>
                  <w:rPr>
                    <w:b/>
                    <w:bCs/>
                    <w:color w:val="7F7F7F" w:themeColor="text1" w:themeTint="80"/>
                  </w:rPr>
                </w:pPr>
              </w:p>
            </w:tc>
            <w:tc>
              <w:tcPr>
                <w:tcW w:w="7827" w:type="dxa"/>
                <w:gridSpan w:val="2"/>
                <w:tcBorders>
                  <w:top w:val="nil"/>
                  <w:left w:val="nil"/>
                  <w:bottom w:val="single" w:sz="12" w:space="0" w:color="D9D9D9"/>
                </w:tcBorders>
                <w:shd w:val="clear" w:color="auto" w:fill="F2F2F2"/>
                <w:vAlign w:val="center"/>
              </w:tcPr>
              <w:p w14:paraId="5145D2C0" w14:textId="77777777" w:rsidR="00643C70" w:rsidRPr="00393FE2" w:rsidRDefault="00643C70" w:rsidP="001D102A">
                <w:pPr>
                  <w:pStyle w:val="Normal69"/>
                  <w:keepNext/>
                  <w:jc w:val="center"/>
                  <w:rPr>
                    <w:b/>
                    <w:bCs/>
                    <w:color w:val="7F7F7F" w:themeColor="text1" w:themeTint="80"/>
                  </w:rPr>
                </w:pPr>
              </w:p>
            </w:tc>
          </w:tr>
          <w:tr w:rsidR="00E63776" w14:paraId="2F23A3A9" w14:textId="77777777" w:rsidTr="00643C70">
            <w:trPr>
              <w:trHeight w:val="387"/>
            </w:trPr>
            <w:tc>
              <w:tcPr>
                <w:tcW w:w="2883" w:type="dxa"/>
                <w:vMerge w:val="restart"/>
                <w:tcBorders>
                  <w:top w:val="single" w:sz="12" w:space="0" w:color="D9D9D9"/>
                  <w:right w:val="single" w:sz="4" w:space="0" w:color="D0CECE"/>
                </w:tcBorders>
                <w:shd w:val="clear" w:color="auto" w:fill="F2F2F2"/>
                <w:vAlign w:val="center"/>
              </w:tcPr>
              <w:p w14:paraId="2EF7ABB4" w14:textId="77777777" w:rsidR="00643C70" w:rsidRPr="00643C70" w:rsidRDefault="002C3F71" w:rsidP="001D102A">
                <w:pPr>
                  <w:pStyle w:val="Normal69"/>
                  <w:keepNext/>
                  <w:rPr>
                    <w:rFonts w:asciiTheme="minorHAnsi" w:hAnsiTheme="minorHAnsi"/>
                    <w:b/>
                    <w:sz w:val="22"/>
                  </w:rPr>
                </w:pPr>
                <w:r w:rsidRPr="00643C70">
                  <w:rPr>
                    <w:rFonts w:asciiTheme="minorHAnsi" w:hAnsiTheme="minorHAnsi"/>
                    <w:b/>
                    <w:bCs/>
                    <w:color w:val="7F7F7F" w:themeColor="text1" w:themeTint="80"/>
                    <w:sz w:val="22"/>
                  </w:rPr>
                  <w:t>Stage of Project Cycle</w:t>
                </w:r>
              </w:p>
            </w:tc>
            <w:tc>
              <w:tcPr>
                <w:tcW w:w="7827" w:type="dxa"/>
                <w:gridSpan w:val="2"/>
                <w:tcBorders>
                  <w:top w:val="single" w:sz="12" w:space="0" w:color="D9D9D9"/>
                  <w:left w:val="single" w:sz="4" w:space="0" w:color="D0CECE"/>
                  <w:bottom w:val="single" w:sz="12" w:space="0" w:color="D9D9D9"/>
                </w:tcBorders>
                <w:shd w:val="clear" w:color="auto" w:fill="F2F2F2"/>
                <w:vAlign w:val="center"/>
              </w:tcPr>
              <w:p w14:paraId="6E82E8A3" w14:textId="77777777" w:rsidR="00643C70" w:rsidRPr="00643C70" w:rsidRDefault="002C3F71" w:rsidP="00D401B1">
                <w:pPr>
                  <w:pStyle w:val="Normal69"/>
                  <w:keepNext/>
                  <w:jc w:val="center"/>
                  <w:rPr>
                    <w:rFonts w:asciiTheme="minorHAnsi" w:hAnsiTheme="minorHAnsi"/>
                    <w:b/>
                    <w:sz w:val="22"/>
                  </w:rPr>
                </w:pPr>
                <w:r w:rsidRPr="00643C70">
                  <w:rPr>
                    <w:rFonts w:asciiTheme="minorHAnsi" w:hAnsiTheme="minorHAnsi"/>
                    <w:b/>
                    <w:bCs/>
                    <w:color w:val="7F7F7F" w:themeColor="text1" w:themeTint="80"/>
                    <w:sz w:val="22"/>
                  </w:rPr>
                  <w:t>Staff Time and Cost</w:t>
                </w:r>
              </w:p>
            </w:tc>
          </w:tr>
          <w:tr w:rsidR="00E63776" w14:paraId="490AB602" w14:textId="77777777" w:rsidTr="00643C70">
            <w:trPr>
              <w:trHeight w:val="387"/>
            </w:trPr>
            <w:tc>
              <w:tcPr>
                <w:tcW w:w="2883" w:type="dxa"/>
                <w:vMerge/>
                <w:tcBorders>
                  <w:bottom w:val="single" w:sz="12" w:space="0" w:color="D9D9D9"/>
                  <w:right w:val="single" w:sz="4" w:space="0" w:color="D0CECE"/>
                </w:tcBorders>
                <w:shd w:val="clear" w:color="auto" w:fill="F2F2F2"/>
                <w:vAlign w:val="center"/>
              </w:tcPr>
              <w:p w14:paraId="054A5A59" w14:textId="77777777" w:rsidR="00643C70" w:rsidRPr="00643C70" w:rsidRDefault="00643C70" w:rsidP="001D102A">
                <w:pPr>
                  <w:pStyle w:val="Normal69"/>
                  <w:keepNext/>
                  <w:rPr>
                    <w:rFonts w:asciiTheme="minorHAnsi" w:hAnsiTheme="minorHAnsi"/>
                    <w:b/>
                    <w:bCs/>
                    <w:color w:val="7F7F7F" w:themeColor="text1" w:themeTint="80"/>
                    <w:sz w:val="22"/>
                  </w:rPr>
                </w:pPr>
              </w:p>
            </w:tc>
            <w:tc>
              <w:tcPr>
                <w:tcW w:w="3154" w:type="dxa"/>
                <w:tcBorders>
                  <w:left w:val="single" w:sz="4" w:space="0" w:color="D0CECE"/>
                  <w:bottom w:val="single" w:sz="12" w:space="0" w:color="D9D9D9"/>
                  <w:right w:val="single" w:sz="4" w:space="0" w:color="D0CECE"/>
                </w:tcBorders>
                <w:shd w:val="clear" w:color="auto" w:fill="F2F2F2"/>
                <w:vAlign w:val="center"/>
              </w:tcPr>
              <w:p w14:paraId="1078B48B" w14:textId="77777777" w:rsidR="00643C70" w:rsidRPr="00643C70" w:rsidRDefault="002C3F71" w:rsidP="001D102A">
                <w:pPr>
                  <w:pStyle w:val="Normal69"/>
                  <w:keepNext/>
                  <w:rPr>
                    <w:rFonts w:asciiTheme="minorHAnsi" w:hAnsiTheme="minorHAnsi"/>
                    <w:bCs/>
                    <w:color w:val="7F7F7F" w:themeColor="text1" w:themeTint="80"/>
                    <w:sz w:val="22"/>
                  </w:rPr>
                </w:pPr>
                <w:r w:rsidRPr="00643C70">
                  <w:rPr>
                    <w:rFonts w:asciiTheme="minorHAnsi" w:hAnsiTheme="minorHAnsi"/>
                    <w:bCs/>
                    <w:color w:val="7F7F7F" w:themeColor="text1" w:themeTint="80"/>
                    <w:sz w:val="22"/>
                  </w:rPr>
                  <w:t>No. of staff weeks</w:t>
                </w:r>
              </w:p>
            </w:tc>
            <w:tc>
              <w:tcPr>
                <w:tcW w:w="4673" w:type="dxa"/>
                <w:tcBorders>
                  <w:left w:val="single" w:sz="4" w:space="0" w:color="D0CECE"/>
                  <w:bottom w:val="single" w:sz="12" w:space="0" w:color="D9D9D9"/>
                </w:tcBorders>
                <w:shd w:val="clear" w:color="auto" w:fill="F2F2F2"/>
                <w:vAlign w:val="center"/>
              </w:tcPr>
              <w:p w14:paraId="01B2F26B" w14:textId="77777777" w:rsidR="00643C70" w:rsidRPr="00643C70" w:rsidRDefault="002C3F71" w:rsidP="00C17916">
                <w:pPr>
                  <w:pStyle w:val="Normal69"/>
                  <w:keepNext/>
                  <w:jc w:val="right"/>
                  <w:rPr>
                    <w:rFonts w:asciiTheme="minorHAnsi" w:hAnsiTheme="minorHAnsi"/>
                    <w:bCs/>
                    <w:color w:val="7F7F7F" w:themeColor="text1" w:themeTint="80"/>
                    <w:sz w:val="22"/>
                  </w:rPr>
                </w:pPr>
                <w:r w:rsidRPr="00384B29">
                  <w:rPr>
                    <w:rFonts w:asciiTheme="minorHAnsi" w:hAnsiTheme="minorHAnsi"/>
                    <w:bCs/>
                    <w:color w:val="7F7F7F" w:themeColor="text1" w:themeTint="80"/>
                    <w:sz w:val="22"/>
                  </w:rPr>
                  <w:t xml:space="preserve">US$ </w:t>
                </w:r>
                <w:r w:rsidRPr="00643C70">
                  <w:rPr>
                    <w:rFonts w:asciiTheme="minorHAnsi" w:hAnsiTheme="minorHAnsi"/>
                    <w:bCs/>
                    <w:color w:val="7F7F7F" w:themeColor="text1" w:themeTint="80"/>
                    <w:sz w:val="22"/>
                  </w:rPr>
                  <w:t>(including travel and consultant costs)</w:t>
                </w:r>
              </w:p>
            </w:tc>
          </w:tr>
          <w:tr w:rsidR="00E63776" w14:paraId="6CE467E7" w14:textId="77777777" w:rsidTr="00643C70">
            <w:trPr>
              <w:trHeight w:val="387"/>
            </w:trPr>
            <w:tc>
              <w:tcPr>
                <w:tcW w:w="10710" w:type="dxa"/>
                <w:gridSpan w:val="3"/>
                <w:tcBorders>
                  <w:top w:val="single" w:sz="12" w:space="0" w:color="D9D9D9"/>
                  <w:bottom w:val="single" w:sz="4" w:space="0" w:color="D9D9D9"/>
                </w:tcBorders>
                <w:shd w:val="clear" w:color="auto" w:fill="F2F2F2"/>
                <w:vAlign w:val="center"/>
              </w:tcPr>
              <w:p w14:paraId="3AF53AFA" w14:textId="77777777" w:rsidR="00643C70" w:rsidRPr="00643C70" w:rsidRDefault="002C3F71" w:rsidP="001D102A">
                <w:pPr>
                  <w:pStyle w:val="Normal69"/>
                  <w:rPr>
                    <w:rFonts w:asciiTheme="minorHAnsi" w:hAnsiTheme="minorHAnsi"/>
                    <w:sz w:val="22"/>
                  </w:rPr>
                </w:pPr>
                <w:r w:rsidRPr="00643C70">
                  <w:rPr>
                    <w:rFonts w:asciiTheme="minorHAnsi" w:hAnsiTheme="minorHAnsi"/>
                    <w:b/>
                    <w:sz w:val="22"/>
                  </w:rPr>
                  <w:t>Preparation</w:t>
                </w:r>
              </w:p>
            </w:tc>
          </w:tr>
          <w:tr w:rsidR="00E63776" w14:paraId="3C15BD81" w14:textId="77777777" w:rsidTr="00862724">
            <w:trPr>
              <w:trHeight w:val="387"/>
            </w:trPr>
            <w:tc>
              <w:tcPr>
                <w:tcW w:w="2883" w:type="dxa"/>
                <w:tcBorders>
                  <w:top w:val="single" w:sz="4" w:space="0" w:color="D9D9D9"/>
                  <w:left w:val="nil"/>
                  <w:bottom w:val="single" w:sz="4" w:space="0" w:color="D9D9D9"/>
                  <w:right w:val="single" w:sz="4" w:space="0" w:color="D9D9D9"/>
                </w:tcBorders>
                <w:shd w:val="clear" w:color="auto" w:fill="F2F2F2"/>
              </w:tcPr>
              <w:p w14:paraId="1172F604" w14:textId="77777777" w:rsidR="00643C70" w:rsidRPr="00643C70" w:rsidRDefault="009E5DA3" w:rsidP="009E5DA3">
                <w:pPr>
                  <w:pStyle w:val="Normal69"/>
                  <w:rPr>
                    <w:rFonts w:asciiTheme="minorHAnsi" w:hAnsiTheme="minorHAnsi"/>
                    <w:sz w:val="22"/>
                  </w:rPr>
                </w:pPr>
                <w:r>
                  <w:rPr>
                    <w:rFonts w:asciiTheme="minorHAnsi" w:hAnsiTheme="minorHAnsi"/>
                    <w:noProof/>
                    <w:sz w:val="22"/>
                    <w:szCs w:val="22"/>
                  </w:rPr>
                  <w:t>FY08</w:t>
                </w:r>
              </w:p>
            </w:tc>
            <w:tc>
              <w:tcPr>
                <w:tcW w:w="3154" w:type="dxa"/>
                <w:tcBorders>
                  <w:top w:val="single" w:sz="4" w:space="0" w:color="D9D9D9"/>
                  <w:left w:val="single" w:sz="4" w:space="0" w:color="D9D9D9"/>
                  <w:bottom w:val="single" w:sz="4" w:space="0" w:color="D9D9D9"/>
                  <w:right w:val="single" w:sz="4" w:space="0" w:color="D9D9D9"/>
                </w:tcBorders>
                <w:shd w:val="clear" w:color="auto" w:fill="F2F2F2"/>
              </w:tcPr>
              <w:p w14:paraId="0254BCEA" w14:textId="77777777" w:rsidR="00643C70" w:rsidRPr="00643C70" w:rsidRDefault="002C3F71" w:rsidP="00862724">
                <w:pPr>
                  <w:pStyle w:val="Normal69"/>
                  <w:rPr>
                    <w:rFonts w:asciiTheme="minorHAnsi" w:hAnsiTheme="minorHAnsi"/>
                    <w:sz w:val="22"/>
                  </w:rPr>
                </w:pPr>
                <w:r>
                  <w:rPr>
                    <w:rFonts w:asciiTheme="minorHAnsi" w:hAnsiTheme="minorHAnsi"/>
                    <w:noProof/>
                    <w:sz w:val="22"/>
                  </w:rPr>
                  <w:t>23.306</w:t>
                </w:r>
              </w:p>
            </w:tc>
            <w:tc>
              <w:tcPr>
                <w:tcW w:w="4673" w:type="dxa"/>
                <w:tcBorders>
                  <w:top w:val="single" w:sz="4" w:space="0" w:color="D9D9D9"/>
                  <w:left w:val="single" w:sz="4" w:space="0" w:color="D9D9D9"/>
                  <w:bottom w:val="single" w:sz="4" w:space="0" w:color="D9D9D9"/>
                  <w:right w:val="nil"/>
                </w:tcBorders>
                <w:shd w:val="clear" w:color="auto" w:fill="F2F2F2"/>
              </w:tcPr>
              <w:p w14:paraId="07E01F19" w14:textId="77777777" w:rsidR="00643C70" w:rsidRPr="00643C70" w:rsidRDefault="002C3F71" w:rsidP="00E12F21">
                <w:pPr>
                  <w:pStyle w:val="Normal69"/>
                  <w:jc w:val="right"/>
                  <w:rPr>
                    <w:rFonts w:asciiTheme="minorHAnsi" w:hAnsiTheme="minorHAnsi"/>
                    <w:sz w:val="22"/>
                  </w:rPr>
                </w:pPr>
                <w:r w:rsidRPr="00EB2645">
                  <w:rPr>
                    <w:rFonts w:asciiTheme="minorHAnsi" w:hAnsiTheme="minorHAnsi"/>
                    <w:noProof/>
                    <w:sz w:val="22"/>
                    <w:szCs w:val="22"/>
                  </w:rPr>
                  <w:t>125,566.98</w:t>
                </w:r>
              </w:p>
            </w:tc>
          </w:tr>
          <w:tr w:rsidR="00E63776" w14:paraId="04D37B27" w14:textId="77777777" w:rsidTr="00862724">
            <w:trPr>
              <w:trHeight w:val="387"/>
            </w:trPr>
            <w:tc>
              <w:tcPr>
                <w:tcW w:w="2883" w:type="dxa"/>
                <w:tcBorders>
                  <w:top w:val="single" w:sz="4" w:space="0" w:color="D9D9D9"/>
                  <w:left w:val="nil"/>
                  <w:bottom w:val="single" w:sz="4" w:space="0" w:color="D9D9D9"/>
                  <w:right w:val="single" w:sz="4" w:space="0" w:color="D9D9D9"/>
                </w:tcBorders>
                <w:shd w:val="clear" w:color="auto" w:fill="F2F2F2"/>
              </w:tcPr>
              <w:p w14:paraId="2913C9E8" w14:textId="77777777" w:rsidR="00643C70" w:rsidRPr="00643C70" w:rsidRDefault="009E5DA3" w:rsidP="009E5DA3">
                <w:pPr>
                  <w:pStyle w:val="Normal69"/>
                  <w:rPr>
                    <w:rFonts w:asciiTheme="minorHAnsi" w:hAnsiTheme="minorHAnsi"/>
                    <w:sz w:val="22"/>
                  </w:rPr>
                </w:pPr>
                <w:r>
                  <w:rPr>
                    <w:rFonts w:asciiTheme="minorHAnsi" w:hAnsiTheme="minorHAnsi"/>
                    <w:noProof/>
                    <w:sz w:val="22"/>
                    <w:szCs w:val="22"/>
                  </w:rPr>
                  <w:t>FY09</w:t>
                </w:r>
              </w:p>
            </w:tc>
            <w:tc>
              <w:tcPr>
                <w:tcW w:w="3154" w:type="dxa"/>
                <w:tcBorders>
                  <w:top w:val="single" w:sz="4" w:space="0" w:color="D9D9D9"/>
                  <w:left w:val="single" w:sz="4" w:space="0" w:color="D9D9D9"/>
                  <w:bottom w:val="single" w:sz="4" w:space="0" w:color="D9D9D9"/>
                  <w:right w:val="single" w:sz="4" w:space="0" w:color="D9D9D9"/>
                </w:tcBorders>
                <w:shd w:val="clear" w:color="auto" w:fill="F2F2F2"/>
              </w:tcPr>
              <w:p w14:paraId="7735A1D8" w14:textId="77777777" w:rsidR="00643C70" w:rsidRPr="00643C70" w:rsidRDefault="002C3F71" w:rsidP="00862724">
                <w:pPr>
                  <w:pStyle w:val="Normal69"/>
                  <w:rPr>
                    <w:rFonts w:asciiTheme="minorHAnsi" w:hAnsiTheme="minorHAnsi"/>
                    <w:sz w:val="22"/>
                  </w:rPr>
                </w:pPr>
                <w:r>
                  <w:rPr>
                    <w:rFonts w:asciiTheme="minorHAnsi" w:hAnsiTheme="minorHAnsi"/>
                    <w:noProof/>
                    <w:sz w:val="22"/>
                  </w:rPr>
                  <w:t>3.259</w:t>
                </w:r>
              </w:p>
            </w:tc>
            <w:tc>
              <w:tcPr>
                <w:tcW w:w="4673" w:type="dxa"/>
                <w:tcBorders>
                  <w:top w:val="single" w:sz="4" w:space="0" w:color="D9D9D9"/>
                  <w:left w:val="single" w:sz="4" w:space="0" w:color="D9D9D9"/>
                  <w:bottom w:val="single" w:sz="4" w:space="0" w:color="D9D9D9"/>
                  <w:right w:val="nil"/>
                </w:tcBorders>
                <w:shd w:val="clear" w:color="auto" w:fill="F2F2F2"/>
              </w:tcPr>
              <w:p w14:paraId="5F8ED021" w14:textId="77777777" w:rsidR="00643C70" w:rsidRPr="00643C70" w:rsidRDefault="002C3F71" w:rsidP="00E12F21">
                <w:pPr>
                  <w:pStyle w:val="Normal69"/>
                  <w:jc w:val="right"/>
                  <w:rPr>
                    <w:rFonts w:asciiTheme="minorHAnsi" w:hAnsiTheme="minorHAnsi"/>
                    <w:sz w:val="22"/>
                  </w:rPr>
                </w:pPr>
                <w:r w:rsidRPr="00EB2645">
                  <w:rPr>
                    <w:rFonts w:asciiTheme="minorHAnsi" w:hAnsiTheme="minorHAnsi"/>
                    <w:noProof/>
                    <w:sz w:val="22"/>
                    <w:szCs w:val="22"/>
                  </w:rPr>
                  <w:t>19,875.60</w:t>
                </w:r>
              </w:p>
            </w:tc>
          </w:tr>
          <w:tr w:rsidR="00E63776" w14:paraId="31F43B04" w14:textId="77777777" w:rsidTr="00643C70">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14:paraId="40282FA1" w14:textId="77777777" w:rsidR="0036617B" w:rsidRPr="00643C70" w:rsidRDefault="002C3F71" w:rsidP="0036617B">
                <w:pPr>
                  <w:pStyle w:val="Normal69"/>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14:paraId="60B8109F" w14:textId="77777777" w:rsidR="0036617B" w:rsidRPr="00643C70" w:rsidRDefault="002C3F71" w:rsidP="001769FA">
                <w:pPr>
                  <w:pStyle w:val="Normal69"/>
                  <w:ind w:left="-21"/>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26.57</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14:paraId="10629B80" w14:textId="77777777" w:rsidR="0036617B" w:rsidRPr="00643C70" w:rsidRDefault="002C3F71" w:rsidP="00884685">
                <w:pPr>
                  <w:pStyle w:val="Normal69"/>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145,442.58</w:t>
                </w:r>
                <w:r>
                  <w:rPr>
                    <w:rFonts w:asciiTheme="minorHAnsi" w:hAnsiTheme="minorHAnsi"/>
                    <w:b/>
                    <w:sz w:val="22"/>
                    <w:szCs w:val="22"/>
                  </w:rPr>
                  <w:fldChar w:fldCharType="end"/>
                </w:r>
              </w:p>
            </w:tc>
          </w:tr>
        </w:tbl>
        <w:p w14:paraId="0188E72B" w14:textId="77777777" w:rsidR="00643C70" w:rsidRDefault="00643C70" w:rsidP="00862724">
          <w:pPr>
            <w:pStyle w:val="Normal69"/>
            <w:spacing w:line="14" w:lineRule="exact"/>
            <w:ind w:left="-634"/>
            <w:rPr>
              <w:rFonts w:asciiTheme="minorHAnsi" w:hAnsiTheme="minorHAnsi"/>
              <w:bCs/>
              <w:color w:val="auto"/>
              <w:sz w:val="22"/>
              <w:szCs w:val="22"/>
            </w:rPr>
          </w:pPr>
        </w:p>
        <w:tbl>
          <w:tblPr>
            <w:tblStyle w:val="TableGrid750"/>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E63776" w14:paraId="66357BA7" w14:textId="77777777" w:rsidTr="00862724">
            <w:trPr>
              <w:trHeight w:val="387"/>
            </w:trPr>
            <w:tc>
              <w:tcPr>
                <w:tcW w:w="10710" w:type="dxa"/>
                <w:gridSpan w:val="3"/>
                <w:tcBorders>
                  <w:top w:val="nil"/>
                  <w:bottom w:val="single" w:sz="4" w:space="0" w:color="D9D9D9"/>
                </w:tcBorders>
                <w:shd w:val="clear" w:color="auto" w:fill="F2F2F2"/>
                <w:vAlign w:val="center"/>
              </w:tcPr>
              <w:p w14:paraId="7C190082" w14:textId="77777777" w:rsidR="00862724" w:rsidRPr="00643C70" w:rsidRDefault="002C3F71" w:rsidP="009E631B">
                <w:pPr>
                  <w:pStyle w:val="Normal69"/>
                  <w:rPr>
                    <w:rFonts w:asciiTheme="minorHAnsi" w:hAnsiTheme="minorHAnsi"/>
                    <w:b/>
                    <w:sz w:val="22"/>
                  </w:rPr>
                </w:pPr>
                <w:r w:rsidRPr="00643C70">
                  <w:rPr>
                    <w:rFonts w:asciiTheme="minorHAnsi" w:hAnsiTheme="minorHAnsi"/>
                    <w:b/>
                    <w:sz w:val="22"/>
                  </w:rPr>
                  <w:t>Supervision/ICR</w:t>
                </w:r>
              </w:p>
            </w:tc>
          </w:tr>
          <w:tr w:rsidR="00E63776" w14:paraId="1B321AD7"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2CD5A7C9"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FY09</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1B929600" w14:textId="77777777" w:rsidR="00862724" w:rsidRPr="00643C70" w:rsidRDefault="002C3F71" w:rsidP="009E631B">
                <w:pPr>
                  <w:pStyle w:val="Normal69"/>
                  <w:rPr>
                    <w:rFonts w:asciiTheme="minorHAnsi" w:hAnsiTheme="minorHAnsi"/>
                    <w:sz w:val="22"/>
                  </w:rPr>
                </w:pPr>
                <w:r>
                  <w:rPr>
                    <w:rFonts w:asciiTheme="minorHAnsi" w:hAnsiTheme="minorHAnsi"/>
                    <w:noProof/>
                    <w:sz w:val="22"/>
                  </w:rPr>
                  <w:t>8.805</w:t>
                </w:r>
              </w:p>
            </w:tc>
            <w:tc>
              <w:tcPr>
                <w:tcW w:w="4673" w:type="dxa"/>
                <w:tcBorders>
                  <w:top w:val="single" w:sz="4" w:space="0" w:color="D9D9D9"/>
                  <w:left w:val="single" w:sz="4" w:space="0" w:color="D9D9D9"/>
                  <w:bottom w:val="single" w:sz="4" w:space="0" w:color="D9D9D9"/>
                </w:tcBorders>
                <w:shd w:val="clear" w:color="auto" w:fill="F2F2F2"/>
                <w:vAlign w:val="center"/>
              </w:tcPr>
              <w:p w14:paraId="61913884"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42,827.03</w:t>
                </w:r>
              </w:p>
            </w:tc>
          </w:tr>
          <w:tr w:rsidR="00E63776" w14:paraId="019AABE7"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6C3C5962"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FY10</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23DF60B" w14:textId="77777777" w:rsidR="00862724" w:rsidRPr="00643C70" w:rsidRDefault="002C3F71" w:rsidP="009E631B">
                <w:pPr>
                  <w:pStyle w:val="Normal69"/>
                  <w:rPr>
                    <w:rFonts w:asciiTheme="minorHAnsi" w:hAnsiTheme="minorHAnsi"/>
                    <w:sz w:val="22"/>
                  </w:rPr>
                </w:pPr>
                <w:r>
                  <w:rPr>
                    <w:rFonts w:asciiTheme="minorHAnsi" w:hAnsiTheme="minorHAnsi"/>
                    <w:noProof/>
                    <w:sz w:val="22"/>
                  </w:rPr>
                  <w:t>13.629</w:t>
                </w:r>
              </w:p>
            </w:tc>
            <w:tc>
              <w:tcPr>
                <w:tcW w:w="4673" w:type="dxa"/>
                <w:tcBorders>
                  <w:top w:val="single" w:sz="4" w:space="0" w:color="D9D9D9"/>
                  <w:left w:val="single" w:sz="4" w:space="0" w:color="D9D9D9"/>
                  <w:bottom w:val="single" w:sz="4" w:space="0" w:color="D9D9D9"/>
                </w:tcBorders>
                <w:shd w:val="clear" w:color="auto" w:fill="F2F2F2"/>
                <w:vAlign w:val="center"/>
              </w:tcPr>
              <w:p w14:paraId="7E14DE22"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75,019.92</w:t>
                </w:r>
              </w:p>
            </w:tc>
          </w:tr>
          <w:tr w:rsidR="00E63776" w14:paraId="30F5644E"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25C15F9D"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FY11</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67DC156" w14:textId="77777777" w:rsidR="00862724" w:rsidRPr="00643C70" w:rsidRDefault="002C3F71" w:rsidP="009E631B">
                <w:pPr>
                  <w:pStyle w:val="Normal69"/>
                  <w:rPr>
                    <w:rFonts w:asciiTheme="minorHAnsi" w:hAnsiTheme="minorHAnsi"/>
                    <w:sz w:val="22"/>
                  </w:rPr>
                </w:pPr>
                <w:r>
                  <w:rPr>
                    <w:rFonts w:asciiTheme="minorHAnsi" w:hAnsiTheme="minorHAnsi"/>
                    <w:noProof/>
                    <w:sz w:val="22"/>
                  </w:rPr>
                  <w:t>35.909</w:t>
                </w:r>
              </w:p>
            </w:tc>
            <w:tc>
              <w:tcPr>
                <w:tcW w:w="4673" w:type="dxa"/>
                <w:tcBorders>
                  <w:top w:val="single" w:sz="4" w:space="0" w:color="D9D9D9"/>
                  <w:left w:val="single" w:sz="4" w:space="0" w:color="D9D9D9"/>
                  <w:bottom w:val="single" w:sz="4" w:space="0" w:color="D9D9D9"/>
                </w:tcBorders>
                <w:shd w:val="clear" w:color="auto" w:fill="F2F2F2"/>
                <w:vAlign w:val="center"/>
              </w:tcPr>
              <w:p w14:paraId="216EC12B"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112,363.41</w:t>
                </w:r>
              </w:p>
            </w:tc>
          </w:tr>
          <w:tr w:rsidR="00E63776" w14:paraId="3F95F01F"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5115BFB7"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FY12</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4A68BA97" w14:textId="77777777" w:rsidR="00862724" w:rsidRPr="00643C70" w:rsidRDefault="002C3F71" w:rsidP="009E631B">
                <w:pPr>
                  <w:pStyle w:val="Normal69"/>
                  <w:rPr>
                    <w:rFonts w:asciiTheme="minorHAnsi" w:hAnsiTheme="minorHAnsi"/>
                    <w:sz w:val="22"/>
                  </w:rPr>
                </w:pPr>
                <w:r>
                  <w:rPr>
                    <w:rFonts w:asciiTheme="minorHAnsi" w:hAnsiTheme="minorHAnsi"/>
                    <w:noProof/>
                    <w:sz w:val="22"/>
                  </w:rPr>
                  <w:t>14.548</w:t>
                </w:r>
              </w:p>
            </w:tc>
            <w:tc>
              <w:tcPr>
                <w:tcW w:w="4673" w:type="dxa"/>
                <w:tcBorders>
                  <w:top w:val="single" w:sz="4" w:space="0" w:color="D9D9D9"/>
                  <w:left w:val="single" w:sz="4" w:space="0" w:color="D9D9D9"/>
                  <w:bottom w:val="single" w:sz="4" w:space="0" w:color="D9D9D9"/>
                </w:tcBorders>
                <w:shd w:val="clear" w:color="auto" w:fill="F2F2F2"/>
                <w:vAlign w:val="center"/>
              </w:tcPr>
              <w:p w14:paraId="2ECB129D"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99,012.91</w:t>
                </w:r>
              </w:p>
            </w:tc>
          </w:tr>
          <w:tr w:rsidR="00E63776" w14:paraId="7736F345"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76299BFE"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FY13</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5524B19" w14:textId="77777777" w:rsidR="00862724" w:rsidRPr="00643C70" w:rsidRDefault="002C3F71" w:rsidP="009E631B">
                <w:pPr>
                  <w:pStyle w:val="Normal69"/>
                  <w:rPr>
                    <w:rFonts w:asciiTheme="minorHAnsi" w:hAnsiTheme="minorHAnsi"/>
                    <w:sz w:val="22"/>
                  </w:rPr>
                </w:pPr>
                <w:r>
                  <w:rPr>
                    <w:rFonts w:asciiTheme="minorHAnsi" w:hAnsiTheme="minorHAnsi"/>
                    <w:noProof/>
                    <w:sz w:val="22"/>
                  </w:rPr>
                  <w:t>9.563</w:t>
                </w:r>
              </w:p>
            </w:tc>
            <w:tc>
              <w:tcPr>
                <w:tcW w:w="4673" w:type="dxa"/>
                <w:tcBorders>
                  <w:top w:val="single" w:sz="4" w:space="0" w:color="D9D9D9"/>
                  <w:left w:val="single" w:sz="4" w:space="0" w:color="D9D9D9"/>
                  <w:bottom w:val="single" w:sz="4" w:space="0" w:color="D9D9D9"/>
                </w:tcBorders>
                <w:shd w:val="clear" w:color="auto" w:fill="F2F2F2"/>
                <w:vAlign w:val="center"/>
              </w:tcPr>
              <w:p w14:paraId="3117C03F"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76,629.23</w:t>
                </w:r>
              </w:p>
            </w:tc>
          </w:tr>
          <w:tr w:rsidR="00E63776" w14:paraId="1173FDF3"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121F9BB9"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FY14</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1A5D335" w14:textId="77777777" w:rsidR="00862724" w:rsidRPr="00643C70" w:rsidRDefault="002C3F71" w:rsidP="009E631B">
                <w:pPr>
                  <w:pStyle w:val="Normal69"/>
                  <w:rPr>
                    <w:rFonts w:asciiTheme="minorHAnsi" w:hAnsiTheme="minorHAnsi"/>
                    <w:sz w:val="22"/>
                  </w:rPr>
                </w:pPr>
                <w:r>
                  <w:rPr>
                    <w:rFonts w:asciiTheme="minorHAnsi" w:hAnsiTheme="minorHAnsi"/>
                    <w:noProof/>
                    <w:sz w:val="22"/>
                  </w:rPr>
                  <w:t>11.325</w:t>
                </w:r>
              </w:p>
            </w:tc>
            <w:tc>
              <w:tcPr>
                <w:tcW w:w="4673" w:type="dxa"/>
                <w:tcBorders>
                  <w:top w:val="single" w:sz="4" w:space="0" w:color="D9D9D9"/>
                  <w:left w:val="single" w:sz="4" w:space="0" w:color="D9D9D9"/>
                  <w:bottom w:val="single" w:sz="4" w:space="0" w:color="D9D9D9"/>
                </w:tcBorders>
                <w:shd w:val="clear" w:color="auto" w:fill="F2F2F2"/>
                <w:vAlign w:val="center"/>
              </w:tcPr>
              <w:p w14:paraId="31A491A4"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65,670.29</w:t>
                </w:r>
              </w:p>
            </w:tc>
          </w:tr>
          <w:tr w:rsidR="00E63776" w14:paraId="4ADF3CD6"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29E1FDB0"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FY15</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5DCE1B6F" w14:textId="77777777" w:rsidR="00862724" w:rsidRPr="00643C70" w:rsidRDefault="002C3F71" w:rsidP="009E631B">
                <w:pPr>
                  <w:pStyle w:val="Normal69"/>
                  <w:rPr>
                    <w:rFonts w:asciiTheme="minorHAnsi" w:hAnsiTheme="minorHAnsi"/>
                    <w:sz w:val="22"/>
                  </w:rPr>
                </w:pPr>
                <w:r>
                  <w:rPr>
                    <w:rFonts w:asciiTheme="minorHAnsi" w:hAnsiTheme="minorHAnsi"/>
                    <w:noProof/>
                    <w:sz w:val="22"/>
                  </w:rPr>
                  <w:t>7.289</w:t>
                </w:r>
              </w:p>
            </w:tc>
            <w:tc>
              <w:tcPr>
                <w:tcW w:w="4673" w:type="dxa"/>
                <w:tcBorders>
                  <w:top w:val="single" w:sz="4" w:space="0" w:color="D9D9D9"/>
                  <w:left w:val="single" w:sz="4" w:space="0" w:color="D9D9D9"/>
                  <w:bottom w:val="single" w:sz="4" w:space="0" w:color="D9D9D9"/>
                </w:tcBorders>
                <w:shd w:val="clear" w:color="auto" w:fill="F2F2F2"/>
                <w:vAlign w:val="center"/>
              </w:tcPr>
              <w:p w14:paraId="46FF4AA3"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71,796.89</w:t>
                </w:r>
              </w:p>
            </w:tc>
          </w:tr>
          <w:tr w:rsidR="00E63776" w14:paraId="58AA6E6A"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712DAD9D"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FY16</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006A5201" w14:textId="77777777" w:rsidR="00862724" w:rsidRPr="00643C70" w:rsidRDefault="002C3F71" w:rsidP="009E631B">
                <w:pPr>
                  <w:pStyle w:val="Normal69"/>
                  <w:rPr>
                    <w:rFonts w:asciiTheme="minorHAnsi" w:hAnsiTheme="minorHAnsi"/>
                    <w:sz w:val="22"/>
                  </w:rPr>
                </w:pPr>
                <w:r>
                  <w:rPr>
                    <w:rFonts w:asciiTheme="minorHAnsi" w:hAnsiTheme="minorHAnsi"/>
                    <w:noProof/>
                    <w:sz w:val="22"/>
                  </w:rPr>
                  <w:t>20.004</w:t>
                </w:r>
              </w:p>
            </w:tc>
            <w:tc>
              <w:tcPr>
                <w:tcW w:w="4673" w:type="dxa"/>
                <w:tcBorders>
                  <w:top w:val="single" w:sz="4" w:space="0" w:color="D9D9D9"/>
                  <w:left w:val="single" w:sz="4" w:space="0" w:color="D9D9D9"/>
                  <w:bottom w:val="single" w:sz="4" w:space="0" w:color="D9D9D9"/>
                </w:tcBorders>
                <w:shd w:val="clear" w:color="auto" w:fill="F2F2F2"/>
                <w:vAlign w:val="center"/>
              </w:tcPr>
              <w:p w14:paraId="09D8AE7C"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95,577.72</w:t>
                </w:r>
              </w:p>
            </w:tc>
          </w:tr>
          <w:tr w:rsidR="00E63776" w14:paraId="207DEFD6"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1D5AB3A9"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FY17</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BAB1FC7" w14:textId="77777777" w:rsidR="00862724" w:rsidRPr="00643C70" w:rsidRDefault="002C3F71" w:rsidP="009E631B">
                <w:pPr>
                  <w:pStyle w:val="Normal69"/>
                  <w:rPr>
                    <w:rFonts w:asciiTheme="minorHAnsi" w:hAnsiTheme="minorHAnsi"/>
                    <w:sz w:val="22"/>
                  </w:rPr>
                </w:pPr>
                <w:r>
                  <w:rPr>
                    <w:rFonts w:asciiTheme="minorHAnsi" w:hAnsiTheme="minorHAnsi"/>
                    <w:noProof/>
                    <w:sz w:val="22"/>
                  </w:rPr>
                  <w:t>13.424</w:t>
                </w:r>
              </w:p>
            </w:tc>
            <w:tc>
              <w:tcPr>
                <w:tcW w:w="4673" w:type="dxa"/>
                <w:tcBorders>
                  <w:top w:val="single" w:sz="4" w:space="0" w:color="D9D9D9"/>
                  <w:left w:val="single" w:sz="4" w:space="0" w:color="D9D9D9"/>
                  <w:bottom w:val="single" w:sz="4" w:space="0" w:color="D9D9D9"/>
                </w:tcBorders>
                <w:shd w:val="clear" w:color="auto" w:fill="F2F2F2"/>
                <w:vAlign w:val="center"/>
              </w:tcPr>
              <w:p w14:paraId="2EEEF6C7"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141,692.96</w:t>
                </w:r>
              </w:p>
            </w:tc>
          </w:tr>
          <w:tr w:rsidR="00E63776" w14:paraId="4C06F803" w14:textId="77777777"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14:paraId="1A66996B" w14:textId="77777777" w:rsidR="00862724" w:rsidRPr="00643C70" w:rsidRDefault="009D6C1B" w:rsidP="009D6C1B">
                <w:pPr>
                  <w:pStyle w:val="Normal69"/>
                  <w:rPr>
                    <w:rFonts w:asciiTheme="minorHAnsi" w:hAnsiTheme="minorHAnsi"/>
                    <w:sz w:val="22"/>
                  </w:rPr>
                </w:pPr>
                <w:r>
                  <w:rPr>
                    <w:rFonts w:asciiTheme="minorHAnsi" w:hAnsiTheme="minorHAnsi"/>
                    <w:noProof/>
                    <w:sz w:val="22"/>
                    <w:szCs w:val="22"/>
                  </w:rPr>
                  <w:t>FY18</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D186BF2" w14:textId="77777777" w:rsidR="00862724" w:rsidRPr="00643C70" w:rsidRDefault="002C3F71" w:rsidP="009E631B">
                <w:pPr>
                  <w:pStyle w:val="Normal69"/>
                  <w:rPr>
                    <w:rFonts w:asciiTheme="minorHAnsi" w:hAnsiTheme="minorHAnsi"/>
                    <w:sz w:val="22"/>
                  </w:rPr>
                </w:pPr>
                <w:r>
                  <w:rPr>
                    <w:rFonts w:asciiTheme="minorHAnsi" w:hAnsiTheme="minorHAnsi"/>
                    <w:noProof/>
                    <w:sz w:val="22"/>
                  </w:rPr>
                  <w:t>4.775</w:t>
                </w:r>
              </w:p>
            </w:tc>
            <w:tc>
              <w:tcPr>
                <w:tcW w:w="4673" w:type="dxa"/>
                <w:tcBorders>
                  <w:top w:val="single" w:sz="4" w:space="0" w:color="D9D9D9"/>
                  <w:left w:val="single" w:sz="4" w:space="0" w:color="D9D9D9"/>
                  <w:bottom w:val="single" w:sz="4" w:space="0" w:color="D9D9D9"/>
                </w:tcBorders>
                <w:shd w:val="clear" w:color="auto" w:fill="F2F2F2"/>
                <w:vAlign w:val="center"/>
              </w:tcPr>
              <w:p w14:paraId="5CF20717" w14:textId="77777777" w:rsidR="00862724" w:rsidRPr="00643C70" w:rsidRDefault="002C3F71" w:rsidP="009E631B">
                <w:pPr>
                  <w:pStyle w:val="Normal69"/>
                  <w:jc w:val="right"/>
                  <w:rPr>
                    <w:rFonts w:asciiTheme="minorHAnsi" w:hAnsiTheme="minorHAnsi"/>
                    <w:sz w:val="22"/>
                  </w:rPr>
                </w:pPr>
                <w:r>
                  <w:rPr>
                    <w:rFonts w:asciiTheme="minorHAnsi" w:hAnsiTheme="minorHAnsi"/>
                    <w:noProof/>
                    <w:sz w:val="22"/>
                    <w:szCs w:val="22"/>
                  </w:rPr>
                  <w:t>35,940.22</w:t>
                </w:r>
              </w:p>
            </w:tc>
          </w:tr>
          <w:tr w:rsidR="00E63776" w14:paraId="78EF9823" w14:textId="77777777" w:rsidTr="009E631B">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14:paraId="42657231" w14:textId="77777777" w:rsidR="0036617B" w:rsidRPr="00643C70" w:rsidRDefault="002C3F71" w:rsidP="0036617B">
                <w:pPr>
                  <w:pStyle w:val="Normal69"/>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14:paraId="48DA993E" w14:textId="77777777" w:rsidR="0036617B" w:rsidRPr="00643C70" w:rsidRDefault="002C3F71" w:rsidP="001769FA">
                <w:pPr>
                  <w:pStyle w:val="Normal69"/>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139.27</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14:paraId="0535B864" w14:textId="77777777" w:rsidR="0036617B" w:rsidRPr="00643C70" w:rsidRDefault="002C3F71" w:rsidP="00884685">
                <w:pPr>
                  <w:pStyle w:val="Normal69"/>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816,530.58</w:t>
                </w:r>
                <w:r>
                  <w:rPr>
                    <w:rFonts w:asciiTheme="minorHAnsi" w:hAnsiTheme="minorHAnsi"/>
                    <w:b/>
                    <w:sz w:val="22"/>
                    <w:szCs w:val="22"/>
                  </w:rPr>
                  <w:fldChar w:fldCharType="end"/>
                </w:r>
              </w:p>
            </w:tc>
          </w:tr>
        </w:tbl>
        <w:sdt>
          <w:sdtPr>
            <w:tag w:val="OPS_CORE_SECTION_END_12"/>
            <w:id w:val="1299793916"/>
            <w:lock w:val="sdtContentLocked"/>
            <w:placeholder>
              <w:docPart w:val="D26C7ACB08264F4CBEFE99B107484CEE"/>
            </w:placeholder>
          </w:sdtPr>
          <w:sdtEndPr/>
          <w:sdtContent>
            <w:p w14:paraId="1AAC5F51" w14:textId="77777777" w:rsidR="00D4514A" w:rsidRDefault="002C3F71" w:rsidP="00FB02CD">
              <w:pPr>
                <w:pStyle w:val="Normal3"/>
                <w:widowControl w:val="0"/>
                <w:spacing w:after="0" w:line="14" w:lineRule="exact"/>
                <w:ind w:left="-907"/>
              </w:pPr>
              <w:r>
                <w:t xml:space="preserve"> </w:t>
              </w:r>
            </w:p>
          </w:sdtContent>
        </w:sdt>
      </w:sdtContent>
    </w:sdt>
    <w:p w14:paraId="61D16FC7" w14:textId="77777777" w:rsidR="00D4514A" w:rsidRDefault="00D4514A" w:rsidP="00FB02CD">
      <w:pPr>
        <w:pStyle w:val="Normal3"/>
        <w:widowControl w:val="0"/>
        <w:spacing w:after="0" w:line="14" w:lineRule="exact"/>
        <w:ind w:left="-907"/>
      </w:pPr>
    </w:p>
    <w:p w14:paraId="3ABA1ED4" w14:textId="77777777" w:rsidR="00D4514A" w:rsidRDefault="00D4514A" w:rsidP="00FB02CD">
      <w:pPr>
        <w:pStyle w:val="Normal3"/>
        <w:widowControl w:val="0"/>
        <w:spacing w:after="0" w:line="14" w:lineRule="exact"/>
        <w:ind w:left="-907"/>
        <w:sectPr w:rsidR="00D4514A" w:rsidSect="003615CB">
          <w:type w:val="continuous"/>
          <w:pgSz w:w="12240" w:h="15840"/>
          <w:pgMar w:top="1440" w:right="1440" w:bottom="1440" w:left="1440" w:header="720" w:footer="720" w:gutter="0"/>
          <w:cols w:space="720"/>
          <w:docGrid w:linePitch="360"/>
        </w:sectPr>
      </w:pPr>
    </w:p>
    <w:p w14:paraId="113D7652" w14:textId="77777777" w:rsidR="00D4514A" w:rsidRDefault="002C3F71" w:rsidP="00D4514A">
      <w:pPr>
        <w:pStyle w:val="Normal3"/>
        <w:widowControl w:val="0"/>
        <w:spacing w:after="0" w:line="240" w:lineRule="auto"/>
        <w:ind w:left="-907"/>
      </w:pPr>
      <w:r>
        <w:rPr>
          <w:noProof/>
        </w:rPr>
        <mc:AlternateContent>
          <mc:Choice Requires="wps">
            <w:drawing>
              <wp:anchor distT="0" distB="0" distL="114300" distR="114300" simplePos="0" relativeHeight="251666432" behindDoc="0" locked="0" layoutInCell="1" allowOverlap="1" wp14:anchorId="028CBA3B" wp14:editId="6BD112A4">
                <wp:simplePos x="0" y="0"/>
                <wp:positionH relativeFrom="column">
                  <wp:posOffset>-938254</wp:posOffset>
                </wp:positionH>
                <wp:positionV relativeFrom="paragraph">
                  <wp:posOffset>170070</wp:posOffset>
                </wp:positionV>
                <wp:extent cx="7800230" cy="0"/>
                <wp:effectExtent l="0" t="0" r="10795" b="19050"/>
                <wp:wrapNone/>
                <wp:docPr id="233" name="Straight Connector 233"/>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233" o:spid="_x0000_s1031" style="mso-width-percent:0;mso-width-relative:margin;mso-wrap-distance-bottom:0;mso-wrap-distance-left:9pt;mso-wrap-distance-right:9pt;mso-wrap-distance-top:0;mso-wrap-style:square;position:absolute;visibility:visible;z-index:251667456" from="-73.9pt,13.4pt" to="540.3pt,13.4pt" strokecolor="gray">
                <v:stroke joinstyle="miter" dashstyle="dash" opacity="26214f"/>
              </v:line>
            </w:pict>
          </mc:Fallback>
        </mc:AlternateContent>
      </w:r>
    </w:p>
    <w:p w14:paraId="7DF0F051" w14:textId="77777777" w:rsidR="00D4514A" w:rsidRDefault="00D4514A" w:rsidP="00222B3C">
      <w:pPr>
        <w:ind w:left="-634"/>
        <w:rPr>
          <w:rFonts w:asciiTheme="minorHAnsi" w:hAnsiTheme="minorHAnsi"/>
          <w:bCs/>
          <w:color w:val="auto"/>
          <w:sz w:val="22"/>
          <w:szCs w:val="22"/>
        </w:rPr>
      </w:pPr>
    </w:p>
    <w:p w14:paraId="1F404D09" w14:textId="77777777" w:rsidR="00643C70" w:rsidRDefault="00643C70" w:rsidP="00222B3C">
      <w:pPr>
        <w:ind w:left="-634"/>
        <w:rPr>
          <w:rFonts w:asciiTheme="minorHAnsi" w:hAnsiTheme="minorHAnsi"/>
          <w:bCs/>
          <w:color w:val="auto"/>
          <w:sz w:val="22"/>
          <w:szCs w:val="22"/>
        </w:rPr>
      </w:pPr>
    </w:p>
    <w:p w14:paraId="00D8249F" w14:textId="77777777" w:rsidR="001F2F8E" w:rsidRDefault="002C3F71">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800"/>
      </w:tblGrid>
      <w:tr w:rsidR="00E63776" w14:paraId="79827DCA" w14:textId="77777777" w:rsidTr="008565D8">
        <w:trPr>
          <w:trHeight w:val="432"/>
        </w:trPr>
        <w:tc>
          <w:tcPr>
            <w:tcW w:w="10800" w:type="dxa"/>
            <w:shd w:val="clear" w:color="auto" w:fill="F2F7FC"/>
            <w:vAlign w:val="center"/>
          </w:tcPr>
          <w:p w14:paraId="7F018CC6" w14:textId="77777777" w:rsidR="003615CB" w:rsidRPr="008565D8" w:rsidRDefault="002C3F71" w:rsidP="003615CB">
            <w:pPr>
              <w:pStyle w:val="NoSpacing"/>
              <w:jc w:val="center"/>
              <w:outlineLvl w:val="0"/>
              <w:rPr>
                <w:rFonts w:asciiTheme="minorHAnsi" w:hAnsiTheme="minorHAnsi"/>
                <w:b/>
                <w:color w:val="000000" w:themeColor="text1"/>
                <w:sz w:val="22"/>
                <w:szCs w:val="22"/>
              </w:rPr>
            </w:pPr>
            <w:bookmarkStart w:id="92" w:name="_Toc256000034"/>
            <w:bookmarkStart w:id="93" w:name="_Toc485984562"/>
            <w:bookmarkStart w:id="94" w:name="_Toc502164480"/>
            <w:r w:rsidRPr="001B785D">
              <w:rPr>
                <w:rFonts w:asciiTheme="minorHAnsi" w:hAnsiTheme="minorHAnsi"/>
                <w:b/>
                <w:color w:val="000000" w:themeColor="text1"/>
                <w:sz w:val="22"/>
                <w:szCs w:val="22"/>
              </w:rPr>
              <w:t>ANNEX 3. PROJECT COST</w:t>
            </w:r>
            <w:r w:rsidR="00AF41B3">
              <w:rPr>
                <w:rFonts w:asciiTheme="minorHAnsi" w:hAnsiTheme="minorHAnsi"/>
                <w:b/>
                <w:color w:val="000000" w:themeColor="text1"/>
                <w:sz w:val="22"/>
                <w:szCs w:val="22"/>
              </w:rPr>
              <w:t xml:space="preserve"> </w:t>
            </w:r>
            <w:r w:rsidR="00AF41B3" w:rsidRPr="00AF41B3">
              <w:rPr>
                <w:rFonts w:asciiTheme="minorHAnsi" w:hAnsiTheme="minorHAnsi"/>
                <w:b/>
                <w:color w:val="000000" w:themeColor="text1"/>
                <w:sz w:val="22"/>
                <w:szCs w:val="22"/>
              </w:rPr>
              <w:t>BY COMPONENT</w:t>
            </w:r>
            <w:bookmarkEnd w:id="92"/>
            <w:bookmarkEnd w:id="93"/>
            <w:bookmarkEnd w:id="94"/>
          </w:p>
        </w:tc>
      </w:tr>
    </w:tbl>
    <w:p w14:paraId="1E20AF7D" w14:textId="77777777" w:rsidR="003615CB" w:rsidRPr="008E4A70" w:rsidRDefault="003615CB" w:rsidP="00FB0BC4">
      <w:pPr>
        <w:ind w:left="-792"/>
        <w:rPr>
          <w:rFonts w:asciiTheme="minorHAnsi" w:hAnsiTheme="minorHAnsi"/>
          <w:bCs/>
          <w:color w:val="7F7F7F" w:themeColor="text1" w:themeTint="80"/>
          <w:sz w:val="22"/>
          <w:szCs w:val="22"/>
        </w:rPr>
      </w:pPr>
    </w:p>
    <w:p w14:paraId="66F900AF" w14:textId="77777777" w:rsidR="003615CB" w:rsidRPr="008E4A70" w:rsidRDefault="003615CB" w:rsidP="00FB0BC4">
      <w:pPr>
        <w:ind w:left="-792"/>
        <w:rPr>
          <w:rFonts w:asciiTheme="minorHAnsi" w:hAnsiTheme="minorHAnsi"/>
          <w:bCs/>
          <w:color w:val="7F7F7F" w:themeColor="text1" w:themeTint="80"/>
          <w:sz w:val="22"/>
          <w:szCs w:val="22"/>
        </w:rPr>
      </w:pPr>
    </w:p>
    <w:p w14:paraId="799C3534" w14:textId="77777777" w:rsidR="003615CB" w:rsidRPr="008E4A70" w:rsidRDefault="003615CB" w:rsidP="00512C9A">
      <w:pPr>
        <w:ind w:left="-630"/>
        <w:rPr>
          <w:rFonts w:asciiTheme="minorHAnsi" w:hAnsiTheme="minorHAnsi"/>
          <w:bCs/>
          <w:color w:val="7F7F7F" w:themeColor="text1" w:themeTint="80"/>
          <w:sz w:val="22"/>
          <w:szCs w:val="22"/>
        </w:rPr>
      </w:pPr>
    </w:p>
    <w:tbl>
      <w:tblPr>
        <w:tblStyle w:val="TableGrid8"/>
        <w:tblW w:w="10800" w:type="dxa"/>
        <w:tblInd w:w="-720" w:type="dxa"/>
        <w:tblBorders>
          <w:top w:val="nil"/>
          <w:left w:val="nil"/>
          <w:bottom w:val="nil"/>
          <w:right w:val="nil"/>
          <w:insideH w:val="nil"/>
          <w:insideV w:val="nil"/>
        </w:tblBorders>
        <w:shd w:val="clear" w:color="auto" w:fill="FFFFFF" w:themeFill="background1"/>
        <w:tblLayout w:type="fixed"/>
        <w:tblLook w:val="04A0" w:firstRow="1" w:lastRow="0" w:firstColumn="1" w:lastColumn="0" w:noHBand="0" w:noVBand="1"/>
      </w:tblPr>
      <w:tblGrid>
        <w:gridCol w:w="2880"/>
        <w:gridCol w:w="3150"/>
        <w:gridCol w:w="2160"/>
        <w:gridCol w:w="2610"/>
      </w:tblGrid>
      <w:tr w:rsidR="00E63776" w14:paraId="4964BAD4" w14:textId="77777777" w:rsidTr="001B785D">
        <w:trPr>
          <w:trHeight w:val="387"/>
        </w:trPr>
        <w:tc>
          <w:tcPr>
            <w:tcW w:w="2880" w:type="dxa"/>
            <w:tcBorders>
              <w:bottom w:val="single" w:sz="12" w:space="0" w:color="D9D9D9" w:themeColor="background1" w:themeShade="D9"/>
            </w:tcBorders>
            <w:shd w:val="clear" w:color="auto" w:fill="FFFFFF" w:themeFill="background1"/>
            <w:vAlign w:val="center"/>
          </w:tcPr>
          <w:p w14:paraId="78B200DA" w14:textId="77777777" w:rsidR="001B785D" w:rsidRPr="001B785D" w:rsidRDefault="002C3F71" w:rsidP="001D102A">
            <w:pPr>
              <w:keepNex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Components</w:t>
            </w:r>
          </w:p>
        </w:tc>
        <w:tc>
          <w:tcPr>
            <w:tcW w:w="3150" w:type="dxa"/>
            <w:tcBorders>
              <w:bottom w:val="single" w:sz="12" w:space="0" w:color="D9D9D9" w:themeColor="background1" w:themeShade="D9"/>
            </w:tcBorders>
            <w:shd w:val="clear" w:color="auto" w:fill="FFFFFF" w:themeFill="background1"/>
            <w:vAlign w:val="center"/>
          </w:tcPr>
          <w:p w14:paraId="5FD799DD" w14:textId="77777777" w:rsidR="001B785D" w:rsidRPr="001B785D" w:rsidRDefault="002C3F71" w:rsidP="001D102A">
            <w:pPr>
              <w:keepNext/>
              <w:tabs>
                <w:tab w:val="left" w:pos="984"/>
              </w:tabs>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 xml:space="preserve">Amount at Approval </w:t>
            </w:r>
          </w:p>
          <w:p w14:paraId="6D369810" w14:textId="77777777" w:rsidR="001B785D" w:rsidRPr="001B785D" w:rsidRDefault="002C3F71" w:rsidP="001D102A">
            <w:pPr>
              <w:keepNext/>
              <w:tabs>
                <w:tab w:val="left" w:pos="984"/>
              </w:tabs>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(US$M)</w:t>
            </w:r>
          </w:p>
        </w:tc>
        <w:tc>
          <w:tcPr>
            <w:tcW w:w="2160" w:type="dxa"/>
            <w:tcBorders>
              <w:bottom w:val="single" w:sz="12" w:space="0" w:color="D9D9D9" w:themeColor="background1" w:themeShade="D9"/>
            </w:tcBorders>
            <w:shd w:val="clear" w:color="auto" w:fill="FFFFFF" w:themeFill="background1"/>
            <w:vAlign w:val="center"/>
          </w:tcPr>
          <w:p w14:paraId="6274836A" w14:textId="77777777" w:rsidR="001B785D" w:rsidRPr="001B785D" w:rsidRDefault="002C3F71" w:rsidP="001D102A">
            <w:pPr>
              <w:keepNext/>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Actual at Project Closing (US$M)</w:t>
            </w:r>
          </w:p>
        </w:tc>
        <w:tc>
          <w:tcPr>
            <w:tcW w:w="2610" w:type="dxa"/>
            <w:tcBorders>
              <w:bottom w:val="single" w:sz="12" w:space="0" w:color="D9D9D9" w:themeColor="background1" w:themeShade="D9"/>
            </w:tcBorders>
            <w:shd w:val="clear" w:color="auto" w:fill="FFFFFF" w:themeFill="background1"/>
            <w:vAlign w:val="center"/>
          </w:tcPr>
          <w:p w14:paraId="2AE25F0A" w14:textId="77777777" w:rsidR="001B785D" w:rsidRPr="001B785D" w:rsidRDefault="002C3F71" w:rsidP="001D102A">
            <w:pPr>
              <w:keepNext/>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Percentage of Approval (US$M)</w:t>
            </w:r>
          </w:p>
        </w:tc>
      </w:tr>
      <w:tr w:rsidR="00E63776" w14:paraId="79879407" w14:textId="77777777" w:rsidTr="00DD4A5D">
        <w:trPr>
          <w:trHeight w:val="387"/>
        </w:trPr>
        <w:tc>
          <w:tcPr>
            <w:tcW w:w="288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386039B2" w14:textId="77777777" w:rsidR="00056D0A" w:rsidRPr="001B785D" w:rsidRDefault="002C3F71" w:rsidP="00056D0A">
            <w:pPr>
              <w:rPr>
                <w:rFonts w:asciiTheme="minorHAnsi" w:hAnsiTheme="minorHAnsi"/>
                <w:sz w:val="22"/>
              </w:rPr>
            </w:pPr>
            <w:r>
              <w:rPr>
                <w:rFonts w:asciiTheme="minorHAnsi" w:hAnsiTheme="minorHAnsi"/>
                <w:noProof/>
                <w:sz w:val="22"/>
              </w:rPr>
              <w:t xml:space="preserve">Component 1. Remediation of the </w:t>
            </w:r>
            <w:r w:rsidR="00E52891">
              <w:rPr>
                <w:rFonts w:asciiTheme="minorHAnsi" w:hAnsiTheme="minorHAnsi"/>
                <w:noProof/>
                <w:sz w:val="22"/>
              </w:rPr>
              <w:t>Malargüe</w:t>
            </w:r>
            <w:r>
              <w:rPr>
                <w:rFonts w:asciiTheme="minorHAnsi" w:hAnsiTheme="minorHAnsi"/>
                <w:noProof/>
                <w:sz w:val="22"/>
              </w:rPr>
              <w:t xml:space="preserve"> Site</w:t>
            </w:r>
          </w:p>
        </w:tc>
        <w:tc>
          <w:tcPr>
            <w:tcW w:w="315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5E9243F8" w14:textId="77777777" w:rsidR="00056D0A" w:rsidRPr="001B785D" w:rsidRDefault="002C3F71" w:rsidP="00056D0A">
            <w:pPr>
              <w:jc w:val="right"/>
              <w:rPr>
                <w:rFonts w:asciiTheme="minorHAnsi" w:hAnsiTheme="minorHAnsi"/>
                <w:sz w:val="22"/>
              </w:rPr>
            </w:pPr>
            <w:r>
              <w:rPr>
                <w:rFonts w:asciiTheme="minorHAnsi" w:hAnsiTheme="minorHAnsi"/>
              </w:rPr>
              <w:t>17.75</w:t>
            </w:r>
          </w:p>
        </w:tc>
        <w:tc>
          <w:tcPr>
            <w:tcW w:w="216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2C4666EC" w14:textId="77777777" w:rsidR="00056D0A" w:rsidRPr="001B785D" w:rsidRDefault="002C3F71" w:rsidP="00056D0A">
            <w:pPr>
              <w:jc w:val="right"/>
              <w:rPr>
                <w:rFonts w:asciiTheme="minorHAnsi" w:hAnsiTheme="minorHAnsi"/>
                <w:sz w:val="22"/>
              </w:rPr>
            </w:pPr>
            <w:r>
              <w:rPr>
                <w:rFonts w:asciiTheme="minorHAnsi" w:hAnsiTheme="minorHAnsi"/>
                <w:noProof/>
              </w:rPr>
              <w:t>22.23</w:t>
            </w:r>
          </w:p>
        </w:tc>
        <w:tc>
          <w:tcPr>
            <w:tcW w:w="261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23E73FCE" w14:textId="77777777" w:rsidR="00056D0A" w:rsidRPr="001B785D" w:rsidRDefault="002C3F71" w:rsidP="00056D0A">
            <w:pPr>
              <w:jc w:val="right"/>
              <w:rPr>
                <w:rFonts w:asciiTheme="minorHAnsi" w:hAnsiTheme="minorHAnsi"/>
                <w:sz w:val="22"/>
              </w:rPr>
            </w:pPr>
            <w:r>
              <w:rPr>
                <w:rFonts w:asciiTheme="minorHAnsi" w:hAnsiTheme="minorHAnsi"/>
              </w:rPr>
              <w:t xml:space="preserve">                           125.2 %</w:t>
            </w:r>
          </w:p>
        </w:tc>
      </w:tr>
      <w:tr w:rsidR="00E63776" w14:paraId="5A173773" w14:textId="77777777" w:rsidTr="00DD4A5D">
        <w:trPr>
          <w:trHeight w:val="387"/>
        </w:trPr>
        <w:tc>
          <w:tcPr>
            <w:tcW w:w="288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6146DAB6" w14:textId="77777777" w:rsidR="001B785D" w:rsidRPr="001B785D" w:rsidRDefault="002C3F71" w:rsidP="009D08CE">
            <w:pPr>
              <w:rPr>
                <w:rFonts w:asciiTheme="minorHAnsi" w:hAnsiTheme="minorHAnsi"/>
                <w:sz w:val="22"/>
              </w:rPr>
            </w:pPr>
            <w:r>
              <w:rPr>
                <w:rFonts w:asciiTheme="minorHAnsi" w:hAnsiTheme="minorHAnsi"/>
                <w:noProof/>
                <w:sz w:val="22"/>
              </w:rPr>
              <w:t>Component 2. Mine Restoration Planning and Institutional Strengthening</w:t>
            </w:r>
          </w:p>
        </w:tc>
        <w:tc>
          <w:tcPr>
            <w:tcW w:w="315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76414FDB" w14:textId="77777777" w:rsidR="001B785D" w:rsidRPr="001B785D" w:rsidRDefault="002C3F71" w:rsidP="001D102A">
            <w:pPr>
              <w:jc w:val="right"/>
              <w:rPr>
                <w:rFonts w:asciiTheme="minorHAnsi" w:hAnsiTheme="minorHAnsi"/>
                <w:sz w:val="22"/>
              </w:rPr>
            </w:pPr>
            <w:r>
              <w:rPr>
                <w:rFonts w:asciiTheme="minorHAnsi" w:hAnsiTheme="minorHAnsi"/>
                <w:noProof/>
              </w:rPr>
              <w:t>11.60</w:t>
            </w:r>
          </w:p>
        </w:tc>
        <w:tc>
          <w:tcPr>
            <w:tcW w:w="216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42A1794C" w14:textId="77777777" w:rsidR="001B785D" w:rsidRPr="001B785D" w:rsidRDefault="002C3F71" w:rsidP="001D102A">
            <w:pPr>
              <w:jc w:val="right"/>
              <w:rPr>
                <w:rFonts w:asciiTheme="minorHAnsi" w:hAnsiTheme="minorHAnsi"/>
                <w:sz w:val="22"/>
              </w:rPr>
            </w:pPr>
            <w:r>
              <w:rPr>
                <w:rFonts w:asciiTheme="minorHAnsi" w:hAnsiTheme="minorHAnsi"/>
                <w:noProof/>
              </w:rPr>
              <w:t>9.82</w:t>
            </w:r>
          </w:p>
        </w:tc>
        <w:tc>
          <w:tcPr>
            <w:tcW w:w="261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47B73273" w14:textId="77777777" w:rsidR="001B785D" w:rsidRPr="001B785D" w:rsidRDefault="002C3F71" w:rsidP="00DA1896">
            <w:pPr>
              <w:jc w:val="right"/>
              <w:rPr>
                <w:rFonts w:asciiTheme="minorHAnsi" w:hAnsiTheme="minorHAnsi"/>
                <w:sz w:val="22"/>
              </w:rPr>
            </w:pPr>
            <w:r>
              <w:rPr>
                <w:rFonts w:asciiTheme="minorHAnsi" w:hAnsiTheme="minorHAnsi"/>
              </w:rPr>
              <w:t>84.7 %</w:t>
            </w:r>
          </w:p>
        </w:tc>
      </w:tr>
      <w:tr w:rsidR="00E63776" w14:paraId="5F736579" w14:textId="77777777" w:rsidTr="00DD4A5D">
        <w:trPr>
          <w:trHeight w:val="387"/>
        </w:trPr>
        <w:tc>
          <w:tcPr>
            <w:tcW w:w="288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47B7102B" w14:textId="77777777" w:rsidR="00056D0A" w:rsidRPr="001B785D" w:rsidRDefault="002C3F71" w:rsidP="00056D0A">
            <w:pPr>
              <w:rPr>
                <w:rFonts w:asciiTheme="minorHAnsi" w:hAnsiTheme="minorHAnsi"/>
                <w:sz w:val="22"/>
              </w:rPr>
            </w:pPr>
            <w:r>
              <w:rPr>
                <w:rFonts w:asciiTheme="minorHAnsi" w:hAnsiTheme="minorHAnsi"/>
                <w:noProof/>
                <w:sz w:val="22"/>
              </w:rPr>
              <w:t>Component 3. Project Management</w:t>
            </w:r>
          </w:p>
        </w:tc>
        <w:tc>
          <w:tcPr>
            <w:tcW w:w="315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54F40FD8" w14:textId="77777777" w:rsidR="00056D0A" w:rsidRPr="001B785D" w:rsidRDefault="002C3F71" w:rsidP="00056D0A">
            <w:pPr>
              <w:jc w:val="right"/>
              <w:rPr>
                <w:rFonts w:asciiTheme="minorHAnsi" w:hAnsiTheme="minorHAnsi"/>
                <w:sz w:val="22"/>
              </w:rPr>
            </w:pPr>
            <w:r>
              <w:rPr>
                <w:rFonts w:asciiTheme="minorHAnsi" w:hAnsiTheme="minorHAnsi"/>
                <w:noProof/>
              </w:rPr>
              <w:t>1.25</w:t>
            </w:r>
          </w:p>
        </w:tc>
        <w:tc>
          <w:tcPr>
            <w:tcW w:w="216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3210C396" w14:textId="77777777" w:rsidR="00056D0A" w:rsidRPr="001B785D" w:rsidRDefault="002C3F71" w:rsidP="00056D0A">
            <w:pPr>
              <w:jc w:val="right"/>
              <w:rPr>
                <w:rFonts w:asciiTheme="minorHAnsi" w:hAnsiTheme="minorHAnsi"/>
                <w:sz w:val="22"/>
              </w:rPr>
            </w:pPr>
            <w:r>
              <w:rPr>
                <w:rFonts w:asciiTheme="minorHAnsi" w:hAnsiTheme="minorHAnsi"/>
                <w:noProof/>
              </w:rPr>
              <w:t>0.24</w:t>
            </w:r>
          </w:p>
        </w:tc>
        <w:tc>
          <w:tcPr>
            <w:tcW w:w="261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14:paraId="482C1D78" w14:textId="77777777" w:rsidR="00056D0A" w:rsidRPr="001B785D" w:rsidRDefault="002C3F71" w:rsidP="00056D0A">
            <w:pPr>
              <w:jc w:val="right"/>
              <w:rPr>
                <w:rFonts w:asciiTheme="minorHAnsi" w:hAnsiTheme="minorHAnsi"/>
                <w:sz w:val="22"/>
              </w:rPr>
            </w:pPr>
            <w:r>
              <w:rPr>
                <w:rFonts w:asciiTheme="minorHAnsi" w:hAnsiTheme="minorHAnsi"/>
              </w:rPr>
              <w:t xml:space="preserve">                              19.2 %</w:t>
            </w:r>
          </w:p>
        </w:tc>
      </w:tr>
      <w:tr w:rsidR="00E63776" w14:paraId="688276F8" w14:textId="77777777" w:rsidTr="00DD4A5D">
        <w:trPr>
          <w:trHeight w:val="387"/>
        </w:trPr>
        <w:tc>
          <w:tcPr>
            <w:tcW w:w="288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14:paraId="6908CDD6" w14:textId="77777777" w:rsidR="00C77D15" w:rsidRPr="00313AEF" w:rsidRDefault="002C3F71" w:rsidP="009D08CE">
            <w:pPr>
              <w:rPr>
                <w:rFonts w:asciiTheme="minorHAnsi" w:hAnsiTheme="minorHAnsi"/>
                <w:b/>
                <w:sz w:val="22"/>
                <w:szCs w:val="22"/>
              </w:rPr>
            </w:pPr>
            <w:r w:rsidRPr="00313AEF">
              <w:rPr>
                <w:rFonts w:asciiTheme="minorHAnsi" w:hAnsiTheme="minorHAnsi"/>
                <w:b/>
                <w:sz w:val="22"/>
                <w:szCs w:val="22"/>
              </w:rPr>
              <w:t>Total</w:t>
            </w:r>
          </w:p>
        </w:tc>
        <w:tc>
          <w:tcPr>
            <w:tcW w:w="315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14:paraId="11CD86C0" w14:textId="77777777" w:rsidR="00C77D15" w:rsidRPr="00056D0A" w:rsidRDefault="002C3F71" w:rsidP="001D102A">
            <w:pPr>
              <w:jc w:val="right"/>
              <w:rPr>
                <w:rFonts w:asciiTheme="minorHAnsi" w:hAnsiTheme="minorHAnsi"/>
                <w:b/>
                <w:sz w:val="22"/>
              </w:rPr>
            </w:pPr>
            <w:r w:rsidRPr="00056D0A">
              <w:rPr>
                <w:rFonts w:asciiTheme="minorHAnsi" w:hAnsiTheme="minorHAnsi"/>
                <w:b/>
              </w:rPr>
              <w:t>34.25</w:t>
            </w:r>
            <w:r w:rsidR="00C743CB" w:rsidRPr="00056D0A">
              <w:rPr>
                <w:rFonts w:asciiTheme="minorHAnsi" w:hAnsiTheme="minorHAnsi"/>
                <w:b/>
                <w:sz w:val="22"/>
                <w:szCs w:val="22"/>
              </w:rPr>
              <w:t>*</w:t>
            </w:r>
          </w:p>
        </w:tc>
        <w:tc>
          <w:tcPr>
            <w:tcW w:w="216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14:paraId="14B73ED5" w14:textId="77777777" w:rsidR="00C77D15" w:rsidRPr="00056D0A" w:rsidRDefault="002C3F71" w:rsidP="001D102A">
            <w:pPr>
              <w:jc w:val="right"/>
              <w:rPr>
                <w:rFonts w:asciiTheme="minorHAnsi" w:hAnsiTheme="minorHAnsi"/>
                <w:b/>
                <w:sz w:val="22"/>
              </w:rPr>
            </w:pPr>
            <w:r w:rsidRPr="00056D0A">
              <w:rPr>
                <w:rFonts w:asciiTheme="minorHAnsi" w:hAnsiTheme="minorHAnsi"/>
                <w:b/>
              </w:rPr>
              <w:t>35.80</w:t>
            </w:r>
            <w:r w:rsidR="008D1285" w:rsidRPr="00056D0A">
              <w:rPr>
                <w:rFonts w:asciiTheme="minorHAnsi" w:hAnsiTheme="minorHAnsi"/>
                <w:b/>
                <w:sz w:val="22"/>
                <w:szCs w:val="22"/>
              </w:rPr>
              <w:t>**</w:t>
            </w:r>
          </w:p>
        </w:tc>
        <w:tc>
          <w:tcPr>
            <w:tcW w:w="261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14:paraId="54F22501" w14:textId="77777777" w:rsidR="00C77D15" w:rsidRPr="00056D0A" w:rsidRDefault="002C3F71" w:rsidP="00DA1896">
            <w:pPr>
              <w:jc w:val="right"/>
              <w:rPr>
                <w:rFonts w:asciiTheme="minorHAnsi" w:hAnsiTheme="minorHAnsi"/>
                <w:b/>
                <w:sz w:val="22"/>
              </w:rPr>
            </w:pPr>
            <w:r w:rsidRPr="00056D0A">
              <w:rPr>
                <w:rFonts w:asciiTheme="minorHAnsi" w:hAnsiTheme="minorHAnsi"/>
                <w:b/>
              </w:rPr>
              <w:t>104.5 %</w:t>
            </w:r>
          </w:p>
        </w:tc>
      </w:tr>
    </w:tbl>
    <w:p w14:paraId="701AFF9A" w14:textId="77777777" w:rsidR="003615CB" w:rsidRPr="008E4A70" w:rsidRDefault="002C3F71" w:rsidP="00512C9A">
      <w:pPr>
        <w:ind w:left="-630"/>
        <w:rPr>
          <w:rFonts w:asciiTheme="minorHAnsi" w:hAnsiTheme="minorHAnsi"/>
          <w:bCs/>
          <w:color w:val="7F7F7F" w:themeColor="text1" w:themeTint="80"/>
          <w:sz w:val="22"/>
          <w:szCs w:val="22"/>
        </w:rPr>
      </w:pPr>
      <w:r>
        <w:rPr>
          <w:rFonts w:asciiTheme="minorHAnsi" w:hAnsiTheme="minorHAnsi"/>
          <w:bCs/>
          <w:color w:val="7F7F7F" w:themeColor="text1" w:themeTint="80"/>
          <w:sz w:val="22"/>
          <w:szCs w:val="22"/>
        </w:rPr>
        <w:t xml:space="preserve">*In </w:t>
      </w:r>
      <w:r w:rsidR="00056D0A">
        <w:rPr>
          <w:rFonts w:asciiTheme="minorHAnsi" w:hAnsiTheme="minorHAnsi"/>
          <w:bCs/>
          <w:color w:val="7F7F7F" w:themeColor="text1" w:themeTint="80"/>
          <w:sz w:val="22"/>
          <w:szCs w:val="22"/>
        </w:rPr>
        <w:t>addition,</w:t>
      </w:r>
      <w:r>
        <w:rPr>
          <w:rFonts w:asciiTheme="minorHAnsi" w:hAnsiTheme="minorHAnsi"/>
          <w:bCs/>
          <w:color w:val="7F7F7F" w:themeColor="text1" w:themeTint="80"/>
          <w:sz w:val="22"/>
          <w:szCs w:val="22"/>
        </w:rPr>
        <w:t xml:space="preserve"> </w:t>
      </w:r>
      <w:r w:rsidR="0059533A">
        <w:rPr>
          <w:rFonts w:asciiTheme="minorHAnsi" w:hAnsiTheme="minorHAnsi"/>
          <w:bCs/>
          <w:color w:val="7F7F7F" w:themeColor="text1" w:themeTint="80"/>
          <w:sz w:val="22"/>
          <w:szCs w:val="22"/>
        </w:rPr>
        <w:t>total project costs included: (i) 0.08 for PPFs; (ii) 2.77 for Contingencies; and (iii) 0.08 for Front End Fees for a total financing of $30.00M</w:t>
      </w:r>
      <w:r w:rsidR="00056D0A">
        <w:rPr>
          <w:rFonts w:asciiTheme="minorHAnsi" w:hAnsiTheme="minorHAnsi"/>
          <w:bCs/>
          <w:color w:val="7F7F7F" w:themeColor="text1" w:themeTint="80"/>
          <w:sz w:val="22"/>
          <w:szCs w:val="22"/>
        </w:rPr>
        <w:t xml:space="preserve"> from IBRD</w:t>
      </w:r>
      <w:r w:rsidR="0059533A">
        <w:rPr>
          <w:rFonts w:asciiTheme="minorHAnsi" w:hAnsiTheme="minorHAnsi"/>
          <w:bCs/>
          <w:color w:val="7F7F7F" w:themeColor="text1" w:themeTint="80"/>
          <w:sz w:val="22"/>
          <w:szCs w:val="22"/>
        </w:rPr>
        <w:t xml:space="preserve">. </w:t>
      </w:r>
    </w:p>
    <w:p w14:paraId="56CCAC48" w14:textId="77777777" w:rsidR="003615CB" w:rsidRDefault="003615CB" w:rsidP="00512C9A">
      <w:pPr>
        <w:ind w:left="-630"/>
        <w:rPr>
          <w:rFonts w:asciiTheme="minorHAnsi" w:hAnsiTheme="minorHAnsi"/>
          <w:bCs/>
          <w:color w:val="7F7F7F" w:themeColor="text1" w:themeTint="80"/>
          <w:sz w:val="22"/>
          <w:szCs w:val="22"/>
        </w:rPr>
      </w:pPr>
    </w:p>
    <w:p w14:paraId="04FA3162" w14:textId="77777777" w:rsidR="008D1285" w:rsidRPr="008E4A70" w:rsidRDefault="002C3F71" w:rsidP="00512C9A">
      <w:pPr>
        <w:ind w:left="-630"/>
        <w:rPr>
          <w:rFonts w:asciiTheme="minorHAnsi" w:hAnsiTheme="minorHAnsi"/>
          <w:bCs/>
          <w:color w:val="7F7F7F" w:themeColor="text1" w:themeTint="80"/>
          <w:sz w:val="22"/>
          <w:szCs w:val="22"/>
        </w:rPr>
      </w:pPr>
      <w:r>
        <w:rPr>
          <w:rFonts w:asciiTheme="minorHAnsi" w:hAnsiTheme="minorHAnsi"/>
          <w:bCs/>
          <w:color w:val="7F7F7F" w:themeColor="text1" w:themeTint="80"/>
          <w:sz w:val="22"/>
          <w:szCs w:val="22"/>
        </w:rPr>
        <w:t>** This amount includes a reallocation from contingencie</w:t>
      </w:r>
      <w:r w:rsidR="006875ED">
        <w:rPr>
          <w:rFonts w:asciiTheme="minorHAnsi" w:hAnsiTheme="minorHAnsi"/>
          <w:bCs/>
          <w:color w:val="7F7F7F" w:themeColor="text1" w:themeTint="80"/>
          <w:sz w:val="22"/>
          <w:szCs w:val="22"/>
        </w:rPr>
        <w:t xml:space="preserve">s. </w:t>
      </w:r>
    </w:p>
    <w:p w14:paraId="0D452D4F" w14:textId="77777777" w:rsidR="00FB0BC4" w:rsidRDefault="002C3F71">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E63776" w14:paraId="2864C2A0" w14:textId="77777777" w:rsidTr="008565D8">
        <w:trPr>
          <w:trHeight w:val="432"/>
        </w:trPr>
        <w:tc>
          <w:tcPr>
            <w:tcW w:w="10903" w:type="dxa"/>
            <w:shd w:val="clear" w:color="auto" w:fill="F2F7FC"/>
            <w:vAlign w:val="center"/>
          </w:tcPr>
          <w:p w14:paraId="31E7E5B9" w14:textId="77777777" w:rsidR="003615CB" w:rsidRPr="00D90F20" w:rsidRDefault="002C3F71" w:rsidP="003615CB">
            <w:pPr>
              <w:pStyle w:val="NoSpacing"/>
              <w:jc w:val="center"/>
              <w:outlineLvl w:val="0"/>
              <w:rPr>
                <w:rFonts w:asciiTheme="minorHAnsi" w:hAnsiTheme="minorHAnsi"/>
                <w:b/>
                <w:sz w:val="22"/>
                <w:szCs w:val="22"/>
              </w:rPr>
            </w:pPr>
            <w:bookmarkStart w:id="95" w:name="_Toc256000035"/>
            <w:bookmarkStart w:id="96" w:name="_Toc485984563"/>
            <w:bookmarkStart w:id="97" w:name="_Toc502164481"/>
            <w:r w:rsidRPr="001B785D">
              <w:rPr>
                <w:rFonts w:asciiTheme="minorHAnsi" w:hAnsiTheme="minorHAnsi"/>
                <w:b/>
                <w:color w:val="000000" w:themeColor="text1"/>
                <w:sz w:val="22"/>
                <w:szCs w:val="22"/>
              </w:rPr>
              <w:t>ANNEX 4. EFFICIENCY ANALYSIS</w:t>
            </w:r>
            <w:bookmarkEnd w:id="95"/>
            <w:bookmarkEnd w:id="96"/>
            <w:bookmarkEnd w:id="97"/>
          </w:p>
        </w:tc>
      </w:tr>
    </w:tbl>
    <w:p w14:paraId="3C8B347D" w14:textId="77777777" w:rsidR="003615CB" w:rsidRPr="00CB304D" w:rsidRDefault="003615CB" w:rsidP="00FB0BC4">
      <w:pPr>
        <w:ind w:left="-792"/>
        <w:rPr>
          <w:rFonts w:asciiTheme="minorHAnsi" w:hAnsiTheme="minorHAnsi"/>
          <w:bCs/>
          <w:color w:val="7F7F7F" w:themeColor="text1" w:themeTint="80"/>
          <w:sz w:val="22"/>
          <w:szCs w:val="22"/>
        </w:rPr>
      </w:pPr>
    </w:p>
    <w:p w14:paraId="43697A60" w14:textId="77777777" w:rsidR="00165BDE" w:rsidRPr="00306CFC" w:rsidRDefault="002C3F71" w:rsidP="00165BDE">
      <w:pPr>
        <w:spacing w:line="276" w:lineRule="auto"/>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 xml:space="preserve">Because it was not possible to undertake a cost-benefit approach due to the inability to clearly quantify project benefits, the PAD utilized a comparative least-cost approach to assess the efficiency of the investment in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This approach was justified due to the “legal imperative imposed on CNEA to clean-up its closed uranium sites and the fact that the most important determinants of the cost of any remediation program are the applicable regulations.” </w:t>
      </w:r>
      <w:proofErr w:type="gramStart"/>
      <w:r w:rsidRPr="00306CFC">
        <w:rPr>
          <w:rFonts w:asciiTheme="minorHAnsi" w:eastAsiaTheme="minorHAnsi" w:hAnsiTheme="minorHAnsi" w:cstheme="minorHAnsi"/>
          <w:color w:val="000000" w:themeColor="text1"/>
          <w:sz w:val="22"/>
          <w:szCs w:val="22"/>
        </w:rPr>
        <w:t>According to</w:t>
      </w:r>
      <w:proofErr w:type="gramEnd"/>
      <w:r w:rsidRPr="00306CFC">
        <w:rPr>
          <w:rFonts w:asciiTheme="minorHAnsi" w:eastAsiaTheme="minorHAnsi" w:hAnsiTheme="minorHAnsi" w:cstheme="minorHAnsi"/>
          <w:color w:val="000000" w:themeColor="text1"/>
          <w:sz w:val="22"/>
          <w:szCs w:val="22"/>
        </w:rPr>
        <w:t xml:space="preserve"> the PAD, “extremely conservative standards were imposed as a result of these regulations.”  The estimated investment cost to achieve the imposed standard of remediation at the time of appraisal was US$ 16.2 per ton of tailings.</w:t>
      </w:r>
      <w:r>
        <w:rPr>
          <w:rStyle w:val="FootnoteReference"/>
          <w:rFonts w:asciiTheme="minorHAnsi" w:eastAsiaTheme="minorHAnsi" w:hAnsiTheme="minorHAnsi" w:cstheme="minorHAnsi"/>
          <w:b/>
          <w:color w:val="000000" w:themeColor="text1"/>
          <w:sz w:val="22"/>
          <w:szCs w:val="22"/>
        </w:rPr>
        <w:footnoteReference w:id="28"/>
      </w:r>
      <w:r w:rsidRPr="00306CFC">
        <w:rPr>
          <w:rFonts w:asciiTheme="minorHAnsi" w:eastAsiaTheme="minorHAnsi" w:hAnsiTheme="minorHAnsi" w:cstheme="minorHAnsi"/>
          <w:color w:val="000000" w:themeColor="text1"/>
          <w:sz w:val="22"/>
          <w:szCs w:val="22"/>
        </w:rPr>
        <w:t xml:space="preserve">  Data for other countries (Canada, Germany, Spain, United States) at that time indicated an average of about US$ 16 per ton. Thus, the design for the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works </w:t>
      </w:r>
      <w:proofErr w:type="gramStart"/>
      <w:r w:rsidRPr="00306CFC">
        <w:rPr>
          <w:rFonts w:asciiTheme="minorHAnsi" w:eastAsiaTheme="minorHAnsi" w:hAnsiTheme="minorHAnsi" w:cstheme="minorHAnsi"/>
          <w:color w:val="000000" w:themeColor="text1"/>
          <w:sz w:val="22"/>
          <w:szCs w:val="22"/>
        </w:rPr>
        <w:t>was considered to be</w:t>
      </w:r>
      <w:proofErr w:type="gramEnd"/>
      <w:r w:rsidRPr="00306CFC">
        <w:rPr>
          <w:rFonts w:asciiTheme="minorHAnsi" w:eastAsiaTheme="minorHAnsi" w:hAnsiTheme="minorHAnsi" w:cstheme="minorHAnsi"/>
          <w:color w:val="000000" w:themeColor="text1"/>
          <w:sz w:val="22"/>
          <w:szCs w:val="22"/>
        </w:rPr>
        <w:t xml:space="preserve"> within the range of unit costs for similar projects internationally.</w:t>
      </w:r>
    </w:p>
    <w:p w14:paraId="40887BFB" w14:textId="77777777" w:rsidR="00165BDE" w:rsidRPr="00306CFC" w:rsidRDefault="00165BDE" w:rsidP="00165BDE">
      <w:pPr>
        <w:pStyle w:val="ListParagraph"/>
        <w:spacing w:line="276" w:lineRule="auto"/>
        <w:ind w:left="450"/>
        <w:jc w:val="both"/>
        <w:rPr>
          <w:rFonts w:eastAsiaTheme="minorHAnsi" w:cstheme="minorHAnsi"/>
          <w:b w:val="0"/>
          <w:color w:val="000000" w:themeColor="text1"/>
          <w:szCs w:val="22"/>
        </w:rPr>
      </w:pPr>
    </w:p>
    <w:p w14:paraId="4F09347C" w14:textId="77777777" w:rsidR="00165BDE" w:rsidRPr="00306CFC" w:rsidRDefault="002C3F71" w:rsidP="00165BDE">
      <w:pPr>
        <w:spacing w:line="276" w:lineRule="auto"/>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 xml:space="preserve">The same comparative least-cost approach applied in the PAD is also used in this assessment, although several important adjustments first need to be made. Based on more detailed remediation costs at the time of the first restructuring in July 2013, the total cost of Component 1 was increased by US$ 3.925 million through the reallocation of the full amount of the contingency of US$ 2.77 million included in the cost table in the PAD, together with US$ 500,000 from Component 2 and US$ 650,000 from Component 3. This revised component cost, however, also included US$ 1.2 million for development of a park at the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site, which had not initially been contemplated at appraisal. The revised estimated remediation cost was thus increased to US$ 20.475 million. This also raised the estimated unit remediation cost to roughly US$ 28.8/ton based on the assumption that the total amount of material to be removed was 710,000 tons.</w:t>
      </w:r>
    </w:p>
    <w:p w14:paraId="2F2F4CE5" w14:textId="77777777" w:rsidR="00165BDE" w:rsidRPr="00306CFC" w:rsidRDefault="00165BDE" w:rsidP="00165BDE">
      <w:pPr>
        <w:spacing w:line="276" w:lineRule="auto"/>
        <w:ind w:left="90"/>
        <w:jc w:val="both"/>
        <w:rPr>
          <w:rFonts w:asciiTheme="minorHAnsi" w:eastAsiaTheme="minorHAnsi" w:hAnsiTheme="minorHAnsi" w:cstheme="minorHAnsi"/>
          <w:color w:val="000000" w:themeColor="text1"/>
          <w:sz w:val="22"/>
          <w:szCs w:val="22"/>
        </w:rPr>
      </w:pPr>
    </w:p>
    <w:p w14:paraId="44A5AA7C" w14:textId="77777777" w:rsidR="00165BDE" w:rsidRPr="00306CFC" w:rsidRDefault="002C3F71" w:rsidP="00165BDE">
      <w:pPr>
        <w:spacing w:line="276" w:lineRule="auto"/>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 xml:space="preserve">It is not possible to directly compare the appraisal and/or revised estimated unit remediation costs with the actual remediation costs, however, because the actual quantity of contaminated materials moved and stored from the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site was measured in cubic meters (m3) rather than tons. This occurred because the materials in question consisted of a mixture of different substances (soil, sand, clay, compacted tailings, rocks) having different weights and densities and which, for this reason, were measured in terms of volume rather than weight.  </w:t>
      </w:r>
      <w:proofErr w:type="gramStart"/>
      <w:r w:rsidRPr="00306CFC">
        <w:rPr>
          <w:rFonts w:asciiTheme="minorHAnsi" w:eastAsiaTheme="minorHAnsi" w:hAnsiTheme="minorHAnsi" w:cstheme="minorHAnsi"/>
          <w:color w:val="000000" w:themeColor="text1"/>
          <w:sz w:val="22"/>
          <w:szCs w:val="22"/>
        </w:rPr>
        <w:t>According to</w:t>
      </w:r>
      <w:proofErr w:type="gramEnd"/>
      <w:r w:rsidRPr="00306CFC">
        <w:rPr>
          <w:rFonts w:asciiTheme="minorHAnsi" w:eastAsiaTheme="minorHAnsi" w:hAnsiTheme="minorHAnsi" w:cstheme="minorHAnsi"/>
          <w:color w:val="000000" w:themeColor="text1"/>
          <w:sz w:val="22"/>
          <w:szCs w:val="22"/>
        </w:rPr>
        <w:t xml:space="preserve"> the project team, the total amount of materials actually moved during project implementation was 801,520 m3, of which 652,910 m3 – consisting of 62,705 m3 of rocks, 100,726 m3 of sand and clay, 67,250 m3 of soil, and 422,229 m3 of compacted tailings – were safely removed and stored, and 148,610 m3 were for soil remediation at the site itself.   This represented a 14.5 percent increase in the actual volume moved during project implementation compared with that first estimated in the contracts (700,000 m3). </w:t>
      </w:r>
    </w:p>
    <w:p w14:paraId="228A20DA" w14:textId="77777777" w:rsidR="00165BDE" w:rsidRPr="00306CFC" w:rsidRDefault="00165BDE" w:rsidP="00165BDE">
      <w:pPr>
        <w:spacing w:line="276" w:lineRule="auto"/>
        <w:ind w:left="90"/>
        <w:jc w:val="both"/>
        <w:rPr>
          <w:rFonts w:asciiTheme="minorHAnsi" w:eastAsiaTheme="minorHAnsi" w:hAnsiTheme="minorHAnsi" w:cstheme="minorHAnsi"/>
          <w:color w:val="000000" w:themeColor="text1"/>
          <w:sz w:val="22"/>
          <w:szCs w:val="22"/>
        </w:rPr>
      </w:pPr>
    </w:p>
    <w:p w14:paraId="281B21D0" w14:textId="77777777" w:rsidR="00165BDE" w:rsidRPr="00306CFC" w:rsidRDefault="002C3F71" w:rsidP="00165BDE">
      <w:pPr>
        <w:spacing w:line="276" w:lineRule="auto"/>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It is possible, however, to compare the revised estimated remediation costs at the time of the first restructuring (i.e., US$ 20.475 million) divided by the initially estimated volume of materials to be moved according to the contracts, or US$ 29.25/m3, with the actual remediation costs (US$ 21.03 million, once the US$ 1.2 million for the park is deducted from the total actual costs of Component 1 by the actual volume of contaminated materials and soils removed and safely stored (810, 520 m3).  This yields an average unit cost of US$ 25.95/m3 and indicates that the increased actual remediation costs were largely due to the increased volume of material that had to be moved.  It also suggests that implementation of the project’s remediation component with respect to the use of project resources was efficient, even though the actual unit costs cannot be directly compared with those indicated in the PAD. At project completion, moreover, these actual remediation costs represented 58.7 percent of actual total project costs, thereby accounting for nearly three-fifths of the total. In addition, actual project management costs were considerably lower than those estimated at appraisal (US$ 240,000 compared with US$ 1.25 million) and even with the revised much lower amount of US$ 500,000 at the time of the first restructuring, even though this was partly due to CNEA’s inability to hire international and local consultants and thus needed to rely essentially on its own staff.  However, this nevertheless suggests substantial project administrative efficiency.</w:t>
      </w:r>
    </w:p>
    <w:p w14:paraId="33ED0181" w14:textId="77777777" w:rsidR="00165BDE" w:rsidRPr="00306CFC" w:rsidRDefault="00165BDE" w:rsidP="00165BDE">
      <w:pPr>
        <w:pStyle w:val="ListParagraph"/>
        <w:spacing w:line="276" w:lineRule="auto"/>
        <w:ind w:left="360"/>
        <w:jc w:val="both"/>
        <w:rPr>
          <w:rFonts w:eastAsiaTheme="minorHAnsi" w:cstheme="minorHAnsi"/>
          <w:b w:val="0"/>
          <w:color w:val="000000" w:themeColor="text1"/>
          <w:szCs w:val="22"/>
        </w:rPr>
      </w:pPr>
    </w:p>
    <w:p w14:paraId="265F7CA5" w14:textId="77777777" w:rsidR="00165BDE" w:rsidRPr="00306CFC" w:rsidRDefault="002C3F71" w:rsidP="00165BDE">
      <w:pPr>
        <w:spacing w:line="276" w:lineRule="auto"/>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 xml:space="preserve">While there are only a few other Bank projects that have sought to remediate contaminated uranium mining sites for purposes of comparison, the ICR for one such operation, the Disaster Hazard Mitigation Project in the Kyrgyz Republic completed in December 2012, which had a uranium mining waste isolation and protection component, reported an average cost of US$ 25/m3 for the remediation of tailings materials. This is very </w:t>
      </w:r>
      <w:proofErr w:type="gramStart"/>
      <w:r w:rsidRPr="00306CFC">
        <w:rPr>
          <w:rFonts w:asciiTheme="minorHAnsi" w:eastAsiaTheme="minorHAnsi" w:hAnsiTheme="minorHAnsi" w:cstheme="minorHAnsi"/>
          <w:color w:val="000000" w:themeColor="text1"/>
          <w:sz w:val="22"/>
          <w:szCs w:val="22"/>
        </w:rPr>
        <w:t>similar to</w:t>
      </w:r>
      <w:proofErr w:type="gramEnd"/>
      <w:r w:rsidRPr="00306CFC">
        <w:rPr>
          <w:rFonts w:asciiTheme="minorHAnsi" w:eastAsiaTheme="minorHAnsi" w:hAnsiTheme="minorHAnsi" w:cstheme="minorHAnsi"/>
          <w:color w:val="000000" w:themeColor="text1"/>
          <w:sz w:val="22"/>
          <w:szCs w:val="22"/>
        </w:rPr>
        <w:t xml:space="preserve"> the actual average remediation cost per cubic meter (US$ 25.95) found for the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However, these costs may not be directly comparable because, for other such projects, there has been a broad range of average remediation costs, varying from US$ 2 to US$ 225/m3, with an average varying from less than US$ 24 to about US$ 225 per cubic meter, </w:t>
      </w:r>
      <w:proofErr w:type="gramStart"/>
      <w:r w:rsidRPr="00306CFC">
        <w:rPr>
          <w:rFonts w:asciiTheme="minorHAnsi" w:eastAsiaTheme="minorHAnsi" w:hAnsiTheme="minorHAnsi" w:cstheme="minorHAnsi"/>
          <w:color w:val="000000" w:themeColor="text1"/>
          <w:sz w:val="22"/>
          <w:szCs w:val="22"/>
        </w:rPr>
        <w:t>according to</w:t>
      </w:r>
      <w:proofErr w:type="gramEnd"/>
      <w:r w:rsidRPr="00306CFC">
        <w:rPr>
          <w:rFonts w:asciiTheme="minorHAnsi" w:eastAsiaTheme="minorHAnsi" w:hAnsiTheme="minorHAnsi" w:cstheme="minorHAnsi"/>
          <w:color w:val="000000" w:themeColor="text1"/>
          <w:sz w:val="22"/>
          <w:szCs w:val="22"/>
        </w:rPr>
        <w:t xml:space="preserve"> the same source. This very wide range of average costs is attributed to economies of scale achieved in large clean-up projects together with the varying nature of national regulations.  This notwithstanding, the average remediation costs for both the Kyrgyz and Argentine projects supported by the Bank fall at the lower end of the range.</w:t>
      </w:r>
    </w:p>
    <w:p w14:paraId="383D840F" w14:textId="77777777" w:rsidR="00165BDE" w:rsidRPr="00306CFC" w:rsidRDefault="00165BDE" w:rsidP="00165BDE">
      <w:pPr>
        <w:pStyle w:val="ListParagraph"/>
        <w:spacing w:line="276" w:lineRule="auto"/>
        <w:ind w:left="360"/>
        <w:jc w:val="both"/>
        <w:rPr>
          <w:rFonts w:eastAsiaTheme="minorHAnsi" w:cstheme="minorHAnsi"/>
          <w:b w:val="0"/>
          <w:color w:val="000000" w:themeColor="text1"/>
          <w:szCs w:val="22"/>
        </w:rPr>
      </w:pPr>
    </w:p>
    <w:p w14:paraId="2AFFFD2E" w14:textId="77777777" w:rsidR="00165BDE" w:rsidRPr="00306CFC" w:rsidRDefault="002C3F71" w:rsidP="00165BDE">
      <w:pPr>
        <w:spacing w:line="276" w:lineRule="auto"/>
        <w:ind w:left="90"/>
        <w:jc w:val="both"/>
        <w:rPr>
          <w:rFonts w:asciiTheme="minorHAnsi" w:eastAsiaTheme="minorHAnsi" w:hAnsiTheme="minorHAnsi" w:cstheme="minorHAnsi"/>
          <w:color w:val="000000" w:themeColor="text1"/>
          <w:sz w:val="22"/>
          <w:szCs w:val="22"/>
        </w:rPr>
      </w:pPr>
      <w:r w:rsidRPr="00306CFC">
        <w:rPr>
          <w:rFonts w:asciiTheme="minorHAnsi" w:eastAsiaTheme="minorHAnsi" w:hAnsiTheme="minorHAnsi" w:cstheme="minorHAnsi"/>
          <w:color w:val="000000" w:themeColor="text1"/>
          <w:sz w:val="22"/>
          <w:szCs w:val="22"/>
        </w:rPr>
        <w:t xml:space="preserve">On the other hand, it is also important to </w:t>
      </w:r>
      <w:proofErr w:type="gramStart"/>
      <w:r w:rsidRPr="00306CFC">
        <w:rPr>
          <w:rFonts w:asciiTheme="minorHAnsi" w:eastAsiaTheme="minorHAnsi" w:hAnsiTheme="minorHAnsi" w:cstheme="minorHAnsi"/>
          <w:color w:val="000000" w:themeColor="text1"/>
          <w:sz w:val="22"/>
          <w:szCs w:val="22"/>
        </w:rPr>
        <w:t>take into account</w:t>
      </w:r>
      <w:proofErr w:type="gramEnd"/>
      <w:r w:rsidRPr="00306CFC">
        <w:rPr>
          <w:rFonts w:asciiTheme="minorHAnsi" w:eastAsiaTheme="minorHAnsi" w:hAnsiTheme="minorHAnsi" w:cstheme="minorHAnsi"/>
          <w:color w:val="000000" w:themeColor="text1"/>
          <w:sz w:val="22"/>
          <w:szCs w:val="22"/>
        </w:rPr>
        <w:t xml:space="preserve"> that, project implementation took much longer than anticipated and, as a result, the closing date had to be extended </w:t>
      </w:r>
      <w:r w:rsidR="00737F62" w:rsidRPr="00306CFC">
        <w:rPr>
          <w:rFonts w:asciiTheme="minorHAnsi" w:eastAsiaTheme="minorHAnsi" w:hAnsiTheme="minorHAnsi" w:cstheme="minorHAnsi"/>
          <w:color w:val="000000" w:themeColor="text1"/>
          <w:sz w:val="22"/>
          <w:szCs w:val="22"/>
        </w:rPr>
        <w:t>four</w:t>
      </w:r>
      <w:r w:rsidRPr="00306CFC">
        <w:rPr>
          <w:rFonts w:asciiTheme="minorHAnsi" w:eastAsiaTheme="minorHAnsi" w:hAnsiTheme="minorHAnsi" w:cstheme="minorHAnsi"/>
          <w:color w:val="000000" w:themeColor="text1"/>
          <w:sz w:val="22"/>
          <w:szCs w:val="22"/>
        </w:rPr>
        <w:t xml:space="preserve"> times for a total of 43 months. (from November 2013 to June 2017).  This was due in part to the 21-month loan effectiveness delay and partly to chronic delays in the receipt of Government counterpart funds.  However, there are also indications of inefficiencies on the part of the contractor selected to implement the civil works at the </w:t>
      </w:r>
      <w:proofErr w:type="spellStart"/>
      <w:r w:rsidR="00E52891" w:rsidRPr="00306CFC">
        <w:rPr>
          <w:rFonts w:asciiTheme="minorHAnsi" w:eastAsiaTheme="minorHAnsi" w:hAnsiTheme="minorHAnsi" w:cstheme="minorHAnsi"/>
          <w:color w:val="000000" w:themeColor="text1"/>
          <w:sz w:val="22"/>
          <w:szCs w:val="22"/>
        </w:rPr>
        <w:t>Malargüe</w:t>
      </w:r>
      <w:proofErr w:type="spellEnd"/>
      <w:r w:rsidRPr="00306CFC">
        <w:rPr>
          <w:rFonts w:asciiTheme="minorHAnsi" w:eastAsiaTheme="minorHAnsi" w:hAnsiTheme="minorHAnsi" w:cstheme="minorHAnsi"/>
          <w:color w:val="000000" w:themeColor="text1"/>
          <w:sz w:val="22"/>
          <w:szCs w:val="22"/>
        </w:rPr>
        <w:t xml:space="preserve"> site, including construction of the park, as well as for the final deployment of the project’s Environmental Monitoring System Management Tool (SIGA).  For these reasons, overall project Efficiency is rated Modest.</w:t>
      </w:r>
    </w:p>
    <w:p w14:paraId="39A09D5C" w14:textId="77777777" w:rsidR="006A6699" w:rsidRPr="00306CFC" w:rsidRDefault="006A6699" w:rsidP="00165BDE">
      <w:pPr>
        <w:pStyle w:val="Normal206"/>
        <w:ind w:left="-630"/>
        <w:rPr>
          <w:rFonts w:asciiTheme="minorHAnsi" w:hAnsiTheme="minorHAnsi" w:cstheme="minorHAnsi"/>
          <w:bCs/>
          <w:color w:val="7F7F7F" w:themeColor="text1" w:themeTint="80"/>
          <w:sz w:val="22"/>
          <w:szCs w:val="22"/>
        </w:rPr>
      </w:pPr>
    </w:p>
    <w:p w14:paraId="61C1AF7B" w14:textId="77777777" w:rsidR="00FB0BC4" w:rsidRDefault="002C3F71">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E63776" w14:paraId="6DE30DC6" w14:textId="77777777" w:rsidTr="001D102A">
        <w:trPr>
          <w:trHeight w:val="432"/>
        </w:trPr>
        <w:tc>
          <w:tcPr>
            <w:tcW w:w="10903" w:type="dxa"/>
            <w:shd w:val="clear" w:color="auto" w:fill="F2F7FC"/>
            <w:vAlign w:val="center"/>
          </w:tcPr>
          <w:p w14:paraId="5E75F273" w14:textId="77777777" w:rsidR="001B785D" w:rsidRPr="00D90F20" w:rsidRDefault="002C3F71" w:rsidP="002E2BBF">
            <w:pPr>
              <w:pStyle w:val="NoSpacing"/>
              <w:jc w:val="center"/>
              <w:outlineLvl w:val="0"/>
              <w:rPr>
                <w:rFonts w:asciiTheme="minorHAnsi" w:hAnsiTheme="minorHAnsi"/>
                <w:b/>
                <w:sz w:val="22"/>
                <w:szCs w:val="22"/>
              </w:rPr>
            </w:pPr>
            <w:bookmarkStart w:id="98" w:name="_Toc256000036"/>
            <w:bookmarkStart w:id="99" w:name="_Toc485984564"/>
            <w:bookmarkStart w:id="100" w:name="_Toc502164482"/>
            <w:r w:rsidRPr="001B785D">
              <w:rPr>
                <w:rFonts w:asciiTheme="minorHAnsi" w:hAnsiTheme="minorHAnsi"/>
                <w:b/>
                <w:color w:val="000000" w:themeColor="text1"/>
                <w:sz w:val="22"/>
                <w:szCs w:val="22"/>
              </w:rPr>
              <w:t>ANNEX 5. BORROWER, CO-FINANCIER AND OTHER PARTNER/STAKEHOLDER COMMENTS</w:t>
            </w:r>
            <w:bookmarkEnd w:id="98"/>
            <w:bookmarkEnd w:id="99"/>
            <w:bookmarkEnd w:id="100"/>
          </w:p>
        </w:tc>
      </w:tr>
    </w:tbl>
    <w:p w14:paraId="3A9469A1" w14:textId="77777777" w:rsidR="00A975F6" w:rsidRPr="00320C2B" w:rsidRDefault="00A975F6" w:rsidP="00A975F6">
      <w:pPr>
        <w:ind w:left="-630"/>
        <w:jc w:val="center"/>
        <w:rPr>
          <w:rFonts w:asciiTheme="minorHAnsi" w:hAnsiTheme="minorHAnsi"/>
          <w:bCs/>
          <w:color w:val="7F7F7F" w:themeColor="text1" w:themeTint="80"/>
          <w:sz w:val="22"/>
          <w:szCs w:val="22"/>
        </w:rPr>
      </w:pPr>
    </w:p>
    <w:p w14:paraId="6AA51356" w14:textId="77777777" w:rsidR="00A975F6" w:rsidRPr="00320C2B" w:rsidRDefault="00A975F6" w:rsidP="00A975F6">
      <w:pPr>
        <w:ind w:left="-630"/>
        <w:jc w:val="center"/>
        <w:rPr>
          <w:rFonts w:asciiTheme="minorHAnsi" w:hAnsiTheme="minorHAnsi"/>
          <w:bCs/>
          <w:color w:val="7F7F7F" w:themeColor="text1" w:themeTint="80"/>
          <w:sz w:val="22"/>
          <w:szCs w:val="22"/>
        </w:rPr>
      </w:pPr>
    </w:p>
    <w:p w14:paraId="59E3BFE1" w14:textId="77777777" w:rsidR="00A975F6" w:rsidRPr="00320C2B" w:rsidRDefault="00A975F6" w:rsidP="00A975F6">
      <w:pPr>
        <w:ind w:left="-630"/>
        <w:jc w:val="center"/>
        <w:rPr>
          <w:rFonts w:asciiTheme="minorHAnsi" w:hAnsiTheme="minorHAnsi"/>
          <w:bCs/>
          <w:color w:val="7F7F7F" w:themeColor="text1" w:themeTint="80"/>
          <w:sz w:val="22"/>
          <w:szCs w:val="22"/>
        </w:rPr>
      </w:pPr>
    </w:p>
    <w:p w14:paraId="1144FB53" w14:textId="77777777" w:rsidR="00A975F6" w:rsidRPr="004A23B3" w:rsidRDefault="002C3F71" w:rsidP="00A975F6">
      <w:pPr>
        <w:ind w:left="-630"/>
        <w:jc w:val="center"/>
        <w:rPr>
          <w:rFonts w:asciiTheme="minorHAnsi" w:hAnsiTheme="minorHAnsi"/>
          <w:b/>
          <w:bCs/>
          <w:color w:val="auto"/>
          <w:sz w:val="22"/>
          <w:szCs w:val="22"/>
        </w:rPr>
      </w:pPr>
      <w:r w:rsidRPr="004A23B3">
        <w:rPr>
          <w:rFonts w:asciiTheme="minorHAnsi" w:hAnsiTheme="minorHAnsi"/>
          <w:b/>
          <w:bCs/>
          <w:color w:val="auto"/>
          <w:sz w:val="22"/>
          <w:szCs w:val="22"/>
        </w:rPr>
        <w:t>Summary of the Clients ICR</w:t>
      </w:r>
    </w:p>
    <w:p w14:paraId="1E6A57CD" w14:textId="77777777" w:rsidR="00A975F6" w:rsidRPr="004A23B3" w:rsidRDefault="00A975F6" w:rsidP="00A975F6">
      <w:pPr>
        <w:ind w:left="-630"/>
        <w:jc w:val="center"/>
        <w:rPr>
          <w:rFonts w:asciiTheme="minorHAnsi" w:hAnsiTheme="minorHAnsi"/>
          <w:bCs/>
          <w:color w:val="auto"/>
          <w:sz w:val="22"/>
          <w:szCs w:val="22"/>
        </w:rPr>
      </w:pPr>
    </w:p>
    <w:p w14:paraId="70B7133C" w14:textId="77777777" w:rsidR="004A23B3" w:rsidRPr="004A23B3" w:rsidRDefault="004A23B3" w:rsidP="004A23B3">
      <w:pPr>
        <w:ind w:left="-630"/>
        <w:rPr>
          <w:rFonts w:asciiTheme="minorHAnsi" w:hAnsiTheme="minorHAnsi"/>
          <w:bCs/>
          <w:color w:val="auto"/>
          <w:sz w:val="22"/>
          <w:szCs w:val="22"/>
        </w:rPr>
      </w:pPr>
    </w:p>
    <w:p w14:paraId="3A69D4BE" w14:textId="77777777" w:rsidR="004A23B3" w:rsidRPr="004A23B3" w:rsidRDefault="002C3F71" w:rsidP="004A23B3">
      <w:pPr>
        <w:ind w:left="-630"/>
        <w:rPr>
          <w:rFonts w:asciiTheme="minorHAnsi" w:hAnsiTheme="minorHAnsi"/>
          <w:bCs/>
          <w:color w:val="auto"/>
          <w:sz w:val="22"/>
          <w:szCs w:val="22"/>
        </w:rPr>
      </w:pPr>
      <w:r w:rsidRPr="004A23B3">
        <w:rPr>
          <w:rFonts w:asciiTheme="minorHAnsi" w:hAnsiTheme="minorHAnsi"/>
          <w:bCs/>
          <w:color w:val="auto"/>
          <w:sz w:val="22"/>
          <w:szCs w:val="22"/>
        </w:rPr>
        <w:t xml:space="preserve">The PRAMU project has as an objective the strengthening of the </w:t>
      </w:r>
      <w:r w:rsidR="00F35D95" w:rsidRPr="004A23B3">
        <w:rPr>
          <w:rFonts w:asciiTheme="minorHAnsi" w:hAnsiTheme="minorHAnsi"/>
          <w:bCs/>
          <w:color w:val="auto"/>
          <w:sz w:val="22"/>
          <w:szCs w:val="22"/>
        </w:rPr>
        <w:t>capacity</w:t>
      </w:r>
      <w:r w:rsidRPr="004A23B3">
        <w:rPr>
          <w:rFonts w:asciiTheme="minorHAnsi" w:hAnsiTheme="minorHAnsi"/>
          <w:bCs/>
          <w:color w:val="auto"/>
          <w:sz w:val="22"/>
          <w:szCs w:val="22"/>
        </w:rPr>
        <w:t xml:space="preserve"> of CNEA to undertake the </w:t>
      </w:r>
      <w:r w:rsidR="00F35D95" w:rsidRPr="004A23B3">
        <w:rPr>
          <w:rFonts w:asciiTheme="minorHAnsi" w:hAnsiTheme="minorHAnsi"/>
          <w:bCs/>
          <w:color w:val="auto"/>
          <w:sz w:val="22"/>
          <w:szCs w:val="22"/>
        </w:rPr>
        <w:t>remediation</w:t>
      </w:r>
      <w:r w:rsidRPr="004A23B3">
        <w:rPr>
          <w:rFonts w:asciiTheme="minorHAnsi" w:hAnsiTheme="minorHAnsi"/>
          <w:bCs/>
          <w:color w:val="auto"/>
          <w:sz w:val="22"/>
          <w:szCs w:val="22"/>
        </w:rPr>
        <w:t xml:space="preserve"> of mines, millings and mining complexes and legacies through technically sound and acceptable procedures.   The following are the key attained objectives</w:t>
      </w:r>
      <w:proofErr w:type="gramStart"/>
      <w:r w:rsidRPr="004A23B3">
        <w:rPr>
          <w:rFonts w:asciiTheme="minorHAnsi" w:hAnsiTheme="minorHAnsi"/>
          <w:bCs/>
          <w:color w:val="auto"/>
          <w:sz w:val="22"/>
          <w:szCs w:val="22"/>
        </w:rPr>
        <w:t>:  (</w:t>
      </w:r>
      <w:proofErr w:type="gramEnd"/>
      <w:r w:rsidRPr="004A23B3">
        <w:rPr>
          <w:rFonts w:asciiTheme="minorHAnsi" w:hAnsiTheme="minorHAnsi"/>
          <w:bCs/>
          <w:color w:val="auto"/>
          <w:sz w:val="22"/>
          <w:szCs w:val="22"/>
        </w:rPr>
        <w:t xml:space="preserve">i) through component 1, the works and encapsulation had contributed in containing dispersion of materials and exposure of pollutants while substantially improving environmental aspects for the city or </w:t>
      </w:r>
      <w:proofErr w:type="spellStart"/>
      <w:r w:rsidRPr="004A23B3">
        <w:rPr>
          <w:rFonts w:asciiTheme="minorHAnsi" w:hAnsiTheme="minorHAnsi"/>
          <w:bCs/>
          <w:color w:val="auto"/>
          <w:sz w:val="22"/>
          <w:szCs w:val="22"/>
        </w:rPr>
        <w:t>Malargüe</w:t>
      </w:r>
      <w:proofErr w:type="spellEnd"/>
      <w:r w:rsidRPr="004A23B3">
        <w:rPr>
          <w:rFonts w:asciiTheme="minorHAnsi" w:hAnsiTheme="minorHAnsi"/>
          <w:bCs/>
          <w:color w:val="auto"/>
          <w:sz w:val="22"/>
          <w:szCs w:val="22"/>
        </w:rPr>
        <w:t xml:space="preserve">.  In addition, this component financed the green space Park “El Mirador” which was developed in a </w:t>
      </w:r>
      <w:proofErr w:type="gramStart"/>
      <w:r w:rsidRPr="004A23B3">
        <w:rPr>
          <w:rFonts w:asciiTheme="minorHAnsi" w:hAnsiTheme="minorHAnsi"/>
          <w:bCs/>
          <w:color w:val="auto"/>
          <w:sz w:val="22"/>
          <w:szCs w:val="22"/>
        </w:rPr>
        <w:t>7 ha</w:t>
      </w:r>
      <w:proofErr w:type="gramEnd"/>
      <w:r w:rsidRPr="004A23B3">
        <w:rPr>
          <w:rFonts w:asciiTheme="minorHAnsi" w:hAnsiTheme="minorHAnsi"/>
          <w:bCs/>
          <w:color w:val="auto"/>
          <w:sz w:val="22"/>
          <w:szCs w:val="22"/>
        </w:rPr>
        <w:t xml:space="preserve"> space for the community of </w:t>
      </w:r>
      <w:proofErr w:type="spellStart"/>
      <w:r w:rsidRPr="004A23B3">
        <w:rPr>
          <w:rFonts w:asciiTheme="minorHAnsi" w:hAnsiTheme="minorHAnsi"/>
          <w:bCs/>
          <w:color w:val="auto"/>
          <w:sz w:val="22"/>
          <w:szCs w:val="22"/>
        </w:rPr>
        <w:t>Malargüe</w:t>
      </w:r>
      <w:proofErr w:type="spellEnd"/>
      <w:r w:rsidRPr="004A23B3">
        <w:rPr>
          <w:rFonts w:asciiTheme="minorHAnsi" w:hAnsiTheme="minorHAnsi"/>
          <w:bCs/>
          <w:color w:val="auto"/>
          <w:sz w:val="22"/>
          <w:szCs w:val="22"/>
        </w:rPr>
        <w:t xml:space="preserve">.  </w:t>
      </w:r>
    </w:p>
    <w:p w14:paraId="09133EE4" w14:textId="77777777" w:rsidR="004A23B3" w:rsidRPr="004A23B3" w:rsidRDefault="004A23B3" w:rsidP="004A23B3">
      <w:pPr>
        <w:ind w:left="-630"/>
        <w:rPr>
          <w:rFonts w:asciiTheme="minorHAnsi" w:hAnsiTheme="minorHAnsi"/>
          <w:bCs/>
          <w:color w:val="auto"/>
          <w:sz w:val="22"/>
          <w:szCs w:val="22"/>
        </w:rPr>
      </w:pPr>
    </w:p>
    <w:p w14:paraId="42605757" w14:textId="77777777" w:rsidR="004A23B3" w:rsidRPr="004A23B3" w:rsidRDefault="002C3F71" w:rsidP="004A23B3">
      <w:pPr>
        <w:ind w:left="-630"/>
        <w:rPr>
          <w:rFonts w:asciiTheme="minorHAnsi" w:hAnsiTheme="minorHAnsi"/>
          <w:bCs/>
          <w:color w:val="auto"/>
          <w:sz w:val="22"/>
          <w:szCs w:val="22"/>
        </w:rPr>
      </w:pPr>
      <w:r w:rsidRPr="004A23B3">
        <w:rPr>
          <w:rFonts w:asciiTheme="minorHAnsi" w:hAnsiTheme="minorHAnsi"/>
          <w:bCs/>
          <w:color w:val="auto"/>
          <w:sz w:val="22"/>
          <w:szCs w:val="22"/>
        </w:rPr>
        <w:t xml:space="preserve">Component II, developed the characterization studies of environmental legacies of all other mining/milling sites, completed engineering studies for the remediation of Los </w:t>
      </w:r>
      <w:proofErr w:type="spellStart"/>
      <w:r w:rsidRPr="004A23B3">
        <w:rPr>
          <w:rFonts w:asciiTheme="minorHAnsi" w:hAnsiTheme="minorHAnsi"/>
          <w:bCs/>
          <w:color w:val="auto"/>
          <w:sz w:val="22"/>
          <w:szCs w:val="22"/>
        </w:rPr>
        <w:t>Gigantes</w:t>
      </w:r>
      <w:proofErr w:type="spellEnd"/>
      <w:r w:rsidRPr="004A23B3">
        <w:rPr>
          <w:rFonts w:asciiTheme="minorHAnsi" w:hAnsiTheme="minorHAnsi"/>
          <w:bCs/>
          <w:color w:val="auto"/>
          <w:sz w:val="22"/>
          <w:szCs w:val="22"/>
        </w:rPr>
        <w:t xml:space="preserve"> and El </w:t>
      </w:r>
      <w:proofErr w:type="spellStart"/>
      <w:r w:rsidRPr="004A23B3">
        <w:rPr>
          <w:rFonts w:asciiTheme="minorHAnsi" w:hAnsiTheme="minorHAnsi"/>
          <w:bCs/>
          <w:color w:val="auto"/>
          <w:sz w:val="22"/>
          <w:szCs w:val="22"/>
        </w:rPr>
        <w:t>Chichon</w:t>
      </w:r>
      <w:proofErr w:type="spellEnd"/>
      <w:r w:rsidRPr="004A23B3">
        <w:rPr>
          <w:rFonts w:asciiTheme="minorHAnsi" w:hAnsiTheme="minorHAnsi"/>
          <w:bCs/>
          <w:color w:val="auto"/>
          <w:sz w:val="22"/>
          <w:szCs w:val="22"/>
        </w:rPr>
        <w:t xml:space="preserve"> in Cordoba, the seismic and public perception studies.   Overall the local and provincial teams have enhanced their technical capacity through specific workshops and training.  </w:t>
      </w:r>
      <w:proofErr w:type="gramStart"/>
      <w:r w:rsidRPr="004A23B3">
        <w:rPr>
          <w:rFonts w:asciiTheme="minorHAnsi" w:hAnsiTheme="minorHAnsi"/>
          <w:bCs/>
          <w:color w:val="auto"/>
          <w:sz w:val="22"/>
          <w:szCs w:val="22"/>
        </w:rPr>
        <w:t>In spite of</w:t>
      </w:r>
      <w:proofErr w:type="gramEnd"/>
      <w:r w:rsidRPr="004A23B3">
        <w:rPr>
          <w:rFonts w:asciiTheme="minorHAnsi" w:hAnsiTheme="minorHAnsi"/>
          <w:bCs/>
          <w:color w:val="auto"/>
          <w:sz w:val="22"/>
          <w:szCs w:val="22"/>
        </w:rPr>
        <w:t xml:space="preserve"> great difficulties, CNEA Labs now have the equipment and infrastructure to position it among the best in the region and internationally.  This has enabled the Labs to minimize precious time in the processing and analysis of data, and stop relying on external laboratories for this important task.  In addition, the PRAMU project developed the SIGA monitoring system which allows CNEA and provincial governments to monitor key environmental parameters in real time.  Lastly, Component III helped to consolidate the operational and administrative capacities of the GP.  </w:t>
      </w:r>
    </w:p>
    <w:p w14:paraId="05038C63" w14:textId="77777777" w:rsidR="004A23B3" w:rsidRPr="004A23B3" w:rsidRDefault="004A23B3" w:rsidP="004A23B3">
      <w:pPr>
        <w:ind w:left="-630"/>
        <w:rPr>
          <w:rFonts w:asciiTheme="minorHAnsi" w:hAnsiTheme="minorHAnsi"/>
          <w:bCs/>
          <w:color w:val="auto"/>
          <w:sz w:val="22"/>
          <w:szCs w:val="22"/>
        </w:rPr>
      </w:pPr>
    </w:p>
    <w:p w14:paraId="742D5507" w14:textId="77777777" w:rsidR="004A23B3" w:rsidRPr="004A23B3" w:rsidRDefault="002C3F71" w:rsidP="004A23B3">
      <w:pPr>
        <w:ind w:left="-630"/>
        <w:rPr>
          <w:rFonts w:asciiTheme="minorHAnsi" w:hAnsiTheme="minorHAnsi"/>
          <w:bCs/>
          <w:color w:val="auto"/>
          <w:sz w:val="22"/>
          <w:szCs w:val="22"/>
        </w:rPr>
      </w:pPr>
      <w:r w:rsidRPr="004A23B3">
        <w:rPr>
          <w:rFonts w:asciiTheme="minorHAnsi" w:hAnsiTheme="minorHAnsi"/>
          <w:bCs/>
          <w:color w:val="auto"/>
          <w:sz w:val="22"/>
          <w:szCs w:val="22"/>
        </w:rPr>
        <w:t xml:space="preserve">Some </w:t>
      </w:r>
      <w:r w:rsidRPr="004A23B3">
        <w:rPr>
          <w:rFonts w:asciiTheme="minorHAnsi" w:hAnsiTheme="minorHAnsi"/>
          <w:b/>
          <w:bCs/>
          <w:color w:val="auto"/>
          <w:sz w:val="22"/>
          <w:szCs w:val="22"/>
        </w:rPr>
        <w:t>lessons learned</w:t>
      </w:r>
      <w:r w:rsidRPr="004A23B3">
        <w:rPr>
          <w:rFonts w:asciiTheme="minorHAnsi" w:hAnsiTheme="minorHAnsi"/>
          <w:bCs/>
          <w:color w:val="auto"/>
          <w:sz w:val="22"/>
          <w:szCs w:val="22"/>
        </w:rPr>
        <w:t xml:space="preserve"> include: (i) the PRAMU has developed the necessary expertise for the planning, contracting, and execution of remediation works; (ii) a work methodology for the control of works according to the need has to be developed for future remediation of works; (iii)  the participation of local authorities and representatives of organisms directly or indirectly related to the project have to be contemplated; (iv)  there should be the capacity, commitment and willingness to solve challenges during the development of the works; (v) with regards to consultancy contracts, the identification of the expected products and its definition in the TORs has to be dimensioned; (vi) it is very important for the technical team at PRAMU and the procurement specialist/administrative staff to work together.  </w:t>
      </w:r>
    </w:p>
    <w:p w14:paraId="0A23EE0C" w14:textId="77777777" w:rsidR="004A23B3" w:rsidRPr="004A23B3" w:rsidRDefault="004A23B3" w:rsidP="00F35D95">
      <w:pPr>
        <w:ind w:left="-630"/>
        <w:rPr>
          <w:rFonts w:asciiTheme="minorHAnsi" w:hAnsiTheme="minorHAnsi"/>
          <w:bCs/>
          <w:color w:val="auto"/>
          <w:sz w:val="22"/>
          <w:szCs w:val="22"/>
        </w:rPr>
      </w:pPr>
    </w:p>
    <w:p w14:paraId="1F70099E" w14:textId="77777777" w:rsidR="004A23B3" w:rsidRDefault="002C3F71" w:rsidP="004A23B3">
      <w:pPr>
        <w:ind w:left="-630"/>
        <w:rPr>
          <w:rFonts w:asciiTheme="minorHAnsi" w:hAnsiTheme="minorHAnsi"/>
          <w:bCs/>
          <w:color w:val="auto"/>
          <w:sz w:val="22"/>
          <w:szCs w:val="22"/>
        </w:rPr>
      </w:pPr>
      <w:r w:rsidRPr="004A23B3">
        <w:rPr>
          <w:rFonts w:asciiTheme="minorHAnsi" w:hAnsiTheme="minorHAnsi"/>
          <w:b/>
          <w:bCs/>
          <w:color w:val="auto"/>
          <w:sz w:val="22"/>
          <w:szCs w:val="22"/>
        </w:rPr>
        <w:t>Bank’s Performance</w:t>
      </w:r>
      <w:r w:rsidRPr="004A23B3">
        <w:rPr>
          <w:rFonts w:asciiTheme="minorHAnsi" w:hAnsiTheme="minorHAnsi"/>
          <w:bCs/>
          <w:color w:val="auto"/>
          <w:sz w:val="22"/>
          <w:szCs w:val="22"/>
        </w:rPr>
        <w:t xml:space="preserve">:  In general terms, the Bank has joined the execution of the project in a satisfactory manner. In particular, the technical specialists of the Argentina Office </w:t>
      </w:r>
      <w:proofErr w:type="gramStart"/>
      <w:r w:rsidRPr="004A23B3">
        <w:rPr>
          <w:rFonts w:asciiTheme="minorHAnsi" w:hAnsiTheme="minorHAnsi"/>
          <w:bCs/>
          <w:color w:val="auto"/>
          <w:sz w:val="22"/>
          <w:szCs w:val="22"/>
        </w:rPr>
        <w:t>has</w:t>
      </w:r>
      <w:proofErr w:type="gramEnd"/>
      <w:r w:rsidRPr="004A23B3">
        <w:rPr>
          <w:rFonts w:asciiTheme="minorHAnsi" w:hAnsiTheme="minorHAnsi"/>
          <w:bCs/>
          <w:color w:val="auto"/>
          <w:sz w:val="22"/>
          <w:szCs w:val="22"/>
        </w:rPr>
        <w:t xml:space="preserve"> assisted in seeking alternatives that would be acceptable to the Bank in relation to the weaknesses in the context of the country.  Likewise, the Bank has contributed in strengthening the human resources of the PRAMU in the applicability of its methodologies and institutional norms.  </w:t>
      </w:r>
    </w:p>
    <w:p w14:paraId="282DC246" w14:textId="77777777" w:rsidR="004A23B3" w:rsidRDefault="004A23B3" w:rsidP="004A23B3">
      <w:pPr>
        <w:ind w:left="-630"/>
        <w:rPr>
          <w:rFonts w:asciiTheme="minorHAnsi" w:hAnsiTheme="minorHAnsi"/>
          <w:bCs/>
          <w:color w:val="auto"/>
          <w:sz w:val="22"/>
          <w:szCs w:val="22"/>
        </w:rPr>
      </w:pPr>
    </w:p>
    <w:p w14:paraId="7E82C307" w14:textId="77777777" w:rsidR="004A23B3" w:rsidRDefault="004A23B3" w:rsidP="004A23B3">
      <w:pPr>
        <w:ind w:left="-630"/>
        <w:rPr>
          <w:rFonts w:asciiTheme="minorHAnsi" w:hAnsiTheme="minorHAnsi"/>
          <w:bCs/>
          <w:color w:val="auto"/>
          <w:sz w:val="22"/>
          <w:szCs w:val="22"/>
        </w:rPr>
      </w:pPr>
    </w:p>
    <w:p w14:paraId="7980EE4F" w14:textId="77777777" w:rsidR="004A23B3" w:rsidRDefault="004A23B3" w:rsidP="004A23B3">
      <w:pPr>
        <w:ind w:left="-630"/>
        <w:rPr>
          <w:rFonts w:asciiTheme="minorHAnsi" w:hAnsiTheme="minorHAnsi"/>
          <w:bCs/>
          <w:color w:val="auto"/>
          <w:sz w:val="22"/>
          <w:szCs w:val="22"/>
        </w:rPr>
      </w:pPr>
    </w:p>
    <w:p w14:paraId="624335D2" w14:textId="77777777" w:rsidR="004A23B3" w:rsidRDefault="004A23B3" w:rsidP="004A23B3">
      <w:pPr>
        <w:ind w:left="-630"/>
        <w:rPr>
          <w:rFonts w:asciiTheme="minorHAnsi" w:hAnsiTheme="minorHAnsi"/>
          <w:bCs/>
          <w:color w:val="auto"/>
          <w:sz w:val="22"/>
          <w:szCs w:val="22"/>
        </w:rPr>
      </w:pPr>
    </w:p>
    <w:p w14:paraId="4774B37F" w14:textId="77777777" w:rsidR="004A23B3" w:rsidRDefault="004A23B3" w:rsidP="004A23B3">
      <w:pPr>
        <w:ind w:left="-630"/>
        <w:rPr>
          <w:rFonts w:asciiTheme="minorHAnsi" w:hAnsiTheme="minorHAnsi"/>
          <w:bCs/>
          <w:color w:val="auto"/>
          <w:sz w:val="22"/>
          <w:szCs w:val="22"/>
        </w:rPr>
      </w:pPr>
    </w:p>
    <w:p w14:paraId="6316F2CA" w14:textId="77777777" w:rsidR="004A23B3" w:rsidRDefault="004A23B3" w:rsidP="004A23B3">
      <w:pPr>
        <w:ind w:left="-630"/>
        <w:rPr>
          <w:rFonts w:asciiTheme="minorHAnsi" w:hAnsiTheme="minorHAnsi"/>
          <w:bCs/>
          <w:color w:val="auto"/>
          <w:sz w:val="22"/>
          <w:szCs w:val="22"/>
        </w:rPr>
      </w:pPr>
    </w:p>
    <w:p w14:paraId="026D1F8E" w14:textId="77777777" w:rsidR="004A23B3" w:rsidRDefault="002C3F71" w:rsidP="004A23B3">
      <w:pPr>
        <w:ind w:left="-630"/>
        <w:rPr>
          <w:rFonts w:asciiTheme="minorHAnsi" w:hAnsiTheme="minorHAnsi"/>
          <w:bCs/>
          <w:color w:val="auto"/>
          <w:sz w:val="22"/>
          <w:szCs w:val="22"/>
        </w:rPr>
      </w:pPr>
      <w:r>
        <w:rPr>
          <w:noProof/>
        </w:rPr>
        <w:drawing>
          <wp:inline distT="0" distB="0" distL="0" distR="0" wp14:anchorId="4EC51A09" wp14:editId="7A84B0CB">
            <wp:extent cx="5943600" cy="14255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07516" name=""/>
                    <pic:cNvPicPr/>
                  </pic:nvPicPr>
                  <pic:blipFill>
                    <a:blip r:embed="rId20"/>
                    <a:stretch>
                      <a:fillRect/>
                    </a:stretch>
                  </pic:blipFill>
                  <pic:spPr>
                    <a:xfrm>
                      <a:off x="0" y="0"/>
                      <a:ext cx="5943600" cy="1425575"/>
                    </a:xfrm>
                    <a:prstGeom prst="rect">
                      <a:avLst/>
                    </a:prstGeom>
                  </pic:spPr>
                </pic:pic>
              </a:graphicData>
            </a:graphic>
          </wp:inline>
        </w:drawing>
      </w:r>
    </w:p>
    <w:p w14:paraId="2F603AD7" w14:textId="77777777" w:rsidR="004A23B3" w:rsidRDefault="004A23B3" w:rsidP="004A23B3">
      <w:pPr>
        <w:ind w:left="-630"/>
        <w:rPr>
          <w:rFonts w:asciiTheme="minorHAnsi" w:hAnsiTheme="minorHAnsi"/>
          <w:bCs/>
          <w:color w:val="auto"/>
          <w:sz w:val="22"/>
          <w:szCs w:val="22"/>
        </w:rPr>
      </w:pPr>
    </w:p>
    <w:p w14:paraId="19BE230D" w14:textId="77777777" w:rsidR="004A23B3" w:rsidRDefault="004A23B3" w:rsidP="004A23B3">
      <w:pPr>
        <w:ind w:left="-630"/>
        <w:rPr>
          <w:rFonts w:asciiTheme="minorHAnsi" w:hAnsiTheme="minorHAnsi"/>
          <w:bCs/>
          <w:color w:val="auto"/>
          <w:sz w:val="22"/>
          <w:szCs w:val="22"/>
        </w:rPr>
      </w:pPr>
    </w:p>
    <w:p w14:paraId="2E536524" w14:textId="77777777" w:rsidR="004A23B3" w:rsidRPr="004A23B3" w:rsidRDefault="004A23B3" w:rsidP="004A23B3">
      <w:pPr>
        <w:ind w:left="-630"/>
        <w:rPr>
          <w:rFonts w:asciiTheme="minorHAnsi" w:hAnsiTheme="minorHAnsi"/>
          <w:bCs/>
          <w:color w:val="auto"/>
          <w:sz w:val="22"/>
          <w:szCs w:val="22"/>
          <w:lang w:val="es-MX"/>
        </w:rPr>
      </w:pPr>
    </w:p>
    <w:p w14:paraId="505BF17D" w14:textId="77777777" w:rsidR="004A23B3" w:rsidRPr="00F35D95" w:rsidRDefault="002C3F71" w:rsidP="004A23B3">
      <w:pPr>
        <w:ind w:left="-630"/>
        <w:jc w:val="center"/>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INFORME FINAL DE EJECUCIÓN Y DE RESULTADOS (ICR)</w:t>
      </w:r>
    </w:p>
    <w:p w14:paraId="724C3953" w14:textId="77777777" w:rsidR="004A23B3" w:rsidRPr="00F35D95" w:rsidRDefault="004A23B3" w:rsidP="004A23B3">
      <w:pPr>
        <w:ind w:left="-630"/>
        <w:rPr>
          <w:rFonts w:ascii="Times New Roman" w:hAnsi="Times New Roman" w:cs="Times New Roman"/>
          <w:bCs/>
          <w:color w:val="7F7F7F" w:themeColor="text1" w:themeTint="80"/>
          <w:lang w:val="es-MX"/>
        </w:rPr>
      </w:pPr>
    </w:p>
    <w:p w14:paraId="71401B16" w14:textId="77777777" w:rsidR="004A23B3" w:rsidRPr="00F35D95" w:rsidRDefault="002C3F71" w:rsidP="004A23B3">
      <w:pPr>
        <w:ind w:left="-630"/>
        <w:jc w:val="center"/>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Resumen ejecutivo</w:t>
      </w:r>
    </w:p>
    <w:p w14:paraId="435C1799" w14:textId="77777777" w:rsidR="004A23B3" w:rsidRPr="00F35D95" w:rsidRDefault="004A23B3" w:rsidP="004A23B3">
      <w:pPr>
        <w:ind w:left="-630"/>
        <w:rPr>
          <w:rFonts w:ascii="Times New Roman" w:hAnsi="Times New Roman" w:cs="Times New Roman"/>
          <w:bCs/>
          <w:color w:val="7F7F7F" w:themeColor="text1" w:themeTint="80"/>
          <w:lang w:val="es-MX"/>
        </w:rPr>
      </w:pPr>
    </w:p>
    <w:p w14:paraId="3F02251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El proyecto PRAMU tuvo como objetivo fortalecer la capacidad de la CNEA para llevar a cabo la remediación de minas y complejos mineros fabril de uranio cerradas a través de la adopción de procesos, técnicamente sólidos y aceptables para el público y las autoridades regulatorias pertinentes.</w:t>
      </w:r>
    </w:p>
    <w:p w14:paraId="5056D640" w14:textId="77777777" w:rsidR="004A23B3" w:rsidRPr="00F35D95" w:rsidRDefault="004A23B3" w:rsidP="004A23B3">
      <w:pPr>
        <w:ind w:left="-630"/>
        <w:rPr>
          <w:rFonts w:ascii="Times New Roman" w:hAnsi="Times New Roman" w:cs="Times New Roman"/>
          <w:bCs/>
          <w:color w:val="7F7F7F" w:themeColor="text1" w:themeTint="80"/>
          <w:lang w:val="es-MX"/>
        </w:rPr>
      </w:pPr>
    </w:p>
    <w:p w14:paraId="2E6633B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Dicho proyecto forma parte del programa general de la CNEA destinado a restituir el legado de todas las explotaciones mineras de uranio, bajo responsabilidad del organismo.</w:t>
      </w:r>
    </w:p>
    <w:p w14:paraId="21DB8F03" w14:textId="77777777" w:rsidR="004A23B3" w:rsidRPr="00F35D95" w:rsidRDefault="004A23B3" w:rsidP="004A23B3">
      <w:pPr>
        <w:ind w:left="-630"/>
        <w:rPr>
          <w:rFonts w:ascii="Times New Roman" w:hAnsi="Times New Roman" w:cs="Times New Roman"/>
          <w:bCs/>
          <w:color w:val="7F7F7F" w:themeColor="text1" w:themeTint="80"/>
          <w:lang w:val="es-MX"/>
        </w:rPr>
      </w:pPr>
    </w:p>
    <w:p w14:paraId="7F0A2626" w14:textId="77777777" w:rsidR="004A23B3" w:rsidRPr="00F35D95" w:rsidRDefault="004A23B3" w:rsidP="004A23B3">
      <w:pPr>
        <w:ind w:left="-630"/>
        <w:rPr>
          <w:rFonts w:ascii="Times New Roman" w:hAnsi="Times New Roman" w:cs="Times New Roman"/>
          <w:bCs/>
          <w:color w:val="7F7F7F" w:themeColor="text1" w:themeTint="80"/>
          <w:lang w:val="es-MX"/>
        </w:rPr>
      </w:pPr>
    </w:p>
    <w:p w14:paraId="43668B9F"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Los objetivos del Proyecto fueron: </w:t>
      </w:r>
    </w:p>
    <w:p w14:paraId="50072A81" w14:textId="77777777" w:rsidR="004A23B3" w:rsidRPr="00F35D95" w:rsidRDefault="004A23B3" w:rsidP="004A23B3">
      <w:pPr>
        <w:ind w:left="-630"/>
        <w:rPr>
          <w:rFonts w:ascii="Times New Roman" w:hAnsi="Times New Roman" w:cs="Times New Roman"/>
          <w:bCs/>
          <w:color w:val="7F7F7F" w:themeColor="text1" w:themeTint="80"/>
          <w:lang w:val="es-MX"/>
        </w:rPr>
      </w:pPr>
    </w:p>
    <w:p w14:paraId="3DF6653D"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(a) fortalecer la capacidad del Gobierno de Argentina para evaluar y mitigar los riesgos ambientales asociados con las minas y complejos mineros fabriles cerrados de uranio, de acuerdo con las buenas prácticas internacionales; </w:t>
      </w:r>
    </w:p>
    <w:p w14:paraId="3096AEDA" w14:textId="77777777" w:rsidR="004A23B3" w:rsidRPr="00F35D95" w:rsidRDefault="004A23B3" w:rsidP="004A23B3">
      <w:pPr>
        <w:ind w:left="-630"/>
        <w:rPr>
          <w:rFonts w:ascii="Times New Roman" w:hAnsi="Times New Roman" w:cs="Times New Roman"/>
          <w:bCs/>
          <w:color w:val="7F7F7F" w:themeColor="text1" w:themeTint="80"/>
          <w:lang w:val="es-MX"/>
        </w:rPr>
      </w:pPr>
    </w:p>
    <w:p w14:paraId="1FBEA4EF"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(b) reducir el potencial impacto </w:t>
      </w:r>
      <w:proofErr w:type="gramStart"/>
      <w:r w:rsidRPr="00F35D95">
        <w:rPr>
          <w:rFonts w:ascii="Times New Roman" w:hAnsi="Times New Roman" w:cs="Times New Roman"/>
          <w:bCs/>
          <w:color w:val="7F7F7F" w:themeColor="text1" w:themeTint="80"/>
          <w:lang w:val="es-MX"/>
        </w:rPr>
        <w:t>ambiental  asociado</w:t>
      </w:r>
      <w:proofErr w:type="gramEnd"/>
      <w:r w:rsidRPr="00F35D95">
        <w:rPr>
          <w:rFonts w:ascii="Times New Roman" w:hAnsi="Times New Roman" w:cs="Times New Roman"/>
          <w:bCs/>
          <w:color w:val="7F7F7F" w:themeColor="text1" w:themeTint="80"/>
          <w:lang w:val="es-MX"/>
        </w:rPr>
        <w:t xml:space="preserve"> con un sitio cerrado de minería de uranio en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Mendoza.</w:t>
      </w:r>
    </w:p>
    <w:p w14:paraId="6FCA2017" w14:textId="77777777" w:rsidR="004A23B3" w:rsidRPr="00F35D95" w:rsidRDefault="004A23B3" w:rsidP="004A23B3">
      <w:pPr>
        <w:ind w:left="-630"/>
        <w:rPr>
          <w:rFonts w:ascii="Times New Roman" w:hAnsi="Times New Roman" w:cs="Times New Roman"/>
          <w:bCs/>
          <w:color w:val="7F7F7F" w:themeColor="text1" w:themeTint="80"/>
          <w:lang w:val="es-MX"/>
        </w:rPr>
      </w:pPr>
    </w:p>
    <w:p w14:paraId="383E0632" w14:textId="77777777" w:rsidR="004A23B3" w:rsidRPr="00F35D95" w:rsidRDefault="004A23B3" w:rsidP="004A23B3">
      <w:pPr>
        <w:ind w:left="-630"/>
        <w:rPr>
          <w:rFonts w:ascii="Times New Roman" w:hAnsi="Times New Roman" w:cs="Times New Roman"/>
          <w:bCs/>
          <w:color w:val="7F7F7F" w:themeColor="text1" w:themeTint="80"/>
          <w:lang w:val="es-MX"/>
        </w:rPr>
      </w:pPr>
    </w:p>
    <w:p w14:paraId="3E807F1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Los principales logros alcanzados:</w:t>
      </w:r>
    </w:p>
    <w:p w14:paraId="629931EE" w14:textId="77777777" w:rsidR="004A23B3" w:rsidRPr="00F35D95" w:rsidRDefault="004A23B3" w:rsidP="004A23B3">
      <w:pPr>
        <w:ind w:left="-630"/>
        <w:rPr>
          <w:rFonts w:ascii="Times New Roman" w:hAnsi="Times New Roman" w:cs="Times New Roman"/>
          <w:bCs/>
          <w:color w:val="7F7F7F" w:themeColor="text1" w:themeTint="80"/>
          <w:lang w:val="es-MX"/>
        </w:rPr>
      </w:pPr>
    </w:p>
    <w:p w14:paraId="2A1D72B8"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 el marco del componente I se logró la finalización de la obra de </w:t>
      </w:r>
      <w:proofErr w:type="gramStart"/>
      <w:r w:rsidRPr="00F35D95">
        <w:rPr>
          <w:rFonts w:ascii="Times New Roman" w:hAnsi="Times New Roman" w:cs="Times New Roman"/>
          <w:bCs/>
          <w:color w:val="7F7F7F" w:themeColor="text1" w:themeTint="80"/>
          <w:lang w:val="es-MX"/>
        </w:rPr>
        <w:t>encapsulamiento  de</w:t>
      </w:r>
      <w:proofErr w:type="gramEnd"/>
      <w:r w:rsidRPr="00F35D95">
        <w:rPr>
          <w:rFonts w:ascii="Times New Roman" w:hAnsi="Times New Roman" w:cs="Times New Roman"/>
          <w:bCs/>
          <w:color w:val="7F7F7F" w:themeColor="text1" w:themeTint="80"/>
          <w:lang w:val="es-MX"/>
        </w:rPr>
        <w:t xml:space="preserve"> acuerdo a las actividades contempladas en el pliego licitatorio. La ejecución total fue del 109,31 %. </w:t>
      </w:r>
      <w:proofErr w:type="gramStart"/>
      <w:r w:rsidRPr="00F35D95">
        <w:rPr>
          <w:rFonts w:ascii="Times New Roman" w:hAnsi="Times New Roman" w:cs="Times New Roman"/>
          <w:bCs/>
          <w:color w:val="7F7F7F" w:themeColor="text1" w:themeTint="80"/>
          <w:lang w:val="es-MX"/>
        </w:rPr>
        <w:t>La culminación de las tareas de remediación de las colas de mineral permitieron</w:t>
      </w:r>
      <w:proofErr w:type="gramEnd"/>
      <w:r w:rsidRPr="00F35D95">
        <w:rPr>
          <w:rFonts w:ascii="Times New Roman" w:hAnsi="Times New Roman" w:cs="Times New Roman"/>
          <w:bCs/>
          <w:color w:val="7F7F7F" w:themeColor="text1" w:themeTint="80"/>
          <w:lang w:val="es-MX"/>
        </w:rPr>
        <w:t xml:space="preserve"> alcanzar los valores de radiación y emanación de gas radón a valores del fondo natural de la zona. El encapsulado realizado impide la dispersión eólica de material </w:t>
      </w:r>
      <w:proofErr w:type="spellStart"/>
      <w:r w:rsidRPr="00F35D95">
        <w:rPr>
          <w:rFonts w:ascii="Times New Roman" w:hAnsi="Times New Roman" w:cs="Times New Roman"/>
          <w:bCs/>
          <w:color w:val="7F7F7F" w:themeColor="text1" w:themeTint="80"/>
          <w:lang w:val="es-MX"/>
        </w:rPr>
        <w:t>particulado</w:t>
      </w:r>
      <w:proofErr w:type="spellEnd"/>
      <w:r w:rsidRPr="00F35D95">
        <w:rPr>
          <w:rFonts w:ascii="Times New Roman" w:hAnsi="Times New Roman" w:cs="Times New Roman"/>
          <w:bCs/>
          <w:color w:val="7F7F7F" w:themeColor="text1" w:themeTint="80"/>
          <w:lang w:val="es-MX"/>
        </w:rPr>
        <w:t xml:space="preserve"> de las colas por los Sitios aledaños. Lo mencionado anteriormente mejora sustancialmente los aspectos ambientales de la ciudad de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al impedir la dispersión de los posibles contaminantes.</w:t>
      </w:r>
    </w:p>
    <w:p w14:paraId="46C6CEF7" w14:textId="77777777" w:rsidR="004A23B3" w:rsidRPr="00F35D95" w:rsidRDefault="004A23B3" w:rsidP="004A23B3">
      <w:pPr>
        <w:ind w:left="-630"/>
        <w:rPr>
          <w:rFonts w:ascii="Times New Roman" w:hAnsi="Times New Roman" w:cs="Times New Roman"/>
          <w:bCs/>
          <w:color w:val="7F7F7F" w:themeColor="text1" w:themeTint="80"/>
          <w:lang w:val="es-MX"/>
        </w:rPr>
      </w:pPr>
    </w:p>
    <w:p w14:paraId="53FEB691"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Se mantuvo una vinculación estrecha con los organismos de control. Se destaca en este aspecto la estrecha colaboración alcanzada con el personal técnico del Banco Mundial quien mostró oportunidades de mejora y brindó su apoyo constante al equipo técnico del Programa.</w:t>
      </w:r>
    </w:p>
    <w:p w14:paraId="6DAEB489" w14:textId="77777777" w:rsidR="004A23B3" w:rsidRPr="00F35D95" w:rsidRDefault="004A23B3" w:rsidP="004A23B3">
      <w:pPr>
        <w:ind w:left="-630"/>
        <w:rPr>
          <w:rFonts w:ascii="Times New Roman" w:hAnsi="Times New Roman" w:cs="Times New Roman"/>
          <w:bCs/>
          <w:color w:val="7F7F7F" w:themeColor="text1" w:themeTint="80"/>
          <w:lang w:val="es-MX"/>
        </w:rPr>
      </w:pPr>
    </w:p>
    <w:p w14:paraId="6250E02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La Obra de ¨gestión de las colas de mineral y rehabilitación del área” - Sitio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es la primera obra de remediación ambiental de la minería del uranio en Argentina y Latinoamérica.</w:t>
      </w:r>
    </w:p>
    <w:p w14:paraId="53B355A3" w14:textId="77777777" w:rsidR="004A23B3" w:rsidRPr="00F35D95" w:rsidRDefault="004A23B3" w:rsidP="004A23B3">
      <w:pPr>
        <w:ind w:left="-630"/>
        <w:rPr>
          <w:rFonts w:ascii="Times New Roman" w:hAnsi="Times New Roman" w:cs="Times New Roman"/>
          <w:bCs/>
          <w:color w:val="7F7F7F" w:themeColor="text1" w:themeTint="80"/>
          <w:lang w:val="es-MX"/>
        </w:rPr>
      </w:pPr>
    </w:p>
    <w:p w14:paraId="21E92D87" w14:textId="77777777" w:rsidR="004A23B3" w:rsidRPr="00F35D95" w:rsidRDefault="002C3F71" w:rsidP="004A23B3">
      <w:pPr>
        <w:ind w:left="-630"/>
        <w:rPr>
          <w:rFonts w:ascii="Times New Roman" w:hAnsi="Times New Roman" w:cs="Times New Roman"/>
          <w:bCs/>
          <w:color w:val="7F7F7F" w:themeColor="text1" w:themeTint="80"/>
          <w:lang w:val="es-MX"/>
        </w:rPr>
      </w:pPr>
      <w:proofErr w:type="gramStart"/>
      <w:r w:rsidRPr="00F35D95">
        <w:rPr>
          <w:rFonts w:ascii="Times New Roman" w:hAnsi="Times New Roman" w:cs="Times New Roman"/>
          <w:bCs/>
          <w:color w:val="7F7F7F" w:themeColor="text1" w:themeTint="80"/>
          <w:lang w:val="es-MX"/>
        </w:rPr>
        <w:t>Asimismo</w:t>
      </w:r>
      <w:proofErr w:type="gramEnd"/>
      <w:r w:rsidRPr="00F35D95">
        <w:rPr>
          <w:rFonts w:ascii="Times New Roman" w:hAnsi="Times New Roman" w:cs="Times New Roman"/>
          <w:bCs/>
          <w:color w:val="7F7F7F" w:themeColor="text1" w:themeTint="80"/>
          <w:lang w:val="es-MX"/>
        </w:rPr>
        <w:t xml:space="preserve"> este componente financió como objetivo complementario la </w:t>
      </w:r>
      <w:proofErr w:type="spellStart"/>
      <w:r w:rsidRPr="00F35D95">
        <w:rPr>
          <w:rFonts w:ascii="Times New Roman" w:hAnsi="Times New Roman" w:cs="Times New Roman"/>
          <w:bCs/>
          <w:color w:val="7F7F7F" w:themeColor="text1" w:themeTint="80"/>
          <w:lang w:val="es-MX"/>
        </w:rPr>
        <w:t>parquización</w:t>
      </w:r>
      <w:proofErr w:type="spellEnd"/>
      <w:r w:rsidRPr="00F35D95">
        <w:rPr>
          <w:rFonts w:ascii="Times New Roman" w:hAnsi="Times New Roman" w:cs="Times New Roman"/>
          <w:bCs/>
          <w:color w:val="7F7F7F" w:themeColor="text1" w:themeTint="80"/>
          <w:lang w:val="es-MX"/>
        </w:rPr>
        <w:t xml:space="preserve"> del predio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La obra se ejecutó en general conforme a lo proyectado alcanzando un nivel de ejecución del 97,02 %. Dicho porcentaje se debió a que se realizaron algunas modificaciones de proyecto por razones técnicas y constructivas lo que tuvo su incidencia en algunos ítems, los cuales se ejecutaron en un porcentaje menor y en otros casos, no se ejecutaron de acuerdo a lo estimado por pliego.</w:t>
      </w:r>
    </w:p>
    <w:p w14:paraId="09844952" w14:textId="77777777" w:rsidR="004A23B3" w:rsidRPr="00F35D95" w:rsidRDefault="004A23B3" w:rsidP="004A23B3">
      <w:pPr>
        <w:ind w:left="-630"/>
        <w:rPr>
          <w:rFonts w:ascii="Times New Roman" w:hAnsi="Times New Roman" w:cs="Times New Roman"/>
          <w:bCs/>
          <w:color w:val="7F7F7F" w:themeColor="text1" w:themeTint="80"/>
          <w:lang w:val="es-MX"/>
        </w:rPr>
      </w:pPr>
    </w:p>
    <w:p w14:paraId="32FD87E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 cuanto al impacto ambiental y social pudo percibirse el reconocimiento por parte de la sociedad de las tareas que realiza la CNEA para mejorar y preservar el ambiente, realizando obras como la del </w:t>
      </w:r>
      <w:proofErr w:type="spellStart"/>
      <w:r w:rsidRPr="00F35D95">
        <w:rPr>
          <w:rFonts w:ascii="Times New Roman" w:hAnsi="Times New Roman" w:cs="Times New Roman"/>
          <w:bCs/>
          <w:color w:val="7F7F7F" w:themeColor="text1" w:themeTint="80"/>
          <w:lang w:val="es-MX"/>
        </w:rPr>
        <w:t>Parquizado</w:t>
      </w:r>
      <w:proofErr w:type="spellEnd"/>
      <w:r w:rsidRPr="00F35D95">
        <w:rPr>
          <w:rFonts w:ascii="Times New Roman" w:hAnsi="Times New Roman" w:cs="Times New Roman"/>
          <w:bCs/>
          <w:color w:val="7F7F7F" w:themeColor="text1" w:themeTint="80"/>
          <w:lang w:val="es-MX"/>
        </w:rPr>
        <w:t xml:space="preserve"> destinado a la comunidad.</w:t>
      </w:r>
    </w:p>
    <w:p w14:paraId="4352D2AD" w14:textId="77777777" w:rsidR="004A23B3" w:rsidRPr="00F35D95" w:rsidRDefault="004A23B3" w:rsidP="004A23B3">
      <w:pPr>
        <w:ind w:left="-630"/>
        <w:rPr>
          <w:rFonts w:ascii="Times New Roman" w:hAnsi="Times New Roman" w:cs="Times New Roman"/>
          <w:bCs/>
          <w:color w:val="7F7F7F" w:themeColor="text1" w:themeTint="80"/>
          <w:lang w:val="es-MX"/>
        </w:rPr>
      </w:pPr>
    </w:p>
    <w:p w14:paraId="5B690E10"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El Parque ¨El Mirador¨ es un nuevo espacio público de esparcimiento de 7 hectáreas para la comunidad de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Se encuentra en el predio de la CNEA que a partir de ahora lo cede a la Municipalidad de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que se encargará de su administración como “área verde”. Tiene un área destinada a actividades deportivas con una </w:t>
      </w:r>
      <w:proofErr w:type="spellStart"/>
      <w:r w:rsidRPr="00F35D95">
        <w:rPr>
          <w:rFonts w:ascii="Times New Roman" w:hAnsi="Times New Roman" w:cs="Times New Roman"/>
          <w:bCs/>
          <w:color w:val="7F7F7F" w:themeColor="text1" w:themeTint="80"/>
          <w:lang w:val="es-MX"/>
        </w:rPr>
        <w:t>bicisenda</w:t>
      </w:r>
      <w:proofErr w:type="spellEnd"/>
      <w:r w:rsidRPr="00F35D95">
        <w:rPr>
          <w:rFonts w:ascii="Times New Roman" w:hAnsi="Times New Roman" w:cs="Times New Roman"/>
          <w:bCs/>
          <w:color w:val="7F7F7F" w:themeColor="text1" w:themeTint="80"/>
          <w:lang w:val="es-MX"/>
        </w:rPr>
        <w:t xml:space="preserve"> (1510 metros), un sendero aeróbico (2120 metros) y otro peatonal incluyendo un sector para personas con discapacidad visual (1930 metros) y un playón deportivo de usos múltiples. También cuenta con sectores de pérgolas con áreas sociales, juegos infantiles, un anfiteatro y sanitarios. </w:t>
      </w:r>
    </w:p>
    <w:p w14:paraId="684D6622" w14:textId="77777777" w:rsidR="004A23B3" w:rsidRPr="00F35D95" w:rsidRDefault="004A23B3" w:rsidP="004A23B3">
      <w:pPr>
        <w:ind w:left="-630"/>
        <w:rPr>
          <w:rFonts w:ascii="Times New Roman" w:hAnsi="Times New Roman" w:cs="Times New Roman"/>
          <w:bCs/>
          <w:color w:val="7F7F7F" w:themeColor="text1" w:themeTint="80"/>
          <w:lang w:val="es-MX"/>
        </w:rPr>
      </w:pPr>
    </w:p>
    <w:p w14:paraId="7C541CE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Por su parte el Componente II financió estudios de caracterización de los pasivos ambientales de todos los sitios y el estudio de ingeniería para la remediación de los sitios Los Gigantes y Córdoba (El Chichón), estudios sísmicos y estudios sobre la percepción de la población sobre los sitios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Los Gigantes y Córdoba (El Chichón).</w:t>
      </w:r>
    </w:p>
    <w:p w14:paraId="41E517F1" w14:textId="77777777" w:rsidR="004A23B3" w:rsidRPr="00F35D95" w:rsidRDefault="004A23B3" w:rsidP="004A23B3">
      <w:pPr>
        <w:ind w:left="-630"/>
        <w:rPr>
          <w:rFonts w:ascii="Times New Roman" w:hAnsi="Times New Roman" w:cs="Times New Roman"/>
          <w:bCs/>
          <w:color w:val="7F7F7F" w:themeColor="text1" w:themeTint="80"/>
          <w:lang w:val="es-MX"/>
        </w:rPr>
      </w:pPr>
    </w:p>
    <w:p w14:paraId="0CD44C8D"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El equipo técnico fortaleció sus capacidades para la definición de objetivos, elaboración de los términos de referencia y la supervisión de los trabajos, particularmente aquellos que implicaron estudios hidrogeológicos, geotécnicos, meteorológicos ambientales geofísicos, etc.</w:t>
      </w:r>
    </w:p>
    <w:p w14:paraId="47896216" w14:textId="77777777" w:rsidR="004A23B3" w:rsidRPr="00F35D95" w:rsidRDefault="004A23B3" w:rsidP="004A23B3">
      <w:pPr>
        <w:ind w:left="-630"/>
        <w:rPr>
          <w:rFonts w:ascii="Times New Roman" w:hAnsi="Times New Roman" w:cs="Times New Roman"/>
          <w:bCs/>
          <w:color w:val="7F7F7F" w:themeColor="text1" w:themeTint="80"/>
          <w:lang w:val="es-MX"/>
        </w:rPr>
      </w:pPr>
    </w:p>
    <w:p w14:paraId="7C84CDEA"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Por su parte a través del subcomponente de Consolidación de la capacidad ambiental de la CNEA se logró consolidar un grupo de personas de alto nivel profesional, proactivas, provenientes de distintas ramas de la analítica. Este grupo fue empoderado con la capacitación recibida dentro y fuera del marco de las actividades del Proyecto PRAMU. </w:t>
      </w:r>
    </w:p>
    <w:p w14:paraId="0DDC87BE" w14:textId="77777777" w:rsidR="004A23B3" w:rsidRPr="00F35D95" w:rsidRDefault="004A23B3" w:rsidP="004A23B3">
      <w:pPr>
        <w:ind w:left="-630"/>
        <w:rPr>
          <w:rFonts w:ascii="Times New Roman" w:hAnsi="Times New Roman" w:cs="Times New Roman"/>
          <w:bCs/>
          <w:color w:val="7F7F7F" w:themeColor="text1" w:themeTint="80"/>
          <w:lang w:val="es-MX"/>
        </w:rPr>
      </w:pPr>
    </w:p>
    <w:p w14:paraId="60502FB4"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Sorteando diversos obstáculos a lo largo de la ejecución del Proyecto, se ha logrado la adquisición del equipamiento e instalaciones de última tecnología a nivel regional y mundial. </w:t>
      </w:r>
    </w:p>
    <w:p w14:paraId="7F43089E" w14:textId="77777777" w:rsidR="004A23B3" w:rsidRPr="00F35D95" w:rsidRDefault="004A23B3" w:rsidP="004A23B3">
      <w:pPr>
        <w:ind w:left="-630"/>
        <w:rPr>
          <w:rFonts w:ascii="Times New Roman" w:hAnsi="Times New Roman" w:cs="Times New Roman"/>
          <w:bCs/>
          <w:color w:val="7F7F7F" w:themeColor="text1" w:themeTint="80"/>
          <w:lang w:val="es-MX"/>
        </w:rPr>
      </w:pPr>
    </w:p>
    <w:p w14:paraId="49AE9BBF"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Con la puesta en marcha del laboratorio se lograron reducir los tiempos en la obtención de datos, minimizando las determinaciones en laboratorios externos al PRAMU. También se pudieron implementar técnicas de análisis superadoras. Actualmente, se pueden realizar determinaciones tanto de matriz sólida como líquida con la misma exactitud y límites de detección. Asimismo, esta puesta en funcionamiento consolidó el sistema de calidad de la CNEA dentro del PRAMU. La nueva tecnología permitió implementar nuevas técnicas analíticas, siempre utilizando la normativa nacional complementada con la internacional.</w:t>
      </w:r>
    </w:p>
    <w:p w14:paraId="4A99BC16" w14:textId="77777777" w:rsidR="004A23B3" w:rsidRPr="00F35D95" w:rsidRDefault="004A23B3" w:rsidP="004A23B3">
      <w:pPr>
        <w:ind w:left="-630"/>
        <w:rPr>
          <w:rFonts w:ascii="Times New Roman" w:hAnsi="Times New Roman" w:cs="Times New Roman"/>
          <w:bCs/>
          <w:color w:val="7F7F7F" w:themeColor="text1" w:themeTint="80"/>
          <w:lang w:val="es-MX"/>
        </w:rPr>
      </w:pPr>
    </w:p>
    <w:p w14:paraId="06D17FB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Finalmente, se ha logrado la autonomía en determinaciones radio-químicas. </w:t>
      </w:r>
    </w:p>
    <w:p w14:paraId="2E1C9220" w14:textId="77777777" w:rsidR="004A23B3" w:rsidRPr="00F35D95" w:rsidRDefault="004A23B3" w:rsidP="004A23B3">
      <w:pPr>
        <w:ind w:left="-630"/>
        <w:rPr>
          <w:rFonts w:ascii="Times New Roman" w:hAnsi="Times New Roman" w:cs="Times New Roman"/>
          <w:bCs/>
          <w:color w:val="7F7F7F" w:themeColor="text1" w:themeTint="80"/>
          <w:lang w:val="es-MX"/>
        </w:rPr>
      </w:pPr>
    </w:p>
    <w:p w14:paraId="191EB3E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Cabe destacar que paralelamente a la puesta en funcionamiento del laboratorio, se realizaron capacitaciones a los equipos técnicos y adquisición de equipamiento para muestreo ambiental, lo que contribuyó a estandarizar prácticas.</w:t>
      </w:r>
    </w:p>
    <w:p w14:paraId="49E7D246" w14:textId="77777777" w:rsidR="004A23B3" w:rsidRPr="00F35D95" w:rsidRDefault="004A23B3" w:rsidP="004A23B3">
      <w:pPr>
        <w:ind w:left="-630"/>
        <w:rPr>
          <w:rFonts w:ascii="Times New Roman" w:hAnsi="Times New Roman" w:cs="Times New Roman"/>
          <w:bCs/>
          <w:color w:val="7F7F7F" w:themeColor="text1" w:themeTint="80"/>
          <w:lang w:val="es-MX"/>
        </w:rPr>
      </w:pPr>
    </w:p>
    <w:p w14:paraId="5D7A93DB"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Uno de los objetivos alcanzados fue homogenizar con la Autoridad Radiológica Nacional el sistema de medición, control y monitoreo en el área radiológica. Se realizan las mediciones en paralelo y con los mismos equipos y metodologías, de manera tal de obtener los mismos resultados que puedan ser comparados dentro de las incertidumbres o errores correspondientes en cada caso.  </w:t>
      </w:r>
    </w:p>
    <w:p w14:paraId="42871CE3" w14:textId="77777777" w:rsidR="004A23B3" w:rsidRPr="00F35D95" w:rsidRDefault="004A23B3" w:rsidP="004A23B3">
      <w:pPr>
        <w:ind w:left="-630"/>
        <w:rPr>
          <w:rFonts w:ascii="Times New Roman" w:hAnsi="Times New Roman" w:cs="Times New Roman"/>
          <w:bCs/>
          <w:color w:val="7F7F7F" w:themeColor="text1" w:themeTint="80"/>
          <w:lang w:val="es-MX"/>
        </w:rPr>
      </w:pPr>
    </w:p>
    <w:p w14:paraId="546C129F"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Lo expuesto precedentemente conlleva a que actualmente se cuenta con la capacidad para incorporar nuevas técnicas analíticas y realizar determinaciones puntuales.</w:t>
      </w:r>
    </w:p>
    <w:p w14:paraId="511335A7" w14:textId="77777777" w:rsidR="004A23B3" w:rsidRPr="00F35D95" w:rsidRDefault="004A23B3" w:rsidP="004A23B3">
      <w:pPr>
        <w:ind w:left="-630"/>
        <w:rPr>
          <w:rFonts w:ascii="Times New Roman" w:hAnsi="Times New Roman" w:cs="Times New Roman"/>
          <w:bCs/>
          <w:color w:val="7F7F7F" w:themeColor="text1" w:themeTint="80"/>
          <w:lang w:val="es-MX"/>
        </w:rPr>
      </w:pPr>
    </w:p>
    <w:p w14:paraId="68FE23FA"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Asimismo, entre los principales logros se pueden destacar que se cuenta con toda la información que posee el PRAMU en un sistema único y disponible en todas las dependencias del Proyecto. La implementación del Sistema SIGA implicó un cambio en la cultura de trabajo y sistematizó </w:t>
      </w:r>
      <w:proofErr w:type="gramStart"/>
      <w:r w:rsidRPr="00F35D95">
        <w:rPr>
          <w:rFonts w:ascii="Times New Roman" w:hAnsi="Times New Roman" w:cs="Times New Roman"/>
          <w:bCs/>
          <w:color w:val="7F7F7F" w:themeColor="text1" w:themeTint="80"/>
          <w:lang w:val="es-MX"/>
        </w:rPr>
        <w:t>todas la etapas</w:t>
      </w:r>
      <w:proofErr w:type="gramEnd"/>
      <w:r w:rsidRPr="00F35D95">
        <w:rPr>
          <w:rFonts w:ascii="Times New Roman" w:hAnsi="Times New Roman" w:cs="Times New Roman"/>
          <w:bCs/>
          <w:color w:val="7F7F7F" w:themeColor="text1" w:themeTint="80"/>
          <w:lang w:val="es-MX"/>
        </w:rPr>
        <w:t xml:space="preserve"> para la realización de las tareas de monitoreo en los distintos Sitios. Esta nueva cultura minimizó los registros en formato papel.   </w:t>
      </w:r>
    </w:p>
    <w:p w14:paraId="78B725A1" w14:textId="77777777" w:rsidR="004A23B3" w:rsidRPr="00F35D95" w:rsidRDefault="004A23B3" w:rsidP="004A23B3">
      <w:pPr>
        <w:ind w:left="-630"/>
        <w:rPr>
          <w:rFonts w:ascii="Times New Roman" w:hAnsi="Times New Roman" w:cs="Times New Roman"/>
          <w:bCs/>
          <w:color w:val="7F7F7F" w:themeColor="text1" w:themeTint="80"/>
          <w:lang w:val="es-MX"/>
        </w:rPr>
      </w:pPr>
    </w:p>
    <w:p w14:paraId="252B7C57"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Principales ventajas de la implementación del Sistema SIGA:</w:t>
      </w:r>
    </w:p>
    <w:p w14:paraId="104DC9FC" w14:textId="77777777" w:rsidR="004A23B3" w:rsidRPr="00F35D95" w:rsidRDefault="004A23B3" w:rsidP="004A23B3">
      <w:pPr>
        <w:ind w:left="-630"/>
        <w:rPr>
          <w:rFonts w:ascii="Times New Roman" w:hAnsi="Times New Roman" w:cs="Times New Roman"/>
          <w:bCs/>
          <w:color w:val="7F7F7F" w:themeColor="text1" w:themeTint="80"/>
          <w:lang w:val="es-MX"/>
        </w:rPr>
      </w:pPr>
    </w:p>
    <w:p w14:paraId="134A7AC0"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Se informatizó todo el trabajo de monitoreo del personal involucrado en el SIGA. Se unificaron los procedimientos i) PG-SNA/Pramu-CT-002 Rev.: 0 Toma, conservación y transporte de muestras de agua superficial, subterránea y sedimentos ii) PG-SNA/</w:t>
      </w:r>
      <w:proofErr w:type="spellStart"/>
      <w:r w:rsidRPr="00F35D95">
        <w:rPr>
          <w:rFonts w:ascii="Times New Roman" w:hAnsi="Times New Roman" w:cs="Times New Roman"/>
          <w:bCs/>
          <w:color w:val="7F7F7F" w:themeColor="text1" w:themeTint="80"/>
          <w:lang w:val="es-MX"/>
        </w:rPr>
        <w:t>Pramu</w:t>
      </w:r>
      <w:proofErr w:type="spellEnd"/>
      <w:r w:rsidRPr="00F35D95">
        <w:rPr>
          <w:rFonts w:ascii="Times New Roman" w:hAnsi="Times New Roman" w:cs="Times New Roman"/>
          <w:bCs/>
          <w:color w:val="7F7F7F" w:themeColor="text1" w:themeTint="80"/>
          <w:lang w:val="es-MX"/>
        </w:rPr>
        <w:t>-CT – 003 Rev.: 0 Monitoreo Radiológico y el iii) PG-SNA/</w:t>
      </w:r>
      <w:proofErr w:type="spellStart"/>
      <w:r w:rsidRPr="00F35D95">
        <w:rPr>
          <w:rFonts w:ascii="Times New Roman" w:hAnsi="Times New Roman" w:cs="Times New Roman"/>
          <w:bCs/>
          <w:color w:val="7F7F7F" w:themeColor="text1" w:themeTint="80"/>
          <w:lang w:val="es-MX"/>
        </w:rPr>
        <w:t>Pramu</w:t>
      </w:r>
      <w:proofErr w:type="spellEnd"/>
      <w:r w:rsidRPr="00F35D95">
        <w:rPr>
          <w:rFonts w:ascii="Times New Roman" w:hAnsi="Times New Roman" w:cs="Times New Roman"/>
          <w:bCs/>
          <w:color w:val="7F7F7F" w:themeColor="text1" w:themeTint="80"/>
          <w:lang w:val="es-MX"/>
        </w:rPr>
        <w:t xml:space="preserve">-CT – 004 Rev.: 0 Toma y manejo de muestras de material </w:t>
      </w:r>
      <w:proofErr w:type="spellStart"/>
      <w:r w:rsidRPr="00F35D95">
        <w:rPr>
          <w:rFonts w:ascii="Times New Roman" w:hAnsi="Times New Roman" w:cs="Times New Roman"/>
          <w:bCs/>
          <w:color w:val="7F7F7F" w:themeColor="text1" w:themeTint="80"/>
          <w:lang w:val="es-MX"/>
        </w:rPr>
        <w:t>particulado</w:t>
      </w:r>
      <w:proofErr w:type="spellEnd"/>
      <w:r w:rsidRPr="00F35D95">
        <w:rPr>
          <w:rFonts w:ascii="Times New Roman" w:hAnsi="Times New Roman" w:cs="Times New Roman"/>
          <w:bCs/>
          <w:color w:val="7F7F7F" w:themeColor="text1" w:themeTint="80"/>
          <w:lang w:val="es-MX"/>
        </w:rPr>
        <w:t xml:space="preserve"> en Aire que posee el Proyecto. </w:t>
      </w:r>
    </w:p>
    <w:p w14:paraId="2B53E60D"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Se sistematizaron de los indicadores de avance de los proyectos de ingeniería que posee el PRAMU.</w:t>
      </w:r>
    </w:p>
    <w:p w14:paraId="4CAD5371"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 Implementación de entrega de resultados a través de sistema por parte de los laboratorios de CNEA que involucran al proyecto.</w:t>
      </w:r>
    </w:p>
    <w:p w14:paraId="30670446"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El sistema contribuyó a centralizar la información relacionada a la planificación de las acciones de monitoreo, comparación de parámetros (esperados vs real), mejora en la toma de muestra por realizar en campo, automatización de los procedimientos que PRAMU posee, comparación de datos históricos.</w:t>
      </w:r>
    </w:p>
    <w:p w14:paraId="7B1BAC52"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La toma de datos en campo se realiza mediante tabletas electrónicas con el fin de actualizar la en forma automática la base de datos, desde la aplicación móvil que posee el SIGA.</w:t>
      </w:r>
    </w:p>
    <w:p w14:paraId="6FAEBD26"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La adquisición del software </w:t>
      </w:r>
      <w:proofErr w:type="spellStart"/>
      <w:r w:rsidRPr="00F35D95">
        <w:rPr>
          <w:rFonts w:ascii="Times New Roman" w:hAnsi="Times New Roman" w:cs="Times New Roman"/>
          <w:bCs/>
          <w:color w:val="7F7F7F" w:themeColor="text1" w:themeTint="80"/>
          <w:lang w:val="es-MX"/>
        </w:rPr>
        <w:t>MicroStrategy</w:t>
      </w:r>
      <w:proofErr w:type="spellEnd"/>
      <w:r w:rsidRPr="00F35D95">
        <w:rPr>
          <w:rFonts w:ascii="Times New Roman" w:hAnsi="Times New Roman" w:cs="Times New Roman"/>
          <w:bCs/>
          <w:color w:val="7F7F7F" w:themeColor="text1" w:themeTint="80"/>
          <w:lang w:val="es-MX"/>
        </w:rPr>
        <w:t xml:space="preserve"> permitió el procesamiento y modelado de la base de datos proporcionada por el SIGA.</w:t>
      </w:r>
    </w:p>
    <w:p w14:paraId="1D9B4248" w14:textId="77777777" w:rsidR="004A23B3" w:rsidRPr="00F35D95" w:rsidRDefault="004A23B3" w:rsidP="004A23B3">
      <w:pPr>
        <w:ind w:left="-630"/>
        <w:rPr>
          <w:rFonts w:ascii="Times New Roman" w:hAnsi="Times New Roman" w:cs="Times New Roman"/>
          <w:bCs/>
          <w:color w:val="7F7F7F" w:themeColor="text1" w:themeTint="80"/>
          <w:lang w:val="es-MX"/>
        </w:rPr>
      </w:pPr>
    </w:p>
    <w:p w14:paraId="684A9826"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Cabe mencionar que el SIGA se encuentra implementado y para ser transferido a otras Gerencias de CNEA. </w:t>
      </w:r>
    </w:p>
    <w:p w14:paraId="10BBDB66" w14:textId="77777777" w:rsidR="004A23B3" w:rsidRPr="00F35D95" w:rsidRDefault="004A23B3" w:rsidP="004A23B3">
      <w:pPr>
        <w:ind w:left="-630"/>
        <w:rPr>
          <w:rFonts w:ascii="Times New Roman" w:hAnsi="Times New Roman" w:cs="Times New Roman"/>
          <w:bCs/>
          <w:color w:val="7F7F7F" w:themeColor="text1" w:themeTint="80"/>
          <w:lang w:val="es-MX"/>
        </w:rPr>
      </w:pPr>
    </w:p>
    <w:p w14:paraId="11DC999F"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Adicionalmente a la meta propuesta, se ha realizado el diseño, desarrollo e implementación de herramienta de Business </w:t>
      </w:r>
      <w:proofErr w:type="spellStart"/>
      <w:r w:rsidRPr="00F35D95">
        <w:rPr>
          <w:rFonts w:ascii="Times New Roman" w:hAnsi="Times New Roman" w:cs="Times New Roman"/>
          <w:bCs/>
          <w:color w:val="7F7F7F" w:themeColor="text1" w:themeTint="80"/>
          <w:lang w:val="es-MX"/>
        </w:rPr>
        <w:t>Inteligence</w:t>
      </w:r>
      <w:proofErr w:type="spellEnd"/>
      <w:r w:rsidRPr="00F35D95">
        <w:rPr>
          <w:rFonts w:ascii="Times New Roman" w:hAnsi="Times New Roman" w:cs="Times New Roman"/>
          <w:bCs/>
          <w:color w:val="7F7F7F" w:themeColor="text1" w:themeTint="80"/>
          <w:lang w:val="es-MX"/>
        </w:rPr>
        <w:t xml:space="preserve"> (BI) en el SIGA.</w:t>
      </w:r>
    </w:p>
    <w:p w14:paraId="56FE19C4" w14:textId="77777777" w:rsidR="004A23B3" w:rsidRPr="00F35D95" w:rsidRDefault="004A23B3" w:rsidP="004A23B3">
      <w:pPr>
        <w:ind w:left="-630"/>
        <w:rPr>
          <w:rFonts w:ascii="Times New Roman" w:hAnsi="Times New Roman" w:cs="Times New Roman"/>
          <w:bCs/>
          <w:color w:val="7F7F7F" w:themeColor="text1" w:themeTint="80"/>
          <w:lang w:val="es-MX"/>
        </w:rPr>
      </w:pPr>
    </w:p>
    <w:p w14:paraId="6D2F4619"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Como conclusión, el SIGA es una importante herramienta de trabajo para el Proyecto la cual sistematiza, recopila, simplifica y organiza toda la información, con la finalidad de elaborar documentos varios, resultados de monitoreo, informes y estudios de consultorías; logrando así una base de datos única y unificada que esté a disposición en cada una de las dependencias del Proyecto y al alcance de cada usuario y de la misma CNEA.  </w:t>
      </w:r>
    </w:p>
    <w:p w14:paraId="49A11B60"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En el marco del subcomponente de Consolidación de la capacidad ambiental de la Secretaría de Minería (SM) y la Secretaría de Ambiente y Desarrollo Sustentable (SE) se desarrollaron actividades de asistencia técnica y de capacitación sobre riesgo ambiental y actividades de gestión de riesgo para la consolidación de la capacidad ambiental de la Secretaría de Minería (SM) y la Secretaría de Ambiente y Desarrollo Sustentable (</w:t>
      </w:r>
      <w:proofErr w:type="spellStart"/>
      <w:r w:rsidRPr="00F35D95">
        <w:rPr>
          <w:rFonts w:ascii="Times New Roman" w:hAnsi="Times New Roman" w:cs="Times New Roman"/>
          <w:bCs/>
          <w:color w:val="7F7F7F" w:themeColor="text1" w:themeTint="80"/>
          <w:lang w:val="es-MX"/>
        </w:rPr>
        <w:t>SAyDS</w:t>
      </w:r>
      <w:proofErr w:type="spellEnd"/>
      <w:r w:rsidRPr="00F35D95">
        <w:rPr>
          <w:rFonts w:ascii="Times New Roman" w:hAnsi="Times New Roman" w:cs="Times New Roman"/>
          <w:bCs/>
          <w:color w:val="7F7F7F" w:themeColor="text1" w:themeTint="80"/>
          <w:lang w:val="es-MX"/>
        </w:rPr>
        <w:t>) y los organismos de minería y medio ambiente provinciales sobre riesgo ambiental y actividades de gestión de riesgo.</w:t>
      </w:r>
    </w:p>
    <w:p w14:paraId="44A41A1A" w14:textId="77777777" w:rsidR="004A23B3" w:rsidRPr="00F35D95" w:rsidRDefault="004A23B3" w:rsidP="004A23B3">
      <w:pPr>
        <w:ind w:left="-630"/>
        <w:rPr>
          <w:rFonts w:ascii="Times New Roman" w:hAnsi="Times New Roman" w:cs="Times New Roman"/>
          <w:bCs/>
          <w:color w:val="7F7F7F" w:themeColor="text1" w:themeTint="80"/>
          <w:lang w:val="es-MX"/>
        </w:rPr>
      </w:pPr>
    </w:p>
    <w:p w14:paraId="668A245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Por </w:t>
      </w:r>
      <w:proofErr w:type="gramStart"/>
      <w:r w:rsidRPr="00F35D95">
        <w:rPr>
          <w:rFonts w:ascii="Times New Roman" w:hAnsi="Times New Roman" w:cs="Times New Roman"/>
          <w:bCs/>
          <w:color w:val="7F7F7F" w:themeColor="text1" w:themeTint="80"/>
          <w:lang w:val="es-MX"/>
        </w:rPr>
        <w:t>último</w:t>
      </w:r>
      <w:proofErr w:type="gramEnd"/>
      <w:r w:rsidRPr="00F35D95">
        <w:rPr>
          <w:rFonts w:ascii="Times New Roman" w:hAnsi="Times New Roman" w:cs="Times New Roman"/>
          <w:bCs/>
          <w:color w:val="7F7F7F" w:themeColor="text1" w:themeTint="80"/>
          <w:lang w:val="es-MX"/>
        </w:rPr>
        <w:t xml:space="preserve"> el Componente III ¨Gestión del Proyecto¨ financió actividades para la consolidación de la capacidad operativa de la GP con el objeto de fortalecer la gestión operativa del Proyecto.</w:t>
      </w:r>
    </w:p>
    <w:p w14:paraId="5CA04590" w14:textId="77777777" w:rsidR="004A23B3" w:rsidRPr="00F35D95" w:rsidRDefault="004A23B3" w:rsidP="004A23B3">
      <w:pPr>
        <w:ind w:left="-630"/>
        <w:rPr>
          <w:rFonts w:ascii="Times New Roman" w:hAnsi="Times New Roman" w:cs="Times New Roman"/>
          <w:bCs/>
          <w:color w:val="7F7F7F" w:themeColor="text1" w:themeTint="80"/>
          <w:lang w:val="es-MX"/>
        </w:rPr>
      </w:pPr>
    </w:p>
    <w:p w14:paraId="0B99951C" w14:textId="77777777" w:rsidR="004A23B3" w:rsidRPr="00F35D95" w:rsidRDefault="004A23B3" w:rsidP="004A23B3">
      <w:pPr>
        <w:ind w:left="-630"/>
        <w:rPr>
          <w:rFonts w:ascii="Times New Roman" w:hAnsi="Times New Roman" w:cs="Times New Roman"/>
          <w:bCs/>
          <w:color w:val="7F7F7F" w:themeColor="text1" w:themeTint="80"/>
          <w:lang w:val="es-MX"/>
        </w:rPr>
      </w:pPr>
    </w:p>
    <w:p w14:paraId="1DFA06F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Principales desafíos</w:t>
      </w:r>
    </w:p>
    <w:p w14:paraId="1BE95F76"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Componente I</w:t>
      </w:r>
    </w:p>
    <w:p w14:paraId="62FFFAC5" w14:textId="77777777" w:rsidR="004A23B3" w:rsidRPr="00F35D95" w:rsidRDefault="004A23B3" w:rsidP="004A23B3">
      <w:pPr>
        <w:ind w:left="-630"/>
        <w:rPr>
          <w:rFonts w:ascii="Times New Roman" w:hAnsi="Times New Roman" w:cs="Times New Roman"/>
          <w:bCs/>
          <w:color w:val="7F7F7F" w:themeColor="text1" w:themeTint="80"/>
          <w:lang w:val="es-MX"/>
        </w:rPr>
      </w:pPr>
    </w:p>
    <w:p w14:paraId="11444DA8"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El llamado a licitación por la presente Obra se realizó en el mes de febrero de 2011. Con fecha 28/12/2011, se firmó contrato con la empresa </w:t>
      </w:r>
      <w:proofErr w:type="spellStart"/>
      <w:r w:rsidRPr="00F35D95">
        <w:rPr>
          <w:rFonts w:ascii="Times New Roman" w:hAnsi="Times New Roman" w:cs="Times New Roman"/>
          <w:bCs/>
          <w:color w:val="7F7F7F" w:themeColor="text1" w:themeTint="80"/>
          <w:lang w:val="es-MX"/>
        </w:rPr>
        <w:t>Stornini</w:t>
      </w:r>
      <w:proofErr w:type="spellEnd"/>
      <w:r w:rsidRPr="00F35D95">
        <w:rPr>
          <w:rFonts w:ascii="Times New Roman" w:hAnsi="Times New Roman" w:cs="Times New Roman"/>
          <w:bCs/>
          <w:color w:val="7F7F7F" w:themeColor="text1" w:themeTint="80"/>
          <w:lang w:val="es-MX"/>
        </w:rPr>
        <w:t xml:space="preserve"> SA por un monto original de $56.685.978,65. Los trabajos de obra se iniciaron el día 25/01/2012, 28 días después de la firma del Contrato. </w:t>
      </w:r>
    </w:p>
    <w:p w14:paraId="0463E3B4" w14:textId="77777777" w:rsidR="004A23B3" w:rsidRPr="00F35D95" w:rsidRDefault="004A23B3" w:rsidP="004A23B3">
      <w:pPr>
        <w:ind w:left="-630"/>
        <w:rPr>
          <w:rFonts w:ascii="Times New Roman" w:hAnsi="Times New Roman" w:cs="Times New Roman"/>
          <w:bCs/>
          <w:color w:val="7F7F7F" w:themeColor="text1" w:themeTint="80"/>
          <w:lang w:val="es-MX"/>
        </w:rPr>
      </w:pPr>
    </w:p>
    <w:p w14:paraId="07231050"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 el período de tiempo transcurrido durante la ejecución de la Obra se suscitaron diversos inconvenientes de índole económica del país, que perjudicaron el normal desempeño de las actividades; entre las cuales se destaca la escasez de gas </w:t>
      </w:r>
      <w:proofErr w:type="spellStart"/>
      <w:r w:rsidRPr="00F35D95">
        <w:rPr>
          <w:rFonts w:ascii="Times New Roman" w:hAnsi="Times New Roman" w:cs="Times New Roman"/>
          <w:bCs/>
          <w:color w:val="7F7F7F" w:themeColor="text1" w:themeTint="80"/>
          <w:lang w:val="es-MX"/>
        </w:rPr>
        <w:t>oil</w:t>
      </w:r>
      <w:proofErr w:type="spellEnd"/>
      <w:r w:rsidRPr="00F35D95">
        <w:rPr>
          <w:rFonts w:ascii="Times New Roman" w:hAnsi="Times New Roman" w:cs="Times New Roman"/>
          <w:bCs/>
          <w:color w:val="7F7F7F" w:themeColor="text1" w:themeTint="80"/>
          <w:lang w:val="es-MX"/>
        </w:rPr>
        <w:t xml:space="preserve"> y la imposibilidad de importar repuestos para las maquinarias de movimiento de suelos.</w:t>
      </w:r>
    </w:p>
    <w:p w14:paraId="67358F12" w14:textId="77777777" w:rsidR="004A23B3" w:rsidRPr="00F35D95" w:rsidRDefault="004A23B3" w:rsidP="004A23B3">
      <w:pPr>
        <w:ind w:left="-630"/>
        <w:rPr>
          <w:rFonts w:ascii="Times New Roman" w:hAnsi="Times New Roman" w:cs="Times New Roman"/>
          <w:bCs/>
          <w:color w:val="7F7F7F" w:themeColor="text1" w:themeTint="80"/>
          <w:lang w:val="es-MX"/>
        </w:rPr>
      </w:pPr>
    </w:p>
    <w:p w14:paraId="0CBEA6B8"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Por otro lado, en contadas oportunidades se tuvieron inconvenientes a la hora de realizar los pagos de los certificados de obra, demorándose el mismo más de lo previsto.</w:t>
      </w:r>
    </w:p>
    <w:p w14:paraId="090E9A05" w14:textId="77777777" w:rsidR="004A23B3" w:rsidRPr="00F35D95" w:rsidRDefault="004A23B3" w:rsidP="004A23B3">
      <w:pPr>
        <w:ind w:left="-630"/>
        <w:rPr>
          <w:rFonts w:ascii="Times New Roman" w:hAnsi="Times New Roman" w:cs="Times New Roman"/>
          <w:bCs/>
          <w:color w:val="7F7F7F" w:themeColor="text1" w:themeTint="80"/>
          <w:lang w:val="es-MX"/>
        </w:rPr>
      </w:pPr>
    </w:p>
    <w:p w14:paraId="103755A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Se destaca que el seguimiento del contrato fue realizado por personal técnico del Banco Mundial, auditorías ambientales de la Provincia de Mendoza, auditorías internas de CNEA y el grupo técnico del PRAMU.</w:t>
      </w:r>
    </w:p>
    <w:p w14:paraId="35DCFAF3" w14:textId="77777777" w:rsidR="004A23B3" w:rsidRPr="00F35D95" w:rsidRDefault="004A23B3" w:rsidP="004A23B3">
      <w:pPr>
        <w:ind w:left="-630"/>
        <w:rPr>
          <w:rFonts w:ascii="Times New Roman" w:hAnsi="Times New Roman" w:cs="Times New Roman"/>
          <w:bCs/>
          <w:color w:val="7F7F7F" w:themeColor="text1" w:themeTint="80"/>
          <w:lang w:val="es-MX"/>
        </w:rPr>
      </w:pPr>
    </w:p>
    <w:p w14:paraId="7994009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Con relación a la obra de </w:t>
      </w:r>
      <w:proofErr w:type="spellStart"/>
      <w:r w:rsidRPr="00F35D95">
        <w:rPr>
          <w:rFonts w:ascii="Times New Roman" w:hAnsi="Times New Roman" w:cs="Times New Roman"/>
          <w:bCs/>
          <w:color w:val="7F7F7F" w:themeColor="text1" w:themeTint="80"/>
          <w:lang w:val="es-MX"/>
        </w:rPr>
        <w:t>parquización</w:t>
      </w:r>
      <w:proofErr w:type="spellEnd"/>
      <w:r w:rsidRPr="00F35D95">
        <w:rPr>
          <w:rFonts w:ascii="Times New Roman" w:hAnsi="Times New Roman" w:cs="Times New Roman"/>
          <w:bCs/>
          <w:color w:val="7F7F7F" w:themeColor="text1" w:themeTint="80"/>
          <w:lang w:val="es-MX"/>
        </w:rPr>
        <w:t xml:space="preserve"> del predio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con fecha 08/06/2016, se firmó contrato con la empresa Muñoz y Asociados SA por un monto de $25.814.241,95.  Los trabajos de obra se iniciaron el día 06/07/2016, 28 días después de la firma del Contrato. </w:t>
      </w:r>
    </w:p>
    <w:p w14:paraId="3DE853B0" w14:textId="77777777" w:rsidR="004A23B3" w:rsidRPr="00F35D95" w:rsidRDefault="004A23B3" w:rsidP="004A23B3">
      <w:pPr>
        <w:ind w:left="-630"/>
        <w:rPr>
          <w:rFonts w:ascii="Times New Roman" w:hAnsi="Times New Roman" w:cs="Times New Roman"/>
          <w:bCs/>
          <w:color w:val="7F7F7F" w:themeColor="text1" w:themeTint="80"/>
          <w:lang w:val="es-MX"/>
        </w:rPr>
      </w:pPr>
    </w:p>
    <w:p w14:paraId="14DF59E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Las restricciones presupuestarias del Proyecto atentaron contra el normal desempeño de las actividades. Sobre el particular se evidenciaron atrasos dentro del plazo contractual lo que motivó la realización de cinco enmiendas de extensión de plazo. El día 28/07/2017 se labró el Acta de Recepción Provisoria de los trabajos correspondientes a la Obra. A partir de esta fecha comenzó a transcurrir el período de responsabilidad por defectos, cuya duración es de 365 días.</w:t>
      </w:r>
    </w:p>
    <w:p w14:paraId="57880FDD" w14:textId="77777777" w:rsidR="004A23B3" w:rsidRPr="00F35D95" w:rsidRDefault="004A23B3" w:rsidP="004A23B3">
      <w:pPr>
        <w:ind w:left="-630"/>
        <w:rPr>
          <w:rFonts w:ascii="Times New Roman" w:hAnsi="Times New Roman" w:cs="Times New Roman"/>
          <w:bCs/>
          <w:color w:val="7F7F7F" w:themeColor="text1" w:themeTint="80"/>
          <w:lang w:val="es-MX"/>
        </w:rPr>
      </w:pPr>
    </w:p>
    <w:p w14:paraId="19D5662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 el desarrollo de la obra uno de los desafíos fue lograr que el contratista se adaptara al sistema de trabajo de CNEA, entendiendo que la Obra se </w:t>
      </w:r>
      <w:proofErr w:type="spellStart"/>
      <w:r w:rsidRPr="00F35D95">
        <w:rPr>
          <w:rFonts w:ascii="Times New Roman" w:hAnsi="Times New Roman" w:cs="Times New Roman"/>
          <w:bCs/>
          <w:color w:val="7F7F7F" w:themeColor="text1" w:themeTint="80"/>
          <w:lang w:val="es-MX"/>
        </w:rPr>
        <w:t>encuentraba</w:t>
      </w:r>
      <w:proofErr w:type="spellEnd"/>
      <w:r w:rsidRPr="00F35D95">
        <w:rPr>
          <w:rFonts w:ascii="Times New Roman" w:hAnsi="Times New Roman" w:cs="Times New Roman"/>
          <w:bCs/>
          <w:color w:val="7F7F7F" w:themeColor="text1" w:themeTint="80"/>
          <w:lang w:val="es-MX"/>
        </w:rPr>
        <w:t xml:space="preserve"> dentro del Programa de Remediación Ambiental. </w:t>
      </w:r>
    </w:p>
    <w:p w14:paraId="2ABDC4D5" w14:textId="77777777" w:rsidR="004A23B3" w:rsidRPr="00F35D95" w:rsidRDefault="004A23B3" w:rsidP="004A23B3">
      <w:pPr>
        <w:ind w:left="-630"/>
        <w:rPr>
          <w:rFonts w:ascii="Times New Roman" w:hAnsi="Times New Roman" w:cs="Times New Roman"/>
          <w:bCs/>
          <w:color w:val="7F7F7F" w:themeColor="text1" w:themeTint="80"/>
          <w:lang w:val="es-MX"/>
        </w:rPr>
      </w:pPr>
    </w:p>
    <w:p w14:paraId="4D34FC37"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Otro aspecto relevante fueron las condiciones climáticas del lugar, que ocasionaron retrasos en la ejecución de las tareas. </w:t>
      </w:r>
    </w:p>
    <w:p w14:paraId="04BCA5D9" w14:textId="77777777" w:rsidR="004A23B3" w:rsidRPr="00F35D95" w:rsidRDefault="004A23B3" w:rsidP="004A23B3">
      <w:pPr>
        <w:ind w:left="-630"/>
        <w:rPr>
          <w:rFonts w:ascii="Times New Roman" w:hAnsi="Times New Roman" w:cs="Times New Roman"/>
          <w:bCs/>
          <w:color w:val="7F7F7F" w:themeColor="text1" w:themeTint="80"/>
          <w:lang w:val="es-MX"/>
        </w:rPr>
      </w:pPr>
    </w:p>
    <w:p w14:paraId="54331D78"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En cuanto al personal del contratista se contó con personal técnico como Jefe de Obra, Capataz, Técnico en Higiene y Seguridad y Técnico Ambiental, Topógrafo, operarios, y maquinistas. Lo cual implico una tarea importante de control y seguimiento en cuanto a control de registros y documentación del personal de la Contratista y Sub Contratista.</w:t>
      </w:r>
    </w:p>
    <w:p w14:paraId="47FE61CE" w14:textId="77777777" w:rsidR="004A23B3" w:rsidRPr="00F35D95" w:rsidRDefault="004A23B3" w:rsidP="004A23B3">
      <w:pPr>
        <w:ind w:left="-630"/>
        <w:rPr>
          <w:rFonts w:ascii="Times New Roman" w:hAnsi="Times New Roman" w:cs="Times New Roman"/>
          <w:bCs/>
          <w:color w:val="7F7F7F" w:themeColor="text1" w:themeTint="80"/>
          <w:lang w:val="es-MX"/>
        </w:rPr>
      </w:pPr>
    </w:p>
    <w:p w14:paraId="04FAF42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Componente: II </w:t>
      </w:r>
    </w:p>
    <w:p w14:paraId="2A76421C" w14:textId="77777777" w:rsidR="004A23B3" w:rsidRPr="00F35D95" w:rsidRDefault="004A23B3" w:rsidP="004A23B3">
      <w:pPr>
        <w:ind w:left="-630"/>
        <w:rPr>
          <w:rFonts w:ascii="Times New Roman" w:hAnsi="Times New Roman" w:cs="Times New Roman"/>
          <w:bCs/>
          <w:color w:val="7F7F7F" w:themeColor="text1" w:themeTint="80"/>
          <w:lang w:val="es-MX"/>
        </w:rPr>
      </w:pPr>
    </w:p>
    <w:p w14:paraId="15D2E4E5"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Entre los principales desafíos se puede mencionar la inexperiencia, en un primer momento, del equipo técnico para el desarrollo de este tipo de proceso de contratación de firmas de acuerdo a la normativa del Banco Mundial. </w:t>
      </w:r>
    </w:p>
    <w:p w14:paraId="56A3EBEC" w14:textId="77777777" w:rsidR="004A23B3" w:rsidRPr="00F35D95" w:rsidRDefault="004A23B3" w:rsidP="004A23B3">
      <w:pPr>
        <w:ind w:left="-630"/>
        <w:rPr>
          <w:rFonts w:ascii="Times New Roman" w:hAnsi="Times New Roman" w:cs="Times New Roman"/>
          <w:bCs/>
          <w:color w:val="7F7F7F" w:themeColor="text1" w:themeTint="80"/>
          <w:lang w:val="es-MX"/>
        </w:rPr>
      </w:pPr>
    </w:p>
    <w:p w14:paraId="699EA88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La elaboración de los términos de referencia y necesidad de someterlos a revisión de diversos especialistas del Banco Mundial requirió de mayores tiempos y de entendimiento de las problemáticas particulares del contexto país. </w:t>
      </w:r>
    </w:p>
    <w:p w14:paraId="06B5380A" w14:textId="77777777" w:rsidR="004A23B3" w:rsidRPr="00F35D95" w:rsidRDefault="004A23B3" w:rsidP="004A23B3">
      <w:pPr>
        <w:ind w:left="-630"/>
        <w:rPr>
          <w:rFonts w:ascii="Times New Roman" w:hAnsi="Times New Roman" w:cs="Times New Roman"/>
          <w:bCs/>
          <w:color w:val="7F7F7F" w:themeColor="text1" w:themeTint="80"/>
          <w:lang w:val="es-MX"/>
        </w:rPr>
      </w:pPr>
    </w:p>
    <w:p w14:paraId="7133930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Para el caso en particular del nuevo Sistema SIGA, los desafíos - además de lograr el consenso sobre los términos de referencia y requerimientos sobre las firmas consultoras requeridas para la consultoría, fueron: la distribución geográfica del grupo de trabajo de CNEA para la implementación y el cambio de cultura de trabajo.</w:t>
      </w:r>
    </w:p>
    <w:p w14:paraId="629D3522" w14:textId="77777777" w:rsidR="004A23B3" w:rsidRPr="00F35D95" w:rsidRDefault="004A23B3" w:rsidP="004A23B3">
      <w:pPr>
        <w:ind w:left="-630"/>
        <w:rPr>
          <w:rFonts w:ascii="Times New Roman" w:hAnsi="Times New Roman" w:cs="Times New Roman"/>
          <w:bCs/>
          <w:color w:val="7F7F7F" w:themeColor="text1" w:themeTint="80"/>
          <w:lang w:val="es-MX"/>
        </w:rPr>
      </w:pPr>
    </w:p>
    <w:p w14:paraId="440C4A45" w14:textId="77777777" w:rsidR="004A23B3" w:rsidRPr="00F35D95" w:rsidRDefault="004A23B3" w:rsidP="004A23B3">
      <w:pPr>
        <w:ind w:left="-630"/>
        <w:rPr>
          <w:rFonts w:ascii="Times New Roman" w:hAnsi="Times New Roman" w:cs="Times New Roman"/>
          <w:bCs/>
          <w:color w:val="7F7F7F" w:themeColor="text1" w:themeTint="80"/>
          <w:lang w:val="es-MX"/>
        </w:rPr>
      </w:pPr>
    </w:p>
    <w:p w14:paraId="268A08A4"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Adquisición de equipamiento de laboratorio</w:t>
      </w:r>
    </w:p>
    <w:p w14:paraId="187A51AC" w14:textId="77777777" w:rsidR="004A23B3" w:rsidRPr="00F35D95" w:rsidRDefault="004A23B3" w:rsidP="004A23B3">
      <w:pPr>
        <w:ind w:left="-630"/>
        <w:rPr>
          <w:rFonts w:ascii="Times New Roman" w:hAnsi="Times New Roman" w:cs="Times New Roman"/>
          <w:bCs/>
          <w:color w:val="7F7F7F" w:themeColor="text1" w:themeTint="80"/>
          <w:lang w:val="es-MX"/>
        </w:rPr>
      </w:pPr>
    </w:p>
    <w:p w14:paraId="279C0203" w14:textId="77777777" w:rsidR="004A23B3" w:rsidRPr="00F35D95" w:rsidRDefault="004A23B3" w:rsidP="004A23B3">
      <w:pPr>
        <w:ind w:left="-630"/>
        <w:rPr>
          <w:rFonts w:ascii="Times New Roman" w:hAnsi="Times New Roman" w:cs="Times New Roman"/>
          <w:bCs/>
          <w:color w:val="7F7F7F" w:themeColor="text1" w:themeTint="80"/>
          <w:lang w:val="es-MX"/>
        </w:rPr>
      </w:pPr>
    </w:p>
    <w:p w14:paraId="2705EE5B"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Debido a la especificidad de la temática nuclear y el contexto político </w:t>
      </w:r>
      <w:proofErr w:type="gramStart"/>
      <w:r w:rsidRPr="00F35D95">
        <w:rPr>
          <w:rFonts w:ascii="Times New Roman" w:hAnsi="Times New Roman" w:cs="Times New Roman"/>
          <w:bCs/>
          <w:color w:val="7F7F7F" w:themeColor="text1" w:themeTint="80"/>
          <w:lang w:val="es-MX"/>
        </w:rPr>
        <w:t>a los largo</w:t>
      </w:r>
      <w:proofErr w:type="gramEnd"/>
      <w:r w:rsidRPr="00F35D95">
        <w:rPr>
          <w:rFonts w:ascii="Times New Roman" w:hAnsi="Times New Roman" w:cs="Times New Roman"/>
          <w:bCs/>
          <w:color w:val="7F7F7F" w:themeColor="text1" w:themeTint="80"/>
          <w:lang w:val="es-MX"/>
        </w:rPr>
        <w:t xml:space="preserve"> de la ejecución del Proyecto resulto complejo la posibilidad de cumplir con determinados requerimiento de la normativa de adquisiciones del Banco Mundial (</w:t>
      </w:r>
      <w:proofErr w:type="spellStart"/>
      <w:r w:rsidRPr="00F35D95">
        <w:rPr>
          <w:rFonts w:ascii="Times New Roman" w:hAnsi="Times New Roman" w:cs="Times New Roman"/>
          <w:bCs/>
          <w:color w:val="7F7F7F" w:themeColor="text1" w:themeTint="80"/>
          <w:lang w:val="es-MX"/>
        </w:rPr>
        <w:t>ej</w:t>
      </w:r>
      <w:proofErr w:type="spellEnd"/>
      <w:r w:rsidRPr="00F35D95">
        <w:rPr>
          <w:rFonts w:ascii="Times New Roman" w:hAnsi="Times New Roman" w:cs="Times New Roman"/>
          <w:bCs/>
          <w:color w:val="7F7F7F" w:themeColor="text1" w:themeTint="80"/>
          <w:lang w:val="es-MX"/>
        </w:rPr>
        <w:t>: buena cantidad de procesos desiertos por falta de cotizaciones debido a las condiciones adversas del mercado, las restricciones a las importaciones, la imposibilidad de pagar en divisas, entro otros). En este sentido falta una política de adaptación de los requisitos normativos al contexto país.</w:t>
      </w:r>
    </w:p>
    <w:p w14:paraId="2995D48E" w14:textId="77777777" w:rsidR="004A23B3" w:rsidRPr="00F35D95" w:rsidRDefault="004A23B3" w:rsidP="004A23B3">
      <w:pPr>
        <w:ind w:left="-630"/>
        <w:rPr>
          <w:rFonts w:ascii="Times New Roman" w:hAnsi="Times New Roman" w:cs="Times New Roman"/>
          <w:bCs/>
          <w:color w:val="7F7F7F" w:themeColor="text1" w:themeTint="80"/>
          <w:lang w:val="es-MX"/>
        </w:rPr>
      </w:pPr>
    </w:p>
    <w:p w14:paraId="7408079A"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Otro aspecto importante fue el proceso inflacionario existente durante la ejecución del Préstamo, que en el contexto indicado en el párrafo anterior generaban trámites de muy larga duración, lo que implicó negociar prórrogas de entregas manteniendo las condiciones contractuales, con la consecuencia de los perjuicios económicos para los proveedores.  Esto trajo como consecuencia solicitud de cancelaciones de procesos, baja de proveedores que trabajaban con la institución, etc.</w:t>
      </w:r>
    </w:p>
    <w:p w14:paraId="73188BBD" w14:textId="77777777" w:rsidR="004A23B3" w:rsidRPr="00F35D95" w:rsidRDefault="004A23B3" w:rsidP="004A23B3">
      <w:pPr>
        <w:ind w:left="-630"/>
        <w:rPr>
          <w:rFonts w:ascii="Times New Roman" w:hAnsi="Times New Roman" w:cs="Times New Roman"/>
          <w:bCs/>
          <w:color w:val="7F7F7F" w:themeColor="text1" w:themeTint="80"/>
          <w:lang w:val="es-MX"/>
        </w:rPr>
      </w:pPr>
    </w:p>
    <w:p w14:paraId="0FB5C7FA"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Los pagos al exterior requerían de mucho esfuerzo administrativo y negociaciones con las autoridades de gobierno, la metodología de pago directo no fue posible utilizarse. Todo esto atento contra el normal desarrollo de las actividades planificadas. </w:t>
      </w:r>
    </w:p>
    <w:p w14:paraId="4BC56E1A" w14:textId="77777777" w:rsidR="004A23B3" w:rsidRPr="00F35D95" w:rsidRDefault="004A23B3" w:rsidP="004A23B3">
      <w:pPr>
        <w:ind w:left="-630"/>
        <w:rPr>
          <w:rFonts w:ascii="Times New Roman" w:hAnsi="Times New Roman" w:cs="Times New Roman"/>
          <w:bCs/>
          <w:color w:val="7F7F7F" w:themeColor="text1" w:themeTint="80"/>
          <w:lang w:val="es-MX"/>
        </w:rPr>
      </w:pPr>
    </w:p>
    <w:p w14:paraId="701DC2B2" w14:textId="77777777" w:rsidR="004A23B3" w:rsidRPr="00F35D95" w:rsidRDefault="004A23B3" w:rsidP="004A23B3">
      <w:pPr>
        <w:ind w:left="-630"/>
        <w:rPr>
          <w:rFonts w:ascii="Times New Roman" w:hAnsi="Times New Roman" w:cs="Times New Roman"/>
          <w:bCs/>
          <w:color w:val="7F7F7F" w:themeColor="text1" w:themeTint="80"/>
          <w:lang w:val="es-MX"/>
        </w:rPr>
      </w:pPr>
    </w:p>
    <w:p w14:paraId="40C30C0B"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Lecciones aprendidas</w:t>
      </w:r>
    </w:p>
    <w:p w14:paraId="15B1D2B2" w14:textId="77777777" w:rsidR="004A23B3" w:rsidRPr="00F35D95" w:rsidRDefault="004A23B3" w:rsidP="004A23B3">
      <w:pPr>
        <w:ind w:left="-630"/>
        <w:rPr>
          <w:rFonts w:ascii="Times New Roman" w:hAnsi="Times New Roman" w:cs="Times New Roman"/>
          <w:bCs/>
          <w:color w:val="7F7F7F" w:themeColor="text1" w:themeTint="80"/>
          <w:lang w:val="es-MX"/>
        </w:rPr>
      </w:pPr>
    </w:p>
    <w:p w14:paraId="61ECC231"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Ejecución de obras: </w:t>
      </w:r>
    </w:p>
    <w:p w14:paraId="52E2AF3C" w14:textId="77777777" w:rsidR="004A23B3" w:rsidRPr="00F35D95" w:rsidRDefault="004A23B3" w:rsidP="004A23B3">
      <w:pPr>
        <w:ind w:left="-630"/>
        <w:rPr>
          <w:rFonts w:ascii="Times New Roman" w:hAnsi="Times New Roman" w:cs="Times New Roman"/>
          <w:bCs/>
          <w:color w:val="7F7F7F" w:themeColor="text1" w:themeTint="80"/>
          <w:lang w:val="es-MX"/>
        </w:rPr>
      </w:pPr>
    </w:p>
    <w:p w14:paraId="5D697E0A" w14:textId="77777777" w:rsidR="004A23B3" w:rsidRPr="00F35D95" w:rsidRDefault="002C3F71" w:rsidP="00F35D95">
      <w:pPr>
        <w:ind w:hanging="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Se ha desarrollado el </w:t>
      </w:r>
      <w:proofErr w:type="spellStart"/>
      <w:r w:rsidRPr="00F35D95">
        <w:rPr>
          <w:rFonts w:ascii="Times New Roman" w:hAnsi="Times New Roman" w:cs="Times New Roman"/>
          <w:bCs/>
          <w:color w:val="7F7F7F" w:themeColor="text1" w:themeTint="80"/>
          <w:lang w:val="es-MX"/>
        </w:rPr>
        <w:t>expertise</w:t>
      </w:r>
      <w:proofErr w:type="spellEnd"/>
      <w:r w:rsidRPr="00F35D95">
        <w:rPr>
          <w:rFonts w:ascii="Times New Roman" w:hAnsi="Times New Roman" w:cs="Times New Roman"/>
          <w:bCs/>
          <w:color w:val="7F7F7F" w:themeColor="text1" w:themeTint="80"/>
          <w:lang w:val="es-MX"/>
        </w:rPr>
        <w:t xml:space="preserve"> necesario para la planificación, contratación y ejecución de obras de remediación.</w:t>
      </w:r>
    </w:p>
    <w:p w14:paraId="33153F64" w14:textId="77777777" w:rsidR="004A23B3" w:rsidRPr="00F35D95" w:rsidRDefault="002C3F71" w:rsidP="00F35D95">
      <w:pPr>
        <w:ind w:hanging="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Se desarrolló una metodología de trabajo de control de obra acorde a las necesidades posible de aplicarse en futuras obras de remediación.</w:t>
      </w:r>
    </w:p>
    <w:p w14:paraId="512DBF89" w14:textId="77777777" w:rsidR="004A23B3" w:rsidRPr="00F35D95" w:rsidRDefault="002C3F71" w:rsidP="00F35D95">
      <w:pPr>
        <w:ind w:hanging="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Se adquirió el entrenamiento para la elaboración de Especificaciones Técnicas de proyectos de obras.</w:t>
      </w:r>
    </w:p>
    <w:p w14:paraId="6319CD4C" w14:textId="77777777" w:rsidR="004A23B3" w:rsidRPr="00F35D95" w:rsidRDefault="002C3F71" w:rsidP="00F35D95">
      <w:pPr>
        <w:ind w:hanging="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Participación de autoridades, y representantes de los distintos organismos relacionados directa o indirectamente con el Proyecto.</w:t>
      </w:r>
    </w:p>
    <w:p w14:paraId="6FE5D757" w14:textId="77777777" w:rsidR="004A23B3" w:rsidRPr="00F35D95" w:rsidRDefault="004A23B3" w:rsidP="004A23B3">
      <w:pPr>
        <w:ind w:left="-630"/>
        <w:rPr>
          <w:rFonts w:ascii="Times New Roman" w:hAnsi="Times New Roman" w:cs="Times New Roman"/>
          <w:bCs/>
          <w:color w:val="7F7F7F" w:themeColor="text1" w:themeTint="80"/>
          <w:lang w:val="es-MX"/>
        </w:rPr>
      </w:pPr>
    </w:p>
    <w:p w14:paraId="5F8312A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Capacidad y voluntad para resolver situaciones durante el desarrollo de la Obra.</w:t>
      </w:r>
    </w:p>
    <w:p w14:paraId="42704A3E" w14:textId="77777777" w:rsidR="004A23B3" w:rsidRPr="00F35D95" w:rsidRDefault="004A23B3" w:rsidP="004A23B3">
      <w:pPr>
        <w:ind w:left="-630"/>
        <w:rPr>
          <w:rFonts w:ascii="Times New Roman" w:hAnsi="Times New Roman" w:cs="Times New Roman"/>
          <w:bCs/>
          <w:color w:val="7F7F7F" w:themeColor="text1" w:themeTint="80"/>
          <w:lang w:val="es-MX"/>
        </w:rPr>
      </w:pPr>
    </w:p>
    <w:p w14:paraId="68DD0CBB" w14:textId="77777777" w:rsidR="004A23B3" w:rsidRPr="00F35D95" w:rsidRDefault="002C3F71" w:rsidP="00F35D95">
      <w:pPr>
        <w:ind w:left="-90" w:hanging="54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Importancia de la supervisión por parte del ente financiador, como de entes y organismos de control locales, provinciales y nacionales.</w:t>
      </w:r>
    </w:p>
    <w:p w14:paraId="033E4478" w14:textId="77777777" w:rsidR="004A23B3" w:rsidRPr="00F35D95" w:rsidRDefault="004A23B3" w:rsidP="004A23B3">
      <w:pPr>
        <w:ind w:left="-630"/>
        <w:rPr>
          <w:rFonts w:ascii="Times New Roman" w:hAnsi="Times New Roman" w:cs="Times New Roman"/>
          <w:bCs/>
          <w:color w:val="7F7F7F" w:themeColor="text1" w:themeTint="80"/>
          <w:lang w:val="es-MX"/>
        </w:rPr>
      </w:pPr>
    </w:p>
    <w:p w14:paraId="06D55D9B"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Servicios de consultorías:</w:t>
      </w:r>
    </w:p>
    <w:p w14:paraId="4274A4A7" w14:textId="77777777" w:rsidR="004A23B3" w:rsidRPr="00F35D95" w:rsidRDefault="004A23B3" w:rsidP="004A23B3">
      <w:pPr>
        <w:ind w:left="-630"/>
        <w:rPr>
          <w:rFonts w:ascii="Times New Roman" w:hAnsi="Times New Roman" w:cs="Times New Roman"/>
          <w:bCs/>
          <w:color w:val="7F7F7F" w:themeColor="text1" w:themeTint="80"/>
          <w:lang w:val="es-MX"/>
        </w:rPr>
      </w:pPr>
    </w:p>
    <w:p w14:paraId="0FDD84FC"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La identificación de los productos esperados y su importancia en la definición de los </w:t>
      </w:r>
      <w:proofErr w:type="spellStart"/>
      <w:r w:rsidRPr="00F35D95">
        <w:rPr>
          <w:rFonts w:ascii="Times New Roman" w:hAnsi="Times New Roman" w:cs="Times New Roman"/>
          <w:bCs/>
          <w:color w:val="7F7F7F" w:themeColor="text1" w:themeTint="80"/>
          <w:lang w:val="es-MX"/>
        </w:rPr>
        <w:t>TdR</w:t>
      </w:r>
      <w:proofErr w:type="spellEnd"/>
      <w:r w:rsidRPr="00F35D95">
        <w:rPr>
          <w:rFonts w:ascii="Times New Roman" w:hAnsi="Times New Roman" w:cs="Times New Roman"/>
          <w:bCs/>
          <w:color w:val="7F7F7F" w:themeColor="text1" w:themeTint="80"/>
          <w:lang w:val="es-MX"/>
        </w:rPr>
        <w:t>.</w:t>
      </w:r>
    </w:p>
    <w:p w14:paraId="4043786F" w14:textId="77777777" w:rsidR="004A23B3" w:rsidRPr="00F35D95" w:rsidRDefault="002C3F71" w:rsidP="00F35D95">
      <w:pPr>
        <w:ind w:hanging="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Los procesos de evaluación técnico-financiera de las empresas participantes, logrando un aprendizaje para simplificar los expedientes futuros.</w:t>
      </w:r>
    </w:p>
    <w:p w14:paraId="77701FB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Interacción entre el personal técnico de PRAMU y especialistas de los contratistas.</w:t>
      </w:r>
    </w:p>
    <w:p w14:paraId="237D0D04"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Cumplimentar los requerimientos técnicos en relación a las normas del Banco Mundial.</w:t>
      </w:r>
    </w:p>
    <w:p w14:paraId="0F691704"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Dimensionar las acciones de implementación del Sistema SIGA.</w:t>
      </w:r>
    </w:p>
    <w:p w14:paraId="4DA4AFA5" w14:textId="77777777" w:rsidR="004A23B3" w:rsidRPr="00F35D95" w:rsidRDefault="004A23B3" w:rsidP="004A23B3">
      <w:pPr>
        <w:ind w:left="-630"/>
        <w:rPr>
          <w:rFonts w:ascii="Times New Roman" w:hAnsi="Times New Roman" w:cs="Times New Roman"/>
          <w:bCs/>
          <w:color w:val="7F7F7F" w:themeColor="text1" w:themeTint="80"/>
          <w:lang w:val="es-MX"/>
        </w:rPr>
      </w:pPr>
    </w:p>
    <w:p w14:paraId="41F339D0"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Puesta en Funcionamiento del Laboratorio de Córdoba</w:t>
      </w:r>
    </w:p>
    <w:p w14:paraId="2AFDB77B" w14:textId="77777777" w:rsidR="004A23B3" w:rsidRPr="00F35D95" w:rsidRDefault="004A23B3" w:rsidP="004A23B3">
      <w:pPr>
        <w:ind w:left="-630"/>
        <w:rPr>
          <w:rFonts w:ascii="Times New Roman" w:hAnsi="Times New Roman" w:cs="Times New Roman"/>
          <w:bCs/>
          <w:color w:val="7F7F7F" w:themeColor="text1" w:themeTint="80"/>
          <w:lang w:val="es-MX"/>
        </w:rPr>
      </w:pPr>
    </w:p>
    <w:p w14:paraId="6274B82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El equipo técnico del PRAMU ha desarrollado los conocimientos para la planificación de la puesta en funcionamiento de un laboratorio de estas características. </w:t>
      </w:r>
      <w:proofErr w:type="gramStart"/>
      <w:r w:rsidRPr="00F35D95">
        <w:rPr>
          <w:rFonts w:ascii="Times New Roman" w:hAnsi="Times New Roman" w:cs="Times New Roman"/>
          <w:bCs/>
          <w:color w:val="7F7F7F" w:themeColor="text1" w:themeTint="80"/>
          <w:lang w:val="es-MX"/>
        </w:rPr>
        <w:t>Asimismo</w:t>
      </w:r>
      <w:proofErr w:type="gramEnd"/>
      <w:r w:rsidRPr="00F35D95">
        <w:rPr>
          <w:rFonts w:ascii="Times New Roman" w:hAnsi="Times New Roman" w:cs="Times New Roman"/>
          <w:bCs/>
          <w:color w:val="7F7F7F" w:themeColor="text1" w:themeTint="80"/>
          <w:lang w:val="es-MX"/>
        </w:rPr>
        <w:t xml:space="preserve"> se fortalecieron los conocimientos para la planificación y ejecución de procesos de equipamiento. </w:t>
      </w:r>
    </w:p>
    <w:p w14:paraId="32C8D103" w14:textId="77777777" w:rsidR="004A23B3" w:rsidRPr="00F35D95" w:rsidRDefault="004A23B3" w:rsidP="004A23B3">
      <w:pPr>
        <w:ind w:left="-630"/>
        <w:rPr>
          <w:rFonts w:ascii="Times New Roman" w:hAnsi="Times New Roman" w:cs="Times New Roman"/>
          <w:bCs/>
          <w:color w:val="7F7F7F" w:themeColor="text1" w:themeTint="80"/>
          <w:lang w:val="es-MX"/>
        </w:rPr>
      </w:pPr>
    </w:p>
    <w:p w14:paraId="5D071FB4"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Desempeño</w:t>
      </w:r>
    </w:p>
    <w:p w14:paraId="75581E65" w14:textId="77777777" w:rsidR="004A23B3" w:rsidRPr="00F35D95" w:rsidRDefault="004A23B3" w:rsidP="004A23B3">
      <w:pPr>
        <w:ind w:left="-630"/>
        <w:rPr>
          <w:rFonts w:ascii="Times New Roman" w:hAnsi="Times New Roman" w:cs="Times New Roman"/>
          <w:bCs/>
          <w:color w:val="7F7F7F" w:themeColor="text1" w:themeTint="80"/>
          <w:lang w:val="es-MX"/>
        </w:rPr>
      </w:pPr>
    </w:p>
    <w:p w14:paraId="5092F90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Autoevaluación:</w:t>
      </w:r>
    </w:p>
    <w:p w14:paraId="3167A65B" w14:textId="77777777" w:rsidR="004A23B3" w:rsidRPr="00F35D95" w:rsidRDefault="004A23B3" w:rsidP="004A23B3">
      <w:pPr>
        <w:ind w:left="-630"/>
        <w:rPr>
          <w:rFonts w:ascii="Times New Roman" w:hAnsi="Times New Roman" w:cs="Times New Roman"/>
          <w:bCs/>
          <w:color w:val="7F7F7F" w:themeColor="text1" w:themeTint="80"/>
          <w:lang w:val="es-MX"/>
        </w:rPr>
      </w:pPr>
    </w:p>
    <w:p w14:paraId="7065C8B9"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En los aspectos fiduciarios, consideramos que el PRAMU ha podido resolver de manera satisfactoria las debilidades detectadas en la etapa de implementación. En función de los informes de organismo de control externo y de supervisión del Banco los procedimientos desarrollados fueron aceptables respecto del cumplimiento de la normativa, el soporte documental y elegibilidad. Es importante destacar la elaboración y ejecución del plan de acción, y controles en los procedimientos que se implementaron a lo largo de la ejecución del Proyecto en función de las recomendaciones. </w:t>
      </w:r>
    </w:p>
    <w:p w14:paraId="0BD24EFB"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Dentro de las debilidades podemos destacar que </w:t>
      </w:r>
      <w:proofErr w:type="gramStart"/>
      <w:r w:rsidRPr="00F35D95">
        <w:rPr>
          <w:rFonts w:ascii="Times New Roman" w:hAnsi="Times New Roman" w:cs="Times New Roman"/>
          <w:bCs/>
          <w:color w:val="7F7F7F" w:themeColor="text1" w:themeTint="80"/>
          <w:lang w:val="es-MX"/>
        </w:rPr>
        <w:t>los arreglos institucionales acordados para la ejecución del préstamo estableció</w:t>
      </w:r>
      <w:proofErr w:type="gramEnd"/>
      <w:r w:rsidRPr="00F35D95">
        <w:rPr>
          <w:rFonts w:ascii="Times New Roman" w:hAnsi="Times New Roman" w:cs="Times New Roman"/>
          <w:bCs/>
          <w:color w:val="7F7F7F" w:themeColor="text1" w:themeTint="80"/>
          <w:lang w:val="es-MX"/>
        </w:rPr>
        <w:t xml:space="preserve"> que la UEP debía apoyarse en procesos administrativos de la CNEA. Esta falta de independencia implicó un esfuerzo adicional para la tramitación de procesos importantes como la gestión del presupuesto, la gestión de pagos a contratistas y la gestión de importación de bienes.</w:t>
      </w:r>
    </w:p>
    <w:p w14:paraId="1E2CAAB5"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  </w:t>
      </w:r>
    </w:p>
    <w:p w14:paraId="329DAC15"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Desempeño del Banco Mundial</w:t>
      </w:r>
    </w:p>
    <w:p w14:paraId="65DF82A9" w14:textId="77777777" w:rsidR="004A23B3" w:rsidRPr="00F35D95" w:rsidRDefault="004A23B3" w:rsidP="004A23B3">
      <w:pPr>
        <w:ind w:left="-630"/>
        <w:rPr>
          <w:rFonts w:ascii="Times New Roman" w:hAnsi="Times New Roman" w:cs="Times New Roman"/>
          <w:bCs/>
          <w:color w:val="7F7F7F" w:themeColor="text1" w:themeTint="80"/>
          <w:lang w:val="es-MX"/>
        </w:rPr>
      </w:pPr>
    </w:p>
    <w:p w14:paraId="4AA46FDA"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En líneas generales, el Banco ha acompañado al Proyecto en la ejecución de sus procesos de manera satisfactoria. Particularmente el equipo de especialistas de la Representación Argentina que ha asistido en la búsqueda de alternativas aceptables para el Banco en relación a las debilidades del contexto país.</w:t>
      </w:r>
    </w:p>
    <w:p w14:paraId="2163CB99" w14:textId="77777777" w:rsidR="004A23B3" w:rsidRPr="00F35D95" w:rsidRDefault="004A23B3" w:rsidP="004A23B3">
      <w:pPr>
        <w:ind w:left="-630"/>
        <w:rPr>
          <w:rFonts w:ascii="Times New Roman" w:hAnsi="Times New Roman" w:cs="Times New Roman"/>
          <w:bCs/>
          <w:color w:val="7F7F7F" w:themeColor="text1" w:themeTint="80"/>
          <w:lang w:val="es-MX"/>
        </w:rPr>
      </w:pPr>
    </w:p>
    <w:p w14:paraId="0C86786A" w14:textId="77777777" w:rsidR="004A23B3" w:rsidRPr="00F35D95" w:rsidRDefault="002C3F71" w:rsidP="004A23B3">
      <w:pPr>
        <w:ind w:left="-630"/>
        <w:rPr>
          <w:rFonts w:ascii="Times New Roman" w:hAnsi="Times New Roman" w:cs="Times New Roman"/>
          <w:bCs/>
          <w:color w:val="7F7F7F" w:themeColor="text1" w:themeTint="80"/>
          <w:lang w:val="es-MX"/>
        </w:rPr>
      </w:pPr>
      <w:proofErr w:type="gramStart"/>
      <w:r w:rsidRPr="00F35D95">
        <w:rPr>
          <w:rFonts w:ascii="Times New Roman" w:hAnsi="Times New Roman" w:cs="Times New Roman"/>
          <w:bCs/>
          <w:color w:val="7F7F7F" w:themeColor="text1" w:themeTint="80"/>
          <w:lang w:val="es-MX"/>
        </w:rPr>
        <w:t>Asimismo</w:t>
      </w:r>
      <w:proofErr w:type="gramEnd"/>
      <w:r w:rsidRPr="00F35D95">
        <w:rPr>
          <w:rFonts w:ascii="Times New Roman" w:hAnsi="Times New Roman" w:cs="Times New Roman"/>
          <w:bCs/>
          <w:color w:val="7F7F7F" w:themeColor="text1" w:themeTint="80"/>
          <w:lang w:val="es-MX"/>
        </w:rPr>
        <w:t xml:space="preserve"> el Banco ha contribuido al fortalecimiento de los recursos humanos del PRAMU en las metodologías y las normas del organismo.</w:t>
      </w:r>
    </w:p>
    <w:p w14:paraId="1DC62718" w14:textId="77777777" w:rsidR="004A23B3" w:rsidRPr="00F35D95" w:rsidRDefault="004A23B3" w:rsidP="004A23B3">
      <w:pPr>
        <w:ind w:left="-630"/>
        <w:rPr>
          <w:rFonts w:ascii="Times New Roman" w:hAnsi="Times New Roman" w:cs="Times New Roman"/>
          <w:bCs/>
          <w:color w:val="7F7F7F" w:themeColor="text1" w:themeTint="80"/>
          <w:lang w:val="es-MX"/>
        </w:rPr>
      </w:pPr>
    </w:p>
    <w:p w14:paraId="55D67A1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Como sugerencias de mejoras podemos mencionar:</w:t>
      </w:r>
    </w:p>
    <w:p w14:paraId="2017A5CB" w14:textId="77777777" w:rsidR="004A23B3" w:rsidRPr="00F35D95" w:rsidRDefault="004A23B3" w:rsidP="004A23B3">
      <w:pPr>
        <w:ind w:left="-630"/>
        <w:rPr>
          <w:rFonts w:ascii="Times New Roman" w:hAnsi="Times New Roman" w:cs="Times New Roman"/>
          <w:bCs/>
          <w:color w:val="7F7F7F" w:themeColor="text1" w:themeTint="80"/>
          <w:lang w:val="es-MX"/>
        </w:rPr>
      </w:pPr>
    </w:p>
    <w:p w14:paraId="46402EDE"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Normativa: Se sugiere que el Banco realice una adecuación normativa al contexto país, ya que puede derivar en retrasos significativos en la ejecución del Proyecto. Ejemplo de esto se verificó en la garantía contractual solicitada para la obra de </w:t>
      </w:r>
      <w:proofErr w:type="spellStart"/>
      <w:r w:rsidRPr="00F35D95">
        <w:rPr>
          <w:rFonts w:ascii="Times New Roman" w:hAnsi="Times New Roman" w:cs="Times New Roman"/>
          <w:bCs/>
          <w:color w:val="7F7F7F" w:themeColor="text1" w:themeTint="80"/>
          <w:lang w:val="es-MX"/>
        </w:rPr>
        <w:t>remedicación</w:t>
      </w:r>
      <w:proofErr w:type="spellEnd"/>
      <w:r w:rsidRPr="00F35D95">
        <w:rPr>
          <w:rFonts w:ascii="Times New Roman" w:hAnsi="Times New Roman" w:cs="Times New Roman"/>
          <w:bCs/>
          <w:color w:val="7F7F7F" w:themeColor="text1" w:themeTint="80"/>
          <w:lang w:val="es-MX"/>
        </w:rPr>
        <w:t xml:space="preserve"> lo que derivó en una demora de inicio de actividades de casi un año.</w:t>
      </w:r>
    </w:p>
    <w:p w14:paraId="2752D77D"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Especialistas: El Banco propicia la intervención de especialistas en materias específicas que pueden demorar la aprobación de términos de referencia. Ejemplo: especialistas en comunicación y los </w:t>
      </w:r>
      <w:proofErr w:type="spellStart"/>
      <w:r w:rsidRPr="00F35D95">
        <w:rPr>
          <w:rFonts w:ascii="Times New Roman" w:hAnsi="Times New Roman" w:cs="Times New Roman"/>
          <w:bCs/>
          <w:color w:val="7F7F7F" w:themeColor="text1" w:themeTint="80"/>
          <w:lang w:val="es-MX"/>
        </w:rPr>
        <w:t>TdRs</w:t>
      </w:r>
      <w:proofErr w:type="spellEnd"/>
      <w:r w:rsidRPr="00F35D95">
        <w:rPr>
          <w:rFonts w:ascii="Times New Roman" w:hAnsi="Times New Roman" w:cs="Times New Roman"/>
          <w:bCs/>
          <w:color w:val="7F7F7F" w:themeColor="text1" w:themeTint="80"/>
          <w:lang w:val="es-MX"/>
        </w:rPr>
        <w:t xml:space="preserve"> de los estudios de percepción de la población y el caso de los </w:t>
      </w:r>
      <w:proofErr w:type="spellStart"/>
      <w:r w:rsidRPr="00F35D95">
        <w:rPr>
          <w:rFonts w:ascii="Times New Roman" w:hAnsi="Times New Roman" w:cs="Times New Roman"/>
          <w:bCs/>
          <w:color w:val="7F7F7F" w:themeColor="text1" w:themeTint="80"/>
          <w:lang w:val="es-MX"/>
        </w:rPr>
        <w:t>TdRs</w:t>
      </w:r>
      <w:proofErr w:type="spellEnd"/>
      <w:r w:rsidRPr="00F35D95">
        <w:rPr>
          <w:rFonts w:ascii="Times New Roman" w:hAnsi="Times New Roman" w:cs="Times New Roman"/>
          <w:bCs/>
          <w:color w:val="7F7F7F" w:themeColor="text1" w:themeTint="80"/>
          <w:lang w:val="es-MX"/>
        </w:rPr>
        <w:t xml:space="preserve"> de la contratación del diseño del Sistema SIGA. En ambos casos los especialistas realizaron sugerencias que no eran posibles en el contexto del Proyecto y derivó en demoras en la aprobación de los documentos de Pedidos de Propuestas. </w:t>
      </w:r>
    </w:p>
    <w:p w14:paraId="30218BE9"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Por el </w:t>
      </w:r>
      <w:proofErr w:type="gramStart"/>
      <w:r w:rsidRPr="00F35D95">
        <w:rPr>
          <w:rFonts w:ascii="Times New Roman" w:hAnsi="Times New Roman" w:cs="Times New Roman"/>
          <w:bCs/>
          <w:color w:val="7F7F7F" w:themeColor="text1" w:themeTint="80"/>
          <w:lang w:val="es-MX"/>
        </w:rPr>
        <w:t>contrario</w:t>
      </w:r>
      <w:proofErr w:type="gramEnd"/>
      <w:r w:rsidRPr="00F35D95">
        <w:rPr>
          <w:rFonts w:ascii="Times New Roman" w:hAnsi="Times New Roman" w:cs="Times New Roman"/>
          <w:bCs/>
          <w:color w:val="7F7F7F" w:themeColor="text1" w:themeTint="80"/>
          <w:lang w:val="es-MX"/>
        </w:rPr>
        <w:t xml:space="preserve"> el especialista que audito la obra de </w:t>
      </w:r>
      <w:proofErr w:type="spellStart"/>
      <w:r w:rsidRPr="00F35D95">
        <w:rPr>
          <w:rFonts w:ascii="Times New Roman" w:hAnsi="Times New Roman" w:cs="Times New Roman"/>
          <w:bCs/>
          <w:color w:val="7F7F7F" w:themeColor="text1" w:themeTint="80"/>
          <w:lang w:val="es-MX"/>
        </w:rPr>
        <w:t>Malargüe</w:t>
      </w:r>
      <w:proofErr w:type="spellEnd"/>
      <w:r w:rsidRPr="00F35D95">
        <w:rPr>
          <w:rFonts w:ascii="Times New Roman" w:hAnsi="Times New Roman" w:cs="Times New Roman"/>
          <w:bCs/>
          <w:color w:val="7F7F7F" w:themeColor="text1" w:themeTint="80"/>
          <w:lang w:val="es-MX"/>
        </w:rPr>
        <w:t xml:space="preserve"> fue de gran utilidad y ayuda en el seguimiento de la misma.</w:t>
      </w:r>
    </w:p>
    <w:p w14:paraId="120137A6" w14:textId="77777777" w:rsidR="004A23B3" w:rsidRPr="00F35D95" w:rsidRDefault="004A23B3" w:rsidP="004A23B3">
      <w:pPr>
        <w:ind w:left="-630"/>
        <w:rPr>
          <w:rFonts w:ascii="Times New Roman" w:hAnsi="Times New Roman" w:cs="Times New Roman"/>
          <w:bCs/>
          <w:color w:val="7F7F7F" w:themeColor="text1" w:themeTint="80"/>
          <w:lang w:val="es-MX"/>
        </w:rPr>
      </w:pPr>
    </w:p>
    <w:p w14:paraId="53C09227"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 xml:space="preserve">Planificación de las adquisiciones y contrataciones (PAC y sistema SEPA): </w:t>
      </w:r>
    </w:p>
    <w:p w14:paraId="1DB3BA8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i)</w:t>
      </w:r>
      <w:r w:rsidRPr="00F35D95">
        <w:rPr>
          <w:rFonts w:ascii="Times New Roman" w:hAnsi="Times New Roman" w:cs="Times New Roman"/>
          <w:bCs/>
          <w:color w:val="7F7F7F" w:themeColor="text1" w:themeTint="80"/>
          <w:lang w:val="es-MX"/>
        </w:rPr>
        <w:tab/>
        <w:t>El plan de adquisiciones y contrataciones, en determinados momentos de la ejecución del Proyecto, ha tenido retrasos significativos para su revisión y aprobación lo que condujo a retrasos en el inicio de determinados procesos de compra.</w:t>
      </w:r>
    </w:p>
    <w:p w14:paraId="1306ECFD"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ii)</w:t>
      </w:r>
      <w:r w:rsidRPr="00F35D95">
        <w:rPr>
          <w:rFonts w:ascii="Times New Roman" w:hAnsi="Times New Roman" w:cs="Times New Roman"/>
          <w:bCs/>
          <w:color w:val="7F7F7F" w:themeColor="text1" w:themeTint="80"/>
          <w:lang w:val="es-MX"/>
        </w:rPr>
        <w:tab/>
        <w:t xml:space="preserve"> Modificaciones en los umbrales de revisión: el Banco debería comunicar formalmente las modificaciones a los umbrales. </w:t>
      </w:r>
    </w:p>
    <w:p w14:paraId="0BBE5EA2"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iii)</w:t>
      </w:r>
      <w:r w:rsidRPr="00F35D95">
        <w:rPr>
          <w:rFonts w:ascii="Times New Roman" w:hAnsi="Times New Roman" w:cs="Times New Roman"/>
          <w:bCs/>
          <w:color w:val="7F7F7F" w:themeColor="text1" w:themeTint="80"/>
          <w:lang w:val="es-MX"/>
        </w:rPr>
        <w:tab/>
        <w:t xml:space="preserve"> Asimismo el sistema SEPA ha tenido una serie de problemas a lo largo de la ejecución del préstamo con una baja disponibilidad de soporte al usuario.</w:t>
      </w:r>
    </w:p>
    <w:p w14:paraId="21413396"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w:t>
      </w:r>
      <w:r w:rsidRPr="00F35D95">
        <w:rPr>
          <w:rFonts w:ascii="Times New Roman" w:hAnsi="Times New Roman" w:cs="Times New Roman"/>
          <w:bCs/>
          <w:color w:val="7F7F7F" w:themeColor="text1" w:themeTint="80"/>
          <w:lang w:val="es-MX"/>
        </w:rPr>
        <w:tab/>
        <w:t>Revisión posterior:</w:t>
      </w:r>
    </w:p>
    <w:p w14:paraId="5D64C6F3" w14:textId="77777777" w:rsidR="004A23B3" w:rsidRPr="00F35D95" w:rsidRDefault="002C3F71" w:rsidP="004A23B3">
      <w:pPr>
        <w:ind w:left="-630"/>
        <w:rPr>
          <w:rFonts w:ascii="Times New Roman" w:hAnsi="Times New Roman" w:cs="Times New Roman"/>
          <w:bCs/>
          <w:color w:val="7F7F7F" w:themeColor="text1" w:themeTint="80"/>
          <w:lang w:val="es-MX"/>
        </w:rPr>
      </w:pPr>
      <w:r w:rsidRPr="00F35D95">
        <w:rPr>
          <w:rFonts w:ascii="Times New Roman" w:hAnsi="Times New Roman" w:cs="Times New Roman"/>
          <w:bCs/>
          <w:color w:val="7F7F7F" w:themeColor="text1" w:themeTint="80"/>
          <w:lang w:val="es-MX"/>
        </w:rPr>
        <w:t xml:space="preserve"> El Banco debería compartir con el Proyecto los resultados de las supervisiones de los procesos de adquisiciones con el objeto de contar con las recomendaciones y oportunidades de mejora, y en caso de ser necesario, realizar comentarios sobre errores de interpretación o documentación obrante en los legajos.</w:t>
      </w:r>
    </w:p>
    <w:p w14:paraId="7E3140B9" w14:textId="77777777" w:rsidR="004A23B3" w:rsidRPr="00F35D95" w:rsidRDefault="004A23B3" w:rsidP="004A23B3">
      <w:pPr>
        <w:ind w:left="-630"/>
        <w:rPr>
          <w:rFonts w:ascii="Times New Roman" w:hAnsi="Times New Roman" w:cs="Times New Roman"/>
          <w:bCs/>
          <w:color w:val="7F7F7F" w:themeColor="text1" w:themeTint="80"/>
          <w:lang w:val="es-MX"/>
        </w:rPr>
      </w:pPr>
    </w:p>
    <w:p w14:paraId="428D015A" w14:textId="77777777" w:rsidR="004A23B3" w:rsidRPr="00F35D95" w:rsidRDefault="004A23B3" w:rsidP="004A23B3">
      <w:pPr>
        <w:ind w:left="-630"/>
        <w:rPr>
          <w:rFonts w:ascii="Times New Roman" w:hAnsi="Times New Roman" w:cs="Times New Roman"/>
          <w:bCs/>
          <w:color w:val="7F7F7F" w:themeColor="text1" w:themeTint="80"/>
          <w:lang w:val="es-MX"/>
        </w:rPr>
      </w:pPr>
    </w:p>
    <w:p w14:paraId="3679B52F" w14:textId="77777777" w:rsidR="004A23B3" w:rsidRPr="00F35D95" w:rsidRDefault="004A23B3" w:rsidP="004A23B3">
      <w:pPr>
        <w:ind w:left="-630"/>
        <w:rPr>
          <w:rFonts w:ascii="Times New Roman" w:hAnsi="Times New Roman" w:cs="Times New Roman"/>
          <w:bCs/>
          <w:color w:val="7F7F7F" w:themeColor="text1" w:themeTint="80"/>
          <w:lang w:val="es-MX"/>
        </w:rPr>
      </w:pPr>
    </w:p>
    <w:p w14:paraId="76289D98" w14:textId="77777777" w:rsidR="004A23B3" w:rsidRPr="00F35D95" w:rsidRDefault="004A23B3" w:rsidP="004A23B3">
      <w:pPr>
        <w:ind w:left="-630"/>
        <w:rPr>
          <w:rFonts w:ascii="Times New Roman" w:hAnsi="Times New Roman" w:cs="Times New Roman"/>
          <w:bCs/>
          <w:color w:val="auto"/>
          <w:lang w:val="es-MX"/>
        </w:rPr>
      </w:pPr>
    </w:p>
    <w:p w14:paraId="0F32C20A" w14:textId="77777777" w:rsidR="004A23B3" w:rsidRPr="00F35D95" w:rsidRDefault="004A23B3" w:rsidP="004A23B3">
      <w:pPr>
        <w:ind w:left="-630"/>
        <w:rPr>
          <w:rFonts w:ascii="Times New Roman" w:hAnsi="Times New Roman" w:cs="Times New Roman"/>
          <w:bCs/>
          <w:color w:val="auto"/>
          <w:lang w:val="es-MX"/>
        </w:rPr>
      </w:pPr>
    </w:p>
    <w:p w14:paraId="294AA9D0" w14:textId="77777777" w:rsidR="004A23B3" w:rsidRPr="004A23B3" w:rsidRDefault="004A23B3" w:rsidP="00A975F6">
      <w:pPr>
        <w:ind w:left="-630"/>
        <w:jc w:val="center"/>
        <w:rPr>
          <w:rFonts w:asciiTheme="minorHAnsi" w:hAnsiTheme="minorHAnsi"/>
          <w:bCs/>
          <w:color w:val="7F7F7F" w:themeColor="text1" w:themeTint="80"/>
          <w:sz w:val="22"/>
          <w:szCs w:val="22"/>
          <w:lang w:val="es-MX"/>
        </w:rPr>
      </w:pPr>
    </w:p>
    <w:p w14:paraId="30616289" w14:textId="77777777" w:rsidR="00D32F0B" w:rsidRPr="00F35D95" w:rsidRDefault="002C3F71" w:rsidP="00A975F6">
      <w:pPr>
        <w:ind w:left="-630"/>
        <w:rPr>
          <w:rFonts w:asciiTheme="minorHAnsi" w:hAnsiTheme="minorHAnsi"/>
          <w:bCs/>
          <w:color w:val="7F7F7F" w:themeColor="text1" w:themeTint="80"/>
          <w:sz w:val="22"/>
          <w:szCs w:val="22"/>
        </w:rPr>
      </w:pPr>
      <w:r w:rsidRPr="00F35D95">
        <w:rPr>
          <w:rFonts w:asciiTheme="minorHAnsi" w:hAnsiTheme="minorHAnsi"/>
          <w:bCs/>
          <w:color w:val="7F7F7F" w:themeColor="text1" w:themeTint="80"/>
          <w:sz w:val="22"/>
          <w:szCs w:val="22"/>
        </w:rPr>
        <w:t>+++++++++++++++++++++++++++++++++++++++++++++++++++++++++++++++++++++++++++++++++++++</w:t>
      </w:r>
    </w:p>
    <w:p w14:paraId="230DF0AC" w14:textId="77777777" w:rsidR="00D32F0B" w:rsidRDefault="00D32F0B" w:rsidP="00D32F0B">
      <w:pPr>
        <w:rPr>
          <w:rFonts w:eastAsia="Times New Roman"/>
        </w:rPr>
      </w:pPr>
    </w:p>
    <w:p w14:paraId="68D6B439" w14:textId="77777777" w:rsidR="00D32F0B" w:rsidRDefault="00D32F0B" w:rsidP="00D32F0B">
      <w:pPr>
        <w:rPr>
          <w:rFonts w:eastAsia="Times New Roman"/>
        </w:rPr>
      </w:pPr>
    </w:p>
    <w:p w14:paraId="0FCCE253" w14:textId="77777777" w:rsidR="00D32F0B" w:rsidRDefault="002C3F71" w:rsidP="00D32F0B">
      <w:pPr>
        <w:rPr>
          <w:rFonts w:ascii="Calibri" w:eastAsia="Times New Roman" w:hAnsi="Calibri" w:cs="Calibri"/>
          <w:color w:val="auto"/>
          <w:sz w:val="22"/>
          <w:szCs w:val="22"/>
        </w:rPr>
      </w:pPr>
      <w:r>
        <w:rPr>
          <w:rFonts w:eastAsia="Times New Roman"/>
        </w:rPr>
        <w:t>The Bank team received specific comments from the Borrower, which are greatly appreciated.  The team agree with the comments provided which are reflected through minor revisions in the current ICR text.</w:t>
      </w:r>
    </w:p>
    <w:p w14:paraId="4213480B" w14:textId="77777777" w:rsidR="00D32F0B" w:rsidRPr="00D32F0B" w:rsidRDefault="00D32F0B" w:rsidP="00A975F6">
      <w:pPr>
        <w:ind w:left="-630"/>
        <w:rPr>
          <w:rFonts w:asciiTheme="minorHAnsi" w:hAnsiTheme="minorHAnsi"/>
          <w:bCs/>
          <w:color w:val="7F7F7F" w:themeColor="text1" w:themeTint="80"/>
          <w:sz w:val="22"/>
          <w:szCs w:val="22"/>
        </w:rPr>
      </w:pPr>
    </w:p>
    <w:p w14:paraId="78BFA92E" w14:textId="77777777" w:rsidR="00A975F6" w:rsidRPr="00D32F0B" w:rsidRDefault="00A975F6" w:rsidP="00D67B87">
      <w:pPr>
        <w:ind w:left="-630"/>
        <w:rPr>
          <w:rFonts w:asciiTheme="minorHAnsi" w:hAnsiTheme="minorHAnsi"/>
          <w:bCs/>
          <w:color w:val="7F7F7F" w:themeColor="text1" w:themeTint="80"/>
          <w:sz w:val="22"/>
          <w:szCs w:val="22"/>
        </w:rPr>
      </w:pPr>
    </w:p>
    <w:p w14:paraId="6BCA4C15" w14:textId="77777777" w:rsidR="001B785D" w:rsidRPr="00D32F0B" w:rsidRDefault="002C3F71" w:rsidP="00D67B87">
      <w:pPr>
        <w:ind w:left="-630"/>
        <w:rPr>
          <w:rFonts w:asciiTheme="minorHAnsi" w:hAnsiTheme="minorHAnsi"/>
          <w:b/>
          <w:bCs/>
          <w:color w:val="7F7F7F" w:themeColor="text1" w:themeTint="80"/>
          <w:sz w:val="22"/>
          <w:szCs w:val="22"/>
        </w:rPr>
      </w:pPr>
      <w:r w:rsidRPr="00D32F0B">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E63776" w14:paraId="05CA5682" w14:textId="77777777" w:rsidTr="001D102A">
        <w:trPr>
          <w:trHeight w:val="432"/>
        </w:trPr>
        <w:tc>
          <w:tcPr>
            <w:tcW w:w="10903" w:type="dxa"/>
            <w:shd w:val="clear" w:color="auto" w:fill="F2F7FC"/>
            <w:vAlign w:val="center"/>
          </w:tcPr>
          <w:p w14:paraId="4AD5C3EE" w14:textId="77777777" w:rsidR="001B785D" w:rsidRPr="00D90F20" w:rsidRDefault="002C3F71" w:rsidP="0024113C">
            <w:pPr>
              <w:pStyle w:val="NoSpacing"/>
              <w:jc w:val="center"/>
              <w:outlineLvl w:val="0"/>
              <w:rPr>
                <w:rFonts w:asciiTheme="minorHAnsi" w:hAnsiTheme="minorHAnsi"/>
                <w:b/>
                <w:sz w:val="22"/>
                <w:szCs w:val="22"/>
              </w:rPr>
            </w:pPr>
            <w:bookmarkStart w:id="101" w:name="_Toc256000037"/>
            <w:bookmarkStart w:id="102" w:name="_Toc485984565"/>
            <w:bookmarkStart w:id="103" w:name="_Toc502164483"/>
            <w:r w:rsidRPr="001B785D">
              <w:rPr>
                <w:rFonts w:asciiTheme="minorHAnsi" w:hAnsiTheme="minorHAnsi"/>
                <w:b/>
                <w:color w:val="000000" w:themeColor="text1"/>
                <w:sz w:val="22"/>
                <w:szCs w:val="22"/>
              </w:rPr>
              <w:t>ANNEX 6. SUPPORTING DOCUMENTS (IF ANY)</w:t>
            </w:r>
            <w:bookmarkEnd w:id="101"/>
            <w:bookmarkEnd w:id="102"/>
            <w:bookmarkEnd w:id="103"/>
          </w:p>
        </w:tc>
      </w:tr>
    </w:tbl>
    <w:p w14:paraId="3E6572EC" w14:textId="77777777" w:rsidR="001B785D" w:rsidRDefault="001B785D" w:rsidP="00D67B87">
      <w:pPr>
        <w:ind w:left="-630"/>
        <w:rPr>
          <w:rFonts w:asciiTheme="minorHAnsi" w:hAnsiTheme="minorHAnsi"/>
          <w:bCs/>
          <w:color w:val="7F7F7F" w:themeColor="text1" w:themeTint="80"/>
          <w:sz w:val="22"/>
          <w:szCs w:val="22"/>
        </w:rPr>
      </w:pPr>
    </w:p>
    <w:tbl>
      <w:tblPr>
        <w:tblStyle w:val="TableGrid"/>
        <w:tblW w:w="1055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2790"/>
        <w:gridCol w:w="7754"/>
        <w:gridCol w:w="8"/>
      </w:tblGrid>
      <w:tr w:rsidR="00E63776" w14:paraId="13D81F21" w14:textId="77777777" w:rsidTr="00007B49">
        <w:trPr>
          <w:trHeight w:val="432"/>
        </w:trPr>
        <w:tc>
          <w:tcPr>
            <w:tcW w:w="10552" w:type="dxa"/>
            <w:gridSpan w:val="3"/>
            <w:tcBorders>
              <w:right w:val="single" w:sz="4" w:space="0" w:color="auto"/>
            </w:tcBorders>
            <w:shd w:val="clear" w:color="auto" w:fill="F2F7FC"/>
            <w:vAlign w:val="center"/>
          </w:tcPr>
          <w:p w14:paraId="54F69C54" w14:textId="77777777" w:rsidR="00215BCD" w:rsidRDefault="002C3F71">
            <w:pPr>
              <w:widowControl/>
              <w:autoSpaceDE/>
              <w:autoSpaceDN/>
              <w:adjustRightInd/>
              <w:spacing w:after="160" w:line="259" w:lineRule="auto"/>
            </w:pPr>
            <w:bookmarkStart w:id="104" w:name="_Toc500924618"/>
            <w:r w:rsidRPr="001B785D">
              <w:rPr>
                <w:rFonts w:asciiTheme="minorHAnsi" w:hAnsiTheme="minorHAnsi"/>
                <w:b/>
                <w:color w:val="000000" w:themeColor="text1"/>
                <w:sz w:val="22"/>
                <w:szCs w:val="22"/>
              </w:rPr>
              <w:t>ANNEX 6</w:t>
            </w:r>
            <w:bookmarkEnd w:id="104"/>
            <w:r>
              <w:rPr>
                <w:rFonts w:asciiTheme="minorHAnsi" w:hAnsiTheme="minorHAnsi"/>
                <w:b/>
                <w:color w:val="000000" w:themeColor="text1"/>
                <w:sz w:val="22"/>
                <w:szCs w:val="22"/>
              </w:rPr>
              <w:t xml:space="preserve">-A. Explanation of Changes in the Results Framework </w:t>
            </w:r>
          </w:p>
        </w:tc>
      </w:tr>
      <w:tr w:rsidR="00E63776" w14:paraId="2C9578E2"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9"/>
        </w:trPr>
        <w:tc>
          <w:tcPr>
            <w:tcW w:w="10552" w:type="dxa"/>
            <w:gridSpan w:val="3"/>
          </w:tcPr>
          <w:p w14:paraId="652EFBF2" w14:textId="77777777" w:rsidR="0095658C" w:rsidRDefault="002C3F71" w:rsidP="0095658C">
            <w:pPr>
              <w:jc w:val="both"/>
              <w:rPr>
                <w:rFonts w:asciiTheme="minorHAnsi" w:eastAsiaTheme="minorHAnsi" w:hAnsiTheme="minorHAnsi" w:cstheme="minorHAnsi"/>
                <w:color w:val="000000" w:themeColor="text1"/>
                <w:sz w:val="22"/>
                <w:szCs w:val="22"/>
              </w:rPr>
            </w:pPr>
            <w:r w:rsidRPr="005F1AE0">
              <w:rPr>
                <w:rFonts w:asciiTheme="minorHAnsi" w:eastAsiaTheme="minorHAnsi" w:hAnsiTheme="minorHAnsi" w:cstheme="minorBidi"/>
                <w:b/>
                <w:color w:val="7F7F7F" w:themeColor="text1" w:themeTint="80"/>
                <w:sz w:val="22"/>
                <w:szCs w:val="22"/>
              </w:rPr>
              <w:t>Objective/Outcome 1</w:t>
            </w:r>
            <w:r>
              <w:rPr>
                <w:rFonts w:asciiTheme="minorHAnsi" w:eastAsiaTheme="minorHAnsi" w:hAnsiTheme="minorHAnsi" w:cstheme="minorBidi"/>
                <w:b/>
                <w:color w:val="7F7F7F" w:themeColor="text1" w:themeTint="80"/>
                <w:sz w:val="22"/>
                <w:szCs w:val="22"/>
              </w:rPr>
              <w:t xml:space="preserve">: </w:t>
            </w:r>
            <w:r w:rsidRPr="00CE3621">
              <w:rPr>
                <w:rFonts w:asciiTheme="minorHAnsi" w:eastAsiaTheme="minorHAnsi" w:hAnsiTheme="minorHAnsi" w:cstheme="minorHAnsi"/>
                <w:color w:val="000000" w:themeColor="text1"/>
                <w:sz w:val="22"/>
                <w:szCs w:val="22"/>
              </w:rPr>
              <w:t>Strengthen the Government of Argentina’s capacity to assess and mitigate environmental risks associated with closed uranium mines, processing sites, and related mining sector investments, in accordance with international best practice.</w:t>
            </w:r>
          </w:p>
          <w:p w14:paraId="56844D47" w14:textId="77777777" w:rsidR="0095658C" w:rsidRDefault="002C3F71">
            <w:pPr>
              <w:widowControl/>
              <w:autoSpaceDE/>
              <w:autoSpaceDN/>
              <w:adjustRightInd/>
              <w:spacing w:after="160" w:line="259" w:lineRule="auto"/>
            </w:pPr>
            <w:r>
              <w:rPr>
                <w:rFonts w:asciiTheme="minorHAnsi" w:eastAsiaTheme="minorHAnsi" w:hAnsiTheme="minorHAnsi" w:cstheme="minorBidi"/>
                <w:b/>
                <w:color w:val="auto"/>
                <w:sz w:val="22"/>
                <w:szCs w:val="22"/>
              </w:rPr>
              <w:t xml:space="preserve"> </w:t>
            </w:r>
          </w:p>
        </w:tc>
      </w:tr>
      <w:tr w:rsidR="00E63776" w14:paraId="580CDCEC"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323"/>
        </w:trPr>
        <w:tc>
          <w:tcPr>
            <w:tcW w:w="2790" w:type="dxa"/>
          </w:tcPr>
          <w:p w14:paraId="7D4B32A4" w14:textId="77777777" w:rsidR="0095658C" w:rsidRPr="00AC4227" w:rsidRDefault="002C3F71" w:rsidP="0095658C">
            <w:pPr>
              <w:widowControl/>
              <w:autoSpaceDE/>
              <w:autoSpaceDN/>
              <w:adjustRightInd/>
              <w:rPr>
                <w:rFonts w:asciiTheme="minorHAnsi" w:eastAsiaTheme="minorHAnsi" w:hAnsiTheme="minorHAnsi" w:cstheme="minorBidi"/>
                <w:b/>
                <w:color w:val="auto"/>
                <w:sz w:val="22"/>
                <w:szCs w:val="22"/>
              </w:rPr>
            </w:pPr>
            <w:r w:rsidRPr="005F1AE0">
              <w:rPr>
                <w:rFonts w:asciiTheme="minorHAnsi" w:eastAsiaTheme="minorHAnsi" w:hAnsiTheme="minorHAnsi" w:cs="Times New Roman"/>
                <w:color w:val="auto"/>
                <w:sz w:val="22"/>
                <w:szCs w:val="22"/>
              </w:rPr>
              <w:t xml:space="preserve"> </w:t>
            </w:r>
            <w:r w:rsidRPr="00AC4227">
              <w:rPr>
                <w:rFonts w:asciiTheme="minorHAnsi" w:eastAsiaTheme="minorHAnsi" w:hAnsiTheme="minorHAnsi" w:cs="Times New Roman"/>
                <w:b/>
                <w:color w:val="auto"/>
                <w:sz w:val="22"/>
                <w:szCs w:val="22"/>
              </w:rPr>
              <w:t>Outcome Indicators</w:t>
            </w:r>
          </w:p>
        </w:tc>
        <w:tc>
          <w:tcPr>
            <w:tcW w:w="7754" w:type="dxa"/>
          </w:tcPr>
          <w:p w14:paraId="48E2B4CA"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All potential health and economic risks associated with at least four closed uranium sites to be addressed through credible implementation, with stakeholder buy-in, of site-specific remediation plans. </w:t>
            </w:r>
            <w:r w:rsidRPr="00496C00">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Mid-Term Review (MTR), </w:t>
            </w:r>
            <w:proofErr w:type="gramStart"/>
            <w:r>
              <w:rPr>
                <w:rFonts w:asciiTheme="minorHAnsi" w:eastAsiaTheme="minorHAnsi" w:hAnsiTheme="minorHAnsi" w:cstheme="minorBidi"/>
                <w:color w:val="auto"/>
                <w:sz w:val="22"/>
                <w:szCs w:val="22"/>
              </w:rPr>
              <w:t>according to</w:t>
            </w:r>
            <w:proofErr w:type="gramEnd"/>
            <w:r>
              <w:rPr>
                <w:rFonts w:asciiTheme="minorHAnsi" w:eastAsiaTheme="minorHAnsi" w:hAnsiTheme="minorHAnsi" w:cstheme="minorBidi"/>
                <w:color w:val="auto"/>
                <w:sz w:val="22"/>
                <w:szCs w:val="22"/>
              </w:rPr>
              <w:t xml:space="preserve"> Restructuring Paper of July 25, 2013. The original indicator was dropped because the Project never intended to finance remediation works in any site other than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Legacy issues would be identified in the seven other CNEA sites and possible remediation alternatives would be proposed, but risk mitigation measures were never intended as part of the approved activities to be financed. This indicator, therefore, was not consistent with the scope of the Project and dropping it does not impact the original objectives.</w:t>
            </w:r>
          </w:p>
          <w:p w14:paraId="3C3E82EC"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453173E5"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w:t>
            </w:r>
            <w:r w:rsidRPr="005F1AE0">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Measurable environmental risks reduced to acceptable levels in other sites or mining sector investments, particularly as relates to siting, monitoring and compliance, public disclosure, and management plans for future closings. </w:t>
            </w:r>
          </w:p>
          <w:p w14:paraId="15380211"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0B412E8"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AD2E32">
              <w:rPr>
                <w:rFonts w:asciiTheme="minorHAnsi" w:eastAsiaTheme="minorHAnsi" w:hAnsiTheme="minorHAnsi" w:cstheme="minorBidi"/>
                <w:color w:val="auto"/>
                <w:sz w:val="22"/>
                <w:szCs w:val="22"/>
              </w:rPr>
              <w:t>2.a</w:t>
            </w:r>
            <w:r>
              <w:rPr>
                <w:rFonts w:asciiTheme="minorHAnsi" w:eastAsiaTheme="minorHAnsi" w:hAnsiTheme="minorHAnsi" w:cstheme="minorBidi"/>
                <w:b/>
                <w:color w:val="auto"/>
                <w:sz w:val="22"/>
                <w:szCs w:val="22"/>
              </w:rPr>
              <w:t xml:space="preserve"> </w:t>
            </w:r>
            <w:r w:rsidRPr="00496C00">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following MTR as above to read: Environmental risks in other seven CNEA sites identified, management plans evaluated, disclosed and agreed with stakeholders. The reason for revision of this indicator was as follows. The wording of this indicator was vague. It was not clear what “other sites of mining sector investments” this indicator referred to, and how CNEA would have had an incidence on risk reduction measures at other sites outside its mandate. The indicator was revised to refer explicitly to sites for which CNEA holds responsibility.</w:t>
            </w:r>
          </w:p>
          <w:p w14:paraId="374601C2"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3BE4127"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2.b </w:t>
            </w:r>
            <w:r w:rsidRPr="00AD2E32">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at time of third restructuring to read: Environmental risks of Los </w:t>
            </w:r>
            <w:proofErr w:type="spellStart"/>
            <w:r>
              <w:rPr>
                <w:rFonts w:asciiTheme="minorHAnsi" w:eastAsiaTheme="minorHAnsi" w:hAnsiTheme="minorHAnsi" w:cstheme="minorBidi"/>
                <w:color w:val="auto"/>
                <w:sz w:val="22"/>
                <w:szCs w:val="22"/>
              </w:rPr>
              <w:t>Gigantes</w:t>
            </w:r>
            <w:proofErr w:type="spellEnd"/>
            <w:r>
              <w:rPr>
                <w:rFonts w:asciiTheme="minorHAnsi" w:eastAsiaTheme="minorHAnsi" w:hAnsiTheme="minorHAnsi" w:cstheme="minorBidi"/>
                <w:color w:val="auto"/>
                <w:sz w:val="22"/>
                <w:szCs w:val="22"/>
              </w:rPr>
              <w:t xml:space="preserve"> and El </w:t>
            </w:r>
            <w:proofErr w:type="spellStart"/>
            <w:r>
              <w:rPr>
                <w:rFonts w:asciiTheme="minorHAnsi" w:eastAsiaTheme="minorHAnsi" w:hAnsiTheme="minorHAnsi" w:cstheme="minorBidi"/>
                <w:color w:val="auto"/>
                <w:sz w:val="22"/>
                <w:szCs w:val="22"/>
              </w:rPr>
              <w:t>Cichón</w:t>
            </w:r>
            <w:proofErr w:type="spellEnd"/>
            <w:r>
              <w:rPr>
                <w:rFonts w:asciiTheme="minorHAnsi" w:eastAsiaTheme="minorHAnsi" w:hAnsiTheme="minorHAnsi" w:cstheme="minorBidi"/>
                <w:color w:val="auto"/>
                <w:sz w:val="22"/>
                <w:szCs w:val="22"/>
              </w:rPr>
              <w:t xml:space="preserve"> sites identified: baseline environmental studies completed; remediation plan consulted and agreed with authorities and engineering design completed.</w:t>
            </w:r>
          </w:p>
          <w:p w14:paraId="04D62833"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6D0D464"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2.c </w:t>
            </w:r>
            <w:r w:rsidRPr="00AD2E32">
              <w:rPr>
                <w:rFonts w:asciiTheme="minorHAnsi" w:eastAsiaTheme="minorHAnsi" w:hAnsiTheme="minorHAnsi" w:cstheme="minorBidi"/>
                <w:b/>
                <w:color w:val="auto"/>
                <w:sz w:val="22"/>
                <w:szCs w:val="22"/>
              </w:rPr>
              <w:t>Added</w:t>
            </w:r>
            <w:r>
              <w:rPr>
                <w:rFonts w:asciiTheme="minorHAnsi" w:eastAsiaTheme="minorHAnsi" w:hAnsiTheme="minorHAnsi" w:cstheme="minorBidi"/>
                <w:b/>
                <w:color w:val="auto"/>
                <w:sz w:val="22"/>
                <w:szCs w:val="22"/>
              </w:rPr>
              <w:t xml:space="preserve"> </w:t>
            </w:r>
            <w:r>
              <w:rPr>
                <w:rFonts w:asciiTheme="minorHAnsi" w:eastAsiaTheme="minorHAnsi" w:hAnsiTheme="minorHAnsi" w:cstheme="minorBidi"/>
                <w:color w:val="auto"/>
                <w:sz w:val="22"/>
                <w:szCs w:val="22"/>
              </w:rPr>
              <w:t>at time of third restructuring: Environmental risks of five other legacy sites (</w:t>
            </w:r>
            <w:proofErr w:type="spellStart"/>
            <w:r>
              <w:rPr>
                <w:rFonts w:asciiTheme="minorHAnsi" w:eastAsiaTheme="minorHAnsi" w:hAnsiTheme="minorHAnsi" w:cstheme="minorBidi"/>
                <w:color w:val="auto"/>
                <w:sz w:val="22"/>
                <w:szCs w:val="22"/>
              </w:rPr>
              <w:t>Tonc</w:t>
            </w:r>
            <w:r w:rsidR="00220D8D">
              <w:rPr>
                <w:rFonts w:asciiTheme="minorHAnsi" w:eastAsiaTheme="minorHAnsi" w:hAnsiTheme="minorHAnsi" w:cstheme="minorBidi"/>
                <w:color w:val="auto"/>
                <w:sz w:val="22"/>
                <w:szCs w:val="22"/>
              </w:rPr>
              <w:t>o</w:t>
            </w:r>
            <w:proofErr w:type="spellEnd"/>
            <w:r w:rsidR="00220D8D">
              <w:rPr>
                <w:rFonts w:asciiTheme="minorHAnsi" w:eastAsiaTheme="minorHAnsi" w:hAnsiTheme="minorHAnsi" w:cstheme="minorBidi"/>
                <w:color w:val="auto"/>
                <w:sz w:val="22"/>
                <w:szCs w:val="22"/>
              </w:rPr>
              <w:t xml:space="preserve">-Salta, </w:t>
            </w:r>
            <w:proofErr w:type="spellStart"/>
            <w:r w:rsidR="00220D8D">
              <w:rPr>
                <w:rFonts w:asciiTheme="minorHAnsi" w:eastAsiaTheme="minorHAnsi" w:hAnsiTheme="minorHAnsi" w:cstheme="minorBidi"/>
                <w:color w:val="auto"/>
                <w:sz w:val="22"/>
                <w:szCs w:val="22"/>
              </w:rPr>
              <w:t>Piciñán</w:t>
            </w:r>
            <w:proofErr w:type="spellEnd"/>
            <w:r w:rsidR="00220D8D">
              <w:rPr>
                <w:rFonts w:asciiTheme="minorHAnsi" w:eastAsiaTheme="minorHAnsi" w:hAnsiTheme="minorHAnsi" w:cstheme="minorBidi"/>
                <w:color w:val="auto"/>
                <w:sz w:val="22"/>
                <w:szCs w:val="22"/>
              </w:rPr>
              <w:t>-Chubut, La Est</w:t>
            </w:r>
            <w:r>
              <w:rPr>
                <w:rFonts w:asciiTheme="minorHAnsi" w:eastAsiaTheme="minorHAnsi" w:hAnsiTheme="minorHAnsi" w:cstheme="minorBidi"/>
                <w:color w:val="auto"/>
                <w:sz w:val="22"/>
                <w:szCs w:val="22"/>
              </w:rPr>
              <w:t xml:space="preserve">ela-San Luis, Los </w:t>
            </w:r>
            <w:proofErr w:type="spellStart"/>
            <w:r>
              <w:rPr>
                <w:rFonts w:asciiTheme="minorHAnsi" w:eastAsiaTheme="minorHAnsi" w:hAnsiTheme="minorHAnsi" w:cstheme="minorBidi"/>
                <w:color w:val="auto"/>
                <w:sz w:val="22"/>
                <w:szCs w:val="22"/>
              </w:rPr>
              <w:t>Colorados</w:t>
            </w:r>
            <w:proofErr w:type="spellEnd"/>
            <w:r>
              <w:rPr>
                <w:rFonts w:asciiTheme="minorHAnsi" w:eastAsiaTheme="minorHAnsi" w:hAnsiTheme="minorHAnsi" w:cstheme="minorBidi"/>
                <w:color w:val="auto"/>
                <w:sz w:val="22"/>
                <w:szCs w:val="22"/>
              </w:rPr>
              <w:t>-La Rioja, and Huemul-Mendoza) identified and baseline environmental studies completed.</w:t>
            </w:r>
          </w:p>
          <w:p w14:paraId="3470CC15"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6520D9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3. CNEA laboratories receive full ISO 17025 management system accreditation for its quality, administrative and technical operations.  </w:t>
            </w:r>
          </w:p>
          <w:p w14:paraId="74E0D430"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70393051"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AD2E32">
              <w:rPr>
                <w:rFonts w:asciiTheme="minorHAnsi" w:eastAsiaTheme="minorHAnsi" w:hAnsiTheme="minorHAnsi" w:cstheme="minorBidi"/>
                <w:color w:val="auto"/>
                <w:sz w:val="22"/>
                <w:szCs w:val="22"/>
              </w:rPr>
              <w:t>3.a</w:t>
            </w:r>
            <w:r>
              <w:rPr>
                <w:rFonts w:asciiTheme="minorHAnsi" w:eastAsiaTheme="minorHAnsi" w:hAnsiTheme="minorHAnsi" w:cstheme="minorBidi"/>
                <w:b/>
                <w:color w:val="auto"/>
                <w:sz w:val="22"/>
                <w:szCs w:val="22"/>
              </w:rPr>
              <w:t xml:space="preserve"> </w:t>
            </w:r>
            <w:r w:rsidRPr="00496C00">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following MTR as above to read: CNEA laboratories where PRAMU analysis (sic) are carried out implement ISO 17025 procedures for its quality, administrative and technical operations, and are accredited by COCALIN. The reason for revision of this indicator was as follows. CNEA’s laboratories that serve the Project and that provide management services will implement ISO 17025 procedures as originally proposed. However, accreditation will be sought from the Qualification Committee of Laboratories and Nuclear Facilities (COCALIN), not from ISO as stated in the PAD, in a manner consistent with CNEA’s accreditation procedures.</w:t>
            </w:r>
          </w:p>
          <w:p w14:paraId="5CFF8F6E"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532E607A"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3.b </w:t>
            </w:r>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at time of third restructuring to read: Number of CNEA laboratories accredited ISO 17025 to monitor water, air, soil, and radiological parameters.</w:t>
            </w:r>
          </w:p>
          <w:p w14:paraId="35380947"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41C8C448"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4. </w:t>
            </w:r>
            <w:r w:rsidRPr="00215EA3">
              <w:rPr>
                <w:rFonts w:asciiTheme="minorHAnsi" w:eastAsiaTheme="minorHAnsi" w:hAnsiTheme="minorHAnsi" w:cstheme="minorBidi"/>
                <w:b/>
                <w:color w:val="auto"/>
                <w:sz w:val="22"/>
                <w:szCs w:val="22"/>
              </w:rPr>
              <w:t>Added</w:t>
            </w:r>
            <w:r>
              <w:rPr>
                <w:rFonts w:asciiTheme="minorHAnsi" w:eastAsiaTheme="minorHAnsi" w:hAnsiTheme="minorHAnsi" w:cstheme="minorBidi"/>
                <w:color w:val="auto"/>
                <w:sz w:val="22"/>
                <w:szCs w:val="22"/>
              </w:rPr>
              <w:t xml:space="preserve"> following MTR as above: Environmental monitoring procedures for management of mining operations and/or former uranium mining sites have been transferred to government agencies.</w:t>
            </w:r>
          </w:p>
          <w:p w14:paraId="4E1ECFAD"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indicator was added </w:t>
            </w:r>
            <w:proofErr w:type="gramStart"/>
            <w:r>
              <w:rPr>
                <w:rFonts w:asciiTheme="minorHAnsi" w:eastAsiaTheme="minorHAnsi" w:hAnsiTheme="minorHAnsi" w:cstheme="minorBidi"/>
                <w:color w:val="auto"/>
                <w:sz w:val="22"/>
                <w:szCs w:val="22"/>
              </w:rPr>
              <w:t>in order to</w:t>
            </w:r>
            <w:proofErr w:type="gramEnd"/>
            <w:r>
              <w:rPr>
                <w:rFonts w:asciiTheme="minorHAnsi" w:eastAsiaTheme="minorHAnsi" w:hAnsiTheme="minorHAnsi" w:cstheme="minorBidi"/>
                <w:color w:val="auto"/>
                <w:sz w:val="22"/>
                <w:szCs w:val="22"/>
              </w:rPr>
              <w:t xml:space="preserve"> capture the institutional strengthening results of the Project.</w:t>
            </w:r>
          </w:p>
          <w:p w14:paraId="0F1211AB"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433C7D3A" w14:textId="77777777" w:rsidR="0095658C" w:rsidRPr="00F4094D"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4.a </w:t>
            </w:r>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at time of third restructuring to read: Number of governmental agencies, where legacy sites are located, trained on environmental monitoring procedures for management and supervision of mining operations or uranium legacy sites.</w:t>
            </w:r>
          </w:p>
          <w:p w14:paraId="029CE514"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tc>
      </w:tr>
      <w:tr w:rsidR="00E63776" w14:paraId="4917EE9D"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350"/>
        </w:trPr>
        <w:tc>
          <w:tcPr>
            <w:tcW w:w="2790" w:type="dxa"/>
          </w:tcPr>
          <w:p w14:paraId="00842D78" w14:textId="77777777" w:rsidR="0095658C" w:rsidRPr="00AC4227" w:rsidRDefault="002C3F71" w:rsidP="0095658C">
            <w:pPr>
              <w:widowControl/>
              <w:autoSpaceDE/>
              <w:autoSpaceDN/>
              <w:adjustRightInd/>
              <w:rPr>
                <w:rFonts w:asciiTheme="minorHAnsi" w:eastAsiaTheme="minorHAnsi" w:hAnsiTheme="minorHAnsi" w:cs="Times New Roman"/>
                <w:b/>
                <w:color w:val="auto"/>
                <w:sz w:val="22"/>
                <w:szCs w:val="22"/>
              </w:rPr>
            </w:pPr>
            <w:r w:rsidRPr="00AC4227">
              <w:rPr>
                <w:rFonts w:asciiTheme="minorHAnsi" w:eastAsiaTheme="minorHAnsi" w:hAnsiTheme="minorHAnsi" w:cs="Times New Roman"/>
                <w:b/>
                <w:color w:val="auto"/>
                <w:sz w:val="22"/>
                <w:szCs w:val="22"/>
              </w:rPr>
              <w:t>Intermediate Results Indicators</w:t>
            </w:r>
          </w:p>
        </w:tc>
        <w:tc>
          <w:tcPr>
            <w:tcW w:w="7754" w:type="dxa"/>
          </w:tcPr>
          <w:p w14:paraId="69D11601"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Number of sites with inventories and plans – including EIAs, engineering design and social assessments completed in accordance with established procedures.</w:t>
            </w:r>
          </w:p>
          <w:p w14:paraId="15461429"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C802822"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1.a Wording </w:t>
            </w:r>
            <w:r>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following MTR as above to read: Number of CNEA sites with completed assessments of legacy issues, engineering designs for remediation measures, environmental impact assessments under consultation. The reason for this revision was as follows: The wording of this indicator was vague. It was not explicitly stated which sites were being considered.  The revised indicator specifically refers to the CNEA sites.</w:t>
            </w:r>
          </w:p>
          <w:p w14:paraId="1B9085E2"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26CE74D"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1.b </w:t>
            </w:r>
            <w:proofErr w:type="gramStart"/>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 xml:space="preserve"> at</w:t>
            </w:r>
            <w:proofErr w:type="gramEnd"/>
            <w:r>
              <w:rPr>
                <w:rFonts w:asciiTheme="minorHAnsi" w:eastAsiaTheme="minorHAnsi" w:hAnsiTheme="minorHAnsi" w:cstheme="minorBidi"/>
                <w:color w:val="auto"/>
                <w:sz w:val="22"/>
                <w:szCs w:val="22"/>
              </w:rPr>
              <w:t xml:space="preserve"> the time of third restructuring to read: Number of the other seven CNEA sites (El </w:t>
            </w:r>
            <w:proofErr w:type="spellStart"/>
            <w:r>
              <w:rPr>
                <w:rFonts w:asciiTheme="minorHAnsi" w:eastAsiaTheme="minorHAnsi" w:hAnsiTheme="minorHAnsi" w:cstheme="minorBidi"/>
                <w:color w:val="auto"/>
                <w:sz w:val="22"/>
                <w:szCs w:val="22"/>
              </w:rPr>
              <w:t>Chichón</w:t>
            </w:r>
            <w:proofErr w:type="spellEnd"/>
            <w:r>
              <w:rPr>
                <w:rFonts w:asciiTheme="minorHAnsi" w:eastAsiaTheme="minorHAnsi" w:hAnsiTheme="minorHAnsi" w:cstheme="minorBidi"/>
                <w:color w:val="auto"/>
                <w:sz w:val="22"/>
                <w:szCs w:val="22"/>
              </w:rPr>
              <w:t xml:space="preserve">, Lost </w:t>
            </w:r>
            <w:proofErr w:type="spellStart"/>
            <w:r>
              <w:rPr>
                <w:rFonts w:asciiTheme="minorHAnsi" w:eastAsiaTheme="minorHAnsi" w:hAnsiTheme="minorHAnsi" w:cstheme="minorBidi"/>
                <w:color w:val="auto"/>
                <w:sz w:val="22"/>
                <w:szCs w:val="22"/>
              </w:rPr>
              <w:t>Gigantes</w:t>
            </w:r>
            <w:proofErr w:type="spellEnd"/>
            <w:r>
              <w:rPr>
                <w:rFonts w:asciiTheme="minorHAnsi" w:eastAsiaTheme="minorHAnsi" w:hAnsiTheme="minorHAnsi" w:cstheme="minorBidi"/>
                <w:color w:val="auto"/>
                <w:sz w:val="22"/>
                <w:szCs w:val="22"/>
              </w:rPr>
              <w:t xml:space="preserve">, </w:t>
            </w:r>
            <w:proofErr w:type="spellStart"/>
            <w:r>
              <w:rPr>
                <w:rFonts w:asciiTheme="minorHAnsi" w:eastAsiaTheme="minorHAnsi" w:hAnsiTheme="minorHAnsi" w:cstheme="minorBidi"/>
                <w:color w:val="auto"/>
                <w:sz w:val="22"/>
                <w:szCs w:val="22"/>
              </w:rPr>
              <w:t>Tonco</w:t>
            </w:r>
            <w:proofErr w:type="spellEnd"/>
            <w:r>
              <w:rPr>
                <w:rFonts w:asciiTheme="minorHAnsi" w:eastAsiaTheme="minorHAnsi" w:hAnsiTheme="minorHAnsi" w:cstheme="minorBidi"/>
                <w:color w:val="auto"/>
                <w:sz w:val="22"/>
                <w:szCs w:val="22"/>
              </w:rPr>
              <w:t xml:space="preserve">, </w:t>
            </w:r>
            <w:proofErr w:type="spellStart"/>
            <w:r>
              <w:rPr>
                <w:rFonts w:asciiTheme="minorHAnsi" w:eastAsiaTheme="minorHAnsi" w:hAnsiTheme="minorHAnsi" w:cstheme="minorBidi"/>
                <w:color w:val="auto"/>
                <w:sz w:val="22"/>
                <w:szCs w:val="22"/>
              </w:rPr>
              <w:t>Pichiñan</w:t>
            </w:r>
            <w:proofErr w:type="spellEnd"/>
            <w:r>
              <w:rPr>
                <w:rFonts w:asciiTheme="minorHAnsi" w:eastAsiaTheme="minorHAnsi" w:hAnsiTheme="minorHAnsi" w:cstheme="minorBidi"/>
                <w:color w:val="auto"/>
                <w:sz w:val="22"/>
                <w:szCs w:val="22"/>
              </w:rPr>
              <w:t xml:space="preserve">, La Estela, Los </w:t>
            </w:r>
            <w:proofErr w:type="spellStart"/>
            <w:r>
              <w:rPr>
                <w:rFonts w:asciiTheme="minorHAnsi" w:eastAsiaTheme="minorHAnsi" w:hAnsiTheme="minorHAnsi" w:cstheme="minorBidi"/>
                <w:color w:val="auto"/>
                <w:sz w:val="22"/>
                <w:szCs w:val="22"/>
              </w:rPr>
              <w:t>Colorados</w:t>
            </w:r>
            <w:proofErr w:type="spellEnd"/>
            <w:r>
              <w:rPr>
                <w:rFonts w:asciiTheme="minorHAnsi" w:eastAsiaTheme="minorHAnsi" w:hAnsiTheme="minorHAnsi" w:cstheme="minorBidi"/>
                <w:color w:val="auto"/>
                <w:sz w:val="22"/>
                <w:szCs w:val="22"/>
              </w:rPr>
              <w:t>, Huemul) with environment evaluation of legacy issues.</w:t>
            </w:r>
          </w:p>
          <w:p w14:paraId="76F23149" w14:textId="77777777" w:rsidR="0095658C" w:rsidRPr="00DC2FF5" w:rsidRDefault="0095658C" w:rsidP="0095658C">
            <w:pPr>
              <w:widowControl/>
              <w:autoSpaceDE/>
              <w:autoSpaceDN/>
              <w:adjustRightInd/>
              <w:rPr>
                <w:rFonts w:asciiTheme="minorHAnsi" w:eastAsiaTheme="minorHAnsi" w:hAnsiTheme="minorHAnsi" w:cstheme="minorBidi"/>
                <w:color w:val="auto"/>
                <w:sz w:val="22"/>
                <w:szCs w:val="22"/>
              </w:rPr>
            </w:pPr>
          </w:p>
          <w:p w14:paraId="4459C630"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2.</w:t>
            </w:r>
            <w:r>
              <w:rPr>
                <w:rFonts w:asciiTheme="minorHAnsi" w:eastAsiaTheme="minorHAnsi" w:hAnsiTheme="minorHAnsi" w:cstheme="minorBidi"/>
                <w:color w:val="auto"/>
                <w:sz w:val="22"/>
                <w:szCs w:val="22"/>
              </w:rPr>
              <w:t xml:space="preserve"> Number of sites obtaining “DIA” and other authorizations granted to authorize works. </w:t>
            </w:r>
            <w:r>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MTR as above. This indicator was dropped because, as noted above, the implementation of remediation measures at seven other sites was never contemplated under the Project. Therefore, licensing and financing of these remediation measures falls outside the scope of what can be achieved under the Project.</w:t>
            </w:r>
          </w:p>
          <w:p w14:paraId="43150544"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877D5C7"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3. Number of sites with confirmed financing for remediation works. </w:t>
            </w:r>
            <w:r>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MTR as above. This indicator was dropped for the same reason as the previous indicator.</w:t>
            </w:r>
          </w:p>
          <w:p w14:paraId="4850DF20"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18CB26E"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4. Proportion of institutional needs assessments and action plans completed</w:t>
            </w:r>
            <w:r w:rsidRPr="00496C00">
              <w:rPr>
                <w:rFonts w:asciiTheme="minorHAnsi" w:eastAsiaTheme="minorHAnsi" w:hAnsiTheme="minorHAnsi" w:cstheme="minorBidi"/>
                <w:b/>
                <w:color w:val="auto"/>
                <w:sz w:val="22"/>
                <w:szCs w:val="22"/>
              </w:rPr>
              <w:t>.  Revised and combined</w:t>
            </w:r>
            <w:r>
              <w:rPr>
                <w:rFonts w:asciiTheme="minorHAnsi" w:eastAsiaTheme="minorHAnsi" w:hAnsiTheme="minorHAnsi" w:cstheme="minorBidi"/>
                <w:color w:val="auto"/>
                <w:sz w:val="22"/>
                <w:szCs w:val="22"/>
              </w:rPr>
              <w:t xml:space="preserve"> with initial intermediate outcome indicator 5 (see next item below)</w:t>
            </w:r>
          </w:p>
          <w:p w14:paraId="6DA5FDB3"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402B0C5"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5. Proportion of units implementing institutional strengthening plans in accordance with action plans. </w:t>
            </w:r>
            <w:r>
              <w:rPr>
                <w:rFonts w:asciiTheme="minorHAnsi" w:eastAsiaTheme="minorHAnsi" w:hAnsiTheme="minorHAnsi" w:cstheme="minorBidi"/>
                <w:b/>
                <w:color w:val="auto"/>
                <w:sz w:val="22"/>
                <w:szCs w:val="22"/>
              </w:rPr>
              <w:t xml:space="preserve">Revised and combined </w:t>
            </w:r>
            <w:r>
              <w:rPr>
                <w:rFonts w:asciiTheme="minorHAnsi" w:eastAsiaTheme="minorHAnsi" w:hAnsiTheme="minorHAnsi" w:cstheme="minorBidi"/>
                <w:color w:val="auto"/>
                <w:sz w:val="22"/>
                <w:szCs w:val="22"/>
              </w:rPr>
              <w:t xml:space="preserve">with initial intermediate outcome indicator 4 (see above) which was </w:t>
            </w:r>
            <w:r w:rsidRPr="002F6B5C">
              <w:rPr>
                <w:rFonts w:asciiTheme="minorHAnsi" w:eastAsiaTheme="minorHAnsi" w:hAnsiTheme="minorHAnsi" w:cstheme="minorBidi"/>
                <w:b/>
                <w:color w:val="auto"/>
                <w:sz w:val="22"/>
                <w:szCs w:val="22"/>
              </w:rPr>
              <w:t>Added</w:t>
            </w:r>
            <w:r>
              <w:rPr>
                <w:rFonts w:asciiTheme="minorHAnsi" w:eastAsiaTheme="minorHAnsi" w:hAnsiTheme="minorHAnsi" w:cstheme="minorBidi"/>
                <w:color w:val="auto"/>
                <w:sz w:val="22"/>
                <w:szCs w:val="22"/>
              </w:rPr>
              <w:t xml:space="preserve"> to read:  Number of CNEA laboratories with installed capacity for monitoring environmental parameters (including radiological) on water, soil and air samples, which are accredited by COCALIN.</w:t>
            </w:r>
          </w:p>
          <w:p w14:paraId="4644290B"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FE75CA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5.a </w:t>
            </w:r>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at the time of third restructuring to read: Number of CNEA laboratories with installed capacity for monitoring environmental parameters (including radiological) on water, soil and air samples, which are accredited by COCALIN.</w:t>
            </w:r>
          </w:p>
          <w:p w14:paraId="29DAE583"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4DA3A0D1" w14:textId="77777777" w:rsidR="0095658C" w:rsidRPr="00DC2FF5"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6. </w:t>
            </w:r>
            <w:r>
              <w:rPr>
                <w:rFonts w:asciiTheme="minorHAnsi" w:eastAsiaTheme="minorHAnsi" w:hAnsiTheme="minorHAnsi" w:cstheme="minorBidi"/>
                <w:b/>
                <w:color w:val="auto"/>
                <w:sz w:val="22"/>
                <w:szCs w:val="22"/>
              </w:rPr>
              <w:t xml:space="preserve">Added </w:t>
            </w:r>
            <w:r>
              <w:rPr>
                <w:rFonts w:asciiTheme="minorHAnsi" w:eastAsiaTheme="minorHAnsi" w:hAnsiTheme="minorHAnsi" w:cstheme="minorBidi"/>
                <w:color w:val="auto"/>
                <w:sz w:val="22"/>
                <w:szCs w:val="22"/>
              </w:rPr>
              <w:t>at the time of third restructuring: Number of the other seven CNEA sites with remediation designs completed.</w:t>
            </w:r>
          </w:p>
          <w:p w14:paraId="195D3DAE" w14:textId="77777777" w:rsidR="0095658C" w:rsidRPr="00DC2FF5" w:rsidRDefault="0095658C" w:rsidP="0095658C">
            <w:pPr>
              <w:widowControl/>
              <w:autoSpaceDE/>
              <w:autoSpaceDN/>
              <w:adjustRightInd/>
              <w:rPr>
                <w:rFonts w:asciiTheme="minorHAnsi" w:eastAsiaTheme="minorHAnsi" w:hAnsiTheme="minorHAnsi" w:cstheme="minorBidi"/>
                <w:color w:val="auto"/>
                <w:sz w:val="22"/>
                <w:szCs w:val="22"/>
              </w:rPr>
            </w:pPr>
          </w:p>
          <w:p w14:paraId="29140831"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7. Number and type of non-uranium mine sites where new procedures are utilized.  </w:t>
            </w:r>
            <w:r>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MTR as above. This indicator was dropped because it was vague and did not capture the results of any activity financed under the Project.</w:t>
            </w:r>
          </w:p>
          <w:p w14:paraId="008AFA53"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EB1F04E"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8. Evidence that new procedures are developed in accordance with good international practice. </w:t>
            </w:r>
            <w:r>
              <w:rPr>
                <w:rFonts w:asciiTheme="minorHAnsi" w:eastAsiaTheme="minorHAnsi" w:hAnsiTheme="minorHAnsi" w:cstheme="minorBidi"/>
                <w:b/>
                <w:color w:val="auto"/>
                <w:sz w:val="22"/>
                <w:szCs w:val="22"/>
              </w:rPr>
              <w:t xml:space="preserve">Dropped </w:t>
            </w:r>
            <w:r>
              <w:rPr>
                <w:rFonts w:asciiTheme="minorHAnsi" w:eastAsiaTheme="minorHAnsi" w:hAnsiTheme="minorHAnsi" w:cstheme="minorBidi"/>
                <w:color w:val="auto"/>
                <w:sz w:val="22"/>
                <w:szCs w:val="22"/>
              </w:rPr>
              <w:t>following MTR as above. This indicator was dropped for the same reason as the previous one.</w:t>
            </w:r>
          </w:p>
          <w:p w14:paraId="3B5CDC58"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747DF2A8"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9. Proportion of CNEA project sites where environmental policies are defined and applied in a transparent, inclusive, and technically high-quality manner. </w:t>
            </w:r>
            <w:r>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MTR as above and replaced with new indicator immediately below.  This indicator was dropped and replaced by one (see the next indicator below) that explicitly captures the environmental management activities that will be financed at the other sites.</w:t>
            </w:r>
          </w:p>
          <w:p w14:paraId="1ED31D4E"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417FFFF"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10. </w:t>
            </w:r>
            <w:r w:rsidRPr="00702B66">
              <w:rPr>
                <w:rFonts w:asciiTheme="minorHAnsi" w:eastAsiaTheme="minorHAnsi" w:hAnsiTheme="minorHAnsi" w:cstheme="minorBidi"/>
                <w:b/>
                <w:color w:val="auto"/>
                <w:sz w:val="22"/>
                <w:szCs w:val="22"/>
              </w:rPr>
              <w:t>Added</w:t>
            </w:r>
            <w:r>
              <w:rPr>
                <w:rFonts w:asciiTheme="minorHAnsi" w:eastAsiaTheme="minorHAnsi" w:hAnsiTheme="minorHAnsi" w:cstheme="minorBidi"/>
                <w:color w:val="auto"/>
                <w:sz w:val="22"/>
                <w:szCs w:val="22"/>
              </w:rPr>
              <w:t xml:space="preserve"> following MTR as above: Number of CNEA sites with completed assessments of legacy issues, engineering designs for remediation measures, environmental impact assessments under consultation. </w:t>
            </w:r>
          </w:p>
          <w:p w14:paraId="47C49820"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5C0CF032"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10.a </w:t>
            </w:r>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 xml:space="preserve">at the time of third restructuring to read: Number of other seven CNEA sites (El </w:t>
            </w:r>
            <w:proofErr w:type="spellStart"/>
            <w:r>
              <w:rPr>
                <w:rFonts w:asciiTheme="minorHAnsi" w:eastAsiaTheme="minorHAnsi" w:hAnsiTheme="minorHAnsi" w:cstheme="minorBidi"/>
                <w:color w:val="auto"/>
                <w:sz w:val="22"/>
                <w:szCs w:val="22"/>
              </w:rPr>
              <w:t>Chichón</w:t>
            </w:r>
            <w:proofErr w:type="spellEnd"/>
            <w:r>
              <w:rPr>
                <w:rFonts w:asciiTheme="minorHAnsi" w:eastAsiaTheme="minorHAnsi" w:hAnsiTheme="minorHAnsi" w:cstheme="minorBidi"/>
                <w:color w:val="auto"/>
                <w:sz w:val="22"/>
                <w:szCs w:val="22"/>
              </w:rPr>
              <w:t xml:space="preserve">, Los </w:t>
            </w:r>
            <w:proofErr w:type="spellStart"/>
            <w:r>
              <w:rPr>
                <w:rFonts w:asciiTheme="minorHAnsi" w:eastAsiaTheme="minorHAnsi" w:hAnsiTheme="minorHAnsi" w:cstheme="minorBidi"/>
                <w:color w:val="auto"/>
                <w:sz w:val="22"/>
                <w:szCs w:val="22"/>
              </w:rPr>
              <w:t>Gi</w:t>
            </w:r>
            <w:r w:rsidR="00220D8D">
              <w:rPr>
                <w:rFonts w:asciiTheme="minorHAnsi" w:eastAsiaTheme="minorHAnsi" w:hAnsiTheme="minorHAnsi" w:cstheme="minorBidi"/>
                <w:color w:val="auto"/>
                <w:sz w:val="22"/>
                <w:szCs w:val="22"/>
              </w:rPr>
              <w:t>gantes</w:t>
            </w:r>
            <w:proofErr w:type="spellEnd"/>
            <w:r w:rsidR="00220D8D">
              <w:rPr>
                <w:rFonts w:asciiTheme="minorHAnsi" w:eastAsiaTheme="minorHAnsi" w:hAnsiTheme="minorHAnsi" w:cstheme="minorBidi"/>
                <w:color w:val="auto"/>
                <w:sz w:val="22"/>
                <w:szCs w:val="22"/>
              </w:rPr>
              <w:t xml:space="preserve">, </w:t>
            </w:r>
            <w:proofErr w:type="spellStart"/>
            <w:r w:rsidR="00220D8D">
              <w:rPr>
                <w:rFonts w:asciiTheme="minorHAnsi" w:eastAsiaTheme="minorHAnsi" w:hAnsiTheme="minorHAnsi" w:cstheme="minorBidi"/>
                <w:color w:val="auto"/>
                <w:sz w:val="22"/>
                <w:szCs w:val="22"/>
              </w:rPr>
              <w:t>Tonco</w:t>
            </w:r>
            <w:proofErr w:type="spellEnd"/>
            <w:r w:rsidR="00220D8D">
              <w:rPr>
                <w:rFonts w:asciiTheme="minorHAnsi" w:eastAsiaTheme="minorHAnsi" w:hAnsiTheme="minorHAnsi" w:cstheme="minorBidi"/>
                <w:color w:val="auto"/>
                <w:sz w:val="22"/>
                <w:szCs w:val="22"/>
              </w:rPr>
              <w:t xml:space="preserve">, </w:t>
            </w:r>
            <w:proofErr w:type="spellStart"/>
            <w:r w:rsidR="00220D8D">
              <w:rPr>
                <w:rFonts w:asciiTheme="minorHAnsi" w:eastAsiaTheme="minorHAnsi" w:hAnsiTheme="minorHAnsi" w:cstheme="minorBidi"/>
                <w:color w:val="auto"/>
                <w:sz w:val="22"/>
                <w:szCs w:val="22"/>
              </w:rPr>
              <w:t>Pichiñan</w:t>
            </w:r>
            <w:proofErr w:type="spellEnd"/>
            <w:r w:rsidR="00220D8D">
              <w:rPr>
                <w:rFonts w:asciiTheme="minorHAnsi" w:eastAsiaTheme="minorHAnsi" w:hAnsiTheme="minorHAnsi" w:cstheme="minorBidi"/>
                <w:color w:val="auto"/>
                <w:sz w:val="22"/>
                <w:szCs w:val="22"/>
              </w:rPr>
              <w:t>, La Est</w:t>
            </w:r>
            <w:r>
              <w:rPr>
                <w:rFonts w:asciiTheme="minorHAnsi" w:eastAsiaTheme="minorHAnsi" w:hAnsiTheme="minorHAnsi" w:cstheme="minorBidi"/>
                <w:color w:val="auto"/>
                <w:sz w:val="22"/>
                <w:szCs w:val="22"/>
              </w:rPr>
              <w:t xml:space="preserve">ela, Los </w:t>
            </w:r>
            <w:proofErr w:type="spellStart"/>
            <w:r>
              <w:rPr>
                <w:rFonts w:asciiTheme="minorHAnsi" w:eastAsiaTheme="minorHAnsi" w:hAnsiTheme="minorHAnsi" w:cstheme="minorBidi"/>
                <w:color w:val="auto"/>
                <w:sz w:val="22"/>
                <w:szCs w:val="22"/>
              </w:rPr>
              <w:t>Colorados</w:t>
            </w:r>
            <w:proofErr w:type="spellEnd"/>
            <w:r>
              <w:rPr>
                <w:rFonts w:asciiTheme="minorHAnsi" w:eastAsiaTheme="minorHAnsi" w:hAnsiTheme="minorHAnsi" w:cstheme="minorBidi"/>
                <w:color w:val="auto"/>
                <w:sz w:val="22"/>
                <w:szCs w:val="22"/>
              </w:rPr>
              <w:t>, Huemul) with environment evaluation of legacy issues.</w:t>
            </w:r>
          </w:p>
          <w:p w14:paraId="77678F91" w14:textId="77777777" w:rsidR="0095658C" w:rsidRPr="00177C18" w:rsidRDefault="0095658C" w:rsidP="0095658C">
            <w:pPr>
              <w:widowControl/>
              <w:autoSpaceDE/>
              <w:autoSpaceDN/>
              <w:adjustRightInd/>
              <w:rPr>
                <w:rFonts w:asciiTheme="minorHAnsi" w:eastAsiaTheme="minorHAnsi" w:hAnsiTheme="minorHAnsi" w:cstheme="minorBidi"/>
                <w:color w:val="auto"/>
                <w:sz w:val="22"/>
                <w:szCs w:val="22"/>
              </w:rPr>
            </w:pPr>
          </w:p>
          <w:p w14:paraId="5AFBB2F9"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11. Number of sites where monitoring and public information systems are operational and have significant levels of public involvement. </w:t>
            </w:r>
            <w:r>
              <w:rPr>
                <w:rFonts w:asciiTheme="minorHAnsi" w:eastAsiaTheme="minorHAnsi" w:hAnsiTheme="minorHAnsi" w:cstheme="minorBidi"/>
                <w:b/>
                <w:color w:val="auto"/>
                <w:sz w:val="22"/>
                <w:szCs w:val="22"/>
              </w:rPr>
              <w:t xml:space="preserve"> Dropped </w:t>
            </w:r>
            <w:r>
              <w:rPr>
                <w:rFonts w:asciiTheme="minorHAnsi" w:eastAsiaTheme="minorHAnsi" w:hAnsiTheme="minorHAnsi" w:cstheme="minorBidi"/>
                <w:color w:val="auto"/>
                <w:sz w:val="22"/>
                <w:szCs w:val="22"/>
              </w:rPr>
              <w:t xml:space="preserve">following MTR as above and replaced with new indicator immediately below. This indicator was dropped and replaced by one (see the next indicator below) that explicitly captures the results that will be achieved </w:t>
            </w:r>
            <w:proofErr w:type="gramStart"/>
            <w:r>
              <w:rPr>
                <w:rFonts w:asciiTheme="minorHAnsi" w:eastAsiaTheme="minorHAnsi" w:hAnsiTheme="minorHAnsi" w:cstheme="minorBidi"/>
                <w:color w:val="auto"/>
                <w:sz w:val="22"/>
                <w:szCs w:val="22"/>
              </w:rPr>
              <w:t>in the area of</w:t>
            </w:r>
            <w:proofErr w:type="gramEnd"/>
            <w:r>
              <w:rPr>
                <w:rFonts w:asciiTheme="minorHAnsi" w:eastAsiaTheme="minorHAnsi" w:hAnsiTheme="minorHAnsi" w:cstheme="minorBidi"/>
                <w:color w:val="auto"/>
                <w:sz w:val="22"/>
                <w:szCs w:val="22"/>
              </w:rPr>
              <w:t xml:space="preserve"> information management.</w:t>
            </w:r>
          </w:p>
          <w:p w14:paraId="050DD9B2"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7F652FF7"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12. </w:t>
            </w:r>
            <w:r w:rsidRPr="00F87035">
              <w:rPr>
                <w:rFonts w:asciiTheme="minorHAnsi" w:eastAsiaTheme="minorHAnsi" w:hAnsiTheme="minorHAnsi" w:cstheme="minorBidi"/>
                <w:b/>
                <w:color w:val="auto"/>
                <w:sz w:val="22"/>
                <w:szCs w:val="22"/>
              </w:rPr>
              <w:t>Added</w:t>
            </w:r>
            <w:r>
              <w:rPr>
                <w:rFonts w:asciiTheme="minorHAnsi" w:eastAsiaTheme="minorHAnsi" w:hAnsiTheme="minorHAnsi" w:cstheme="minorBidi"/>
                <w:color w:val="auto"/>
                <w:sz w:val="22"/>
                <w:szCs w:val="22"/>
              </w:rPr>
              <w:t xml:space="preserve"> following MTR as above: Environmental Information Management System developed and under implementation, consistent with best international practices, and including date on all Project sites.</w:t>
            </w:r>
          </w:p>
          <w:p w14:paraId="67EE20AC"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5684FC2"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13. Number of mine sites where concepts of environmental risk management are applied to mine closings and/or remediation at other than uranium mines.  </w:t>
            </w:r>
            <w:r w:rsidRPr="00F87035">
              <w:rPr>
                <w:rFonts w:asciiTheme="minorHAnsi" w:eastAsiaTheme="minorHAnsi" w:hAnsiTheme="minorHAnsi" w:cstheme="minorBidi"/>
                <w:b/>
                <w:color w:val="auto"/>
                <w:sz w:val="22"/>
                <w:szCs w:val="22"/>
              </w:rPr>
              <w:t>Dropped</w:t>
            </w:r>
            <w:r>
              <w:rPr>
                <w:rFonts w:asciiTheme="minorHAnsi" w:eastAsiaTheme="minorHAnsi" w:hAnsiTheme="minorHAnsi" w:cstheme="minorBidi"/>
                <w:color w:val="auto"/>
                <w:sz w:val="22"/>
                <w:szCs w:val="22"/>
              </w:rPr>
              <w:t xml:space="preserve"> following MTR as above. This indicator referred to activities outside of the mandate of CNEA, which are outside the control of the project.</w:t>
            </w:r>
          </w:p>
          <w:p w14:paraId="7DC8A72E"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5C28A85"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14. Number of CNEA laboratories with installed capacity for monitoring environmental parameters (including radiological) on water, soil, and air samples which are accredited by COCALIN. </w:t>
            </w:r>
          </w:p>
          <w:p w14:paraId="6348DF10"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7DA26557"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14.a </w:t>
            </w:r>
            <w:r w:rsidRPr="0088365D">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at time of third restructuring to read: Number of CNEA laboratories with equipment and installed capacity for monitoring environmental parameters (including radiological) in water, soil and air samples which are supervised by COCALIN.</w:t>
            </w:r>
          </w:p>
          <w:p w14:paraId="5A16B676"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462B073" w14:textId="77777777" w:rsidR="0095658C" w:rsidRPr="005F1AE0"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15. Communication strategies under implementation at relevant CNEA sites included in the project.</w:t>
            </w:r>
          </w:p>
        </w:tc>
      </w:tr>
      <w:tr w:rsidR="00E63776" w14:paraId="27D3861E"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46"/>
        </w:trPr>
        <w:tc>
          <w:tcPr>
            <w:tcW w:w="2790" w:type="dxa"/>
          </w:tcPr>
          <w:p w14:paraId="3629D7C6" w14:textId="77777777" w:rsidR="0095658C" w:rsidRPr="005F1AE0" w:rsidRDefault="002C3F71" w:rsidP="0095658C">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Key Outputs by Component</w:t>
            </w:r>
          </w:p>
          <w:p w14:paraId="7E479F7E" w14:textId="77777777" w:rsidR="0095658C" w:rsidRPr="005F1AE0" w:rsidRDefault="002C3F71" w:rsidP="0095658C">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(linked to the achievement of the Objective/Outcome 1)</w:t>
            </w:r>
          </w:p>
        </w:tc>
        <w:tc>
          <w:tcPr>
            <w:tcW w:w="7754" w:type="dxa"/>
          </w:tcPr>
          <w:p w14:paraId="1CBE9970"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The 100% removal (encapsulation) of the uranium tailings at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which followed the remediation plan agreed with the national authorities and the World Bank has reduced the health, economic, and environmental risks associated with the pollution caused by these tailings.  More specifically, remediation works 100% completed, tailings removal 100% completed, encapsulation cell 100% completed; transportation of tailings 100% completed, and final enclosure 100% completed.</w:t>
            </w:r>
          </w:p>
          <w:p w14:paraId="5711307B"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497DD3DF"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 All field samples collected as part of the environmental, physical, and radiological monitoring plan and subsequent laboratory analyses have followed quality assurance and control procedures.</w:t>
            </w:r>
          </w:p>
          <w:p w14:paraId="7B35EF25"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5F24562D"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T3. he communications strategy for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remediation works was designed and implemented as follows: a communications professional was hired by PRAMU to lead this work, a survey with focus groups was conducted and report prepared.  In addition, many events were organized to create awareness and share best practices on the remediation of legacy mining sites. During the final stages of the project,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works were disseminated in a seminar with ample participation of local stakeholders on April 19, 2017 during the National Radiological Protection Day. The provincial government of Mendoza also organized an event at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on May 5, 2017, the National Mining Day, to discuss the mining priorities of the invitees and included a site visit to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remediation site to showcase good practice in the remediation of mining legacies.</w:t>
            </w:r>
          </w:p>
          <w:p w14:paraId="100AE061"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0C4EAF86" w14:textId="77777777" w:rsidR="0095658C" w:rsidRPr="005F1AE0"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4. The design of the public green space at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was agreed with the municipality and local stakeholders and implementation of the associated works has been completed.</w:t>
            </w:r>
          </w:p>
          <w:p w14:paraId="41B069B1"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tc>
      </w:tr>
      <w:tr w:rsidR="00E63776" w14:paraId="67A30AB7"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10552" w:type="dxa"/>
            <w:gridSpan w:val="3"/>
          </w:tcPr>
          <w:p w14:paraId="78CCE611" w14:textId="77777777" w:rsidR="00215BCD" w:rsidRDefault="002C3F71">
            <w:pPr>
              <w:widowControl/>
              <w:autoSpaceDE/>
              <w:autoSpaceDN/>
              <w:adjustRightInd/>
              <w:spacing w:after="160" w:line="259" w:lineRule="auto"/>
            </w:pPr>
            <w:r w:rsidRPr="005F1AE0">
              <w:rPr>
                <w:rFonts w:asciiTheme="minorHAnsi" w:eastAsiaTheme="minorHAnsi" w:hAnsiTheme="minorHAnsi" w:cstheme="minorBidi"/>
                <w:b/>
                <w:color w:val="7F7F7F" w:themeColor="text1" w:themeTint="80"/>
                <w:sz w:val="22"/>
                <w:szCs w:val="22"/>
              </w:rPr>
              <w:t>Objective/Outcome 2</w:t>
            </w:r>
            <w:r>
              <w:rPr>
                <w:rFonts w:asciiTheme="minorHAnsi" w:eastAsiaTheme="minorHAnsi" w:hAnsiTheme="minorHAnsi" w:cstheme="minorBidi"/>
                <w:b/>
                <w:color w:val="7F7F7F" w:themeColor="text1" w:themeTint="80"/>
                <w:sz w:val="22"/>
                <w:szCs w:val="22"/>
              </w:rPr>
              <w:t xml:space="preserve">: </w:t>
            </w:r>
            <w:r>
              <w:rPr>
                <w:rFonts w:asciiTheme="minorHAnsi" w:eastAsiaTheme="minorHAnsi" w:hAnsiTheme="minorHAnsi" w:cstheme="minorHAnsi"/>
                <w:color w:val="000000" w:themeColor="text1"/>
                <w:sz w:val="22"/>
                <w:szCs w:val="22"/>
              </w:rPr>
              <w:t>R</w:t>
            </w:r>
            <w:r w:rsidRPr="00CE3621">
              <w:rPr>
                <w:rFonts w:asciiTheme="minorHAnsi" w:eastAsiaTheme="minorHAnsi" w:hAnsiTheme="minorHAnsi" w:cstheme="minorHAnsi"/>
                <w:color w:val="000000" w:themeColor="text1"/>
                <w:sz w:val="22"/>
                <w:szCs w:val="22"/>
              </w:rPr>
              <w:t xml:space="preserve">educe potential economic and health damages associated with a closed uranium milling site in </w:t>
            </w:r>
            <w:proofErr w:type="spellStart"/>
            <w:r w:rsidR="00E52891">
              <w:rPr>
                <w:rFonts w:asciiTheme="minorHAnsi" w:eastAsiaTheme="minorHAnsi" w:hAnsiTheme="minorHAnsi" w:cstheme="minorHAnsi"/>
                <w:color w:val="000000" w:themeColor="text1"/>
                <w:sz w:val="22"/>
                <w:szCs w:val="22"/>
              </w:rPr>
              <w:t>Malargüe</w:t>
            </w:r>
            <w:proofErr w:type="spellEnd"/>
            <w:r w:rsidRPr="00CE3621">
              <w:rPr>
                <w:rFonts w:asciiTheme="minorHAnsi" w:eastAsiaTheme="minorHAnsi" w:hAnsiTheme="minorHAnsi" w:cstheme="minorHAnsi"/>
                <w:color w:val="000000" w:themeColor="text1"/>
                <w:sz w:val="22"/>
                <w:szCs w:val="22"/>
              </w:rPr>
              <w:t>, Mendoza</w:t>
            </w:r>
            <w:r>
              <w:rPr>
                <w:rFonts w:asciiTheme="minorHAnsi" w:eastAsiaTheme="minorHAnsi" w:hAnsiTheme="minorHAnsi" w:cstheme="minorHAnsi"/>
                <w:color w:val="000000" w:themeColor="text1"/>
                <w:sz w:val="22"/>
                <w:szCs w:val="22"/>
              </w:rPr>
              <w:t xml:space="preserve">. </w:t>
            </w:r>
          </w:p>
        </w:tc>
      </w:tr>
      <w:tr w:rsidR="00E63776" w14:paraId="67AD776A"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288"/>
        </w:trPr>
        <w:tc>
          <w:tcPr>
            <w:tcW w:w="2790" w:type="dxa"/>
          </w:tcPr>
          <w:p w14:paraId="74DF0816" w14:textId="77777777" w:rsidR="0095658C" w:rsidRPr="00215BCD" w:rsidRDefault="002C3F71" w:rsidP="0095658C">
            <w:pPr>
              <w:widowControl/>
              <w:autoSpaceDE/>
              <w:autoSpaceDN/>
              <w:adjustRightInd/>
              <w:rPr>
                <w:rFonts w:asciiTheme="minorHAnsi" w:eastAsiaTheme="minorHAnsi" w:hAnsiTheme="minorHAnsi" w:cstheme="minorBidi"/>
                <w:b/>
                <w:color w:val="auto"/>
                <w:sz w:val="22"/>
                <w:szCs w:val="22"/>
              </w:rPr>
            </w:pPr>
            <w:r w:rsidRPr="005F1AE0">
              <w:rPr>
                <w:rFonts w:asciiTheme="minorHAnsi" w:eastAsiaTheme="minorHAnsi" w:hAnsiTheme="minorHAnsi" w:cs="Times New Roman"/>
                <w:color w:val="auto"/>
                <w:sz w:val="22"/>
                <w:szCs w:val="22"/>
              </w:rPr>
              <w:t xml:space="preserve"> </w:t>
            </w:r>
            <w:r w:rsidRPr="00215BCD">
              <w:rPr>
                <w:rFonts w:asciiTheme="minorHAnsi" w:eastAsiaTheme="minorHAnsi" w:hAnsiTheme="minorHAnsi" w:cs="Times New Roman"/>
                <w:b/>
                <w:color w:val="auto"/>
                <w:sz w:val="22"/>
                <w:szCs w:val="22"/>
              </w:rPr>
              <w:t>Outcome Indicators</w:t>
            </w:r>
          </w:p>
        </w:tc>
        <w:tc>
          <w:tcPr>
            <w:tcW w:w="7754" w:type="dxa"/>
          </w:tcPr>
          <w:p w14:paraId="2B462CA1"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All potential health and economic risks associated with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reduced to acceptable and verified levels.</w:t>
            </w:r>
          </w:p>
          <w:p w14:paraId="3E2AE10C"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0E086AE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Wording </w:t>
            </w:r>
            <w:r w:rsidRPr="00215EA3">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 xml:space="preserve">following MTR </w:t>
            </w:r>
            <w:proofErr w:type="gramStart"/>
            <w:r>
              <w:rPr>
                <w:rFonts w:asciiTheme="minorHAnsi" w:eastAsiaTheme="minorHAnsi" w:hAnsiTheme="minorHAnsi" w:cstheme="minorBidi"/>
                <w:color w:val="auto"/>
                <w:sz w:val="22"/>
                <w:szCs w:val="22"/>
              </w:rPr>
              <w:t>according to</w:t>
            </w:r>
            <w:proofErr w:type="gramEnd"/>
            <w:r>
              <w:rPr>
                <w:rFonts w:asciiTheme="minorHAnsi" w:eastAsiaTheme="minorHAnsi" w:hAnsiTheme="minorHAnsi" w:cstheme="minorBidi"/>
                <w:color w:val="auto"/>
                <w:sz w:val="22"/>
                <w:szCs w:val="22"/>
              </w:rPr>
              <w:t xml:space="preserve"> Restructuring Paper, July 25, 2013 to read: All potential health and economic risks associated with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to be addressed through the implementation of remediation plans agreed with stakeholders. The wording of this indicator was revised </w:t>
            </w:r>
            <w:proofErr w:type="gramStart"/>
            <w:r>
              <w:rPr>
                <w:rFonts w:asciiTheme="minorHAnsi" w:eastAsiaTheme="minorHAnsi" w:hAnsiTheme="minorHAnsi" w:cstheme="minorBidi"/>
                <w:color w:val="auto"/>
                <w:sz w:val="22"/>
                <w:szCs w:val="22"/>
              </w:rPr>
              <w:t>in order to</w:t>
            </w:r>
            <w:proofErr w:type="gramEnd"/>
            <w:r>
              <w:rPr>
                <w:rFonts w:asciiTheme="minorHAnsi" w:eastAsiaTheme="minorHAnsi" w:hAnsiTheme="minorHAnsi" w:cstheme="minorBidi"/>
                <w:color w:val="auto"/>
                <w:sz w:val="22"/>
                <w:szCs w:val="22"/>
              </w:rPr>
              <w:t xml:space="preserve"> make the targets more specific.</w:t>
            </w:r>
          </w:p>
          <w:p w14:paraId="73FA7FE0"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C08B1A7" w14:textId="77777777" w:rsidR="0095658C" w:rsidRPr="005F1AE0"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at time of third restructuring (November 2015) to read: Reduced health, environmental, and economic risks associated with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to be addressed through the removal of the tailings </w:t>
            </w:r>
            <w:proofErr w:type="gramStart"/>
            <w:r>
              <w:rPr>
                <w:rFonts w:asciiTheme="minorHAnsi" w:eastAsiaTheme="minorHAnsi" w:hAnsiTheme="minorHAnsi" w:cstheme="minorBidi"/>
                <w:color w:val="auto"/>
                <w:sz w:val="22"/>
                <w:szCs w:val="22"/>
              </w:rPr>
              <w:t>according to</w:t>
            </w:r>
            <w:proofErr w:type="gramEnd"/>
            <w:r>
              <w:rPr>
                <w:rFonts w:asciiTheme="minorHAnsi" w:eastAsiaTheme="minorHAnsi" w:hAnsiTheme="minorHAnsi" w:cstheme="minorBidi"/>
                <w:color w:val="auto"/>
                <w:sz w:val="22"/>
                <w:szCs w:val="22"/>
              </w:rPr>
              <w:t xml:space="preserve"> remediation plan agreed with authorities.</w:t>
            </w:r>
          </w:p>
          <w:p w14:paraId="2494487C"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tc>
      </w:tr>
      <w:tr w:rsidR="00E63776" w14:paraId="4FBF6DB9"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288"/>
        </w:trPr>
        <w:tc>
          <w:tcPr>
            <w:tcW w:w="2790" w:type="dxa"/>
          </w:tcPr>
          <w:p w14:paraId="04CB0A75" w14:textId="77777777" w:rsidR="0095658C" w:rsidRPr="00215BCD" w:rsidRDefault="002C3F71" w:rsidP="0095658C">
            <w:pPr>
              <w:widowControl/>
              <w:autoSpaceDE/>
              <w:autoSpaceDN/>
              <w:adjustRightInd/>
              <w:rPr>
                <w:rFonts w:asciiTheme="minorHAnsi" w:eastAsiaTheme="minorHAnsi" w:hAnsiTheme="minorHAnsi" w:cs="Times New Roman"/>
                <w:b/>
                <w:color w:val="auto"/>
                <w:sz w:val="22"/>
                <w:szCs w:val="22"/>
              </w:rPr>
            </w:pPr>
            <w:r w:rsidRPr="00215BCD">
              <w:rPr>
                <w:rFonts w:asciiTheme="minorHAnsi" w:eastAsiaTheme="minorHAnsi" w:hAnsiTheme="minorHAnsi" w:cs="Times New Roman"/>
                <w:b/>
                <w:color w:val="auto"/>
                <w:sz w:val="22"/>
                <w:szCs w:val="22"/>
              </w:rPr>
              <w:t>Intermediate Results Indicators</w:t>
            </w:r>
          </w:p>
        </w:tc>
        <w:tc>
          <w:tcPr>
            <w:tcW w:w="7754" w:type="dxa"/>
          </w:tcPr>
          <w:p w14:paraId="7C5CE206"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Percentage of planned site remediation works completed.</w:t>
            </w:r>
          </w:p>
          <w:p w14:paraId="1257F0E0"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p w14:paraId="52C07C0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2.</w:t>
            </w:r>
            <w:r>
              <w:rPr>
                <w:rFonts w:asciiTheme="minorHAnsi" w:eastAsiaTheme="minorHAnsi" w:hAnsiTheme="minorHAnsi" w:cstheme="minorBidi"/>
                <w:color w:val="auto"/>
                <w:sz w:val="22"/>
                <w:szCs w:val="22"/>
              </w:rPr>
              <w:t xml:space="preserve"> Percentage of contaminant exposure levels which have been reduced at or below defined standards.</w:t>
            </w:r>
          </w:p>
          <w:p w14:paraId="3D639474"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042F38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wording of the two indicators above remained </w:t>
            </w:r>
            <w:r w:rsidRPr="00C7084E">
              <w:rPr>
                <w:rFonts w:asciiTheme="minorHAnsi" w:eastAsiaTheme="minorHAnsi" w:hAnsiTheme="minorHAnsi" w:cstheme="minorBidi"/>
                <w:b/>
                <w:color w:val="auto"/>
                <w:sz w:val="22"/>
                <w:szCs w:val="22"/>
              </w:rPr>
              <w:t xml:space="preserve">unchanged </w:t>
            </w:r>
            <w:r>
              <w:rPr>
                <w:rFonts w:asciiTheme="minorHAnsi" w:eastAsiaTheme="minorHAnsi" w:hAnsiTheme="minorHAnsi" w:cstheme="minorBidi"/>
                <w:color w:val="auto"/>
                <w:sz w:val="22"/>
                <w:szCs w:val="22"/>
              </w:rPr>
              <w:t>following the MTR, but the methodology/data source for measuring them was explicitly defined.</w:t>
            </w:r>
          </w:p>
          <w:p w14:paraId="1385E754"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3082E1A" w14:textId="77777777" w:rsidR="0095658C" w:rsidRPr="00CB723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2.a </w:t>
            </w:r>
            <w:r>
              <w:rPr>
                <w:rFonts w:asciiTheme="minorHAnsi" w:eastAsiaTheme="minorHAnsi" w:hAnsiTheme="minorHAnsi" w:cstheme="minorBidi"/>
                <w:b/>
                <w:color w:val="auto"/>
                <w:sz w:val="22"/>
                <w:szCs w:val="22"/>
              </w:rPr>
              <w:t>Revised</w:t>
            </w:r>
            <w:r>
              <w:rPr>
                <w:rFonts w:asciiTheme="minorHAnsi" w:eastAsiaTheme="minorHAnsi" w:hAnsiTheme="minorHAnsi" w:cstheme="minorBidi"/>
                <w:color w:val="auto"/>
                <w:sz w:val="22"/>
                <w:szCs w:val="22"/>
              </w:rPr>
              <w:t xml:space="preserve"> at time of third restructuring (November 2015) to read: Reduce risk of environmental pollution by the transportation and removal of tailings.</w:t>
            </w:r>
          </w:p>
          <w:p w14:paraId="3BDD51D8"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p w14:paraId="3499A05D"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3.</w:t>
            </w:r>
            <w:r>
              <w:rPr>
                <w:rFonts w:asciiTheme="minorHAnsi" w:eastAsiaTheme="minorHAnsi" w:hAnsiTheme="minorHAnsi" w:cstheme="minorBidi"/>
                <w:color w:val="auto"/>
                <w:sz w:val="22"/>
                <w:szCs w:val="22"/>
              </w:rPr>
              <w:t xml:space="preserve"> Proportion of field samples and lab analysis which adheres to QA/QC procedures.</w:t>
            </w:r>
          </w:p>
          <w:p w14:paraId="04A9E1E9"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044C5E1F"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4. Evidence that public information campaigns are relevant, meaningful and meet or exceed stakeholder expectation.</w:t>
            </w:r>
          </w:p>
          <w:p w14:paraId="00C380C4"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72F86D7" w14:textId="77777777" w:rsidR="0095658C" w:rsidRPr="004C067E"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4.5 </w:t>
            </w:r>
            <w:r>
              <w:rPr>
                <w:rFonts w:asciiTheme="minorHAnsi" w:eastAsiaTheme="minorHAnsi" w:hAnsiTheme="minorHAnsi" w:cstheme="minorBidi"/>
                <w:b/>
                <w:color w:val="auto"/>
                <w:sz w:val="22"/>
                <w:szCs w:val="22"/>
              </w:rPr>
              <w:t xml:space="preserve">Revised </w:t>
            </w:r>
            <w:r>
              <w:rPr>
                <w:rFonts w:asciiTheme="minorHAnsi" w:eastAsiaTheme="minorHAnsi" w:hAnsiTheme="minorHAnsi" w:cstheme="minorBidi"/>
                <w:color w:val="auto"/>
                <w:sz w:val="22"/>
                <w:szCs w:val="22"/>
              </w:rPr>
              <w:t xml:space="preserve">at time of third restructuring to read: Communication strategy in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is designed, implemented, and results evaluated.</w:t>
            </w:r>
          </w:p>
          <w:p w14:paraId="2554C352"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3FD5DE3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5. </w:t>
            </w:r>
            <w:r w:rsidRPr="00215EA3">
              <w:rPr>
                <w:rFonts w:asciiTheme="minorHAnsi" w:eastAsiaTheme="minorHAnsi" w:hAnsiTheme="minorHAnsi" w:cstheme="minorBidi"/>
                <w:b/>
                <w:color w:val="auto"/>
                <w:sz w:val="22"/>
                <w:szCs w:val="22"/>
              </w:rPr>
              <w:t>Added</w:t>
            </w:r>
            <w:r>
              <w:rPr>
                <w:rFonts w:asciiTheme="minorHAnsi" w:eastAsiaTheme="minorHAnsi" w:hAnsiTheme="minorHAnsi" w:cstheme="minorBidi"/>
                <w:color w:val="auto"/>
                <w:sz w:val="22"/>
                <w:szCs w:val="22"/>
              </w:rPr>
              <w:t xml:space="preserve"> following MTR as above: Design of public (green) space at the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agreed with stakeholders and with municipality and preliminary works initiated.</w:t>
            </w:r>
          </w:p>
          <w:p w14:paraId="0ABB552E"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tc>
      </w:tr>
      <w:tr w:rsidR="00E63776" w14:paraId="0697D1DB" w14:textId="77777777" w:rsidTr="00007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288"/>
        </w:trPr>
        <w:tc>
          <w:tcPr>
            <w:tcW w:w="2790" w:type="dxa"/>
          </w:tcPr>
          <w:p w14:paraId="7DE12BE5" w14:textId="77777777" w:rsidR="0095658C" w:rsidRPr="00215BCD" w:rsidRDefault="002C3F71" w:rsidP="0095658C">
            <w:pPr>
              <w:widowControl/>
              <w:autoSpaceDE/>
              <w:autoSpaceDN/>
              <w:adjustRightInd/>
              <w:rPr>
                <w:rFonts w:asciiTheme="minorHAnsi" w:eastAsiaTheme="minorHAnsi" w:hAnsiTheme="minorHAnsi" w:cs="Times New Roman"/>
                <w:b/>
                <w:color w:val="auto"/>
                <w:sz w:val="22"/>
                <w:szCs w:val="22"/>
              </w:rPr>
            </w:pPr>
            <w:r w:rsidRPr="00215BCD">
              <w:rPr>
                <w:rFonts w:asciiTheme="minorHAnsi" w:eastAsiaTheme="minorHAnsi" w:hAnsiTheme="minorHAnsi" w:cs="Times New Roman"/>
                <w:b/>
                <w:color w:val="auto"/>
                <w:sz w:val="22"/>
                <w:szCs w:val="22"/>
              </w:rPr>
              <w:t>Key Outputs by Component</w:t>
            </w:r>
          </w:p>
          <w:p w14:paraId="425DDA4A" w14:textId="77777777" w:rsidR="0095658C" w:rsidRPr="005F1AE0" w:rsidRDefault="002C3F71" w:rsidP="0095658C">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(linked to the achievement of the Objective/Outcome 2)</w:t>
            </w:r>
          </w:p>
        </w:tc>
        <w:tc>
          <w:tcPr>
            <w:tcW w:w="7754" w:type="dxa"/>
          </w:tcPr>
          <w:p w14:paraId="258C2A84"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rPr>
                <w:rFonts w:asciiTheme="minorHAnsi" w:eastAsiaTheme="minorHAnsi" w:hAnsiTheme="minorHAnsi" w:cstheme="minorBidi"/>
                <w:color w:val="auto"/>
                <w:sz w:val="22"/>
                <w:szCs w:val="22"/>
              </w:rPr>
              <w:t xml:space="preserve"> Environmental Risks of Los </w:t>
            </w:r>
            <w:proofErr w:type="spellStart"/>
            <w:r>
              <w:rPr>
                <w:rFonts w:asciiTheme="minorHAnsi" w:eastAsiaTheme="minorHAnsi" w:hAnsiTheme="minorHAnsi" w:cstheme="minorBidi"/>
                <w:color w:val="auto"/>
                <w:sz w:val="22"/>
                <w:szCs w:val="22"/>
              </w:rPr>
              <w:t>Gigantes</w:t>
            </w:r>
            <w:proofErr w:type="spellEnd"/>
            <w:r>
              <w:rPr>
                <w:rFonts w:asciiTheme="minorHAnsi" w:eastAsiaTheme="minorHAnsi" w:hAnsiTheme="minorHAnsi" w:cstheme="minorBidi"/>
                <w:color w:val="auto"/>
                <w:sz w:val="22"/>
                <w:szCs w:val="22"/>
              </w:rPr>
              <w:t xml:space="preserve"> and El </w:t>
            </w:r>
            <w:proofErr w:type="spellStart"/>
            <w:r>
              <w:rPr>
                <w:rFonts w:asciiTheme="minorHAnsi" w:eastAsiaTheme="minorHAnsi" w:hAnsiTheme="minorHAnsi" w:cstheme="minorBidi"/>
                <w:color w:val="auto"/>
                <w:sz w:val="22"/>
                <w:szCs w:val="22"/>
              </w:rPr>
              <w:t>Cichon</w:t>
            </w:r>
            <w:proofErr w:type="spellEnd"/>
            <w:r>
              <w:rPr>
                <w:rFonts w:asciiTheme="minorHAnsi" w:eastAsiaTheme="minorHAnsi" w:hAnsiTheme="minorHAnsi" w:cstheme="minorBidi"/>
                <w:color w:val="auto"/>
                <w:sz w:val="22"/>
                <w:szCs w:val="22"/>
              </w:rPr>
              <w:t xml:space="preserve"> identified – baseline Environmental Study was completed. The remediation alternatives were prepared and discussed with local authorities (but not yet agreed) and the detailed engineering design completed.</w:t>
            </w:r>
          </w:p>
          <w:p w14:paraId="0D47D76F"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82069C2"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 The environmental risks of the five other legacy sites (</w:t>
            </w:r>
            <w:proofErr w:type="spellStart"/>
            <w:r>
              <w:rPr>
                <w:rFonts w:asciiTheme="minorHAnsi" w:eastAsiaTheme="minorHAnsi" w:hAnsiTheme="minorHAnsi" w:cstheme="minorBidi"/>
                <w:color w:val="auto"/>
                <w:sz w:val="22"/>
                <w:szCs w:val="22"/>
              </w:rPr>
              <w:t>Tonco</w:t>
            </w:r>
            <w:proofErr w:type="spellEnd"/>
            <w:r>
              <w:rPr>
                <w:rFonts w:asciiTheme="minorHAnsi" w:eastAsiaTheme="minorHAnsi" w:hAnsiTheme="minorHAnsi" w:cstheme="minorBidi"/>
                <w:color w:val="auto"/>
                <w:sz w:val="22"/>
                <w:szCs w:val="22"/>
              </w:rPr>
              <w:t xml:space="preserve">-Salta, </w:t>
            </w:r>
            <w:proofErr w:type="spellStart"/>
            <w:r>
              <w:rPr>
                <w:rFonts w:asciiTheme="minorHAnsi" w:eastAsiaTheme="minorHAnsi" w:hAnsiTheme="minorHAnsi" w:cstheme="minorBidi"/>
                <w:color w:val="auto"/>
                <w:sz w:val="22"/>
                <w:szCs w:val="22"/>
              </w:rPr>
              <w:t>Pich</w:t>
            </w:r>
            <w:r w:rsidR="007372B2">
              <w:rPr>
                <w:rFonts w:asciiTheme="minorHAnsi" w:eastAsiaTheme="minorHAnsi" w:hAnsiTheme="minorHAnsi" w:cstheme="minorBidi"/>
                <w:color w:val="auto"/>
                <w:sz w:val="22"/>
                <w:szCs w:val="22"/>
              </w:rPr>
              <w:t>iñan</w:t>
            </w:r>
            <w:proofErr w:type="spellEnd"/>
            <w:r w:rsidR="007372B2">
              <w:rPr>
                <w:rFonts w:asciiTheme="minorHAnsi" w:eastAsiaTheme="minorHAnsi" w:hAnsiTheme="minorHAnsi" w:cstheme="minorBidi"/>
                <w:color w:val="auto"/>
                <w:sz w:val="22"/>
                <w:szCs w:val="22"/>
              </w:rPr>
              <w:t xml:space="preserve">-Chubut, La Estela </w:t>
            </w:r>
            <w:r>
              <w:rPr>
                <w:rFonts w:asciiTheme="minorHAnsi" w:eastAsiaTheme="minorHAnsi" w:hAnsiTheme="minorHAnsi" w:cstheme="minorBidi"/>
                <w:color w:val="auto"/>
                <w:sz w:val="22"/>
                <w:szCs w:val="22"/>
              </w:rPr>
              <w:t xml:space="preserve">- San Luis, Los </w:t>
            </w:r>
            <w:proofErr w:type="spellStart"/>
            <w:r>
              <w:rPr>
                <w:rFonts w:asciiTheme="minorHAnsi" w:eastAsiaTheme="minorHAnsi" w:hAnsiTheme="minorHAnsi" w:cstheme="minorBidi"/>
                <w:color w:val="auto"/>
                <w:sz w:val="22"/>
                <w:szCs w:val="22"/>
              </w:rPr>
              <w:t>Colorados</w:t>
            </w:r>
            <w:proofErr w:type="spellEnd"/>
            <w:r>
              <w:rPr>
                <w:rFonts w:asciiTheme="minorHAnsi" w:eastAsiaTheme="minorHAnsi" w:hAnsiTheme="minorHAnsi" w:cstheme="minorBidi"/>
                <w:color w:val="auto"/>
                <w:sz w:val="22"/>
                <w:szCs w:val="22"/>
              </w:rPr>
              <w:t>-La Rioja, and Huemul-Mendoza were identified and the baseline environmental studies completed.</w:t>
            </w:r>
          </w:p>
          <w:p w14:paraId="2E86064D"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66AC951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3. The completed environmental evaluations at all seven sites, for which a specialized firm was contracted, consisted in reporting the environmental conditions of the mining legacy, volume and levels of pollution and radiation, topographical and groundwater analysis and development of a baseline report for each site.</w:t>
            </w:r>
          </w:p>
          <w:p w14:paraId="05E1248C"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943CC61"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4. Four CNEA laboratories (Sand Rafael – uranium in water, Cordoba, Mendoza, and </w:t>
            </w:r>
            <w:proofErr w:type="spellStart"/>
            <w:r>
              <w:rPr>
                <w:rFonts w:asciiTheme="minorHAnsi" w:eastAsiaTheme="minorHAnsi" w:hAnsiTheme="minorHAnsi" w:cstheme="minorBidi"/>
                <w:color w:val="auto"/>
                <w:sz w:val="22"/>
                <w:szCs w:val="22"/>
              </w:rPr>
              <w:t>Ezeiza</w:t>
            </w:r>
            <w:proofErr w:type="spellEnd"/>
            <w:r>
              <w:rPr>
                <w:rFonts w:asciiTheme="minorHAnsi" w:eastAsiaTheme="minorHAnsi" w:hAnsiTheme="minorHAnsi" w:cstheme="minorBidi"/>
                <w:color w:val="auto"/>
                <w:sz w:val="22"/>
                <w:szCs w:val="22"/>
              </w:rPr>
              <w:t xml:space="preserve">) were accredited ISO 17025 to monitor water, air, soil, and radiological parameters. </w:t>
            </w:r>
          </w:p>
          <w:p w14:paraId="29045D96"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7870DBF"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5. Training activities for provincial and local government agencies where legacy sites are located on planning and management, and on monitoring of uranium remediation sites completed, with IAEA support, in J</w:t>
            </w:r>
            <w:r w:rsidR="00293624">
              <w:rPr>
                <w:rFonts w:asciiTheme="minorHAnsi" w:eastAsiaTheme="minorHAnsi" w:hAnsiTheme="minorHAnsi" w:cstheme="minorBidi"/>
                <w:color w:val="auto"/>
                <w:sz w:val="22"/>
                <w:szCs w:val="22"/>
              </w:rPr>
              <w:t xml:space="preserve">une 19-25, 2017. </w:t>
            </w:r>
            <w:r>
              <w:rPr>
                <w:rFonts w:asciiTheme="minorHAnsi" w:eastAsiaTheme="minorHAnsi" w:hAnsiTheme="minorHAnsi" w:cstheme="minorBidi"/>
                <w:color w:val="auto"/>
                <w:sz w:val="22"/>
                <w:szCs w:val="22"/>
              </w:rPr>
              <w:t xml:space="preserve">Earlier completed training events were: (i) Environmental Remediation Workshop, City of Carlos Paz (Cordoba) – April 2015; (ii) Environmental Management of Uranium Mining Workshop, City of Cordoba – October 2015; (iii) Workshop on Environmental Monitoring, City of Carlos Paz (Cordoba) – December 2015; (iv) Workshop on Remediation Engineering,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Site, </w:t>
            </w:r>
            <w:proofErr w:type="spellStart"/>
            <w:r>
              <w:rPr>
                <w:rFonts w:asciiTheme="minorHAnsi" w:eastAsiaTheme="minorHAnsi" w:hAnsiTheme="minorHAnsi" w:cstheme="minorBidi"/>
                <w:color w:val="auto"/>
                <w:sz w:val="22"/>
                <w:szCs w:val="22"/>
              </w:rPr>
              <w:t>Malrague</w:t>
            </w:r>
            <w:proofErr w:type="spellEnd"/>
            <w:r>
              <w:rPr>
                <w:rFonts w:asciiTheme="minorHAnsi" w:eastAsiaTheme="minorHAnsi" w:hAnsiTheme="minorHAnsi" w:cstheme="minorBidi"/>
                <w:color w:val="auto"/>
                <w:sz w:val="22"/>
                <w:szCs w:val="22"/>
              </w:rPr>
              <w:t xml:space="preserve"> (Mendoza) – March 2016.</w:t>
            </w:r>
          </w:p>
          <w:p w14:paraId="03273274"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11C74C5B"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6. Environmental Information Monitoring System (SIGA) was developed and is fully functional at PRAMU. However, the public portal was not completed in the website at CNEA as agreed with the Bank, so the resulting intermediate results indicator was only partly met.</w:t>
            </w:r>
          </w:p>
          <w:p w14:paraId="25C90C17" w14:textId="77777777" w:rsidR="0095658C" w:rsidRDefault="0095658C" w:rsidP="0095658C">
            <w:pPr>
              <w:widowControl/>
              <w:autoSpaceDE/>
              <w:autoSpaceDN/>
              <w:adjustRightInd/>
              <w:rPr>
                <w:rFonts w:asciiTheme="minorHAnsi" w:eastAsiaTheme="minorHAnsi" w:hAnsiTheme="minorHAnsi" w:cstheme="minorBidi"/>
                <w:color w:val="auto"/>
                <w:sz w:val="22"/>
                <w:szCs w:val="22"/>
              </w:rPr>
            </w:pPr>
          </w:p>
          <w:p w14:paraId="2CE18E59" w14:textId="77777777" w:rsidR="0095658C" w:rsidRDefault="002C3F71" w:rsidP="0095658C">
            <w:pPr>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7. Communication strategies under implementation at relevant CNEA sites included in the project.  Communication campaigns were completed at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and the two sites in Cordoba (El </w:t>
            </w:r>
            <w:proofErr w:type="spellStart"/>
            <w:r>
              <w:rPr>
                <w:rFonts w:asciiTheme="minorHAnsi" w:eastAsiaTheme="minorHAnsi" w:hAnsiTheme="minorHAnsi" w:cstheme="minorBidi"/>
                <w:color w:val="auto"/>
                <w:sz w:val="22"/>
                <w:szCs w:val="22"/>
              </w:rPr>
              <w:t>Chichon</w:t>
            </w:r>
            <w:proofErr w:type="spellEnd"/>
            <w:r>
              <w:rPr>
                <w:rFonts w:asciiTheme="minorHAnsi" w:eastAsiaTheme="minorHAnsi" w:hAnsiTheme="minorHAnsi" w:cstheme="minorBidi"/>
                <w:color w:val="auto"/>
                <w:sz w:val="22"/>
                <w:szCs w:val="22"/>
              </w:rPr>
              <w:t xml:space="preserve"> and Los </w:t>
            </w:r>
            <w:proofErr w:type="spellStart"/>
            <w:r>
              <w:rPr>
                <w:rFonts w:asciiTheme="minorHAnsi" w:eastAsiaTheme="minorHAnsi" w:hAnsiTheme="minorHAnsi" w:cstheme="minorBidi"/>
                <w:color w:val="auto"/>
                <w:sz w:val="22"/>
                <w:szCs w:val="22"/>
              </w:rPr>
              <w:t>Gigantes</w:t>
            </w:r>
            <w:proofErr w:type="spellEnd"/>
            <w:r>
              <w:rPr>
                <w:rFonts w:asciiTheme="minorHAnsi" w:eastAsiaTheme="minorHAnsi" w:hAnsiTheme="minorHAnsi" w:cstheme="minorBidi"/>
                <w:color w:val="auto"/>
                <w:sz w:val="22"/>
                <w:szCs w:val="22"/>
              </w:rPr>
              <w:t xml:space="preserve">). A beneficiary survey was under development in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In June 2017, the project organized a dissemination event in </w:t>
            </w:r>
            <w:proofErr w:type="spellStart"/>
            <w:r w:rsidR="00E52891">
              <w:rPr>
                <w:rFonts w:asciiTheme="minorHAnsi" w:eastAsiaTheme="minorHAnsi" w:hAnsiTheme="minorHAnsi" w:cstheme="minorBidi"/>
                <w:color w:val="auto"/>
                <w:sz w:val="22"/>
                <w:szCs w:val="22"/>
              </w:rPr>
              <w:t>Malargüe</w:t>
            </w:r>
            <w:proofErr w:type="spellEnd"/>
            <w:r>
              <w:rPr>
                <w:rFonts w:asciiTheme="minorHAnsi" w:eastAsiaTheme="minorHAnsi" w:hAnsiTheme="minorHAnsi" w:cstheme="minorBidi"/>
                <w:color w:val="auto"/>
                <w:sz w:val="22"/>
                <w:szCs w:val="22"/>
              </w:rPr>
              <w:t xml:space="preserve"> to communicate the completion of works with participation of national authorities, CNEA, and local stakeholders</w:t>
            </w:r>
            <w:r w:rsidRPr="006B410A">
              <w:rPr>
                <w:rFonts w:asciiTheme="minorHAnsi" w:eastAsiaTheme="minorHAnsi" w:hAnsiTheme="minorHAnsi" w:cstheme="minorBidi"/>
                <w:color w:val="auto"/>
                <w:sz w:val="22"/>
                <w:szCs w:val="22"/>
              </w:rPr>
              <w:t xml:space="preserve">. </w:t>
            </w:r>
          </w:p>
          <w:p w14:paraId="641EA474" w14:textId="77777777" w:rsidR="0095658C" w:rsidRPr="005F1AE0" w:rsidRDefault="0095658C" w:rsidP="0095658C">
            <w:pPr>
              <w:widowControl/>
              <w:autoSpaceDE/>
              <w:autoSpaceDN/>
              <w:adjustRightInd/>
              <w:rPr>
                <w:rFonts w:asciiTheme="minorHAnsi" w:eastAsiaTheme="minorHAnsi" w:hAnsiTheme="minorHAnsi" w:cstheme="minorBidi"/>
                <w:color w:val="auto"/>
                <w:sz w:val="22"/>
                <w:szCs w:val="22"/>
              </w:rPr>
            </w:pPr>
          </w:p>
        </w:tc>
      </w:tr>
    </w:tbl>
    <w:p w14:paraId="095A7EA0" w14:textId="77777777" w:rsidR="00F8412C" w:rsidRDefault="00F8412C" w:rsidP="00D67B87">
      <w:pPr>
        <w:ind w:left="-630"/>
        <w:rPr>
          <w:rFonts w:asciiTheme="minorHAnsi" w:hAnsiTheme="minorHAnsi"/>
          <w:bCs/>
          <w:color w:val="7F7F7F" w:themeColor="text1" w:themeTint="80"/>
          <w:sz w:val="22"/>
          <w:szCs w:val="22"/>
        </w:rPr>
      </w:pPr>
    </w:p>
    <w:p w14:paraId="6FB87F36" w14:textId="77777777" w:rsidR="00473A55" w:rsidRDefault="002C3F71">
      <w:pPr>
        <w:widowControl/>
        <w:autoSpaceDE/>
        <w:autoSpaceDN/>
        <w:adjustRightInd/>
        <w:spacing w:after="160" w:line="259" w:lineRule="auto"/>
        <w:rPr>
          <w:rFonts w:asciiTheme="minorHAnsi" w:hAnsiTheme="minorHAnsi"/>
          <w:bCs/>
          <w:color w:val="7F7F7F" w:themeColor="text1" w:themeTint="80"/>
          <w:sz w:val="22"/>
          <w:szCs w:val="22"/>
        </w:rPr>
        <w:sectPr w:rsidR="00473A55" w:rsidSect="00D4514A">
          <w:type w:val="continuous"/>
          <w:pgSz w:w="12240" w:h="15840"/>
          <w:pgMar w:top="1440" w:right="1440" w:bottom="1440" w:left="1440" w:header="720" w:footer="720" w:gutter="0"/>
          <w:cols w:space="720"/>
          <w:docGrid w:linePitch="360"/>
        </w:sectPr>
      </w:pPr>
      <w:r>
        <w:rPr>
          <w:rFonts w:asciiTheme="minorHAnsi" w:hAnsiTheme="minorHAnsi"/>
          <w:bCs/>
          <w:color w:val="7F7F7F" w:themeColor="text1" w:themeTint="80"/>
          <w:sz w:val="22"/>
          <w:szCs w:val="22"/>
        </w:rPr>
        <w:br w:type="page"/>
      </w:r>
    </w:p>
    <w:p w14:paraId="13F53893" w14:textId="77777777" w:rsidR="00F8412C" w:rsidRDefault="002C3F71">
      <w:pPr>
        <w:widowControl/>
        <w:autoSpaceDE/>
        <w:autoSpaceDN/>
        <w:adjustRightInd/>
        <w:spacing w:after="160" w:line="259" w:lineRule="auto"/>
        <w:rPr>
          <w:rFonts w:asciiTheme="minorHAnsi" w:hAnsiTheme="minorHAnsi"/>
          <w:bCs/>
          <w:color w:val="7F7F7F" w:themeColor="text1" w:themeTint="80"/>
          <w:sz w:val="22"/>
          <w:szCs w:val="22"/>
        </w:rPr>
      </w:pPr>
      <w:r>
        <w:rPr>
          <w:rFonts w:asciiTheme="minorHAnsi" w:hAnsiTheme="minorHAnsi"/>
          <w:b/>
          <w:color w:val="000000" w:themeColor="text1"/>
          <w:sz w:val="22"/>
          <w:szCs w:val="22"/>
        </w:rPr>
        <w:t xml:space="preserve"> </w:t>
      </w:r>
      <w:r w:rsidR="000A4B9F" w:rsidRPr="001B785D">
        <w:rPr>
          <w:rFonts w:asciiTheme="minorHAnsi" w:hAnsiTheme="minorHAnsi"/>
          <w:b/>
          <w:color w:val="000000" w:themeColor="text1"/>
          <w:sz w:val="22"/>
          <w:szCs w:val="22"/>
        </w:rPr>
        <w:t>ANNEX 6</w:t>
      </w:r>
      <w:r w:rsidR="000A4B9F">
        <w:rPr>
          <w:rFonts w:asciiTheme="minorHAnsi" w:hAnsiTheme="minorHAnsi"/>
          <w:b/>
          <w:color w:val="000000" w:themeColor="text1"/>
          <w:sz w:val="22"/>
          <w:szCs w:val="22"/>
        </w:rPr>
        <w:t>-B – Support evidence to Theory of Change (</w:t>
      </w:r>
      <w:r w:rsidR="000A4B9F" w:rsidRPr="002F028D">
        <w:rPr>
          <w:rFonts w:asciiTheme="minorHAnsi" w:hAnsiTheme="minorHAnsi"/>
          <w:b/>
          <w:color w:val="000000" w:themeColor="text1"/>
          <w:sz w:val="22"/>
          <w:szCs w:val="22"/>
        </w:rPr>
        <w:t xml:space="preserve">second revision of the outcome indicators in </w:t>
      </w:r>
      <w:r w:rsidR="000A4B9F">
        <w:rPr>
          <w:rFonts w:asciiTheme="minorHAnsi" w:hAnsiTheme="minorHAnsi"/>
          <w:b/>
          <w:color w:val="000000" w:themeColor="text1"/>
          <w:sz w:val="22"/>
          <w:szCs w:val="22"/>
        </w:rPr>
        <w:t xml:space="preserve">Nov. </w:t>
      </w:r>
      <w:r w:rsidR="000A4B9F" w:rsidRPr="002F028D">
        <w:rPr>
          <w:rFonts w:asciiTheme="minorHAnsi" w:hAnsiTheme="minorHAnsi"/>
          <w:b/>
          <w:color w:val="000000" w:themeColor="text1"/>
          <w:sz w:val="22"/>
          <w:szCs w:val="22"/>
        </w:rPr>
        <w:t>2015</w:t>
      </w:r>
      <w:r w:rsidR="000A4B9F">
        <w:rPr>
          <w:rFonts w:asciiTheme="minorHAnsi" w:hAnsiTheme="minorHAnsi"/>
          <w:b/>
          <w:color w:val="000000" w:themeColor="text1"/>
          <w:sz w:val="22"/>
          <w:szCs w:val="22"/>
        </w:rPr>
        <w:t>).</w:t>
      </w:r>
    </w:p>
    <w:p w14:paraId="41881FEA" w14:textId="77777777" w:rsidR="00473A55" w:rsidRDefault="00473A55">
      <w:pPr>
        <w:widowControl/>
        <w:autoSpaceDE/>
        <w:autoSpaceDN/>
        <w:adjustRightInd/>
        <w:spacing w:after="160" w:line="259" w:lineRule="auto"/>
        <w:rPr>
          <w:rFonts w:asciiTheme="minorHAnsi" w:hAnsiTheme="minorHAnsi"/>
          <w:bCs/>
          <w:color w:val="7F7F7F" w:themeColor="text1" w:themeTint="80"/>
          <w:sz w:val="22"/>
          <w:szCs w:val="22"/>
        </w:rPr>
      </w:pPr>
    </w:p>
    <w:p w14:paraId="1E3D3CE9" w14:textId="77777777" w:rsidR="000A4B9F" w:rsidRDefault="002C3F71">
      <w:pPr>
        <w:widowControl/>
        <w:autoSpaceDE/>
        <w:autoSpaceDN/>
        <w:adjustRightInd/>
        <w:spacing w:after="160" w:line="259" w:lineRule="auto"/>
        <w:rPr>
          <w:rFonts w:asciiTheme="minorHAnsi" w:hAnsiTheme="minorHAnsi"/>
          <w:bCs/>
          <w:color w:val="7F7F7F" w:themeColor="text1" w:themeTint="80"/>
          <w:sz w:val="22"/>
          <w:szCs w:val="22"/>
        </w:rPr>
      </w:pPr>
      <w:r>
        <w:rPr>
          <w:noProof/>
        </w:rPr>
        <w:drawing>
          <wp:inline distT="0" distB="0" distL="0" distR="0" wp14:anchorId="4F7F60AB" wp14:editId="64AC62F3">
            <wp:extent cx="8229600" cy="4890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65193" name=""/>
                    <pic:cNvPicPr/>
                  </pic:nvPicPr>
                  <pic:blipFill>
                    <a:blip r:embed="rId21"/>
                    <a:stretch>
                      <a:fillRect/>
                    </a:stretch>
                  </pic:blipFill>
                  <pic:spPr>
                    <a:xfrm>
                      <a:off x="0" y="0"/>
                      <a:ext cx="8229600" cy="4890770"/>
                    </a:xfrm>
                    <a:prstGeom prst="rect">
                      <a:avLst/>
                    </a:prstGeom>
                  </pic:spPr>
                </pic:pic>
              </a:graphicData>
            </a:graphic>
          </wp:inline>
        </w:drawing>
      </w:r>
    </w:p>
    <w:p w14:paraId="2E567583" w14:textId="77777777" w:rsidR="000A4B9F" w:rsidRDefault="000A4B9F">
      <w:pPr>
        <w:widowControl/>
        <w:autoSpaceDE/>
        <w:autoSpaceDN/>
        <w:adjustRightInd/>
        <w:spacing w:after="160" w:line="259" w:lineRule="auto"/>
        <w:rPr>
          <w:rFonts w:asciiTheme="minorHAnsi" w:hAnsiTheme="minorHAnsi"/>
          <w:bCs/>
          <w:color w:val="7F7F7F" w:themeColor="text1" w:themeTint="80"/>
          <w:sz w:val="22"/>
          <w:szCs w:val="22"/>
        </w:rPr>
        <w:sectPr w:rsidR="000A4B9F" w:rsidSect="00473A55">
          <w:pgSz w:w="15840" w:h="12240" w:orient="landscape"/>
          <w:pgMar w:top="1440" w:right="1440" w:bottom="1440" w:left="1440" w:header="720" w:footer="720" w:gutter="0"/>
          <w:cols w:space="720"/>
          <w:docGrid w:linePitch="360"/>
        </w:sectPr>
      </w:pPr>
    </w:p>
    <w:p w14:paraId="45E6E547" w14:textId="77777777" w:rsidR="00F8412C" w:rsidRDefault="00F8412C">
      <w:pPr>
        <w:widowControl/>
        <w:autoSpaceDE/>
        <w:autoSpaceDN/>
        <w:adjustRightInd/>
        <w:spacing w:after="160" w:line="259" w:lineRule="auto"/>
        <w:rPr>
          <w:rFonts w:asciiTheme="minorHAnsi" w:hAnsiTheme="minorHAnsi"/>
          <w:bCs/>
          <w:color w:val="7F7F7F" w:themeColor="text1" w:themeTint="80"/>
          <w:sz w:val="22"/>
          <w:szCs w:val="22"/>
        </w:rPr>
      </w:pPr>
    </w:p>
    <w:p w14:paraId="45F6A198" w14:textId="77777777" w:rsidR="00F8412C" w:rsidRDefault="00F8412C">
      <w:pPr>
        <w:widowControl/>
        <w:autoSpaceDE/>
        <w:autoSpaceDN/>
        <w:adjustRightInd/>
        <w:spacing w:after="160" w:line="259" w:lineRule="auto"/>
        <w:rPr>
          <w:rFonts w:asciiTheme="minorHAnsi" w:hAnsiTheme="minorHAnsi"/>
          <w:bCs/>
          <w:color w:val="7F7F7F" w:themeColor="text1" w:themeTint="80"/>
          <w:sz w:val="22"/>
          <w:szCs w:val="22"/>
        </w:rPr>
      </w:pPr>
    </w:p>
    <w:p w14:paraId="21A22507" w14:textId="77777777" w:rsidR="00215BCD" w:rsidRPr="000A4B9F" w:rsidRDefault="002C3F71" w:rsidP="000A4B9F">
      <w:pPr>
        <w:widowControl/>
        <w:autoSpaceDE/>
        <w:autoSpaceDN/>
        <w:adjustRightInd/>
        <w:spacing w:after="160" w:line="259" w:lineRule="auto"/>
        <w:rPr>
          <w:rFonts w:asciiTheme="minorHAnsi" w:hAnsiTheme="minorHAnsi"/>
          <w:b/>
          <w:color w:val="000000" w:themeColor="text1"/>
          <w:sz w:val="22"/>
          <w:szCs w:val="22"/>
        </w:rPr>
      </w:pPr>
      <w:r w:rsidRPr="000A4B9F">
        <w:rPr>
          <w:rFonts w:asciiTheme="minorHAnsi" w:hAnsiTheme="minorHAnsi"/>
          <w:b/>
          <w:color w:val="000000" w:themeColor="text1"/>
          <w:sz w:val="22"/>
          <w:szCs w:val="22"/>
        </w:rPr>
        <w:t>ANNEX 7 - MAP</w:t>
      </w:r>
    </w:p>
    <w:p w14:paraId="64734B18" w14:textId="77777777" w:rsidR="002F028D" w:rsidRPr="008175FB" w:rsidRDefault="002C3F71" w:rsidP="008175FB">
      <w:pPr>
        <w:rPr>
          <w:b/>
          <w:noProof/>
        </w:rPr>
      </w:pPr>
      <w:r>
        <w:rPr>
          <w:noProof/>
        </w:rPr>
        <w:drawing>
          <wp:inline distT="0" distB="0" distL="0" distR="0" wp14:anchorId="445CF485" wp14:editId="3D1D6FE7">
            <wp:extent cx="5004853" cy="6853334"/>
            <wp:effectExtent l="0" t="0" r="5715" b="5080"/>
            <wp:docPr id="5" name="Picture 5" descr="C:\Users\wb165588\AppData\Local\Microsoft\Windows\INetCache\Content.Word\ARG36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03057" name="Picture 1" descr="C:\Users\wb165588\AppData\Local\Microsoft\Windows\INetCache\Content.Word\ARG36275.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005415" cy="6854104"/>
                    </a:xfrm>
                    <a:prstGeom prst="rect">
                      <a:avLst/>
                    </a:prstGeom>
                    <a:noFill/>
                    <a:ln>
                      <a:noFill/>
                    </a:ln>
                  </pic:spPr>
                </pic:pic>
              </a:graphicData>
            </a:graphic>
          </wp:inline>
        </w:drawing>
      </w:r>
    </w:p>
    <w:sectPr w:rsidR="002F028D" w:rsidRPr="008175FB" w:rsidSect="00473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9FE1" w14:textId="77777777" w:rsidR="005C796D" w:rsidRDefault="002C3F71">
      <w:r>
        <w:separator/>
      </w:r>
    </w:p>
  </w:endnote>
  <w:endnote w:type="continuationSeparator" w:id="0">
    <w:p w14:paraId="670252A4" w14:textId="77777777" w:rsidR="005C796D" w:rsidRDefault="002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287B" w14:textId="77777777" w:rsidR="00BF30AE" w:rsidRDefault="00BF30AE" w:rsidP="003615CB">
    <w:pPr>
      <w:pStyle w:val="Footer"/>
      <w:jc w:val="right"/>
    </w:pPr>
  </w:p>
  <w:p w14:paraId="6CB7D5D7" w14:textId="77777777" w:rsidR="00BF30AE" w:rsidRDefault="00BF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9B2F" w14:textId="77777777" w:rsidR="00BF30AE" w:rsidRPr="00610EEB" w:rsidRDefault="00BF30AE" w:rsidP="00610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00840"/>
      <w:docPartObj>
        <w:docPartGallery w:val="Page Numbers (Top of Page)"/>
        <w:docPartUnique/>
      </w:docPartObj>
    </w:sdtPr>
    <w:sdtEndPr>
      <w:rPr>
        <w:sz w:val="16"/>
        <w:szCs w:val="16"/>
      </w:rPr>
    </w:sdtEndPr>
    <w:sdtContent>
      <w:p w14:paraId="6889E88A" w14:textId="77777777" w:rsidR="00BF30AE" w:rsidRPr="00DF015E" w:rsidRDefault="002C3F71" w:rsidP="003615CB">
        <w:pPr>
          <w:pStyle w:val="Footer"/>
          <w:jc w:val="right"/>
        </w:pPr>
        <w:r>
          <w:rPr>
            <w:noProof/>
            <w:sz w:val="16"/>
            <w:szCs w:val="16"/>
          </w:rPr>
          <mc:AlternateContent>
            <mc:Choice Requires="wps">
              <w:drawing>
                <wp:anchor distT="0" distB="0" distL="114300" distR="114300" simplePos="0" relativeHeight="251666432" behindDoc="0" locked="0" layoutInCell="1" allowOverlap="1" wp14:anchorId="281BF91A" wp14:editId="54303136">
                  <wp:simplePos x="0" y="0"/>
                  <wp:positionH relativeFrom="margin">
                    <wp:align>center</wp:align>
                  </wp:positionH>
                  <wp:positionV relativeFrom="paragraph">
                    <wp:posOffset>130810</wp:posOffset>
                  </wp:positionV>
                  <wp:extent cx="72485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10" o:spid="_x0000_s2050"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7456" from="0,10.3pt" to="570.75pt,10.3pt" strokecolor="#4e92d1">
                  <w10:wrap anchorx="margin"/>
                </v:line>
              </w:pict>
            </mc:Fallback>
          </mc:AlternateContent>
        </w:r>
        <w:r>
          <w:tab/>
        </w:r>
      </w:p>
      <w:tbl>
        <w:tblPr>
          <w:tblStyle w:val="TableGrid"/>
          <w:tblW w:w="10799" w:type="dxa"/>
          <w:jc w:val="center"/>
          <w:tblCellMar>
            <w:left w:w="0" w:type="dxa"/>
            <w:right w:w="0" w:type="dxa"/>
          </w:tblCellMar>
          <w:tblLook w:val="04A0" w:firstRow="1" w:lastRow="0" w:firstColumn="1" w:lastColumn="0" w:noHBand="0" w:noVBand="1"/>
        </w:tblPr>
        <w:tblGrid>
          <w:gridCol w:w="5580"/>
          <w:gridCol w:w="5219"/>
        </w:tblGrid>
        <w:tr w:rsidR="00E63776" w14:paraId="4B92D192" w14:textId="77777777" w:rsidTr="003615CB">
          <w:trPr>
            <w:trHeight w:val="270"/>
            <w:jc w:val="center"/>
          </w:trPr>
          <w:tc>
            <w:tcPr>
              <w:tcW w:w="5580" w:type="dxa"/>
              <w:tcBorders>
                <w:top w:val="nil"/>
                <w:left w:val="nil"/>
                <w:bottom w:val="nil"/>
                <w:right w:val="nil"/>
              </w:tcBorders>
              <w:vAlign w:val="center"/>
            </w:tcPr>
            <w:p w14:paraId="0DAADCDD" w14:textId="77777777" w:rsidR="00BF30AE" w:rsidRPr="008C3869" w:rsidRDefault="00BF30AE" w:rsidP="003615CB">
              <w:pPr>
                <w:pStyle w:val="Footer"/>
                <w:rPr>
                  <w:color w:val="7F7F7F" w:themeColor="text1" w:themeTint="80"/>
                  <w:sz w:val="16"/>
                  <w:szCs w:val="16"/>
                </w:rPr>
              </w:pPr>
            </w:p>
          </w:tc>
          <w:tc>
            <w:tcPr>
              <w:tcW w:w="5219" w:type="dxa"/>
              <w:tcBorders>
                <w:top w:val="nil"/>
                <w:left w:val="nil"/>
                <w:bottom w:val="nil"/>
                <w:right w:val="nil"/>
              </w:tcBorders>
              <w:vAlign w:val="center"/>
            </w:tcPr>
            <w:p w14:paraId="6EE7BEE2" w14:textId="2D9569E6" w:rsidR="00BF30AE" w:rsidRDefault="002C3F71" w:rsidP="000E08BA">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sidR="00E166B0">
                <w:rPr>
                  <w:bCs/>
                  <w:noProof/>
                  <w:sz w:val="16"/>
                  <w:szCs w:val="16"/>
                </w:rPr>
                <w:t>1</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sidR="00E166B0">
                <w:rPr>
                  <w:bCs/>
                  <w:noProof/>
                  <w:sz w:val="16"/>
                  <w:szCs w:val="16"/>
                </w:rPr>
                <w:instrText>75</w:instrText>
              </w:r>
              <w:r>
                <w:rPr>
                  <w:bCs/>
                  <w:sz w:val="16"/>
                  <w:szCs w:val="16"/>
                </w:rPr>
                <w:fldChar w:fldCharType="end"/>
              </w:r>
              <w:r>
                <w:rPr>
                  <w:bCs/>
                  <w:sz w:val="16"/>
                  <w:szCs w:val="16"/>
                </w:rPr>
                <w:instrText xml:space="preserve"> - 4</w:instrText>
              </w:r>
              <w:r>
                <w:rPr>
                  <w:bCs/>
                  <w:sz w:val="16"/>
                  <w:szCs w:val="16"/>
                </w:rPr>
                <w:fldChar w:fldCharType="separate"/>
              </w:r>
              <w:r w:rsidR="00E166B0">
                <w:rPr>
                  <w:bCs/>
                  <w:noProof/>
                  <w:sz w:val="16"/>
                  <w:szCs w:val="16"/>
                </w:rPr>
                <w:t>71</w:t>
              </w:r>
              <w:r>
                <w:rPr>
                  <w:bCs/>
                  <w:sz w:val="16"/>
                  <w:szCs w:val="16"/>
                </w:rPr>
                <w:fldChar w:fldCharType="end"/>
              </w:r>
              <w:r>
                <w:rPr>
                  <w:bCs/>
                  <w:sz w:val="16"/>
                  <w:szCs w:val="16"/>
                </w:rPr>
                <w:t xml:space="preserve"> </w:t>
              </w:r>
            </w:p>
          </w:tc>
        </w:tr>
      </w:tbl>
      <w:p w14:paraId="5A7EB66A" w14:textId="77777777" w:rsidR="00BF30AE" w:rsidRDefault="002C3F71" w:rsidP="003615CB">
        <w:pPr>
          <w:pStyle w:val="Footer"/>
          <w:spacing w:line="160" w:lineRule="exact"/>
        </w:pPr>
        <w:r>
          <w:t xml:space="preserve">    </w:t>
        </w:r>
      </w:p>
    </w:sdtContent>
  </w:sdt>
  <w:p w14:paraId="4A28DB52" w14:textId="77777777" w:rsidR="00BF30AE" w:rsidRDefault="00BF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AED1" w14:textId="77777777" w:rsidR="00BF30AE" w:rsidRDefault="002C3F71">
      <w:r>
        <w:separator/>
      </w:r>
    </w:p>
  </w:footnote>
  <w:footnote w:type="continuationSeparator" w:id="0">
    <w:p w14:paraId="0047C3CF" w14:textId="77777777" w:rsidR="00BF30AE" w:rsidRDefault="002C3F71">
      <w:r>
        <w:continuationSeparator/>
      </w:r>
    </w:p>
  </w:footnote>
  <w:footnote w:id="1">
    <w:p w14:paraId="39922A8D" w14:textId="77777777" w:rsidR="00BF30AE" w:rsidRPr="00352767" w:rsidRDefault="002C3F71" w:rsidP="00B12343">
      <w:pPr>
        <w:widowControl/>
        <w:jc w:val="both"/>
        <w:rPr>
          <w:rFonts w:asciiTheme="minorHAnsi" w:hAnsiTheme="minorHAnsi" w:cstheme="minorHAnsi"/>
          <w:sz w:val="20"/>
          <w:szCs w:val="20"/>
        </w:rPr>
      </w:pPr>
      <w:r w:rsidRPr="00352767">
        <w:rPr>
          <w:rStyle w:val="FootnoteReference"/>
          <w:rFonts w:asciiTheme="minorHAnsi" w:hAnsiTheme="minorHAnsi" w:cstheme="minorHAnsi"/>
          <w:sz w:val="20"/>
          <w:szCs w:val="20"/>
        </w:rPr>
        <w:footnoteRef/>
      </w:r>
      <w:r w:rsidRPr="00352767">
        <w:rPr>
          <w:rFonts w:asciiTheme="minorHAnsi" w:hAnsiTheme="minorHAnsi" w:cstheme="minorHAnsi"/>
          <w:sz w:val="20"/>
          <w:szCs w:val="20"/>
        </w:rPr>
        <w:t xml:space="preserve"> </w:t>
      </w:r>
      <w:r w:rsidRPr="00352767">
        <w:rPr>
          <w:rFonts w:asciiTheme="minorHAnsi" w:eastAsiaTheme="minorHAnsi" w:hAnsiTheme="minorHAnsi" w:cstheme="minorHAnsi"/>
          <w:color w:val="auto"/>
          <w:sz w:val="20"/>
          <w:szCs w:val="20"/>
        </w:rPr>
        <w:t xml:space="preserve">It should be noted, however, that the legacy issue was not nuclear waste, but large amounts of low-grade tailings with radioactivity levels typically </w:t>
      </w:r>
      <w:r>
        <w:rPr>
          <w:rFonts w:asciiTheme="minorHAnsi" w:eastAsiaTheme="minorHAnsi" w:hAnsiTheme="minorHAnsi" w:cstheme="minorHAnsi"/>
          <w:color w:val="auto"/>
          <w:sz w:val="20"/>
          <w:szCs w:val="20"/>
        </w:rPr>
        <w:t>those for</w:t>
      </w:r>
      <w:r w:rsidRPr="00352767">
        <w:rPr>
          <w:rFonts w:asciiTheme="minorHAnsi" w:eastAsiaTheme="minorHAnsi" w:hAnsiTheme="minorHAnsi" w:cstheme="minorHAnsi"/>
          <w:color w:val="auto"/>
          <w:sz w:val="20"/>
          <w:szCs w:val="20"/>
        </w:rPr>
        <w:t xml:space="preserve"> commercially viable natural uranium ore.</w:t>
      </w:r>
      <w:r>
        <w:rPr>
          <w:rFonts w:asciiTheme="minorHAnsi" w:eastAsiaTheme="minorHAnsi" w:hAnsiTheme="minorHAnsi" w:cstheme="minorHAnsi"/>
          <w:color w:val="auto"/>
          <w:sz w:val="20"/>
          <w:szCs w:val="20"/>
        </w:rPr>
        <w:t xml:space="preserve"> This distinction is very important as Bank policy at the time prohibited any lending for activities related to nuclear energy production, including the processing of uranium for this purpose.  Accordingly, a high level internal management decision was required </w:t>
      </w:r>
      <w:proofErr w:type="gramStart"/>
      <w:r>
        <w:rPr>
          <w:rFonts w:asciiTheme="minorHAnsi" w:eastAsiaTheme="minorHAnsi" w:hAnsiTheme="minorHAnsi" w:cstheme="minorHAnsi"/>
          <w:color w:val="auto"/>
          <w:sz w:val="20"/>
          <w:szCs w:val="20"/>
        </w:rPr>
        <w:t>in order for</w:t>
      </w:r>
      <w:proofErr w:type="gramEnd"/>
      <w:r>
        <w:rPr>
          <w:rFonts w:asciiTheme="minorHAnsi" w:eastAsiaTheme="minorHAnsi" w:hAnsiTheme="minorHAnsi" w:cstheme="minorHAnsi"/>
          <w:color w:val="auto"/>
          <w:sz w:val="20"/>
          <w:szCs w:val="20"/>
        </w:rPr>
        <w:t xml:space="preserve"> the Bank to proceed with the appraisal and subsequent financing of this project, which was the first of its kind in terms of Bank involvement not only in Latin America but worldwide. The novelty of the project also contributed to the extensive preparation time required. In short, this was the first time either the </w:t>
      </w:r>
      <w:proofErr w:type="spellStart"/>
      <w:r>
        <w:rPr>
          <w:rFonts w:asciiTheme="minorHAnsi" w:eastAsiaTheme="minorHAnsi" w:hAnsiTheme="minorHAnsi" w:cstheme="minorHAnsi"/>
          <w:color w:val="auto"/>
          <w:sz w:val="20"/>
          <w:szCs w:val="20"/>
        </w:rPr>
        <w:t>GoA</w:t>
      </w:r>
      <w:proofErr w:type="spellEnd"/>
      <w:r>
        <w:rPr>
          <w:rFonts w:asciiTheme="minorHAnsi" w:eastAsiaTheme="minorHAnsi" w:hAnsiTheme="minorHAnsi" w:cstheme="minorHAnsi"/>
          <w:color w:val="auto"/>
          <w:sz w:val="20"/>
          <w:szCs w:val="20"/>
        </w:rPr>
        <w:t xml:space="preserve"> or the Bank had dealt with the restoration of former uranium mining-related sites, although the Bank did have past and ongoing experience with the environmental remediation of closed mining sites involving other minerals.</w:t>
      </w:r>
    </w:p>
  </w:footnote>
  <w:footnote w:id="2">
    <w:p w14:paraId="37773F76" w14:textId="3158467F" w:rsidR="00BF30AE" w:rsidRPr="00F52D76" w:rsidRDefault="002C3F71" w:rsidP="00B12343">
      <w:pPr>
        <w:pStyle w:val="FootnoteText"/>
        <w:jc w:val="both"/>
        <w:rPr>
          <w:sz w:val="20"/>
        </w:rPr>
      </w:pPr>
      <w:r w:rsidRPr="00F52D76">
        <w:rPr>
          <w:rStyle w:val="FootnoteReference"/>
          <w:sz w:val="20"/>
        </w:rPr>
        <w:footnoteRef/>
      </w:r>
      <w:r w:rsidRPr="00F52D76">
        <w:rPr>
          <w:sz w:val="20"/>
        </w:rPr>
        <w:t xml:space="preserve"> One of the alternatives originally considered by the Bank was to invest in remediation in more than one site. However, </w:t>
      </w:r>
      <w:proofErr w:type="gramStart"/>
      <w:r w:rsidRPr="00F52D76">
        <w:rPr>
          <w:sz w:val="20"/>
        </w:rPr>
        <w:t>according to</w:t>
      </w:r>
      <w:proofErr w:type="gramEnd"/>
      <w:r w:rsidRPr="00F52D76">
        <w:rPr>
          <w:sz w:val="20"/>
        </w:rPr>
        <w:t xml:space="preserve"> the PAD (para. 22) this alternative was rejected because </w:t>
      </w:r>
      <w:proofErr w:type="gramStart"/>
      <w:r w:rsidRPr="00F52D76">
        <w:rPr>
          <w:sz w:val="20"/>
        </w:rPr>
        <w:t>in order to</w:t>
      </w:r>
      <w:proofErr w:type="gramEnd"/>
      <w:r w:rsidRPr="00F52D76">
        <w:rPr>
          <w:sz w:val="20"/>
        </w:rPr>
        <w:t xml:space="preserve"> do so, it would have required that all environmental and social assessments would need to be completed during project preparation.  Given the existing capacity at CNEA and the relevant provincial authorities, overall project preparation would have been considerably longer and would have introduced unacceptably long delays in the financing and implementation of the </w:t>
      </w:r>
      <w:proofErr w:type="spellStart"/>
      <w:r w:rsidRPr="00F52D76">
        <w:rPr>
          <w:sz w:val="20"/>
        </w:rPr>
        <w:t>Malarg</w:t>
      </w:r>
      <w:r w:rsidR="00E166B0">
        <w:rPr>
          <w:rFonts w:cstheme="minorHAnsi"/>
          <w:sz w:val="20"/>
        </w:rPr>
        <w:t>ü</w:t>
      </w:r>
      <w:r w:rsidRPr="00F52D76">
        <w:rPr>
          <w:sz w:val="20"/>
        </w:rPr>
        <w:t>e</w:t>
      </w:r>
      <w:proofErr w:type="spellEnd"/>
      <w:r w:rsidRPr="00F52D76">
        <w:rPr>
          <w:sz w:val="20"/>
        </w:rPr>
        <w:t xml:space="preserve"> works. </w:t>
      </w:r>
      <w:r w:rsidR="000E6D6A">
        <w:rPr>
          <w:sz w:val="20"/>
        </w:rPr>
        <w:t>Consequently,</w:t>
      </w:r>
      <w:r w:rsidRPr="00F52D76">
        <w:rPr>
          <w:sz w:val="20"/>
        </w:rPr>
        <w:t xml:space="preserve"> it was decided to remediate the contamination at one site in order the gain first-hand practical and operational experience (Component 1) and to help develop capacity to permit CNEA and the </w:t>
      </w:r>
      <w:proofErr w:type="spellStart"/>
      <w:r w:rsidRPr="00F52D76">
        <w:rPr>
          <w:sz w:val="20"/>
        </w:rPr>
        <w:t>GoA</w:t>
      </w:r>
      <w:proofErr w:type="spellEnd"/>
      <w:r w:rsidRPr="00F52D76">
        <w:rPr>
          <w:sz w:val="20"/>
        </w:rPr>
        <w:t xml:space="preserve"> to undertake similar remediation activities, which would also require additional investment resources, and the other contaminated sites (Component 2).</w:t>
      </w:r>
    </w:p>
  </w:footnote>
  <w:footnote w:id="3">
    <w:p w14:paraId="74CA5C58" w14:textId="77777777" w:rsidR="00BF30AE" w:rsidRDefault="002C3F71">
      <w:pPr>
        <w:pStyle w:val="FootnoteText"/>
      </w:pPr>
      <w:r>
        <w:rPr>
          <w:rStyle w:val="FootnoteReference"/>
        </w:rPr>
        <w:footnoteRef/>
      </w:r>
      <w:r>
        <w:t xml:space="preserve"> T</w:t>
      </w:r>
      <w:r w:rsidRPr="0050049A">
        <w:t xml:space="preserve">he completion of works entailed (i) the removal and encapsulation of uranium tailings which followed the remediation plan agreed with national authorities; (ii) the subsequent sample collection as part of the environmental, physical, and radiological monitoring plan followed by the quality assurance and control procedures in the field and laboratories; (iii) the implementation of a communication strategy with respect to the remediation and site restoration activities at </w:t>
      </w:r>
      <w:proofErr w:type="spellStart"/>
      <w:r w:rsidRPr="0050049A">
        <w:t>Malargüe</w:t>
      </w:r>
      <w:proofErr w:type="spellEnd"/>
      <w:r w:rsidRPr="0050049A">
        <w:t xml:space="preserve"> to create public awareness and share best practices in the remediation of legacy sites; and (iv) the civil works for the green park.</w:t>
      </w:r>
    </w:p>
  </w:footnote>
  <w:footnote w:id="4">
    <w:p w14:paraId="12458AF1" w14:textId="78C8EEFF" w:rsidR="00BF30AE" w:rsidRPr="00F52D76" w:rsidRDefault="002C3F71" w:rsidP="002318A9">
      <w:pPr>
        <w:pStyle w:val="FootnoteText"/>
        <w:jc w:val="both"/>
        <w:rPr>
          <w:sz w:val="20"/>
        </w:rPr>
      </w:pPr>
      <w:r w:rsidRPr="00F52D76">
        <w:rPr>
          <w:rStyle w:val="FootnoteReference"/>
          <w:sz w:val="20"/>
        </w:rPr>
        <w:footnoteRef/>
      </w:r>
      <w:r w:rsidRPr="00F52D76">
        <w:rPr>
          <w:sz w:val="20"/>
        </w:rPr>
        <w:t xml:space="preserve"> There was a slight difference in the way the PDOs were stated in the LA and the Project Appraisal Document.  For the first objective, the PAD referred to the “Government of Argentina” instead of the “Borrower” and to “international best practice” instead of “international good practice.”  For the second objective, the PAD referred to “associated with a closed uranium milling site in </w:t>
      </w:r>
      <w:proofErr w:type="spellStart"/>
      <w:r w:rsidRPr="00F52D76">
        <w:rPr>
          <w:sz w:val="20"/>
        </w:rPr>
        <w:t>Malarg</w:t>
      </w:r>
      <w:r w:rsidR="00E166B0">
        <w:rPr>
          <w:rFonts w:cstheme="minorHAnsi"/>
          <w:sz w:val="20"/>
        </w:rPr>
        <w:t>ü</w:t>
      </w:r>
      <w:r w:rsidRPr="00F52D76">
        <w:rPr>
          <w:sz w:val="20"/>
        </w:rPr>
        <w:t>e</w:t>
      </w:r>
      <w:proofErr w:type="spellEnd"/>
      <w:r w:rsidRPr="00F52D76">
        <w:rPr>
          <w:sz w:val="20"/>
        </w:rPr>
        <w:t xml:space="preserve">, Mendoza” instead of “associated with the </w:t>
      </w:r>
      <w:proofErr w:type="spellStart"/>
      <w:r w:rsidRPr="00F52D76">
        <w:rPr>
          <w:sz w:val="20"/>
        </w:rPr>
        <w:t>Malarg</w:t>
      </w:r>
      <w:r w:rsidR="00E166B0">
        <w:rPr>
          <w:rFonts w:cstheme="minorHAnsi"/>
          <w:sz w:val="20"/>
        </w:rPr>
        <w:t>ü</w:t>
      </w:r>
      <w:r w:rsidRPr="00F52D76">
        <w:rPr>
          <w:sz w:val="20"/>
        </w:rPr>
        <w:t>e</w:t>
      </w:r>
      <w:proofErr w:type="spellEnd"/>
      <w:r w:rsidRPr="00F52D76">
        <w:rPr>
          <w:sz w:val="20"/>
        </w:rPr>
        <w:t xml:space="preserve"> site.” The statement of the PDOs contained in the LA will be used for this evaluation as the legally binding version of the project objectives and as per ICR guidelines.</w:t>
      </w:r>
    </w:p>
  </w:footnote>
  <w:footnote w:id="5">
    <w:p w14:paraId="10EFF37B" w14:textId="77777777" w:rsidR="00BF30AE" w:rsidRPr="00F52D76" w:rsidRDefault="002C3F71" w:rsidP="002318A9">
      <w:pPr>
        <w:pStyle w:val="FootnoteText"/>
        <w:jc w:val="both"/>
        <w:rPr>
          <w:sz w:val="20"/>
        </w:rPr>
      </w:pPr>
      <w:r w:rsidRPr="00F52D76">
        <w:rPr>
          <w:rStyle w:val="FootnoteReference"/>
          <w:sz w:val="20"/>
        </w:rPr>
        <w:footnoteRef/>
      </w:r>
      <w:r w:rsidRPr="00F52D76">
        <w:rPr>
          <w:sz w:val="20"/>
        </w:rPr>
        <w:t xml:space="preserve"> Environmental remediation consists of the removal o</w:t>
      </w:r>
      <w:r>
        <w:rPr>
          <w:sz w:val="20"/>
        </w:rPr>
        <w:t>f</w:t>
      </w:r>
      <w:r w:rsidRPr="00F52D76">
        <w:rPr>
          <w:sz w:val="20"/>
        </w:rPr>
        <w:t xml:space="preserve"> pollutants or contaminants </w:t>
      </w:r>
      <w:r w:rsidRPr="00F5019E">
        <w:rPr>
          <w:sz w:val="20"/>
        </w:rPr>
        <w:t xml:space="preserve">from soil, groundwater, sediments, or surface water </w:t>
      </w:r>
      <w:proofErr w:type="gramStart"/>
      <w:r w:rsidRPr="00F5019E">
        <w:rPr>
          <w:sz w:val="20"/>
        </w:rPr>
        <w:t>in order to</w:t>
      </w:r>
      <w:proofErr w:type="gramEnd"/>
      <w:r w:rsidRPr="00F5019E">
        <w:rPr>
          <w:sz w:val="20"/>
        </w:rPr>
        <w:t xml:space="preserve"> minimize, reduce and or control the exposure and negative impacts on human health and the environment </w:t>
      </w:r>
      <w:r w:rsidRPr="00F52D76">
        <w:rPr>
          <w:sz w:val="20"/>
        </w:rPr>
        <w:t>and restoration of the affected sites in accordance with pertinent government standards and regulations.</w:t>
      </w:r>
      <w:r>
        <w:rPr>
          <w:sz w:val="20"/>
        </w:rPr>
        <w:t xml:space="preserve"> </w:t>
      </w:r>
    </w:p>
  </w:footnote>
  <w:footnote w:id="6">
    <w:p w14:paraId="605C6470" w14:textId="77777777" w:rsidR="00BF30AE" w:rsidRPr="002143A9" w:rsidRDefault="002C3F71" w:rsidP="002318A9">
      <w:pPr>
        <w:widowControl/>
        <w:jc w:val="both"/>
        <w:rPr>
          <w:rFonts w:asciiTheme="minorHAnsi" w:hAnsiTheme="minorHAnsi" w:cstheme="minorHAnsi"/>
          <w:sz w:val="20"/>
          <w:szCs w:val="20"/>
        </w:rPr>
      </w:pPr>
      <w:r w:rsidRPr="002143A9">
        <w:rPr>
          <w:rStyle w:val="FootnoteReference"/>
          <w:rFonts w:asciiTheme="minorHAnsi" w:hAnsiTheme="minorHAnsi" w:cstheme="minorHAnsi"/>
          <w:sz w:val="20"/>
          <w:szCs w:val="20"/>
        </w:rPr>
        <w:footnoteRef/>
      </w:r>
      <w:r w:rsidRPr="002143A9">
        <w:rPr>
          <w:rFonts w:asciiTheme="minorHAnsi" w:hAnsiTheme="minorHAnsi" w:cstheme="minorHAnsi"/>
          <w:sz w:val="20"/>
          <w:szCs w:val="20"/>
        </w:rPr>
        <w:t xml:space="preserve"> More specifically, t</w:t>
      </w:r>
      <w:r w:rsidRPr="002143A9">
        <w:rPr>
          <w:rFonts w:asciiTheme="minorHAnsi" w:eastAsiaTheme="minorHAnsi" w:hAnsiTheme="minorHAnsi" w:cstheme="minorHAnsi"/>
          <w:color w:val="auto"/>
          <w:sz w:val="20"/>
          <w:szCs w:val="20"/>
        </w:rPr>
        <w:t>he standard to be achieved at the site for radiation exposure ha</w:t>
      </w:r>
      <w:r>
        <w:rPr>
          <w:rFonts w:asciiTheme="minorHAnsi" w:eastAsiaTheme="minorHAnsi" w:hAnsiTheme="minorHAnsi" w:cstheme="minorHAnsi"/>
          <w:color w:val="auto"/>
          <w:sz w:val="20"/>
          <w:szCs w:val="20"/>
        </w:rPr>
        <w:t>d</w:t>
      </w:r>
      <w:r w:rsidRPr="002143A9">
        <w:rPr>
          <w:rFonts w:asciiTheme="minorHAnsi" w:eastAsiaTheme="minorHAnsi" w:hAnsiTheme="minorHAnsi" w:cstheme="minorHAnsi"/>
          <w:color w:val="auto"/>
          <w:sz w:val="20"/>
          <w:szCs w:val="20"/>
        </w:rPr>
        <w:t xml:space="preserve"> been established and specified in ARN regulations as 0.1mSv/yr</w:t>
      </w:r>
      <w:r>
        <w:rPr>
          <w:rFonts w:asciiTheme="minorHAnsi" w:eastAsiaTheme="minorHAnsi" w:hAnsiTheme="minorHAnsi" w:cstheme="minorHAnsi"/>
          <w:color w:val="auto"/>
          <w:sz w:val="20"/>
          <w:szCs w:val="20"/>
        </w:rPr>
        <w:t>.</w:t>
      </w:r>
      <w:r w:rsidRPr="002143A9">
        <w:rPr>
          <w:rFonts w:asciiTheme="minorHAnsi" w:eastAsiaTheme="minorHAnsi" w:hAnsiTheme="minorHAnsi" w:cstheme="minorHAnsi"/>
          <w:color w:val="auto"/>
          <w:sz w:val="20"/>
          <w:szCs w:val="20"/>
        </w:rPr>
        <w:t xml:space="preserve">  The remediation and restoration work was expected to comply with ARN’s Basic Standard for Radiation Safety (AR</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10.1.1) and with ARN’s mandatory standard RQ-86, as well as with the applicable laws of the Province</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of Mendoza on hazardous waste and nature preservation. These measures w</w:t>
      </w:r>
      <w:r>
        <w:rPr>
          <w:rFonts w:asciiTheme="minorHAnsi" w:eastAsiaTheme="minorHAnsi" w:hAnsiTheme="minorHAnsi" w:cstheme="minorHAnsi"/>
          <w:color w:val="auto"/>
          <w:sz w:val="20"/>
          <w:szCs w:val="20"/>
        </w:rPr>
        <w:t>ere expected to</w:t>
      </w:r>
      <w:r w:rsidRPr="002143A9">
        <w:rPr>
          <w:rFonts w:asciiTheme="minorHAnsi" w:eastAsiaTheme="minorHAnsi" w:hAnsiTheme="minorHAnsi" w:cstheme="minorHAnsi"/>
          <w:color w:val="auto"/>
          <w:sz w:val="20"/>
          <w:szCs w:val="20"/>
        </w:rPr>
        <w:t xml:space="preserve"> ensure that a critical</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 xml:space="preserve">population group would not be exposed to an annual radiation dose </w:t>
      </w:r>
      <w:r>
        <w:rPr>
          <w:rFonts w:asciiTheme="minorHAnsi" w:eastAsiaTheme="minorHAnsi" w:hAnsiTheme="minorHAnsi" w:cstheme="minorHAnsi"/>
          <w:color w:val="auto"/>
          <w:sz w:val="20"/>
          <w:szCs w:val="20"/>
        </w:rPr>
        <w:t>that</w:t>
      </w:r>
      <w:r w:rsidRPr="002143A9">
        <w:rPr>
          <w:rFonts w:asciiTheme="minorHAnsi" w:eastAsiaTheme="minorHAnsi" w:hAnsiTheme="minorHAnsi" w:cstheme="minorHAnsi"/>
          <w:color w:val="auto"/>
          <w:sz w:val="20"/>
          <w:szCs w:val="20"/>
        </w:rPr>
        <w:t xml:space="preserve"> could lead to increased risk of</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 xml:space="preserve">radiation related illnesses. The standard specified </w:t>
      </w:r>
      <w:r w:rsidRPr="00E15AFC">
        <w:rPr>
          <w:rFonts w:asciiTheme="minorHAnsi" w:eastAsiaTheme="minorHAnsi" w:hAnsiTheme="minorHAnsi" w:cstheme="minorHAnsi"/>
          <w:color w:val="auto"/>
          <w:sz w:val="20"/>
          <w:szCs w:val="20"/>
        </w:rPr>
        <w:t xml:space="preserve">in </w:t>
      </w:r>
      <w:r w:rsidRPr="00E15AFC">
        <w:rPr>
          <w:rFonts w:asciiTheme="minorHAnsi" w:eastAsiaTheme="minorHAnsi" w:hAnsiTheme="minorHAnsi" w:cstheme="minorHAnsi"/>
          <w:iCs/>
          <w:color w:val="auto"/>
          <w:sz w:val="20"/>
          <w:szCs w:val="20"/>
        </w:rPr>
        <w:t>ARN</w:t>
      </w:r>
      <w:r w:rsidRPr="002143A9">
        <w:rPr>
          <w:rFonts w:asciiTheme="minorHAnsi" w:eastAsiaTheme="minorHAnsi" w:hAnsiTheme="minorHAnsi" w:cstheme="minorHAnsi"/>
          <w:i/>
          <w:iCs/>
          <w:color w:val="auto"/>
          <w:sz w:val="20"/>
          <w:szCs w:val="20"/>
        </w:rPr>
        <w:t xml:space="preserve"> </w:t>
      </w:r>
      <w:r w:rsidRPr="002143A9">
        <w:rPr>
          <w:rFonts w:asciiTheme="minorHAnsi" w:eastAsiaTheme="minorHAnsi" w:hAnsiTheme="minorHAnsi" w:cstheme="minorHAnsi"/>
          <w:color w:val="auto"/>
          <w:sz w:val="20"/>
          <w:szCs w:val="20"/>
        </w:rPr>
        <w:t xml:space="preserve">regulations </w:t>
      </w:r>
      <w:r>
        <w:rPr>
          <w:rFonts w:asciiTheme="minorHAnsi" w:eastAsiaTheme="minorHAnsi" w:hAnsiTheme="minorHAnsi" w:cstheme="minorHAnsi"/>
          <w:color w:val="auto"/>
          <w:sz w:val="20"/>
          <w:szCs w:val="20"/>
        </w:rPr>
        <w:t>was</w:t>
      </w:r>
      <w:r w:rsidRPr="002143A9">
        <w:rPr>
          <w:rFonts w:asciiTheme="minorHAnsi" w:eastAsiaTheme="minorHAnsi" w:hAnsiTheme="minorHAnsi" w:cstheme="minorHAnsi"/>
          <w:color w:val="auto"/>
          <w:sz w:val="20"/>
          <w:szCs w:val="20"/>
        </w:rPr>
        <w:t xml:space="preserve"> established based on the concept</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of effective dosage and founded on considerations of individual health risk from</w:t>
      </w:r>
      <w:r>
        <w:rPr>
          <w:rFonts w:asciiTheme="minorHAnsi" w:eastAsiaTheme="minorHAnsi" w:hAnsiTheme="minorHAnsi" w:cstheme="minorHAnsi"/>
          <w:color w:val="auto"/>
          <w:sz w:val="20"/>
          <w:szCs w:val="20"/>
        </w:rPr>
        <w:t xml:space="preserve"> </w:t>
      </w:r>
      <w:r w:rsidRPr="002143A9">
        <w:rPr>
          <w:rFonts w:asciiTheme="minorHAnsi" w:eastAsiaTheme="minorHAnsi" w:hAnsiTheme="minorHAnsi" w:cstheme="minorHAnsi"/>
          <w:color w:val="auto"/>
          <w:sz w:val="20"/>
          <w:szCs w:val="20"/>
        </w:rPr>
        <w:t xml:space="preserve">effective radiation exposure levels. </w:t>
      </w:r>
    </w:p>
  </w:footnote>
  <w:footnote w:id="7">
    <w:p w14:paraId="538603B7" w14:textId="77777777" w:rsidR="00BF30AE" w:rsidRPr="00AC2C38" w:rsidRDefault="002C3F71" w:rsidP="00D33859">
      <w:pPr>
        <w:pStyle w:val="FootnoteText"/>
        <w:rPr>
          <w:sz w:val="20"/>
          <w:lang w:val="es-MX"/>
        </w:rPr>
      </w:pPr>
      <w:r>
        <w:rPr>
          <w:rStyle w:val="FootnoteReference"/>
        </w:rPr>
        <w:footnoteRef/>
      </w:r>
      <w:r w:rsidRPr="00E533D1">
        <w:rPr>
          <w:lang w:val="es-MX"/>
        </w:rPr>
        <w:t xml:space="preserve"> </w:t>
      </w:r>
      <w:r w:rsidRPr="00AC2C38">
        <w:rPr>
          <w:sz w:val="20"/>
          <w:lang w:val="es-MX"/>
        </w:rPr>
        <w:t xml:space="preserve">In </w:t>
      </w:r>
      <w:proofErr w:type="spellStart"/>
      <w:r w:rsidRPr="00AC2C38">
        <w:rPr>
          <w:sz w:val="20"/>
          <w:lang w:val="es-MX"/>
        </w:rPr>
        <w:t>addition</w:t>
      </w:r>
      <w:proofErr w:type="spellEnd"/>
      <w:r w:rsidRPr="00AC2C38">
        <w:rPr>
          <w:sz w:val="20"/>
          <w:lang w:val="es-MX"/>
        </w:rPr>
        <w:t xml:space="preserve"> to </w:t>
      </w:r>
      <w:proofErr w:type="spellStart"/>
      <w:r w:rsidRPr="00AC2C38">
        <w:rPr>
          <w:sz w:val="20"/>
          <w:lang w:val="es-MX"/>
        </w:rPr>
        <w:t>Malargüe</w:t>
      </w:r>
      <w:proofErr w:type="spellEnd"/>
      <w:r w:rsidRPr="00AC2C38">
        <w:rPr>
          <w:sz w:val="20"/>
          <w:lang w:val="es-MX"/>
        </w:rPr>
        <w:t xml:space="preserve"> (Mendoza), </w:t>
      </w:r>
      <w:proofErr w:type="spellStart"/>
      <w:r w:rsidRPr="00AC2C38">
        <w:rPr>
          <w:sz w:val="20"/>
          <w:lang w:val="es-MX"/>
        </w:rPr>
        <w:t>the</w:t>
      </w:r>
      <w:proofErr w:type="spellEnd"/>
      <w:r w:rsidRPr="00AC2C38">
        <w:rPr>
          <w:sz w:val="20"/>
          <w:lang w:val="es-MX"/>
        </w:rPr>
        <w:t xml:space="preserve"> </w:t>
      </w:r>
      <w:proofErr w:type="spellStart"/>
      <w:r w:rsidRPr="00AC2C38">
        <w:rPr>
          <w:sz w:val="20"/>
          <w:lang w:val="es-MX"/>
        </w:rPr>
        <w:t>other</w:t>
      </w:r>
      <w:proofErr w:type="spellEnd"/>
      <w:r w:rsidRPr="00AC2C38">
        <w:rPr>
          <w:sz w:val="20"/>
          <w:lang w:val="es-MX"/>
        </w:rPr>
        <w:t xml:space="preserve"> </w:t>
      </w:r>
      <w:proofErr w:type="spellStart"/>
      <w:r w:rsidRPr="00AC2C38">
        <w:rPr>
          <w:sz w:val="20"/>
          <w:lang w:val="es-MX"/>
        </w:rPr>
        <w:t>sites</w:t>
      </w:r>
      <w:proofErr w:type="spellEnd"/>
      <w:r w:rsidRPr="00AC2C38">
        <w:rPr>
          <w:sz w:val="20"/>
          <w:lang w:val="es-MX"/>
        </w:rPr>
        <w:t xml:space="preserve"> </w:t>
      </w:r>
      <w:proofErr w:type="spellStart"/>
      <w:r w:rsidRPr="00AC2C38">
        <w:rPr>
          <w:sz w:val="20"/>
          <w:lang w:val="es-MX"/>
        </w:rPr>
        <w:t>included</w:t>
      </w:r>
      <w:proofErr w:type="spellEnd"/>
      <w:r w:rsidRPr="00AC2C38">
        <w:rPr>
          <w:sz w:val="20"/>
          <w:lang w:val="es-MX"/>
        </w:rPr>
        <w:t xml:space="preserve">: (i) Huemul (Mendoza); (ii) “El Chichón” (Córdoba); (iii) Los Gigantes (Córdoba); (iv) </w:t>
      </w:r>
      <w:proofErr w:type="spellStart"/>
      <w:r w:rsidRPr="00AC2C38">
        <w:rPr>
          <w:sz w:val="20"/>
          <w:lang w:val="es-MX"/>
        </w:rPr>
        <w:t>Tonco</w:t>
      </w:r>
      <w:proofErr w:type="spellEnd"/>
      <w:r w:rsidRPr="00AC2C38">
        <w:rPr>
          <w:sz w:val="20"/>
          <w:lang w:val="es-MX"/>
        </w:rPr>
        <w:t xml:space="preserve"> (Salta); (v) </w:t>
      </w:r>
      <w:proofErr w:type="spellStart"/>
      <w:r w:rsidRPr="00AC2C38">
        <w:rPr>
          <w:sz w:val="20"/>
          <w:lang w:val="es-MX"/>
        </w:rPr>
        <w:t>Pichiñán</w:t>
      </w:r>
      <w:proofErr w:type="spellEnd"/>
      <w:r w:rsidRPr="00AC2C38">
        <w:rPr>
          <w:sz w:val="20"/>
          <w:lang w:val="es-MX"/>
        </w:rPr>
        <w:t xml:space="preserve"> (Chubut); (vi) Los colorados (La Rioja); and (vii) La Estela (San Luis).</w:t>
      </w:r>
    </w:p>
  </w:footnote>
  <w:footnote w:id="8">
    <w:p w14:paraId="574953F4" w14:textId="77777777" w:rsidR="00BF30AE" w:rsidRPr="001E3ACA" w:rsidRDefault="002C3F71" w:rsidP="00D33859">
      <w:pPr>
        <w:widowControl/>
        <w:jc w:val="both"/>
        <w:rPr>
          <w:rFonts w:asciiTheme="minorHAnsi" w:eastAsiaTheme="minorHAnsi" w:hAnsiTheme="minorHAnsi" w:cstheme="minorHAnsi"/>
          <w:color w:val="auto"/>
          <w:sz w:val="20"/>
          <w:szCs w:val="20"/>
        </w:rPr>
      </w:pPr>
      <w:r w:rsidRPr="001E3ACA">
        <w:rPr>
          <w:rStyle w:val="FootnoteReference"/>
          <w:rFonts w:asciiTheme="minorHAnsi" w:hAnsiTheme="minorHAnsi" w:cstheme="minorHAnsi"/>
          <w:sz w:val="20"/>
          <w:szCs w:val="20"/>
        </w:rPr>
        <w:footnoteRef/>
      </w:r>
      <w:r w:rsidRPr="001E3ACA">
        <w:rPr>
          <w:rFonts w:asciiTheme="minorHAnsi" w:hAnsiTheme="minorHAnsi" w:cstheme="minorHAnsi"/>
          <w:sz w:val="20"/>
          <w:szCs w:val="20"/>
        </w:rPr>
        <w:t xml:space="preserve"> </w:t>
      </w:r>
      <w:r w:rsidRPr="001E3ACA">
        <w:rPr>
          <w:rFonts w:asciiTheme="minorHAnsi" w:eastAsiaTheme="minorHAnsi" w:hAnsiTheme="minorHAnsi" w:cstheme="minorHAnsi"/>
          <w:color w:val="auto"/>
          <w:sz w:val="20"/>
          <w:szCs w:val="20"/>
        </w:rPr>
        <w:t>The members of th</w:t>
      </w:r>
      <w:r>
        <w:rPr>
          <w:rFonts w:asciiTheme="minorHAnsi" w:eastAsiaTheme="minorHAnsi" w:hAnsiTheme="minorHAnsi" w:cstheme="minorHAnsi"/>
          <w:color w:val="auto"/>
          <w:sz w:val="20"/>
          <w:szCs w:val="20"/>
        </w:rPr>
        <w:t>is</w:t>
      </w:r>
      <w:r w:rsidRPr="001E3ACA">
        <w:rPr>
          <w:rFonts w:asciiTheme="minorHAnsi" w:eastAsiaTheme="minorHAnsi" w:hAnsiTheme="minorHAnsi" w:cstheme="minorHAnsi"/>
          <w:color w:val="auto"/>
          <w:sz w:val="20"/>
          <w:szCs w:val="20"/>
        </w:rPr>
        <w:t xml:space="preserve"> group w</w:t>
      </w:r>
      <w:r>
        <w:rPr>
          <w:rFonts w:asciiTheme="minorHAnsi" w:eastAsiaTheme="minorHAnsi" w:hAnsiTheme="minorHAnsi" w:cstheme="minorHAnsi"/>
          <w:color w:val="auto"/>
          <w:sz w:val="20"/>
          <w:szCs w:val="20"/>
        </w:rPr>
        <w:t>ere expected to</w:t>
      </w:r>
      <w:r w:rsidRPr="001E3ACA">
        <w:rPr>
          <w:rFonts w:asciiTheme="minorHAnsi" w:eastAsiaTheme="minorHAnsi" w:hAnsiTheme="minorHAnsi" w:cstheme="minorHAnsi"/>
          <w:color w:val="auto"/>
          <w:sz w:val="20"/>
          <w:szCs w:val="20"/>
        </w:rPr>
        <w:t xml:space="preserve"> come from Australia,</w:t>
      </w:r>
      <w:r w:rsidRPr="001E3ACA">
        <w:rPr>
          <w:rFonts w:asciiTheme="minorHAnsi" w:eastAsiaTheme="minorHAnsi" w:hAnsiTheme="minorHAnsi" w:cstheme="minorHAnsi"/>
          <w:b/>
          <w:color w:val="auto"/>
          <w:sz w:val="20"/>
          <w:szCs w:val="20"/>
        </w:rPr>
        <w:t xml:space="preserve"> </w:t>
      </w:r>
      <w:r w:rsidRPr="001E3ACA">
        <w:rPr>
          <w:rFonts w:asciiTheme="minorHAnsi" w:eastAsiaTheme="minorHAnsi" w:hAnsiTheme="minorHAnsi" w:cstheme="minorHAnsi"/>
          <w:color w:val="auto"/>
          <w:sz w:val="20"/>
          <w:szCs w:val="20"/>
        </w:rPr>
        <w:t>Canada, Europe (Germany, Spain) and the U</w:t>
      </w:r>
      <w:r>
        <w:rPr>
          <w:rFonts w:asciiTheme="minorHAnsi" w:eastAsiaTheme="minorHAnsi" w:hAnsiTheme="minorHAnsi" w:cstheme="minorHAnsi"/>
          <w:color w:val="auto"/>
          <w:sz w:val="20"/>
          <w:szCs w:val="20"/>
        </w:rPr>
        <w:t xml:space="preserve">nited </w:t>
      </w:r>
      <w:r w:rsidRPr="001E3ACA">
        <w:rPr>
          <w:rFonts w:asciiTheme="minorHAnsi" w:eastAsiaTheme="minorHAnsi" w:hAnsiTheme="minorHAnsi" w:cstheme="minorHAnsi"/>
          <w:color w:val="auto"/>
          <w:sz w:val="20"/>
          <w:szCs w:val="20"/>
        </w:rPr>
        <w:t>S</w:t>
      </w:r>
      <w:r>
        <w:rPr>
          <w:rFonts w:asciiTheme="minorHAnsi" w:eastAsiaTheme="minorHAnsi" w:hAnsiTheme="minorHAnsi" w:cstheme="minorHAnsi"/>
          <w:color w:val="auto"/>
          <w:sz w:val="20"/>
          <w:szCs w:val="20"/>
        </w:rPr>
        <w:t>tates.</w:t>
      </w:r>
    </w:p>
    <w:p w14:paraId="332694A1" w14:textId="77777777" w:rsidR="00BF30AE" w:rsidRDefault="00BF30AE" w:rsidP="00D33859">
      <w:pPr>
        <w:pStyle w:val="FootnoteText"/>
      </w:pPr>
    </w:p>
  </w:footnote>
  <w:footnote w:id="9">
    <w:p w14:paraId="6A20A7EC" w14:textId="77777777" w:rsidR="00BF30AE" w:rsidRPr="00F52D76" w:rsidRDefault="002C3F71" w:rsidP="00CA2386">
      <w:pPr>
        <w:pStyle w:val="FootnoteText"/>
        <w:rPr>
          <w:sz w:val="20"/>
        </w:rPr>
      </w:pPr>
      <w:r w:rsidRPr="00F52D76">
        <w:rPr>
          <w:rStyle w:val="FootnoteReference"/>
          <w:sz w:val="20"/>
        </w:rPr>
        <w:footnoteRef/>
      </w:r>
      <w:r w:rsidRPr="00F52D76">
        <w:rPr>
          <w:sz w:val="20"/>
        </w:rPr>
        <w:t xml:space="preserve"> It should be noted that delays occurred </w:t>
      </w:r>
      <w:proofErr w:type="gramStart"/>
      <w:r w:rsidRPr="00F52D76">
        <w:rPr>
          <w:sz w:val="20"/>
        </w:rPr>
        <w:t>as a result of</w:t>
      </w:r>
      <w:proofErr w:type="gramEnd"/>
      <w:r w:rsidRPr="00F52D76">
        <w:rPr>
          <w:sz w:val="20"/>
        </w:rPr>
        <w:t xml:space="preserve"> elections on November 15, 2015 were not known until after December 2015 and, thus, could not have been factored into the November 27</w:t>
      </w:r>
      <w:r w:rsidRPr="00F52D76">
        <w:rPr>
          <w:sz w:val="20"/>
          <w:vertAlign w:val="superscript"/>
        </w:rPr>
        <w:t>th</w:t>
      </w:r>
      <w:r w:rsidRPr="00F52D76">
        <w:rPr>
          <w:sz w:val="20"/>
        </w:rPr>
        <w:t xml:space="preserve"> restructuring.</w:t>
      </w:r>
    </w:p>
  </w:footnote>
  <w:footnote w:id="10">
    <w:p w14:paraId="01D6F4DC" w14:textId="77777777" w:rsidR="00BF30AE" w:rsidRPr="00F52D76" w:rsidRDefault="002C3F71" w:rsidP="00173499">
      <w:pPr>
        <w:pStyle w:val="FootnoteText"/>
        <w:jc w:val="both"/>
        <w:rPr>
          <w:sz w:val="20"/>
        </w:rPr>
      </w:pPr>
      <w:r w:rsidRPr="00F52D76">
        <w:rPr>
          <w:rStyle w:val="FootnoteReference"/>
          <w:sz w:val="20"/>
        </w:rPr>
        <w:footnoteRef/>
      </w:r>
      <w:r w:rsidRPr="00F52D76">
        <w:rPr>
          <w:sz w:val="20"/>
        </w:rPr>
        <w:t xml:space="preserve"> As stated in the Project Restructuring Paper dated August 28, 2015, this second extension would bring the total accumulated extension period to 24 months.</w:t>
      </w:r>
    </w:p>
  </w:footnote>
  <w:footnote w:id="11">
    <w:p w14:paraId="2E7C5385" w14:textId="77777777" w:rsidR="00BF30AE" w:rsidRPr="00F52D76" w:rsidRDefault="002C3F71" w:rsidP="00173499">
      <w:pPr>
        <w:pStyle w:val="FootnoteText"/>
        <w:jc w:val="both"/>
        <w:rPr>
          <w:sz w:val="20"/>
        </w:rPr>
      </w:pPr>
      <w:r w:rsidRPr="00F52D76">
        <w:rPr>
          <w:rStyle w:val="FootnoteReference"/>
          <w:sz w:val="20"/>
        </w:rPr>
        <w:footnoteRef/>
      </w:r>
      <w:r w:rsidRPr="00F52D76">
        <w:rPr>
          <w:sz w:val="20"/>
        </w:rPr>
        <w:t xml:space="preserve"> More specifically, this extension was expected to make it possible to: (i) complete the removal and transportation of contaminated soils to the remediation site; and (ii) build the final layer to close the encapsulation cell. </w:t>
      </w:r>
    </w:p>
  </w:footnote>
  <w:footnote w:id="12">
    <w:p w14:paraId="729CE69D" w14:textId="77777777" w:rsidR="00BF30AE" w:rsidRPr="00F52D76" w:rsidRDefault="002C3F71" w:rsidP="00173499">
      <w:pPr>
        <w:pStyle w:val="FootnoteText"/>
        <w:jc w:val="both"/>
        <w:rPr>
          <w:sz w:val="20"/>
        </w:rPr>
      </w:pPr>
      <w:r w:rsidRPr="00F52D76">
        <w:rPr>
          <w:rStyle w:val="FootnoteReference"/>
          <w:sz w:val="20"/>
        </w:rPr>
        <w:footnoteRef/>
      </w:r>
      <w:r w:rsidRPr="00F52D76">
        <w:rPr>
          <w:sz w:val="20"/>
        </w:rPr>
        <w:t xml:space="preserve"> B</w:t>
      </w:r>
      <w:r w:rsidRPr="00F52D76">
        <w:rPr>
          <w:noProof/>
          <w:sz w:val="20"/>
        </w:rPr>
        <w:t>etween November 2015 and March 2016 no new payments were made from Bank funds to the cotractor for the remediation works at Malargüe (encapsulation of contaminated uranium mining tailings).  This financial situation has caused delays in the completion of the remediation works and completion of other activities from Component 2.</w:t>
      </w:r>
    </w:p>
  </w:footnote>
  <w:footnote w:id="13">
    <w:p w14:paraId="084808F4" w14:textId="77777777" w:rsidR="00BF30AE" w:rsidRPr="00F52D76" w:rsidRDefault="002C3F71" w:rsidP="00FB66B2">
      <w:pPr>
        <w:pStyle w:val="FootnoteText"/>
        <w:jc w:val="both"/>
        <w:rPr>
          <w:sz w:val="20"/>
        </w:rPr>
      </w:pPr>
      <w:r w:rsidRPr="00F52D76">
        <w:rPr>
          <w:rStyle w:val="FootnoteReference"/>
          <w:sz w:val="20"/>
        </w:rPr>
        <w:footnoteRef/>
      </w:r>
      <w:r w:rsidRPr="00F52D76">
        <w:rPr>
          <w:sz w:val="20"/>
        </w:rPr>
        <w:t xml:space="preserve"> As also indicated in the text Table above, the wording with regard to this intermediate outcome was revised once again at the time of the November 2015 restructuring to “environmental risks of the </w:t>
      </w:r>
      <w:r w:rsidRPr="00F52D76">
        <w:rPr>
          <w:i/>
          <w:sz w:val="20"/>
        </w:rPr>
        <w:t xml:space="preserve">Los </w:t>
      </w:r>
      <w:proofErr w:type="spellStart"/>
      <w:r w:rsidRPr="00F52D76">
        <w:rPr>
          <w:i/>
          <w:sz w:val="20"/>
        </w:rPr>
        <w:t>Gigantes</w:t>
      </w:r>
      <w:proofErr w:type="spellEnd"/>
      <w:r w:rsidRPr="00F52D76">
        <w:rPr>
          <w:sz w:val="20"/>
        </w:rPr>
        <w:t xml:space="preserve"> and </w:t>
      </w:r>
      <w:r w:rsidRPr="00F52D76">
        <w:rPr>
          <w:i/>
          <w:sz w:val="20"/>
        </w:rPr>
        <w:t xml:space="preserve">El </w:t>
      </w:r>
      <w:proofErr w:type="spellStart"/>
      <w:r w:rsidRPr="00F52D76">
        <w:rPr>
          <w:i/>
          <w:sz w:val="20"/>
        </w:rPr>
        <w:t>Cichon</w:t>
      </w:r>
      <w:proofErr w:type="spellEnd"/>
      <w:r w:rsidRPr="00F52D76">
        <w:rPr>
          <w:sz w:val="20"/>
        </w:rPr>
        <w:t xml:space="preserve"> sites identified, baseline environmental studies completed; remediation plans agreed with authorities and engineering design completed,” thereby adding for 2 of the 7 sites the completion of baseline environmental studies completed, remediation plans consulted and agreed with authorities, and engineering design completed.  A new indicator was also added a</w:t>
      </w:r>
      <w:r>
        <w:rPr>
          <w:sz w:val="20"/>
        </w:rPr>
        <w:t>t</w:t>
      </w:r>
      <w:r w:rsidRPr="00F52D76">
        <w:rPr>
          <w:sz w:val="20"/>
        </w:rPr>
        <w:t xml:space="preserve"> the time of the November 2015 restructuring to the effect that environmental risks of the other five legacy sites were identified and baseline environmental studies completed.  These indicators were more specific than the initially revised one with respect to the intermediate outcomes and associated outputs expected to be achieved at the various CNEA sites.</w:t>
      </w:r>
    </w:p>
  </w:footnote>
  <w:footnote w:id="14">
    <w:p w14:paraId="4E8C2C1E" w14:textId="77777777" w:rsidR="00BF30AE" w:rsidRPr="00F52D76" w:rsidRDefault="002C3F71">
      <w:pPr>
        <w:pStyle w:val="FootnoteText"/>
        <w:rPr>
          <w:sz w:val="20"/>
        </w:rPr>
      </w:pPr>
      <w:r w:rsidRPr="00F52D76">
        <w:rPr>
          <w:rStyle w:val="FootnoteReference"/>
          <w:sz w:val="20"/>
        </w:rPr>
        <w:footnoteRef/>
      </w:r>
      <w:r w:rsidRPr="00F52D76">
        <w:rPr>
          <w:sz w:val="20"/>
        </w:rPr>
        <w:t xml:space="preserve"> COCALIN refers to the national Qualification Committee of Laboratories and Nuclear Facilities in Argentina. This intermediate outcome was also revised at the time of the November 2015 restructuring to read “number of CNEA laboratories accredited ISO 17025 to monitor air, soil, and water parameters,” again </w:t>
      </w:r>
      <w:proofErr w:type="gramStart"/>
      <w:r w:rsidRPr="00F52D76">
        <w:rPr>
          <w:sz w:val="20"/>
        </w:rPr>
        <w:t>in order to</w:t>
      </w:r>
      <w:proofErr w:type="gramEnd"/>
      <w:r w:rsidRPr="00F52D76">
        <w:rPr>
          <w:sz w:val="20"/>
        </w:rPr>
        <w:t xml:space="preserve"> add greater precision to what was actually expected to be achieved.</w:t>
      </w:r>
    </w:p>
  </w:footnote>
  <w:footnote w:id="15">
    <w:p w14:paraId="72854C91" w14:textId="77777777" w:rsidR="00BF30AE" w:rsidRPr="00F52D76" w:rsidRDefault="002C3F71">
      <w:pPr>
        <w:pStyle w:val="FootnoteText"/>
        <w:rPr>
          <w:sz w:val="20"/>
        </w:rPr>
      </w:pPr>
      <w:r w:rsidRPr="00F52D76">
        <w:rPr>
          <w:rStyle w:val="FootnoteReference"/>
          <w:sz w:val="20"/>
        </w:rPr>
        <w:footnoteRef/>
      </w:r>
      <w:r w:rsidRPr="00F52D76">
        <w:rPr>
          <w:sz w:val="20"/>
        </w:rPr>
        <w:t xml:space="preserve"> This intermediate outcome was also further revised by the November 2015 restructuring </w:t>
      </w:r>
      <w:proofErr w:type="gramStart"/>
      <w:r w:rsidRPr="00F52D76">
        <w:rPr>
          <w:sz w:val="20"/>
        </w:rPr>
        <w:t>in order to</w:t>
      </w:r>
      <w:proofErr w:type="gramEnd"/>
      <w:r w:rsidRPr="00F52D76">
        <w:rPr>
          <w:sz w:val="20"/>
        </w:rPr>
        <w:t xml:space="preserve"> make its achievement more readily measurable to read “number of governmental agencies where legacy sites are located, trained on environmental monitoring procedures for management and supervision of mining operations or uranium legacy sites.”</w:t>
      </w:r>
    </w:p>
  </w:footnote>
  <w:footnote w:id="16">
    <w:p w14:paraId="7ED7566D" w14:textId="77777777" w:rsidR="00BF30AE" w:rsidRDefault="002C3F71">
      <w:pPr>
        <w:pStyle w:val="FootnoteText"/>
      </w:pPr>
      <w:r>
        <w:rPr>
          <w:rStyle w:val="FootnoteReference"/>
        </w:rPr>
        <w:footnoteRef/>
      </w:r>
      <w:r>
        <w:t xml:space="preserve">  The other two themes were: (i) employment creation in firms and farms; and (ii) availability of assets for people and households.</w:t>
      </w:r>
    </w:p>
  </w:footnote>
  <w:footnote w:id="17">
    <w:p w14:paraId="261B8843" w14:textId="77777777" w:rsidR="00BF30AE" w:rsidRPr="00E533D1" w:rsidRDefault="002C3F71" w:rsidP="0045063F">
      <w:pPr>
        <w:jc w:val="both"/>
        <w:rPr>
          <w:rFonts w:asciiTheme="minorHAnsi" w:hAnsiTheme="minorHAnsi"/>
          <w:sz w:val="18"/>
          <w:szCs w:val="20"/>
        </w:rPr>
      </w:pPr>
      <w:r w:rsidRPr="00E56B34">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E533D1">
        <w:rPr>
          <w:rFonts w:asciiTheme="minorHAnsi" w:hAnsiTheme="minorHAnsi"/>
          <w:sz w:val="18"/>
          <w:szCs w:val="20"/>
        </w:rPr>
        <w:t>The other focal areas of this strategy are: (i) urban issues and solid waste management; (ii) a new federal environmental agreement that updates the role of COFEMA (the Federal Environmental Council) and identifies national priorities; and (iii) the transfer of funds from the federal to provincial governments in the context of the native forests law.</w:t>
      </w:r>
    </w:p>
    <w:p w14:paraId="09474524" w14:textId="77777777" w:rsidR="00BF30AE" w:rsidRDefault="00BF30AE" w:rsidP="0045063F">
      <w:pPr>
        <w:pStyle w:val="FootnoteText"/>
      </w:pPr>
    </w:p>
  </w:footnote>
  <w:footnote w:id="18">
    <w:p w14:paraId="0E341E8B" w14:textId="77777777" w:rsidR="00BF30AE" w:rsidRPr="00F8554B" w:rsidRDefault="002C3F71" w:rsidP="0045063F">
      <w:pPr>
        <w:pStyle w:val="FootnoteText"/>
        <w:rPr>
          <w:lang w:val="es-MX"/>
        </w:rPr>
      </w:pPr>
      <w:r>
        <w:rPr>
          <w:rStyle w:val="FootnoteReference"/>
        </w:rPr>
        <w:footnoteRef/>
      </w:r>
      <w:r w:rsidRPr="00F8554B">
        <w:rPr>
          <w:lang w:val="es-MX"/>
        </w:rPr>
        <w:t xml:space="preserve"> </w:t>
      </w:r>
      <w:proofErr w:type="spellStart"/>
      <w:r w:rsidRPr="00210CF6">
        <w:rPr>
          <w:lang w:val="es-MX"/>
        </w:rPr>
        <w:t>The</w:t>
      </w:r>
      <w:proofErr w:type="spellEnd"/>
      <w:r w:rsidRPr="00210CF6">
        <w:rPr>
          <w:lang w:val="es-MX"/>
        </w:rPr>
        <w:t xml:space="preserve"> </w:t>
      </w:r>
      <w:proofErr w:type="spellStart"/>
      <w:r w:rsidRPr="00210CF6">
        <w:rPr>
          <w:lang w:val="es-MX"/>
        </w:rPr>
        <w:t>additional</w:t>
      </w:r>
      <w:proofErr w:type="spellEnd"/>
      <w:r w:rsidRPr="00210CF6">
        <w:rPr>
          <w:lang w:val="es-MX"/>
        </w:rPr>
        <w:t xml:space="preserve"> </w:t>
      </w:r>
      <w:proofErr w:type="spellStart"/>
      <w:r w:rsidRPr="00210CF6">
        <w:rPr>
          <w:lang w:val="es-MX"/>
        </w:rPr>
        <w:t>sites</w:t>
      </w:r>
      <w:proofErr w:type="spellEnd"/>
      <w:r w:rsidRPr="00210CF6">
        <w:rPr>
          <w:lang w:val="es-MX"/>
        </w:rPr>
        <w:t xml:space="preserve"> </w:t>
      </w:r>
      <w:proofErr w:type="spellStart"/>
      <w:r w:rsidRPr="00210CF6">
        <w:rPr>
          <w:lang w:val="es-MX"/>
        </w:rPr>
        <w:t>included</w:t>
      </w:r>
      <w:proofErr w:type="spellEnd"/>
      <w:r>
        <w:rPr>
          <w:lang w:val="es-MX"/>
        </w:rPr>
        <w:t xml:space="preserve"> </w:t>
      </w:r>
      <w:proofErr w:type="spellStart"/>
      <w:r w:rsidRPr="00833126">
        <w:rPr>
          <w:lang w:val="es-MX"/>
        </w:rPr>
        <w:t>Tonco</w:t>
      </w:r>
      <w:proofErr w:type="spellEnd"/>
      <w:r w:rsidRPr="00833126">
        <w:rPr>
          <w:lang w:val="es-MX"/>
        </w:rPr>
        <w:t xml:space="preserve">-Salta, </w:t>
      </w:r>
      <w:proofErr w:type="spellStart"/>
      <w:r w:rsidRPr="00833126">
        <w:rPr>
          <w:lang w:val="es-MX"/>
        </w:rPr>
        <w:t>Pichiñán</w:t>
      </w:r>
      <w:proofErr w:type="spellEnd"/>
      <w:r w:rsidRPr="00833126">
        <w:rPr>
          <w:lang w:val="es-MX"/>
        </w:rPr>
        <w:t xml:space="preserve">-Chubut, La </w:t>
      </w:r>
      <w:proofErr w:type="spellStart"/>
      <w:r>
        <w:rPr>
          <w:lang w:val="es-MX"/>
        </w:rPr>
        <w:t>Estelsa</w:t>
      </w:r>
      <w:proofErr w:type="spellEnd"/>
      <w:r w:rsidRPr="00833126">
        <w:rPr>
          <w:lang w:val="es-MX"/>
        </w:rPr>
        <w:t>-San Luis, Los Colorad</w:t>
      </w:r>
      <w:r>
        <w:rPr>
          <w:lang w:val="es-MX"/>
        </w:rPr>
        <w:t>os-La Rioja, and Huemul-Mendoza</w:t>
      </w:r>
    </w:p>
  </w:footnote>
  <w:footnote w:id="19">
    <w:p w14:paraId="00847146" w14:textId="77777777" w:rsidR="00BF30AE" w:rsidRDefault="002C3F71" w:rsidP="0045063F">
      <w:pPr>
        <w:pStyle w:val="FootnoteText"/>
      </w:pPr>
      <w:r>
        <w:rPr>
          <w:rStyle w:val="FootnoteReference"/>
        </w:rPr>
        <w:footnoteRef/>
      </w:r>
      <w:r>
        <w:t xml:space="preserve"> ISO 17025 is </w:t>
      </w:r>
      <w:r w:rsidRPr="00833126">
        <w:t xml:space="preserve">the standard for which most labs must hold accreditation </w:t>
      </w:r>
      <w:proofErr w:type="gramStart"/>
      <w:r w:rsidRPr="00833126">
        <w:t>in order to</w:t>
      </w:r>
      <w:proofErr w:type="gramEnd"/>
      <w:r w:rsidRPr="00833126">
        <w:t xml:space="preserve"> be deemed technically competent</w:t>
      </w:r>
      <w:r>
        <w:t xml:space="preserve"> to meet the </w:t>
      </w:r>
      <w:r w:rsidRPr="00833126">
        <w:t>requirements for the competence of testing and calibration</w:t>
      </w:r>
      <w:r>
        <w:t>.</w:t>
      </w:r>
    </w:p>
  </w:footnote>
  <w:footnote w:id="20">
    <w:p w14:paraId="73FA3570" w14:textId="2F8A12AA" w:rsidR="00BF30AE" w:rsidRDefault="002C3F71" w:rsidP="0045063F">
      <w:pPr>
        <w:pStyle w:val="FootnoteText"/>
      </w:pPr>
      <w:r>
        <w:rPr>
          <w:rStyle w:val="FootnoteReference"/>
        </w:rPr>
        <w:footnoteRef/>
      </w:r>
      <w:r>
        <w:t xml:space="preserve"> Beneficiaries of the workshops and training modules included the Nuclear Regulatory Authority (ARN); the Environmental, Irrigation, Water and Mining Agencies from the Mendoza Province; the Environmental and Public Works Secretariat from the municipality of </w:t>
      </w:r>
      <w:proofErr w:type="spellStart"/>
      <w:r>
        <w:t>Malarg</w:t>
      </w:r>
      <w:r w:rsidR="00E166B0">
        <w:rPr>
          <w:rFonts w:cstheme="minorHAnsi"/>
        </w:rPr>
        <w:t>ü</w:t>
      </w:r>
      <w:r>
        <w:t>e</w:t>
      </w:r>
      <w:proofErr w:type="spellEnd"/>
      <w:r>
        <w:t xml:space="preserve">; the environmental, mining agencies of the province and municipality of Cordoba.  About 80 staff from these agencies have benefited from the training modules which have been delivered with </w:t>
      </w:r>
      <w:r w:rsidRPr="00C620B7">
        <w:t xml:space="preserve">support of the IAEA on </w:t>
      </w:r>
      <w:r>
        <w:t>p</w:t>
      </w:r>
      <w:r w:rsidRPr="00C620B7">
        <w:t xml:space="preserve">lanning and </w:t>
      </w:r>
      <w:r>
        <w:t>m</w:t>
      </w:r>
      <w:r w:rsidRPr="00C620B7">
        <w:t>anagement</w:t>
      </w:r>
      <w:r>
        <w:t xml:space="preserve"> for the remediation and monitoring of </w:t>
      </w:r>
      <w:r w:rsidRPr="00C620B7">
        <w:t>uranium remediation sites</w:t>
      </w:r>
      <w:r>
        <w:t xml:space="preserve">. </w:t>
      </w:r>
    </w:p>
    <w:p w14:paraId="60E0ED91" w14:textId="77777777" w:rsidR="00BF30AE" w:rsidRPr="00902928" w:rsidRDefault="00BF30AE" w:rsidP="0045063F">
      <w:pPr>
        <w:pStyle w:val="FootnoteText"/>
      </w:pPr>
    </w:p>
  </w:footnote>
  <w:footnote w:id="21">
    <w:p w14:paraId="3006BE00" w14:textId="77777777" w:rsidR="00BF30AE" w:rsidRDefault="002C3F71" w:rsidP="00B13D26">
      <w:pPr>
        <w:pStyle w:val="FootnoteText"/>
      </w:pPr>
      <w:r>
        <w:rPr>
          <w:rStyle w:val="FootnoteReference"/>
        </w:rPr>
        <w:footnoteRef/>
      </w:r>
      <w:r>
        <w:t xml:space="preserve"> </w:t>
      </w:r>
      <w:r w:rsidRPr="00116219">
        <w:t>Radon is a radioactive, colorless, odorless, tasteless noble gas, occurring formed as part of the normal radioactive decay chain of uranium into lead (</w:t>
      </w:r>
      <w:proofErr w:type="spellStart"/>
      <w:r w:rsidRPr="00116219">
        <w:t>Pb</w:t>
      </w:r>
      <w:proofErr w:type="spellEnd"/>
      <w:r w:rsidRPr="00116219">
        <w:t xml:space="preserve">), and </w:t>
      </w:r>
      <w:proofErr w:type="gramStart"/>
      <w:r w:rsidRPr="00116219">
        <w:t>is considered to be</w:t>
      </w:r>
      <w:proofErr w:type="gramEnd"/>
      <w:r w:rsidRPr="00116219">
        <w:t xml:space="preserve"> a health hazard due to its radioactivity.  Radon concentration is usually measured in the atmosphere in </w:t>
      </w:r>
      <w:proofErr w:type="spellStart"/>
      <w:r w:rsidRPr="00116219">
        <w:t>becquerels</w:t>
      </w:r>
      <w:proofErr w:type="spellEnd"/>
      <w:r w:rsidRPr="00116219">
        <w:t xml:space="preserve"> per cubic meter (</w:t>
      </w:r>
      <w:proofErr w:type="spellStart"/>
      <w:r w:rsidRPr="00116219">
        <w:t>Bq</w:t>
      </w:r>
      <w:proofErr w:type="spellEnd"/>
      <w:r w:rsidRPr="00116219">
        <w:t xml:space="preserve">/m3), which is an International System derived unit. As a frame of reference, typical domestic exposures are about 100 </w:t>
      </w:r>
      <w:proofErr w:type="spellStart"/>
      <w:r w:rsidRPr="00116219">
        <w:t>Bq</w:t>
      </w:r>
      <w:proofErr w:type="spellEnd"/>
      <w:r w:rsidRPr="00116219">
        <w:t xml:space="preserve">/m3 indoors and 10-20 </w:t>
      </w:r>
      <w:proofErr w:type="spellStart"/>
      <w:r w:rsidRPr="00116219">
        <w:t>Bq</w:t>
      </w:r>
      <w:proofErr w:type="spellEnd"/>
      <w:r w:rsidRPr="00116219">
        <w:t>/m3 outdoors. In the US, radon concentrations are often measured in picocuries per liter (</w:t>
      </w:r>
      <w:proofErr w:type="spellStart"/>
      <w:r w:rsidRPr="00116219">
        <w:t>pCi</w:t>
      </w:r>
      <w:proofErr w:type="spellEnd"/>
      <w:r w:rsidRPr="00116219">
        <w:t xml:space="preserve">/l), with 1 </w:t>
      </w:r>
      <w:proofErr w:type="spellStart"/>
      <w:r w:rsidRPr="00116219">
        <w:t>pCi</w:t>
      </w:r>
      <w:proofErr w:type="spellEnd"/>
      <w:r w:rsidRPr="00116219">
        <w:t xml:space="preserve">/l = 37 </w:t>
      </w:r>
      <w:proofErr w:type="spellStart"/>
      <w:r w:rsidRPr="00116219">
        <w:t>Bq</w:t>
      </w:r>
      <w:proofErr w:type="spellEnd"/>
      <w:r w:rsidRPr="00116219">
        <w:t>/m3.</w:t>
      </w:r>
      <w:r>
        <w:t xml:space="preserve"> </w:t>
      </w:r>
    </w:p>
  </w:footnote>
  <w:footnote w:id="22">
    <w:p w14:paraId="0DB3D62D" w14:textId="77777777" w:rsidR="00BF30AE" w:rsidRDefault="002C3F71" w:rsidP="00B13D26">
      <w:pPr>
        <w:pStyle w:val="FootnoteText"/>
      </w:pPr>
      <w:r>
        <w:rPr>
          <w:rStyle w:val="FootnoteReference"/>
        </w:rPr>
        <w:footnoteRef/>
      </w:r>
      <w:r>
        <w:t xml:space="preserve"> </w:t>
      </w:r>
      <w:r w:rsidRPr="00446632">
        <w:t>Low levels of gamma rays cause a stochastic health risk, which for radiation dose assessment is defined as the probability of cancer induction and genetic damage</w:t>
      </w:r>
      <w:r>
        <w:t>.</w:t>
      </w:r>
    </w:p>
  </w:footnote>
  <w:footnote w:id="23">
    <w:p w14:paraId="472C3D76" w14:textId="77777777" w:rsidR="00BF30AE" w:rsidRDefault="002C3F71" w:rsidP="00B13D26">
      <w:pPr>
        <w:pStyle w:val="FootnoteText"/>
      </w:pPr>
      <w:r>
        <w:rPr>
          <w:rStyle w:val="FootnoteReference"/>
        </w:rPr>
        <w:footnoteRef/>
      </w:r>
      <w:r>
        <w:t xml:space="preserve"> F</w:t>
      </w:r>
      <w:r w:rsidRPr="00DB6A41">
        <w:t>or reference, the maximum allowable dose mandated by ARN (Mandatory Stand</w:t>
      </w:r>
      <w:r>
        <w:t xml:space="preserve">ard RQ-86) is only 0.1 </w:t>
      </w:r>
      <w:proofErr w:type="spellStart"/>
      <w:r>
        <w:t>mSv</w:t>
      </w:r>
      <w:proofErr w:type="spellEnd"/>
      <w:r>
        <w:t>/year</w:t>
      </w:r>
      <w:r w:rsidRPr="00DB6A41">
        <w:t>.</w:t>
      </w:r>
    </w:p>
  </w:footnote>
  <w:footnote w:id="24">
    <w:p w14:paraId="073EABCA" w14:textId="77777777" w:rsidR="00BF30AE" w:rsidRDefault="002C3F71" w:rsidP="00B13D26">
      <w:pPr>
        <w:pStyle w:val="FootnoteText"/>
      </w:pPr>
      <w:r>
        <w:rPr>
          <w:rStyle w:val="FootnoteReference"/>
        </w:rPr>
        <w:footnoteRef/>
      </w:r>
      <w:r>
        <w:t xml:space="preserve"> The Basic Norm of Radiological Safety establishes that the highest yearly doses should not exceed 20mSv/year. During 2016 the highest recorded level for one worker was 0.9mSv/year. </w:t>
      </w:r>
    </w:p>
  </w:footnote>
  <w:footnote w:id="25">
    <w:p w14:paraId="0A5128A5" w14:textId="77777777" w:rsidR="00BF30AE" w:rsidRDefault="002C3F71" w:rsidP="00B13D26">
      <w:pPr>
        <w:pStyle w:val="FootnoteText"/>
      </w:pPr>
      <w:r>
        <w:rPr>
          <w:rStyle w:val="FootnoteReference"/>
        </w:rPr>
        <w:footnoteRef/>
      </w:r>
      <w:r>
        <w:t xml:space="preserve"> </w:t>
      </w:r>
      <w:r w:rsidRPr="0036085B">
        <w:t xml:space="preserve">The contract with the contractor was amended in April 2017 </w:t>
      </w:r>
      <w:proofErr w:type="gramStart"/>
      <w:r w:rsidRPr="0036085B">
        <w:t>in order to</w:t>
      </w:r>
      <w:proofErr w:type="gramEnd"/>
      <w:r w:rsidRPr="0036085B">
        <w:t xml:space="preserve"> finalize minor works of site clearing and technical closure of the works. Even though there were some implementation delays as observed above, the civil works for the park at </w:t>
      </w:r>
      <w:proofErr w:type="spellStart"/>
      <w:r>
        <w:rPr>
          <w:rFonts w:ascii="Calibri" w:hAnsi="Calibri" w:cs="Calibri"/>
          <w:color w:val="000000" w:themeColor="text1"/>
          <w:szCs w:val="22"/>
        </w:rPr>
        <w:t>Malargüe</w:t>
      </w:r>
      <w:proofErr w:type="spellEnd"/>
      <w:r>
        <w:rPr>
          <w:rFonts w:ascii="Calibri" w:hAnsi="Calibri" w:cs="Calibri"/>
          <w:color w:val="000000" w:themeColor="text1"/>
          <w:szCs w:val="22"/>
        </w:rPr>
        <w:t xml:space="preserve"> </w:t>
      </w:r>
      <w:r w:rsidRPr="0036085B">
        <w:t>were completed by the time of project closure.</w:t>
      </w:r>
    </w:p>
  </w:footnote>
  <w:footnote w:id="26">
    <w:p w14:paraId="6691079F" w14:textId="77777777" w:rsidR="00BF30AE" w:rsidRDefault="002C3F71">
      <w:pPr>
        <w:pStyle w:val="FootnoteText"/>
      </w:pPr>
      <w:r>
        <w:rPr>
          <w:rStyle w:val="FootnoteReference"/>
        </w:rPr>
        <w:footnoteRef/>
      </w:r>
      <w:r>
        <w:t xml:space="preserve"> A split evaluation was not undertaken as the project scope did not change and revisions to the outcome indicators were not substantial to warrant a split rating. </w:t>
      </w:r>
    </w:p>
  </w:footnote>
  <w:footnote w:id="27">
    <w:p w14:paraId="64DE5C1D" w14:textId="77777777" w:rsidR="00BF30AE" w:rsidRPr="00FB796E" w:rsidRDefault="002C3F71" w:rsidP="00FB796E">
      <w:pPr>
        <w:pStyle w:val="ListParagraph"/>
        <w:spacing w:line="276" w:lineRule="auto"/>
        <w:ind w:left="-360" w:right="-180"/>
        <w:jc w:val="both"/>
        <w:rPr>
          <w:rFonts w:cstheme="minorHAnsi"/>
          <w:b w:val="0"/>
          <w:sz w:val="20"/>
          <w:szCs w:val="20"/>
        </w:rPr>
      </w:pPr>
      <w:r w:rsidRPr="00FB796E">
        <w:rPr>
          <w:rStyle w:val="FootnoteReference"/>
          <w:sz w:val="20"/>
          <w:szCs w:val="20"/>
        </w:rPr>
        <w:footnoteRef/>
      </w:r>
      <w:r w:rsidRPr="00FB796E">
        <w:rPr>
          <w:sz w:val="20"/>
          <w:szCs w:val="20"/>
        </w:rPr>
        <w:t xml:space="preserve"> </w:t>
      </w:r>
      <w:r w:rsidRPr="00FB796E">
        <w:rPr>
          <w:rFonts w:cstheme="minorHAnsi"/>
          <w:b w:val="0"/>
          <w:color w:val="auto"/>
          <w:sz w:val="20"/>
          <w:szCs w:val="20"/>
        </w:rPr>
        <w:t xml:space="preserve">The M&amp;E system included the following components: (i) CNEA would submit quarterly progress reports to the Bank covering all project activities, including procurement and a financial summary report; (ii) joint CNEA and Bank reviews would be carried out at least on a semi-annual basis starting six months after effectiveness (these reviews would provide detailed analysis of implementation progress toward the PDOs and include an evaluation of financial management and a post-review of procurement activities); (iii) CNEA had established and published a policy committing to regular provision of information and communication of environmental results; an Environmental Information and Management System (SIGA) would be established by the project to provide internal and public reporting on progress toward the project’s overall environmental objectives; and (iv) various oversight structures, including a National Steering Committee, an International Advisory Group (IAG), Technical Working Groups, and Social Fora would monitor implementation progress as well, while CNEA’s Community Relations Units would disseminate information regularly on project advances. </w:t>
      </w:r>
    </w:p>
    <w:p w14:paraId="4180C051" w14:textId="77777777" w:rsidR="00BF30AE" w:rsidRDefault="00BF30AE">
      <w:pPr>
        <w:pStyle w:val="FootnoteText"/>
      </w:pPr>
    </w:p>
  </w:footnote>
  <w:footnote w:id="28">
    <w:p w14:paraId="035EBFF7" w14:textId="77777777" w:rsidR="00BF30AE" w:rsidRPr="005D6D65" w:rsidRDefault="002C3F71" w:rsidP="00165BDE">
      <w:pPr>
        <w:keepNext/>
        <w:keepLines/>
        <w:spacing w:before="200"/>
        <w:ind w:left="-810" w:right="-1170"/>
        <w:jc w:val="both"/>
        <w:outlineLvl w:val="3"/>
        <w:rPr>
          <w:rFonts w:asciiTheme="minorHAnsi" w:eastAsiaTheme="minorHAnsi" w:hAnsiTheme="minorHAnsi" w:cstheme="minorBidi"/>
          <w:color w:val="000000" w:themeColor="text1"/>
          <w:sz w:val="20"/>
          <w:szCs w:val="20"/>
        </w:rPr>
      </w:pPr>
      <w:r w:rsidRPr="005D6D65">
        <w:rPr>
          <w:rStyle w:val="FootnoteReference"/>
          <w:rFonts w:asciiTheme="minorHAnsi" w:hAnsiTheme="minorHAnsi"/>
          <w:sz w:val="20"/>
          <w:szCs w:val="20"/>
        </w:rPr>
        <w:footnoteRef/>
      </w:r>
      <w:r w:rsidRPr="005D6D65">
        <w:rPr>
          <w:rFonts w:asciiTheme="minorHAnsi" w:hAnsiTheme="minorHAnsi"/>
          <w:sz w:val="20"/>
          <w:szCs w:val="20"/>
        </w:rPr>
        <w:t xml:space="preserve"> </w:t>
      </w:r>
      <w:r w:rsidRPr="005D6D65">
        <w:rPr>
          <w:rFonts w:asciiTheme="minorHAnsi" w:eastAsiaTheme="minorHAnsi" w:hAnsiTheme="minorHAnsi" w:cstheme="minorBidi"/>
          <w:color w:val="000000" w:themeColor="text1"/>
          <w:sz w:val="20"/>
          <w:szCs w:val="20"/>
        </w:rPr>
        <w:t>The PAD</w:t>
      </w:r>
      <w:r>
        <w:rPr>
          <w:rFonts w:asciiTheme="minorHAnsi" w:eastAsiaTheme="minorHAnsi" w:hAnsiTheme="minorHAnsi" w:cstheme="minorBidi"/>
          <w:color w:val="000000" w:themeColor="text1"/>
          <w:sz w:val="20"/>
          <w:szCs w:val="20"/>
        </w:rPr>
        <w:t xml:space="preserve"> </w:t>
      </w:r>
      <w:r w:rsidRPr="005D6D65">
        <w:rPr>
          <w:rFonts w:asciiTheme="minorHAnsi" w:eastAsiaTheme="minorHAnsi" w:hAnsiTheme="minorHAnsi" w:cstheme="minorBidi"/>
          <w:color w:val="000000" w:themeColor="text1"/>
          <w:sz w:val="20"/>
          <w:szCs w:val="20"/>
        </w:rPr>
        <w:t>did not</w:t>
      </w:r>
      <w:r>
        <w:rPr>
          <w:rFonts w:asciiTheme="minorHAnsi" w:eastAsiaTheme="minorHAnsi" w:hAnsiTheme="minorHAnsi" w:cstheme="minorBidi"/>
          <w:color w:val="000000" w:themeColor="text1"/>
          <w:sz w:val="20"/>
          <w:szCs w:val="20"/>
        </w:rPr>
        <w:t xml:space="preserve"> explain how the </w:t>
      </w:r>
      <w:r w:rsidRPr="005D6D65">
        <w:rPr>
          <w:rFonts w:asciiTheme="minorHAnsi" w:eastAsiaTheme="minorHAnsi" w:hAnsiTheme="minorHAnsi" w:cstheme="minorBidi"/>
          <w:color w:val="000000" w:themeColor="text1"/>
          <w:sz w:val="20"/>
          <w:szCs w:val="20"/>
        </w:rPr>
        <w:t xml:space="preserve">US$ 16.2/ton </w:t>
      </w:r>
      <w:r>
        <w:rPr>
          <w:rFonts w:asciiTheme="minorHAnsi" w:eastAsiaTheme="minorHAnsi" w:hAnsiTheme="minorHAnsi" w:cstheme="minorBidi"/>
          <w:color w:val="000000" w:themeColor="text1"/>
          <w:sz w:val="20"/>
          <w:szCs w:val="20"/>
        </w:rPr>
        <w:t xml:space="preserve">figure </w:t>
      </w:r>
      <w:r w:rsidRPr="005D6D65">
        <w:rPr>
          <w:rFonts w:asciiTheme="minorHAnsi" w:eastAsiaTheme="minorHAnsi" w:hAnsiTheme="minorHAnsi" w:cstheme="minorBidi"/>
          <w:color w:val="000000" w:themeColor="text1"/>
          <w:sz w:val="20"/>
          <w:szCs w:val="20"/>
        </w:rPr>
        <w:t xml:space="preserve">was obtained.  </w:t>
      </w:r>
      <w:r>
        <w:rPr>
          <w:rFonts w:asciiTheme="minorHAnsi" w:eastAsiaTheme="minorHAnsi" w:hAnsiTheme="minorHAnsi" w:cstheme="minorBidi"/>
          <w:color w:val="000000" w:themeColor="text1"/>
          <w:sz w:val="20"/>
          <w:szCs w:val="20"/>
        </w:rPr>
        <w:t>T</w:t>
      </w:r>
      <w:r w:rsidRPr="005D6D65">
        <w:rPr>
          <w:rFonts w:asciiTheme="minorHAnsi" w:eastAsiaTheme="minorHAnsi" w:hAnsiTheme="minorHAnsi" w:cstheme="minorBidi"/>
          <w:color w:val="000000" w:themeColor="text1"/>
          <w:sz w:val="20"/>
          <w:szCs w:val="20"/>
        </w:rPr>
        <w:t xml:space="preserve">his appears to represent </w:t>
      </w:r>
      <w:r>
        <w:rPr>
          <w:rFonts w:asciiTheme="minorHAnsi" w:eastAsiaTheme="minorHAnsi" w:hAnsiTheme="minorHAnsi" w:cstheme="minorBidi"/>
          <w:color w:val="000000" w:themeColor="text1"/>
          <w:sz w:val="20"/>
          <w:szCs w:val="20"/>
        </w:rPr>
        <w:t xml:space="preserve">a serious </w:t>
      </w:r>
      <w:r w:rsidRPr="005D6D65">
        <w:rPr>
          <w:rFonts w:asciiTheme="minorHAnsi" w:eastAsiaTheme="minorHAnsi" w:hAnsiTheme="minorHAnsi" w:cstheme="minorBidi"/>
          <w:color w:val="000000" w:themeColor="text1"/>
          <w:sz w:val="20"/>
          <w:szCs w:val="20"/>
        </w:rPr>
        <w:t>understatement of the estimated remediation costs for this component.</w:t>
      </w:r>
      <w:r>
        <w:rPr>
          <w:rFonts w:asciiTheme="minorHAnsi" w:eastAsiaTheme="minorHAnsi" w:hAnsiTheme="minorHAnsi" w:cstheme="minorBidi"/>
          <w:color w:val="000000" w:themeColor="text1"/>
          <w:sz w:val="20"/>
          <w:szCs w:val="20"/>
        </w:rPr>
        <w:t>, which also calls in question the conclusions of the economic analysis contained in the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9266" w14:textId="77777777" w:rsidR="00BF30AE" w:rsidRDefault="00BF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jc w:val="center"/>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63776" w14:paraId="5B8EB930" w14:textId="77777777" w:rsidTr="003615CB">
      <w:trPr>
        <w:trHeight w:val="162"/>
        <w:jc w:val="center"/>
      </w:trPr>
      <w:tc>
        <w:tcPr>
          <w:tcW w:w="777" w:type="dxa"/>
          <w:vMerge w:val="restart"/>
        </w:tcPr>
        <w:p w14:paraId="6A3367D1" w14:textId="77777777" w:rsidR="00BF30AE" w:rsidRPr="00BF642B" w:rsidRDefault="002C3F71" w:rsidP="003615CB">
          <w:pPr>
            <w:pStyle w:val="Header"/>
            <w:rPr>
              <w:b/>
            </w:rPr>
          </w:pPr>
          <w:r w:rsidRPr="00BF642B">
            <w:rPr>
              <w:b/>
              <w:noProof/>
            </w:rPr>
            <w:drawing>
              <wp:inline distT="0" distB="0" distL="0" distR="0" wp14:anchorId="18A0238D" wp14:editId="5280A180">
                <wp:extent cx="295275" cy="289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62651"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14:paraId="51229A96" w14:textId="77777777" w:rsidR="00BF30AE" w:rsidRDefault="002C3F71" w:rsidP="003615CB">
          <w:pPr>
            <w:pStyle w:val="Header"/>
            <w:ind w:left="-108"/>
          </w:pPr>
          <w:r w:rsidRPr="005F6C54">
            <w:rPr>
              <w:b/>
            </w:rPr>
            <w:t>The World Bank</w:t>
          </w:r>
        </w:p>
      </w:tc>
      <w:tc>
        <w:tcPr>
          <w:tcW w:w="5221" w:type="dxa"/>
          <w:vAlign w:val="center"/>
        </w:tcPr>
        <w:p w14:paraId="37914848" w14:textId="77777777" w:rsidR="00BF30AE" w:rsidRDefault="00BF30AE" w:rsidP="003615CB">
          <w:pPr>
            <w:pStyle w:val="Header"/>
            <w:jc w:val="right"/>
          </w:pPr>
        </w:p>
      </w:tc>
    </w:tr>
    <w:tr w:rsidR="00E63776" w14:paraId="0AB0CCB1" w14:textId="77777777" w:rsidTr="003615CB">
      <w:trPr>
        <w:trHeight w:val="231"/>
        <w:jc w:val="center"/>
      </w:trPr>
      <w:tc>
        <w:tcPr>
          <w:tcW w:w="777" w:type="dxa"/>
          <w:vMerge/>
        </w:tcPr>
        <w:p w14:paraId="0D6347C6" w14:textId="77777777" w:rsidR="00BF30AE" w:rsidRPr="00BF642B" w:rsidRDefault="00BF30AE" w:rsidP="003615CB">
          <w:pPr>
            <w:pStyle w:val="Header"/>
            <w:rPr>
              <w:b/>
              <w:noProof/>
            </w:rPr>
          </w:pPr>
        </w:p>
      </w:tc>
      <w:tc>
        <w:tcPr>
          <w:tcW w:w="10439" w:type="dxa"/>
          <w:gridSpan w:val="2"/>
        </w:tcPr>
        <w:p w14:paraId="34C52889" w14:textId="77777777" w:rsidR="00BF30AE" w:rsidRPr="006E6C00" w:rsidRDefault="002C3F71" w:rsidP="003615CB">
          <w:pPr>
            <w:pStyle w:val="Header"/>
            <w:ind w:left="-108"/>
            <w:rPr>
              <w:bCs/>
              <w:noProof/>
              <w:sz w:val="20"/>
              <w:szCs w:val="20"/>
            </w:rPr>
          </w:pPr>
          <w:r>
            <w:rPr>
              <w:bCs/>
              <w:noProof/>
              <w:sz w:val="20"/>
              <w:szCs w:val="20"/>
            </w:rPr>
            <w:t>Argentina Mining Environmental Restoration Project ( P110462 )</w:t>
          </w:r>
        </w:p>
      </w:tc>
    </w:tr>
    <w:tr w:rsidR="00E63776" w14:paraId="686C7A8F" w14:textId="77777777" w:rsidTr="003615CB">
      <w:trPr>
        <w:trHeight w:val="313"/>
        <w:jc w:val="center"/>
      </w:trPr>
      <w:tc>
        <w:tcPr>
          <w:tcW w:w="11216" w:type="dxa"/>
          <w:gridSpan w:val="3"/>
        </w:tcPr>
        <w:p w14:paraId="3BA94944" w14:textId="77777777" w:rsidR="00BF30AE" w:rsidRDefault="002C3F71" w:rsidP="003615CB">
          <w:pPr>
            <w:pStyle w:val="Header"/>
          </w:pPr>
          <w:r>
            <w:rPr>
              <w:i/>
              <w:noProof/>
              <w:color w:val="44546A" w:themeColor="text2"/>
            </w:rPr>
            <mc:AlternateContent>
              <mc:Choice Requires="wps">
                <w:drawing>
                  <wp:anchor distT="0" distB="0" distL="114300" distR="114300" simplePos="0" relativeHeight="251664384" behindDoc="0" locked="0" layoutInCell="1" allowOverlap="1" wp14:anchorId="2BC09E11" wp14:editId="177CC19A">
                    <wp:simplePos x="0" y="0"/>
                    <wp:positionH relativeFrom="column">
                      <wp:posOffset>-174625</wp:posOffset>
                    </wp:positionH>
                    <wp:positionV relativeFrom="paragraph">
                      <wp:posOffset>87630</wp:posOffset>
                    </wp:positionV>
                    <wp:extent cx="7168896" cy="0"/>
                    <wp:effectExtent l="0" t="19050" r="514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8896"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1" o:spid="_x0000_s2049" style="mso-height-percent:0;mso-height-relative:margin;mso-width-percent:0;mso-width-relative:margin;mso-wrap-distance-bottom:0;mso-wrap-distance-left:9pt;mso-wrap-distance-right:9pt;mso-wrap-distance-top:0;mso-wrap-style:square;position:absolute;visibility:visible;z-index:251665408" from="-13.75pt,6.9pt" to="550.75pt,6.9pt" strokecolor="#4e92d1" strokeweight="4.5pt"/>
                </w:pict>
              </mc:Fallback>
            </mc:AlternateContent>
          </w:r>
        </w:p>
      </w:tc>
    </w:tr>
  </w:tbl>
  <w:p w14:paraId="24A6BD62" w14:textId="77777777" w:rsidR="00BF30AE" w:rsidRDefault="00BF3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63776" w14:paraId="3439BB0F" w14:textId="77777777" w:rsidTr="003615CB">
      <w:trPr>
        <w:trHeight w:val="162"/>
      </w:trPr>
      <w:tc>
        <w:tcPr>
          <w:tcW w:w="777" w:type="dxa"/>
          <w:vMerge w:val="restart"/>
        </w:tcPr>
        <w:p w14:paraId="78161254" w14:textId="77777777" w:rsidR="00BF30AE" w:rsidRPr="00BF642B" w:rsidRDefault="002C3F71" w:rsidP="003615CB">
          <w:pPr>
            <w:pStyle w:val="Header"/>
            <w:rPr>
              <w:b/>
            </w:rPr>
          </w:pPr>
          <w:r w:rsidRPr="00BF642B">
            <w:rPr>
              <w:b/>
              <w:noProof/>
            </w:rPr>
            <w:drawing>
              <wp:inline distT="0" distB="0" distL="0" distR="0" wp14:anchorId="57DCCB7E" wp14:editId="4C7789AC">
                <wp:extent cx="295275" cy="2894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223148"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14:paraId="01CA19FA" w14:textId="77777777" w:rsidR="00BF30AE" w:rsidRDefault="002C3F71" w:rsidP="003615CB">
          <w:pPr>
            <w:pStyle w:val="Header"/>
            <w:ind w:left="-108"/>
          </w:pPr>
          <w:r w:rsidRPr="005F6C54">
            <w:rPr>
              <w:b/>
            </w:rPr>
            <w:t>The World Bank</w:t>
          </w:r>
        </w:p>
      </w:tc>
      <w:tc>
        <w:tcPr>
          <w:tcW w:w="5221" w:type="dxa"/>
          <w:vAlign w:val="center"/>
        </w:tcPr>
        <w:p w14:paraId="4153503B" w14:textId="77777777" w:rsidR="00BF30AE" w:rsidRDefault="00BF30AE" w:rsidP="003615CB">
          <w:pPr>
            <w:pStyle w:val="Header"/>
            <w:jc w:val="right"/>
          </w:pPr>
        </w:p>
      </w:tc>
    </w:tr>
    <w:tr w:rsidR="00E63776" w14:paraId="3BB1AD92" w14:textId="77777777" w:rsidTr="003615CB">
      <w:trPr>
        <w:trHeight w:val="231"/>
      </w:trPr>
      <w:tc>
        <w:tcPr>
          <w:tcW w:w="777" w:type="dxa"/>
          <w:vMerge/>
        </w:tcPr>
        <w:p w14:paraId="25C9EDD7" w14:textId="77777777" w:rsidR="00BF30AE" w:rsidRPr="00BF642B" w:rsidRDefault="00BF30AE" w:rsidP="003615CB">
          <w:pPr>
            <w:pStyle w:val="Header"/>
            <w:rPr>
              <w:b/>
              <w:noProof/>
            </w:rPr>
          </w:pPr>
        </w:p>
      </w:tc>
      <w:tc>
        <w:tcPr>
          <w:tcW w:w="10439" w:type="dxa"/>
          <w:gridSpan w:val="2"/>
        </w:tcPr>
        <w:p w14:paraId="4EB61E35" w14:textId="77777777" w:rsidR="00BF30AE" w:rsidRPr="006E6C00" w:rsidRDefault="002C3F71" w:rsidP="003615CB">
          <w:pPr>
            <w:pStyle w:val="Header"/>
            <w:ind w:left="-108"/>
            <w:rPr>
              <w:bCs/>
              <w:noProof/>
              <w:sz w:val="20"/>
              <w:szCs w:val="20"/>
            </w:rPr>
          </w:pPr>
          <w:r>
            <w:rPr>
              <w:bCs/>
              <w:noProof/>
              <w:sz w:val="20"/>
              <w:szCs w:val="20"/>
            </w:rPr>
            <w:t>Argentina Mining Environmental Restoration Project ( P110462 )</w:t>
          </w:r>
        </w:p>
      </w:tc>
    </w:tr>
    <w:tr w:rsidR="00E63776" w14:paraId="3E11DFDB" w14:textId="77777777" w:rsidTr="003615CB">
      <w:trPr>
        <w:trHeight w:val="313"/>
      </w:trPr>
      <w:tc>
        <w:tcPr>
          <w:tcW w:w="11216" w:type="dxa"/>
          <w:gridSpan w:val="3"/>
        </w:tcPr>
        <w:p w14:paraId="2A5C9D78" w14:textId="77777777" w:rsidR="00BF30AE" w:rsidRDefault="002C3F71" w:rsidP="003615CB">
          <w:pPr>
            <w:pStyle w:val="Header"/>
          </w:pPr>
          <w:r>
            <w:rPr>
              <w:i/>
              <w:noProof/>
              <w:color w:val="44546A" w:themeColor="text2"/>
            </w:rPr>
            <mc:AlternateContent>
              <mc:Choice Requires="wps">
                <w:drawing>
                  <wp:anchor distT="0" distB="0" distL="114300" distR="114300" simplePos="0" relativeHeight="251658240" behindDoc="0" locked="0" layoutInCell="1" allowOverlap="1" wp14:anchorId="20E970B7" wp14:editId="3695DF2B">
                    <wp:simplePos x="0" y="0"/>
                    <wp:positionH relativeFrom="column">
                      <wp:posOffset>-117475</wp:posOffset>
                    </wp:positionH>
                    <wp:positionV relativeFrom="paragraph">
                      <wp:posOffset>153670</wp:posOffset>
                    </wp:positionV>
                    <wp:extent cx="9401175" cy="0"/>
                    <wp:effectExtent l="0" t="1905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3" o:spid="_x0000_s2051" style="flip:y;mso-height-percent:0;mso-height-relative:margin;mso-width-percent:0;mso-width-relative:margin;mso-wrap-distance-bottom:0;mso-wrap-distance-left:9pt;mso-wrap-distance-right:9pt;mso-wrap-distance-top:0;mso-wrap-style:square;position:absolute;visibility:visible;z-index:251659264" from="-9.25pt,12.1pt" to="731pt,12.1pt" strokecolor="#4e92d1" strokeweight="4.5pt"/>
                </w:pict>
              </mc:Fallback>
            </mc:AlternateContent>
          </w:r>
        </w:p>
      </w:tc>
    </w:tr>
  </w:tbl>
  <w:p w14:paraId="4EC5B78A" w14:textId="77777777" w:rsidR="00BF30AE" w:rsidRDefault="00BF30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63776" w14:paraId="66813405" w14:textId="77777777" w:rsidTr="003615CB">
      <w:trPr>
        <w:trHeight w:val="162"/>
      </w:trPr>
      <w:tc>
        <w:tcPr>
          <w:tcW w:w="777" w:type="dxa"/>
          <w:vMerge w:val="restart"/>
        </w:tcPr>
        <w:p w14:paraId="4A743F9F" w14:textId="77777777" w:rsidR="00BF30AE" w:rsidRPr="00BF642B" w:rsidRDefault="002C3F71" w:rsidP="003615CB">
          <w:pPr>
            <w:pStyle w:val="Header"/>
            <w:rPr>
              <w:b/>
            </w:rPr>
          </w:pPr>
          <w:r w:rsidRPr="00BF642B">
            <w:rPr>
              <w:b/>
              <w:noProof/>
            </w:rPr>
            <w:drawing>
              <wp:inline distT="0" distB="0" distL="0" distR="0" wp14:anchorId="2E9F416D" wp14:editId="2E9DAD0B">
                <wp:extent cx="295275" cy="2894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242718"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14:paraId="68B98C54" w14:textId="77777777" w:rsidR="00BF30AE" w:rsidRDefault="002C3F71" w:rsidP="003615CB">
          <w:pPr>
            <w:pStyle w:val="Header"/>
            <w:ind w:left="-108"/>
          </w:pPr>
          <w:r w:rsidRPr="005F6C54">
            <w:rPr>
              <w:b/>
            </w:rPr>
            <w:t>The World Bank</w:t>
          </w:r>
        </w:p>
      </w:tc>
      <w:tc>
        <w:tcPr>
          <w:tcW w:w="5221" w:type="dxa"/>
          <w:vAlign w:val="center"/>
        </w:tcPr>
        <w:p w14:paraId="31495CFD" w14:textId="77777777" w:rsidR="00BF30AE" w:rsidRDefault="00BF30AE" w:rsidP="003615CB">
          <w:pPr>
            <w:pStyle w:val="Header"/>
            <w:jc w:val="right"/>
          </w:pPr>
        </w:p>
      </w:tc>
    </w:tr>
    <w:tr w:rsidR="00E63776" w14:paraId="5B3F05E8" w14:textId="77777777" w:rsidTr="003615CB">
      <w:trPr>
        <w:trHeight w:val="231"/>
      </w:trPr>
      <w:tc>
        <w:tcPr>
          <w:tcW w:w="777" w:type="dxa"/>
          <w:vMerge/>
        </w:tcPr>
        <w:p w14:paraId="05B5830E" w14:textId="77777777" w:rsidR="00BF30AE" w:rsidRPr="00BF642B" w:rsidRDefault="00BF30AE" w:rsidP="003615CB">
          <w:pPr>
            <w:pStyle w:val="Header"/>
            <w:rPr>
              <w:b/>
              <w:noProof/>
            </w:rPr>
          </w:pPr>
        </w:p>
      </w:tc>
      <w:tc>
        <w:tcPr>
          <w:tcW w:w="10439" w:type="dxa"/>
          <w:gridSpan w:val="2"/>
        </w:tcPr>
        <w:p w14:paraId="1F715E65" w14:textId="77777777" w:rsidR="00BF30AE" w:rsidRPr="006E6C00" w:rsidRDefault="002C3F71" w:rsidP="003615CB">
          <w:pPr>
            <w:pStyle w:val="Header"/>
            <w:ind w:left="-108"/>
            <w:rPr>
              <w:bCs/>
              <w:noProof/>
              <w:sz w:val="20"/>
              <w:szCs w:val="20"/>
            </w:rPr>
          </w:pPr>
          <w:r>
            <w:rPr>
              <w:bCs/>
              <w:noProof/>
              <w:sz w:val="20"/>
              <w:szCs w:val="20"/>
            </w:rPr>
            <w:t>Argentina Mining Environmental Restoration Project ( P110462 )</w:t>
          </w:r>
        </w:p>
      </w:tc>
    </w:tr>
    <w:tr w:rsidR="00E63776" w14:paraId="754B0F6B" w14:textId="77777777" w:rsidTr="003615CB">
      <w:trPr>
        <w:trHeight w:val="313"/>
      </w:trPr>
      <w:tc>
        <w:tcPr>
          <w:tcW w:w="11216" w:type="dxa"/>
          <w:gridSpan w:val="3"/>
        </w:tcPr>
        <w:p w14:paraId="1BD27E7C" w14:textId="77777777" w:rsidR="00BF30AE" w:rsidRDefault="002C3F71" w:rsidP="003615CB">
          <w:pPr>
            <w:pStyle w:val="Header"/>
          </w:pPr>
          <w:r>
            <w:rPr>
              <w:i/>
              <w:noProof/>
              <w:color w:val="44546A" w:themeColor="text2"/>
            </w:rPr>
            <mc:AlternateContent>
              <mc:Choice Requires="wps">
                <w:drawing>
                  <wp:anchor distT="0" distB="0" distL="114300" distR="114300" simplePos="0" relativeHeight="251662336" behindDoc="0" locked="0" layoutInCell="1" allowOverlap="1" wp14:anchorId="72044C8B" wp14:editId="29F970A0">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14" o:spid="_x0000_s2052" style="flip:y;mso-height-percent:0;mso-height-relative:margin;mso-width-percent:0;mso-width-relative:margin;mso-wrap-distance-bottom:0;mso-wrap-distance-left:9pt;mso-wrap-distance-right:9pt;mso-wrap-distance-top:0;mso-wrap-style:square;position:absolute;visibility:visible;z-index:251663360" from="-9.25pt,12.1pt" to="731pt,12.1pt" strokecolor="#4e92d1" strokeweight="4.5pt"/>
                </w:pict>
              </mc:Fallback>
            </mc:AlternateContent>
          </w:r>
        </w:p>
      </w:tc>
    </w:tr>
  </w:tbl>
  <w:p w14:paraId="5B9B7ACC" w14:textId="77777777" w:rsidR="00BF30AE" w:rsidRDefault="00BF30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E63776" w14:paraId="1E59D7B5" w14:textId="77777777" w:rsidTr="003615CB">
      <w:trPr>
        <w:trHeight w:val="162"/>
      </w:trPr>
      <w:tc>
        <w:tcPr>
          <w:tcW w:w="777" w:type="dxa"/>
          <w:vMerge w:val="restart"/>
        </w:tcPr>
        <w:p w14:paraId="2C08B665" w14:textId="77777777" w:rsidR="00BF30AE" w:rsidRPr="00BF642B" w:rsidRDefault="002C3F71" w:rsidP="003615CB">
          <w:pPr>
            <w:pStyle w:val="Header"/>
            <w:rPr>
              <w:b/>
            </w:rPr>
          </w:pPr>
          <w:r w:rsidRPr="00BF642B">
            <w:rPr>
              <w:b/>
              <w:noProof/>
            </w:rPr>
            <w:drawing>
              <wp:inline distT="0" distB="0" distL="0" distR="0" wp14:anchorId="616274FA" wp14:editId="192E8645">
                <wp:extent cx="295275" cy="2894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04739"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14:paraId="654A0074" w14:textId="77777777" w:rsidR="00BF30AE" w:rsidRDefault="002C3F71" w:rsidP="003615CB">
          <w:pPr>
            <w:pStyle w:val="Header"/>
            <w:ind w:left="-108"/>
          </w:pPr>
          <w:r w:rsidRPr="005F6C54">
            <w:rPr>
              <w:b/>
            </w:rPr>
            <w:t>The World Bank</w:t>
          </w:r>
        </w:p>
      </w:tc>
      <w:tc>
        <w:tcPr>
          <w:tcW w:w="5221" w:type="dxa"/>
          <w:vAlign w:val="center"/>
        </w:tcPr>
        <w:p w14:paraId="63005215" w14:textId="77777777" w:rsidR="00BF30AE" w:rsidRDefault="00BF30AE" w:rsidP="003615CB">
          <w:pPr>
            <w:pStyle w:val="Header"/>
            <w:jc w:val="right"/>
          </w:pPr>
        </w:p>
      </w:tc>
    </w:tr>
    <w:tr w:rsidR="00E63776" w14:paraId="33DF718C" w14:textId="77777777" w:rsidTr="003615CB">
      <w:trPr>
        <w:trHeight w:val="231"/>
      </w:trPr>
      <w:tc>
        <w:tcPr>
          <w:tcW w:w="777" w:type="dxa"/>
          <w:vMerge/>
        </w:tcPr>
        <w:p w14:paraId="77B4F9B1" w14:textId="77777777" w:rsidR="00BF30AE" w:rsidRPr="00BF642B" w:rsidRDefault="00BF30AE" w:rsidP="003615CB">
          <w:pPr>
            <w:pStyle w:val="Header"/>
            <w:rPr>
              <w:b/>
              <w:noProof/>
            </w:rPr>
          </w:pPr>
        </w:p>
      </w:tc>
      <w:tc>
        <w:tcPr>
          <w:tcW w:w="10439" w:type="dxa"/>
          <w:gridSpan w:val="2"/>
        </w:tcPr>
        <w:p w14:paraId="74DBEB51" w14:textId="77777777" w:rsidR="00BF30AE" w:rsidRPr="006E6C00" w:rsidRDefault="002C3F71" w:rsidP="003615CB">
          <w:pPr>
            <w:pStyle w:val="Header"/>
            <w:ind w:left="-108"/>
            <w:rPr>
              <w:bCs/>
              <w:noProof/>
              <w:sz w:val="20"/>
              <w:szCs w:val="20"/>
            </w:rPr>
          </w:pPr>
          <w:r>
            <w:rPr>
              <w:bCs/>
              <w:noProof/>
              <w:sz w:val="20"/>
              <w:szCs w:val="20"/>
            </w:rPr>
            <w:t>Argentina Mining Environmental Restoration Project ( P110462 )</w:t>
          </w:r>
        </w:p>
      </w:tc>
    </w:tr>
    <w:tr w:rsidR="00E63776" w14:paraId="782E8B15" w14:textId="77777777" w:rsidTr="003615CB">
      <w:trPr>
        <w:trHeight w:val="313"/>
      </w:trPr>
      <w:tc>
        <w:tcPr>
          <w:tcW w:w="11216" w:type="dxa"/>
          <w:gridSpan w:val="3"/>
        </w:tcPr>
        <w:p w14:paraId="1E13C9B9" w14:textId="77777777" w:rsidR="00BF30AE" w:rsidRDefault="002C3F71" w:rsidP="003615CB">
          <w:pPr>
            <w:pStyle w:val="Header"/>
          </w:pPr>
          <w:r>
            <w:rPr>
              <w:i/>
              <w:noProof/>
              <w:color w:val="44546A" w:themeColor="text2"/>
            </w:rPr>
            <mc:AlternateContent>
              <mc:Choice Requires="wps">
                <w:drawing>
                  <wp:anchor distT="0" distB="0" distL="114300" distR="114300" simplePos="0" relativeHeight="251660288" behindDoc="0" locked="0" layoutInCell="1" allowOverlap="1" wp14:anchorId="28E1CAAD" wp14:editId="79291EDE">
                    <wp:simplePos x="0" y="0"/>
                    <wp:positionH relativeFrom="column">
                      <wp:posOffset>-117475</wp:posOffset>
                    </wp:positionH>
                    <wp:positionV relativeFrom="paragraph">
                      <wp:posOffset>153670</wp:posOffset>
                    </wp:positionV>
                    <wp:extent cx="9401175" cy="0"/>
                    <wp:effectExtent l="0" t="19050" r="4762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Straight Connector 9" o:spid="_x0000_s2053" style="flip:y;mso-height-percent:0;mso-height-relative:margin;mso-width-percent:0;mso-width-relative:margin;mso-wrap-distance-bottom:0;mso-wrap-distance-left:9pt;mso-wrap-distance-right:9pt;mso-wrap-distance-top:0;mso-wrap-style:square;position:absolute;visibility:visible;z-index:251661312" from="-9.25pt,12.1pt" to="731pt,12.1pt" strokecolor="#4e92d1" strokeweight="4.5pt"/>
                </w:pict>
              </mc:Fallback>
            </mc:AlternateContent>
          </w:r>
        </w:p>
      </w:tc>
    </w:tr>
  </w:tbl>
  <w:p w14:paraId="2C9A8C68" w14:textId="77777777" w:rsidR="00BF30AE" w:rsidRDefault="00BF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60"/>
    <w:multiLevelType w:val="hybridMultilevel"/>
    <w:tmpl w:val="64126618"/>
    <w:lvl w:ilvl="0" w:tplc="52A26066">
      <w:start w:val="1"/>
      <w:numFmt w:val="decimal"/>
      <w:lvlText w:val="%1."/>
      <w:lvlJc w:val="left"/>
      <w:pPr>
        <w:ind w:left="720" w:hanging="360"/>
      </w:pPr>
      <w:rPr>
        <w:rFonts w:hint="default"/>
        <w:color w:val="auto"/>
      </w:rPr>
    </w:lvl>
    <w:lvl w:ilvl="1" w:tplc="7D5CBE2E" w:tentative="1">
      <w:start w:val="1"/>
      <w:numFmt w:val="lowerLetter"/>
      <w:lvlText w:val="%2."/>
      <w:lvlJc w:val="left"/>
      <w:pPr>
        <w:ind w:left="1440" w:hanging="360"/>
      </w:pPr>
    </w:lvl>
    <w:lvl w:ilvl="2" w:tplc="8960A6B2" w:tentative="1">
      <w:start w:val="1"/>
      <w:numFmt w:val="lowerRoman"/>
      <w:lvlText w:val="%3."/>
      <w:lvlJc w:val="right"/>
      <w:pPr>
        <w:ind w:left="2160" w:hanging="180"/>
      </w:pPr>
    </w:lvl>
    <w:lvl w:ilvl="3" w:tplc="9AAE8192" w:tentative="1">
      <w:start w:val="1"/>
      <w:numFmt w:val="decimal"/>
      <w:lvlText w:val="%4."/>
      <w:lvlJc w:val="left"/>
      <w:pPr>
        <w:ind w:left="2880" w:hanging="360"/>
      </w:pPr>
    </w:lvl>
    <w:lvl w:ilvl="4" w:tplc="21506774" w:tentative="1">
      <w:start w:val="1"/>
      <w:numFmt w:val="lowerLetter"/>
      <w:lvlText w:val="%5."/>
      <w:lvlJc w:val="left"/>
      <w:pPr>
        <w:ind w:left="3600" w:hanging="360"/>
      </w:pPr>
    </w:lvl>
    <w:lvl w:ilvl="5" w:tplc="6622BDD4" w:tentative="1">
      <w:start w:val="1"/>
      <w:numFmt w:val="lowerRoman"/>
      <w:lvlText w:val="%6."/>
      <w:lvlJc w:val="right"/>
      <w:pPr>
        <w:ind w:left="4320" w:hanging="180"/>
      </w:pPr>
    </w:lvl>
    <w:lvl w:ilvl="6" w:tplc="FC3AD8D2" w:tentative="1">
      <w:start w:val="1"/>
      <w:numFmt w:val="decimal"/>
      <w:lvlText w:val="%7."/>
      <w:lvlJc w:val="left"/>
      <w:pPr>
        <w:ind w:left="5040" w:hanging="360"/>
      </w:pPr>
    </w:lvl>
    <w:lvl w:ilvl="7" w:tplc="A6F6B1B2" w:tentative="1">
      <w:start w:val="1"/>
      <w:numFmt w:val="lowerLetter"/>
      <w:lvlText w:val="%8."/>
      <w:lvlJc w:val="left"/>
      <w:pPr>
        <w:ind w:left="5760" w:hanging="360"/>
      </w:pPr>
    </w:lvl>
    <w:lvl w:ilvl="8" w:tplc="713C98AC" w:tentative="1">
      <w:start w:val="1"/>
      <w:numFmt w:val="lowerRoman"/>
      <w:lvlText w:val="%9."/>
      <w:lvlJc w:val="right"/>
      <w:pPr>
        <w:ind w:left="6480" w:hanging="180"/>
      </w:pPr>
    </w:lvl>
  </w:abstractNum>
  <w:abstractNum w:abstractNumId="1" w15:restartNumberingAfterBreak="0">
    <w:nsid w:val="03371751"/>
    <w:multiLevelType w:val="hybridMultilevel"/>
    <w:tmpl w:val="B5DC43FC"/>
    <w:lvl w:ilvl="0" w:tplc="20E2E6F2">
      <w:start w:val="1"/>
      <w:numFmt w:val="lowerLetter"/>
      <w:lvlText w:val="%1."/>
      <w:lvlJc w:val="left"/>
      <w:pPr>
        <w:ind w:left="-270" w:hanging="360"/>
      </w:pPr>
      <w:rPr>
        <w:rFonts w:hint="default"/>
      </w:rPr>
    </w:lvl>
    <w:lvl w:ilvl="1" w:tplc="59D497AC" w:tentative="1">
      <w:start w:val="1"/>
      <w:numFmt w:val="lowerLetter"/>
      <w:lvlText w:val="%2."/>
      <w:lvlJc w:val="left"/>
      <w:pPr>
        <w:ind w:left="450" w:hanging="360"/>
      </w:pPr>
    </w:lvl>
    <w:lvl w:ilvl="2" w:tplc="4B1A8A5A" w:tentative="1">
      <w:start w:val="1"/>
      <w:numFmt w:val="lowerRoman"/>
      <w:lvlText w:val="%3."/>
      <w:lvlJc w:val="right"/>
      <w:pPr>
        <w:ind w:left="1170" w:hanging="180"/>
      </w:pPr>
    </w:lvl>
    <w:lvl w:ilvl="3" w:tplc="027E1C40" w:tentative="1">
      <w:start w:val="1"/>
      <w:numFmt w:val="decimal"/>
      <w:lvlText w:val="%4."/>
      <w:lvlJc w:val="left"/>
      <w:pPr>
        <w:ind w:left="1890" w:hanging="360"/>
      </w:pPr>
    </w:lvl>
    <w:lvl w:ilvl="4" w:tplc="439E84AA" w:tentative="1">
      <w:start w:val="1"/>
      <w:numFmt w:val="lowerLetter"/>
      <w:lvlText w:val="%5."/>
      <w:lvlJc w:val="left"/>
      <w:pPr>
        <w:ind w:left="2610" w:hanging="360"/>
      </w:pPr>
    </w:lvl>
    <w:lvl w:ilvl="5" w:tplc="E1749B86" w:tentative="1">
      <w:start w:val="1"/>
      <w:numFmt w:val="lowerRoman"/>
      <w:lvlText w:val="%6."/>
      <w:lvlJc w:val="right"/>
      <w:pPr>
        <w:ind w:left="3330" w:hanging="180"/>
      </w:pPr>
    </w:lvl>
    <w:lvl w:ilvl="6" w:tplc="F78691CC" w:tentative="1">
      <w:start w:val="1"/>
      <w:numFmt w:val="decimal"/>
      <w:lvlText w:val="%7."/>
      <w:lvlJc w:val="left"/>
      <w:pPr>
        <w:ind w:left="4050" w:hanging="360"/>
      </w:pPr>
    </w:lvl>
    <w:lvl w:ilvl="7" w:tplc="AE627504" w:tentative="1">
      <w:start w:val="1"/>
      <w:numFmt w:val="lowerLetter"/>
      <w:lvlText w:val="%8."/>
      <w:lvlJc w:val="left"/>
      <w:pPr>
        <w:ind w:left="4770" w:hanging="360"/>
      </w:pPr>
    </w:lvl>
    <w:lvl w:ilvl="8" w:tplc="8B9EC894" w:tentative="1">
      <w:start w:val="1"/>
      <w:numFmt w:val="lowerRoman"/>
      <w:lvlText w:val="%9."/>
      <w:lvlJc w:val="right"/>
      <w:pPr>
        <w:ind w:left="5490" w:hanging="180"/>
      </w:pPr>
    </w:lvl>
  </w:abstractNum>
  <w:abstractNum w:abstractNumId="2" w15:restartNumberingAfterBreak="0">
    <w:nsid w:val="06510A42"/>
    <w:multiLevelType w:val="hybridMultilevel"/>
    <w:tmpl w:val="8146FFF2"/>
    <w:lvl w:ilvl="0" w:tplc="EB86F7E8">
      <w:start w:val="1"/>
      <w:numFmt w:val="lowerLetter"/>
      <w:lvlText w:val="%1)"/>
      <w:lvlJc w:val="left"/>
      <w:pPr>
        <w:ind w:left="1800" w:hanging="360"/>
      </w:pPr>
      <w:rPr>
        <w:rFonts w:hint="default"/>
        <w:color w:val="000000" w:themeColor="text1"/>
      </w:rPr>
    </w:lvl>
    <w:lvl w:ilvl="1" w:tplc="060C67B4" w:tentative="1">
      <w:start w:val="1"/>
      <w:numFmt w:val="lowerLetter"/>
      <w:lvlText w:val="%2."/>
      <w:lvlJc w:val="left"/>
      <w:pPr>
        <w:ind w:left="2520" w:hanging="360"/>
      </w:pPr>
    </w:lvl>
    <w:lvl w:ilvl="2" w:tplc="BE74DAEA" w:tentative="1">
      <w:start w:val="1"/>
      <w:numFmt w:val="lowerRoman"/>
      <w:lvlText w:val="%3."/>
      <w:lvlJc w:val="right"/>
      <w:pPr>
        <w:ind w:left="3240" w:hanging="180"/>
      </w:pPr>
    </w:lvl>
    <w:lvl w:ilvl="3" w:tplc="FC027F1A" w:tentative="1">
      <w:start w:val="1"/>
      <w:numFmt w:val="decimal"/>
      <w:lvlText w:val="%4."/>
      <w:lvlJc w:val="left"/>
      <w:pPr>
        <w:ind w:left="3960" w:hanging="360"/>
      </w:pPr>
    </w:lvl>
    <w:lvl w:ilvl="4" w:tplc="8E04B5DA" w:tentative="1">
      <w:start w:val="1"/>
      <w:numFmt w:val="lowerLetter"/>
      <w:lvlText w:val="%5."/>
      <w:lvlJc w:val="left"/>
      <w:pPr>
        <w:ind w:left="4680" w:hanging="360"/>
      </w:pPr>
    </w:lvl>
    <w:lvl w:ilvl="5" w:tplc="EDA21D38" w:tentative="1">
      <w:start w:val="1"/>
      <w:numFmt w:val="lowerRoman"/>
      <w:lvlText w:val="%6."/>
      <w:lvlJc w:val="right"/>
      <w:pPr>
        <w:ind w:left="5400" w:hanging="180"/>
      </w:pPr>
    </w:lvl>
    <w:lvl w:ilvl="6" w:tplc="4D6A6AA8" w:tentative="1">
      <w:start w:val="1"/>
      <w:numFmt w:val="decimal"/>
      <w:lvlText w:val="%7."/>
      <w:lvlJc w:val="left"/>
      <w:pPr>
        <w:ind w:left="6120" w:hanging="360"/>
      </w:pPr>
    </w:lvl>
    <w:lvl w:ilvl="7" w:tplc="36AA9B46" w:tentative="1">
      <w:start w:val="1"/>
      <w:numFmt w:val="lowerLetter"/>
      <w:lvlText w:val="%8."/>
      <w:lvlJc w:val="left"/>
      <w:pPr>
        <w:ind w:left="6840" w:hanging="360"/>
      </w:pPr>
    </w:lvl>
    <w:lvl w:ilvl="8" w:tplc="33301556" w:tentative="1">
      <w:start w:val="1"/>
      <w:numFmt w:val="lowerRoman"/>
      <w:lvlText w:val="%9."/>
      <w:lvlJc w:val="right"/>
      <w:pPr>
        <w:ind w:left="7560" w:hanging="180"/>
      </w:pPr>
    </w:lvl>
  </w:abstractNum>
  <w:abstractNum w:abstractNumId="3" w15:restartNumberingAfterBreak="0">
    <w:nsid w:val="06E526E3"/>
    <w:multiLevelType w:val="hybridMultilevel"/>
    <w:tmpl w:val="3E50D84C"/>
    <w:lvl w:ilvl="0" w:tplc="CA8C10DA">
      <w:start w:val="1"/>
      <w:numFmt w:val="lowerLetter"/>
      <w:lvlText w:val="(%1)"/>
      <w:lvlJc w:val="left"/>
      <w:pPr>
        <w:ind w:left="720" w:hanging="360"/>
      </w:pPr>
      <w:rPr>
        <w:rFonts w:hint="default"/>
      </w:rPr>
    </w:lvl>
    <w:lvl w:ilvl="1" w:tplc="EBAA940E" w:tentative="1">
      <w:start w:val="1"/>
      <w:numFmt w:val="lowerLetter"/>
      <w:lvlText w:val="%2."/>
      <w:lvlJc w:val="left"/>
      <w:pPr>
        <w:ind w:left="1440" w:hanging="360"/>
      </w:pPr>
    </w:lvl>
    <w:lvl w:ilvl="2" w:tplc="5C7C9E50" w:tentative="1">
      <w:start w:val="1"/>
      <w:numFmt w:val="lowerRoman"/>
      <w:lvlText w:val="%3."/>
      <w:lvlJc w:val="right"/>
      <w:pPr>
        <w:ind w:left="2160" w:hanging="180"/>
      </w:pPr>
    </w:lvl>
    <w:lvl w:ilvl="3" w:tplc="E62E2E14" w:tentative="1">
      <w:start w:val="1"/>
      <w:numFmt w:val="decimal"/>
      <w:lvlText w:val="%4."/>
      <w:lvlJc w:val="left"/>
      <w:pPr>
        <w:ind w:left="2880" w:hanging="360"/>
      </w:pPr>
    </w:lvl>
    <w:lvl w:ilvl="4" w:tplc="11F89434" w:tentative="1">
      <w:start w:val="1"/>
      <w:numFmt w:val="lowerLetter"/>
      <w:lvlText w:val="%5."/>
      <w:lvlJc w:val="left"/>
      <w:pPr>
        <w:ind w:left="3600" w:hanging="360"/>
      </w:pPr>
    </w:lvl>
    <w:lvl w:ilvl="5" w:tplc="0350533A" w:tentative="1">
      <w:start w:val="1"/>
      <w:numFmt w:val="lowerRoman"/>
      <w:lvlText w:val="%6."/>
      <w:lvlJc w:val="right"/>
      <w:pPr>
        <w:ind w:left="4320" w:hanging="180"/>
      </w:pPr>
    </w:lvl>
    <w:lvl w:ilvl="6" w:tplc="2C6C9368" w:tentative="1">
      <w:start w:val="1"/>
      <w:numFmt w:val="decimal"/>
      <w:lvlText w:val="%7."/>
      <w:lvlJc w:val="left"/>
      <w:pPr>
        <w:ind w:left="5040" w:hanging="360"/>
      </w:pPr>
    </w:lvl>
    <w:lvl w:ilvl="7" w:tplc="A43ACF4A" w:tentative="1">
      <w:start w:val="1"/>
      <w:numFmt w:val="lowerLetter"/>
      <w:lvlText w:val="%8."/>
      <w:lvlJc w:val="left"/>
      <w:pPr>
        <w:ind w:left="5760" w:hanging="360"/>
      </w:pPr>
    </w:lvl>
    <w:lvl w:ilvl="8" w:tplc="098C90F0" w:tentative="1">
      <w:start w:val="1"/>
      <w:numFmt w:val="lowerRoman"/>
      <w:lvlText w:val="%9."/>
      <w:lvlJc w:val="right"/>
      <w:pPr>
        <w:ind w:left="6480" w:hanging="180"/>
      </w:pPr>
    </w:lvl>
  </w:abstractNum>
  <w:abstractNum w:abstractNumId="4" w15:restartNumberingAfterBreak="0">
    <w:nsid w:val="07B309A5"/>
    <w:multiLevelType w:val="hybridMultilevel"/>
    <w:tmpl w:val="20F8290A"/>
    <w:lvl w:ilvl="0" w:tplc="D3A637BA">
      <w:start w:val="1"/>
      <w:numFmt w:val="upperLetter"/>
      <w:lvlText w:val="%1."/>
      <w:lvlJc w:val="left"/>
      <w:pPr>
        <w:ind w:left="360" w:hanging="360"/>
      </w:pPr>
      <w:rPr>
        <w:b/>
      </w:rPr>
    </w:lvl>
    <w:lvl w:ilvl="1" w:tplc="6372665A">
      <w:start w:val="1"/>
      <w:numFmt w:val="lowerLetter"/>
      <w:lvlText w:val="(%2)"/>
      <w:lvlJc w:val="left"/>
      <w:pPr>
        <w:ind w:left="1440" w:hanging="720"/>
      </w:pPr>
      <w:rPr>
        <w:rFonts w:hint="default"/>
      </w:rPr>
    </w:lvl>
    <w:lvl w:ilvl="2" w:tplc="F19A5D40" w:tentative="1">
      <w:start w:val="1"/>
      <w:numFmt w:val="lowerRoman"/>
      <w:lvlText w:val="%3."/>
      <w:lvlJc w:val="right"/>
      <w:pPr>
        <w:ind w:left="1800" w:hanging="180"/>
      </w:pPr>
    </w:lvl>
    <w:lvl w:ilvl="3" w:tplc="D3CE18A4" w:tentative="1">
      <w:start w:val="1"/>
      <w:numFmt w:val="decimal"/>
      <w:lvlText w:val="%4."/>
      <w:lvlJc w:val="left"/>
      <w:pPr>
        <w:ind w:left="2520" w:hanging="360"/>
      </w:pPr>
    </w:lvl>
    <w:lvl w:ilvl="4" w:tplc="C2C0CB46" w:tentative="1">
      <w:start w:val="1"/>
      <w:numFmt w:val="lowerLetter"/>
      <w:lvlText w:val="%5."/>
      <w:lvlJc w:val="left"/>
      <w:pPr>
        <w:ind w:left="3240" w:hanging="360"/>
      </w:pPr>
    </w:lvl>
    <w:lvl w:ilvl="5" w:tplc="EF482B62" w:tentative="1">
      <w:start w:val="1"/>
      <w:numFmt w:val="lowerRoman"/>
      <w:lvlText w:val="%6."/>
      <w:lvlJc w:val="right"/>
      <w:pPr>
        <w:ind w:left="3960" w:hanging="180"/>
      </w:pPr>
    </w:lvl>
    <w:lvl w:ilvl="6" w:tplc="A63E08AE" w:tentative="1">
      <w:start w:val="1"/>
      <w:numFmt w:val="decimal"/>
      <w:lvlText w:val="%7."/>
      <w:lvlJc w:val="left"/>
      <w:pPr>
        <w:ind w:left="4680" w:hanging="360"/>
      </w:pPr>
    </w:lvl>
    <w:lvl w:ilvl="7" w:tplc="60066138" w:tentative="1">
      <w:start w:val="1"/>
      <w:numFmt w:val="lowerLetter"/>
      <w:lvlText w:val="%8."/>
      <w:lvlJc w:val="left"/>
      <w:pPr>
        <w:ind w:left="5400" w:hanging="360"/>
      </w:pPr>
    </w:lvl>
    <w:lvl w:ilvl="8" w:tplc="4040487A" w:tentative="1">
      <w:start w:val="1"/>
      <w:numFmt w:val="lowerRoman"/>
      <w:lvlText w:val="%9."/>
      <w:lvlJc w:val="right"/>
      <w:pPr>
        <w:ind w:left="6120" w:hanging="180"/>
      </w:pPr>
    </w:lvl>
  </w:abstractNum>
  <w:abstractNum w:abstractNumId="5" w15:restartNumberingAfterBreak="0">
    <w:nsid w:val="08F13A21"/>
    <w:multiLevelType w:val="hybridMultilevel"/>
    <w:tmpl w:val="64126618"/>
    <w:lvl w:ilvl="0" w:tplc="ADF66890">
      <w:start w:val="1"/>
      <w:numFmt w:val="decimal"/>
      <w:lvlText w:val="%1."/>
      <w:lvlJc w:val="left"/>
      <w:pPr>
        <w:ind w:left="360" w:hanging="360"/>
      </w:pPr>
      <w:rPr>
        <w:rFonts w:hint="default"/>
        <w:color w:val="auto"/>
      </w:rPr>
    </w:lvl>
    <w:lvl w:ilvl="1" w:tplc="EA0695C0" w:tentative="1">
      <w:start w:val="1"/>
      <w:numFmt w:val="lowerLetter"/>
      <w:lvlText w:val="%2."/>
      <w:lvlJc w:val="left"/>
      <w:pPr>
        <w:ind w:left="1080" w:hanging="360"/>
      </w:pPr>
    </w:lvl>
    <w:lvl w:ilvl="2" w:tplc="857A0630" w:tentative="1">
      <w:start w:val="1"/>
      <w:numFmt w:val="lowerRoman"/>
      <w:lvlText w:val="%3."/>
      <w:lvlJc w:val="right"/>
      <w:pPr>
        <w:ind w:left="1800" w:hanging="180"/>
      </w:pPr>
    </w:lvl>
    <w:lvl w:ilvl="3" w:tplc="B082E6AC" w:tentative="1">
      <w:start w:val="1"/>
      <w:numFmt w:val="decimal"/>
      <w:lvlText w:val="%4."/>
      <w:lvlJc w:val="left"/>
      <w:pPr>
        <w:ind w:left="2520" w:hanging="360"/>
      </w:pPr>
    </w:lvl>
    <w:lvl w:ilvl="4" w:tplc="E41CB944" w:tentative="1">
      <w:start w:val="1"/>
      <w:numFmt w:val="lowerLetter"/>
      <w:lvlText w:val="%5."/>
      <w:lvlJc w:val="left"/>
      <w:pPr>
        <w:ind w:left="3240" w:hanging="360"/>
      </w:pPr>
    </w:lvl>
    <w:lvl w:ilvl="5" w:tplc="FB68822A" w:tentative="1">
      <w:start w:val="1"/>
      <w:numFmt w:val="lowerRoman"/>
      <w:lvlText w:val="%6."/>
      <w:lvlJc w:val="right"/>
      <w:pPr>
        <w:ind w:left="3960" w:hanging="180"/>
      </w:pPr>
    </w:lvl>
    <w:lvl w:ilvl="6" w:tplc="E6B2B800" w:tentative="1">
      <w:start w:val="1"/>
      <w:numFmt w:val="decimal"/>
      <w:lvlText w:val="%7."/>
      <w:lvlJc w:val="left"/>
      <w:pPr>
        <w:ind w:left="4680" w:hanging="360"/>
      </w:pPr>
    </w:lvl>
    <w:lvl w:ilvl="7" w:tplc="7A9ACFA0" w:tentative="1">
      <w:start w:val="1"/>
      <w:numFmt w:val="lowerLetter"/>
      <w:lvlText w:val="%8."/>
      <w:lvlJc w:val="left"/>
      <w:pPr>
        <w:ind w:left="5400" w:hanging="360"/>
      </w:pPr>
    </w:lvl>
    <w:lvl w:ilvl="8" w:tplc="A2DE90FA" w:tentative="1">
      <w:start w:val="1"/>
      <w:numFmt w:val="lowerRoman"/>
      <w:lvlText w:val="%9."/>
      <w:lvlJc w:val="right"/>
      <w:pPr>
        <w:ind w:left="6120" w:hanging="180"/>
      </w:pPr>
    </w:lvl>
  </w:abstractNum>
  <w:abstractNum w:abstractNumId="6" w15:restartNumberingAfterBreak="0">
    <w:nsid w:val="0EBA2859"/>
    <w:multiLevelType w:val="hybridMultilevel"/>
    <w:tmpl w:val="C9F2EF5C"/>
    <w:lvl w:ilvl="0" w:tplc="02C46DB4">
      <w:start w:val="1"/>
      <w:numFmt w:val="lowerRoman"/>
      <w:lvlText w:val="(%1)"/>
      <w:lvlJc w:val="left"/>
      <w:pPr>
        <w:ind w:left="270" w:hanging="720"/>
      </w:pPr>
      <w:rPr>
        <w:rFonts w:hint="default"/>
      </w:rPr>
    </w:lvl>
    <w:lvl w:ilvl="1" w:tplc="F7D67214" w:tentative="1">
      <w:start w:val="1"/>
      <w:numFmt w:val="lowerLetter"/>
      <w:lvlText w:val="%2."/>
      <w:lvlJc w:val="left"/>
      <w:pPr>
        <w:ind w:left="630" w:hanging="360"/>
      </w:pPr>
    </w:lvl>
    <w:lvl w:ilvl="2" w:tplc="EBFA824C" w:tentative="1">
      <w:start w:val="1"/>
      <w:numFmt w:val="lowerRoman"/>
      <w:lvlText w:val="%3."/>
      <w:lvlJc w:val="right"/>
      <w:pPr>
        <w:ind w:left="1350" w:hanging="180"/>
      </w:pPr>
    </w:lvl>
    <w:lvl w:ilvl="3" w:tplc="3A7E81BA" w:tentative="1">
      <w:start w:val="1"/>
      <w:numFmt w:val="decimal"/>
      <w:lvlText w:val="%4."/>
      <w:lvlJc w:val="left"/>
      <w:pPr>
        <w:ind w:left="2070" w:hanging="360"/>
      </w:pPr>
    </w:lvl>
    <w:lvl w:ilvl="4" w:tplc="614E6AEA" w:tentative="1">
      <w:start w:val="1"/>
      <w:numFmt w:val="lowerLetter"/>
      <w:lvlText w:val="%5."/>
      <w:lvlJc w:val="left"/>
      <w:pPr>
        <w:ind w:left="2790" w:hanging="360"/>
      </w:pPr>
    </w:lvl>
    <w:lvl w:ilvl="5" w:tplc="10DC10A4" w:tentative="1">
      <w:start w:val="1"/>
      <w:numFmt w:val="lowerRoman"/>
      <w:lvlText w:val="%6."/>
      <w:lvlJc w:val="right"/>
      <w:pPr>
        <w:ind w:left="3510" w:hanging="180"/>
      </w:pPr>
    </w:lvl>
    <w:lvl w:ilvl="6" w:tplc="A56A7714" w:tentative="1">
      <w:start w:val="1"/>
      <w:numFmt w:val="decimal"/>
      <w:lvlText w:val="%7."/>
      <w:lvlJc w:val="left"/>
      <w:pPr>
        <w:ind w:left="4230" w:hanging="360"/>
      </w:pPr>
    </w:lvl>
    <w:lvl w:ilvl="7" w:tplc="B9A6A6EC" w:tentative="1">
      <w:start w:val="1"/>
      <w:numFmt w:val="lowerLetter"/>
      <w:lvlText w:val="%8."/>
      <w:lvlJc w:val="left"/>
      <w:pPr>
        <w:ind w:left="4950" w:hanging="360"/>
      </w:pPr>
    </w:lvl>
    <w:lvl w:ilvl="8" w:tplc="18EC80BA" w:tentative="1">
      <w:start w:val="1"/>
      <w:numFmt w:val="lowerRoman"/>
      <w:lvlText w:val="%9."/>
      <w:lvlJc w:val="right"/>
      <w:pPr>
        <w:ind w:left="5670" w:hanging="180"/>
      </w:pPr>
    </w:lvl>
  </w:abstractNum>
  <w:abstractNum w:abstractNumId="7" w15:restartNumberingAfterBreak="0">
    <w:nsid w:val="18216A2F"/>
    <w:multiLevelType w:val="hybridMultilevel"/>
    <w:tmpl w:val="3854685A"/>
    <w:lvl w:ilvl="0" w:tplc="04F0D5AE">
      <w:start w:val="1"/>
      <w:numFmt w:val="decimal"/>
      <w:lvlText w:val="%1."/>
      <w:lvlJc w:val="left"/>
      <w:pPr>
        <w:ind w:left="360" w:hanging="360"/>
      </w:pPr>
      <w:rPr>
        <w:rFonts w:hint="default"/>
      </w:rPr>
    </w:lvl>
    <w:lvl w:ilvl="1" w:tplc="F7A4CF60" w:tentative="1">
      <w:start w:val="1"/>
      <w:numFmt w:val="lowerLetter"/>
      <w:lvlText w:val="%2."/>
      <w:lvlJc w:val="left"/>
      <w:pPr>
        <w:ind w:left="1080" w:hanging="360"/>
      </w:pPr>
    </w:lvl>
    <w:lvl w:ilvl="2" w:tplc="0EC63AB8" w:tentative="1">
      <w:start w:val="1"/>
      <w:numFmt w:val="lowerRoman"/>
      <w:lvlText w:val="%3."/>
      <w:lvlJc w:val="right"/>
      <w:pPr>
        <w:ind w:left="1800" w:hanging="180"/>
      </w:pPr>
    </w:lvl>
    <w:lvl w:ilvl="3" w:tplc="F600E35C" w:tentative="1">
      <w:start w:val="1"/>
      <w:numFmt w:val="decimal"/>
      <w:lvlText w:val="%4."/>
      <w:lvlJc w:val="left"/>
      <w:pPr>
        <w:ind w:left="2520" w:hanging="360"/>
      </w:pPr>
    </w:lvl>
    <w:lvl w:ilvl="4" w:tplc="C0040B3A" w:tentative="1">
      <w:start w:val="1"/>
      <w:numFmt w:val="lowerLetter"/>
      <w:lvlText w:val="%5."/>
      <w:lvlJc w:val="left"/>
      <w:pPr>
        <w:ind w:left="3240" w:hanging="360"/>
      </w:pPr>
    </w:lvl>
    <w:lvl w:ilvl="5" w:tplc="045487DA" w:tentative="1">
      <w:start w:val="1"/>
      <w:numFmt w:val="lowerRoman"/>
      <w:lvlText w:val="%6."/>
      <w:lvlJc w:val="right"/>
      <w:pPr>
        <w:ind w:left="3960" w:hanging="180"/>
      </w:pPr>
    </w:lvl>
    <w:lvl w:ilvl="6" w:tplc="292AA8F8" w:tentative="1">
      <w:start w:val="1"/>
      <w:numFmt w:val="decimal"/>
      <w:lvlText w:val="%7."/>
      <w:lvlJc w:val="left"/>
      <w:pPr>
        <w:ind w:left="4680" w:hanging="360"/>
      </w:pPr>
    </w:lvl>
    <w:lvl w:ilvl="7" w:tplc="A9629274" w:tentative="1">
      <w:start w:val="1"/>
      <w:numFmt w:val="lowerLetter"/>
      <w:lvlText w:val="%8."/>
      <w:lvlJc w:val="left"/>
      <w:pPr>
        <w:ind w:left="5400" w:hanging="360"/>
      </w:pPr>
    </w:lvl>
    <w:lvl w:ilvl="8" w:tplc="F2509B66" w:tentative="1">
      <w:start w:val="1"/>
      <w:numFmt w:val="lowerRoman"/>
      <w:lvlText w:val="%9."/>
      <w:lvlJc w:val="right"/>
      <w:pPr>
        <w:ind w:left="6120" w:hanging="180"/>
      </w:pPr>
    </w:lvl>
  </w:abstractNum>
  <w:abstractNum w:abstractNumId="8" w15:restartNumberingAfterBreak="0">
    <w:nsid w:val="18FC3260"/>
    <w:multiLevelType w:val="hybridMultilevel"/>
    <w:tmpl w:val="BFF22D56"/>
    <w:lvl w:ilvl="0" w:tplc="14601FAA">
      <w:start w:val="1"/>
      <w:numFmt w:val="lowerRoman"/>
      <w:lvlText w:val="(%1)"/>
      <w:lvlJc w:val="left"/>
      <w:pPr>
        <w:ind w:left="1440" w:hanging="720"/>
      </w:pPr>
      <w:rPr>
        <w:rFonts w:hint="default"/>
      </w:rPr>
    </w:lvl>
    <w:lvl w:ilvl="1" w:tplc="29E6C4CC" w:tentative="1">
      <w:start w:val="1"/>
      <w:numFmt w:val="lowerLetter"/>
      <w:lvlText w:val="%2."/>
      <w:lvlJc w:val="left"/>
      <w:pPr>
        <w:ind w:left="1800" w:hanging="360"/>
      </w:pPr>
    </w:lvl>
    <w:lvl w:ilvl="2" w:tplc="639CD87A" w:tentative="1">
      <w:start w:val="1"/>
      <w:numFmt w:val="lowerRoman"/>
      <w:lvlText w:val="%3."/>
      <w:lvlJc w:val="right"/>
      <w:pPr>
        <w:ind w:left="2520" w:hanging="180"/>
      </w:pPr>
    </w:lvl>
    <w:lvl w:ilvl="3" w:tplc="73CCC4EC" w:tentative="1">
      <w:start w:val="1"/>
      <w:numFmt w:val="decimal"/>
      <w:lvlText w:val="%4."/>
      <w:lvlJc w:val="left"/>
      <w:pPr>
        <w:ind w:left="3240" w:hanging="360"/>
      </w:pPr>
    </w:lvl>
    <w:lvl w:ilvl="4" w:tplc="4508CCC2" w:tentative="1">
      <w:start w:val="1"/>
      <w:numFmt w:val="lowerLetter"/>
      <w:lvlText w:val="%5."/>
      <w:lvlJc w:val="left"/>
      <w:pPr>
        <w:ind w:left="3960" w:hanging="360"/>
      </w:pPr>
    </w:lvl>
    <w:lvl w:ilvl="5" w:tplc="A20E61C2" w:tentative="1">
      <w:start w:val="1"/>
      <w:numFmt w:val="lowerRoman"/>
      <w:lvlText w:val="%6."/>
      <w:lvlJc w:val="right"/>
      <w:pPr>
        <w:ind w:left="4680" w:hanging="180"/>
      </w:pPr>
    </w:lvl>
    <w:lvl w:ilvl="6" w:tplc="EDC2C828" w:tentative="1">
      <w:start w:val="1"/>
      <w:numFmt w:val="decimal"/>
      <w:lvlText w:val="%7."/>
      <w:lvlJc w:val="left"/>
      <w:pPr>
        <w:ind w:left="5400" w:hanging="360"/>
      </w:pPr>
    </w:lvl>
    <w:lvl w:ilvl="7" w:tplc="18AE368A" w:tentative="1">
      <w:start w:val="1"/>
      <w:numFmt w:val="lowerLetter"/>
      <w:lvlText w:val="%8."/>
      <w:lvlJc w:val="left"/>
      <w:pPr>
        <w:ind w:left="6120" w:hanging="360"/>
      </w:pPr>
    </w:lvl>
    <w:lvl w:ilvl="8" w:tplc="B5481834" w:tentative="1">
      <w:start w:val="1"/>
      <w:numFmt w:val="lowerRoman"/>
      <w:lvlText w:val="%9."/>
      <w:lvlJc w:val="right"/>
      <w:pPr>
        <w:ind w:left="6840" w:hanging="180"/>
      </w:pPr>
    </w:lvl>
  </w:abstractNum>
  <w:abstractNum w:abstractNumId="9" w15:restartNumberingAfterBreak="0">
    <w:nsid w:val="1A420A35"/>
    <w:multiLevelType w:val="hybridMultilevel"/>
    <w:tmpl w:val="6C489582"/>
    <w:lvl w:ilvl="0" w:tplc="18105EEE">
      <w:start w:val="1"/>
      <w:numFmt w:val="upperLetter"/>
      <w:lvlText w:val="%1."/>
      <w:lvlJc w:val="left"/>
      <w:pPr>
        <w:ind w:left="-331" w:hanging="360"/>
      </w:pPr>
      <w:rPr>
        <w:rFonts w:hint="default"/>
        <w:color w:val="002060"/>
        <w:sz w:val="22"/>
      </w:rPr>
    </w:lvl>
    <w:lvl w:ilvl="1" w:tplc="45C26FA8" w:tentative="1">
      <w:start w:val="1"/>
      <w:numFmt w:val="lowerLetter"/>
      <w:lvlText w:val="%2."/>
      <w:lvlJc w:val="left"/>
      <w:pPr>
        <w:ind w:left="389" w:hanging="360"/>
      </w:pPr>
    </w:lvl>
    <w:lvl w:ilvl="2" w:tplc="FC529B6E" w:tentative="1">
      <w:start w:val="1"/>
      <w:numFmt w:val="lowerRoman"/>
      <w:lvlText w:val="%3."/>
      <w:lvlJc w:val="right"/>
      <w:pPr>
        <w:ind w:left="1109" w:hanging="180"/>
      </w:pPr>
    </w:lvl>
    <w:lvl w:ilvl="3" w:tplc="5A946D20" w:tentative="1">
      <w:start w:val="1"/>
      <w:numFmt w:val="decimal"/>
      <w:lvlText w:val="%4."/>
      <w:lvlJc w:val="left"/>
      <w:pPr>
        <w:ind w:left="1829" w:hanging="360"/>
      </w:pPr>
    </w:lvl>
    <w:lvl w:ilvl="4" w:tplc="E342149A" w:tentative="1">
      <w:start w:val="1"/>
      <w:numFmt w:val="lowerLetter"/>
      <w:lvlText w:val="%5."/>
      <w:lvlJc w:val="left"/>
      <w:pPr>
        <w:ind w:left="2549" w:hanging="360"/>
      </w:pPr>
    </w:lvl>
    <w:lvl w:ilvl="5" w:tplc="DBCCE5C2" w:tentative="1">
      <w:start w:val="1"/>
      <w:numFmt w:val="lowerRoman"/>
      <w:lvlText w:val="%6."/>
      <w:lvlJc w:val="right"/>
      <w:pPr>
        <w:ind w:left="3269" w:hanging="180"/>
      </w:pPr>
    </w:lvl>
    <w:lvl w:ilvl="6" w:tplc="DD5CBA4E" w:tentative="1">
      <w:start w:val="1"/>
      <w:numFmt w:val="decimal"/>
      <w:lvlText w:val="%7."/>
      <w:lvlJc w:val="left"/>
      <w:pPr>
        <w:ind w:left="3989" w:hanging="360"/>
      </w:pPr>
    </w:lvl>
    <w:lvl w:ilvl="7" w:tplc="CFFED916" w:tentative="1">
      <w:start w:val="1"/>
      <w:numFmt w:val="lowerLetter"/>
      <w:lvlText w:val="%8."/>
      <w:lvlJc w:val="left"/>
      <w:pPr>
        <w:ind w:left="4709" w:hanging="360"/>
      </w:pPr>
    </w:lvl>
    <w:lvl w:ilvl="8" w:tplc="DBD2B6DC" w:tentative="1">
      <w:start w:val="1"/>
      <w:numFmt w:val="lowerRoman"/>
      <w:lvlText w:val="%9."/>
      <w:lvlJc w:val="right"/>
      <w:pPr>
        <w:ind w:left="5429" w:hanging="180"/>
      </w:pPr>
    </w:lvl>
  </w:abstractNum>
  <w:abstractNum w:abstractNumId="10" w15:restartNumberingAfterBreak="0">
    <w:nsid w:val="1A5C68B0"/>
    <w:multiLevelType w:val="hybridMultilevel"/>
    <w:tmpl w:val="962A2D1C"/>
    <w:lvl w:ilvl="0" w:tplc="D934584A">
      <w:start w:val="1"/>
      <w:numFmt w:val="upperLetter"/>
      <w:lvlText w:val="%1."/>
      <w:lvlJc w:val="left"/>
      <w:pPr>
        <w:ind w:left="360" w:hanging="360"/>
      </w:pPr>
      <w:rPr>
        <w:rFonts w:hint="default"/>
      </w:rPr>
    </w:lvl>
    <w:lvl w:ilvl="1" w:tplc="691CEF24" w:tentative="1">
      <w:start w:val="1"/>
      <w:numFmt w:val="lowerLetter"/>
      <w:lvlText w:val="%2."/>
      <w:lvlJc w:val="left"/>
      <w:pPr>
        <w:ind w:left="1080" w:hanging="360"/>
      </w:pPr>
    </w:lvl>
    <w:lvl w:ilvl="2" w:tplc="009E2892" w:tentative="1">
      <w:start w:val="1"/>
      <w:numFmt w:val="lowerRoman"/>
      <w:lvlText w:val="%3."/>
      <w:lvlJc w:val="right"/>
      <w:pPr>
        <w:ind w:left="1800" w:hanging="180"/>
      </w:pPr>
    </w:lvl>
    <w:lvl w:ilvl="3" w:tplc="B28E9332" w:tentative="1">
      <w:start w:val="1"/>
      <w:numFmt w:val="decimal"/>
      <w:lvlText w:val="%4."/>
      <w:lvlJc w:val="left"/>
      <w:pPr>
        <w:ind w:left="2520" w:hanging="360"/>
      </w:pPr>
    </w:lvl>
    <w:lvl w:ilvl="4" w:tplc="906ACF32" w:tentative="1">
      <w:start w:val="1"/>
      <w:numFmt w:val="lowerLetter"/>
      <w:lvlText w:val="%5."/>
      <w:lvlJc w:val="left"/>
      <w:pPr>
        <w:ind w:left="3240" w:hanging="360"/>
      </w:pPr>
    </w:lvl>
    <w:lvl w:ilvl="5" w:tplc="34643998" w:tentative="1">
      <w:start w:val="1"/>
      <w:numFmt w:val="lowerRoman"/>
      <w:lvlText w:val="%6."/>
      <w:lvlJc w:val="right"/>
      <w:pPr>
        <w:ind w:left="3960" w:hanging="180"/>
      </w:pPr>
    </w:lvl>
    <w:lvl w:ilvl="6" w:tplc="DC3453D8" w:tentative="1">
      <w:start w:val="1"/>
      <w:numFmt w:val="decimal"/>
      <w:lvlText w:val="%7."/>
      <w:lvlJc w:val="left"/>
      <w:pPr>
        <w:ind w:left="4680" w:hanging="360"/>
      </w:pPr>
    </w:lvl>
    <w:lvl w:ilvl="7" w:tplc="F432DD74" w:tentative="1">
      <w:start w:val="1"/>
      <w:numFmt w:val="lowerLetter"/>
      <w:lvlText w:val="%8."/>
      <w:lvlJc w:val="left"/>
      <w:pPr>
        <w:ind w:left="5400" w:hanging="360"/>
      </w:pPr>
    </w:lvl>
    <w:lvl w:ilvl="8" w:tplc="5C300996" w:tentative="1">
      <w:start w:val="1"/>
      <w:numFmt w:val="lowerRoman"/>
      <w:lvlText w:val="%9."/>
      <w:lvlJc w:val="right"/>
      <w:pPr>
        <w:ind w:left="6120" w:hanging="180"/>
      </w:pPr>
    </w:lvl>
  </w:abstractNum>
  <w:abstractNum w:abstractNumId="11" w15:restartNumberingAfterBreak="0">
    <w:nsid w:val="1DEB6CC4"/>
    <w:multiLevelType w:val="hybridMultilevel"/>
    <w:tmpl w:val="DC68FEF2"/>
    <w:lvl w:ilvl="0" w:tplc="64DCC6B4">
      <w:start w:val="1"/>
      <w:numFmt w:val="lowerRoman"/>
      <w:lvlText w:val="(%1)"/>
      <w:lvlJc w:val="left"/>
      <w:pPr>
        <w:ind w:left="1440" w:hanging="360"/>
      </w:pPr>
      <w:rPr>
        <w:rFonts w:hint="default"/>
      </w:rPr>
    </w:lvl>
    <w:lvl w:ilvl="1" w:tplc="6644D4C4" w:tentative="1">
      <w:start w:val="1"/>
      <w:numFmt w:val="lowerLetter"/>
      <w:lvlText w:val="%2."/>
      <w:lvlJc w:val="left"/>
      <w:pPr>
        <w:ind w:left="2160" w:hanging="360"/>
      </w:pPr>
    </w:lvl>
    <w:lvl w:ilvl="2" w:tplc="E0DACF6E" w:tentative="1">
      <w:start w:val="1"/>
      <w:numFmt w:val="lowerRoman"/>
      <w:lvlText w:val="%3."/>
      <w:lvlJc w:val="right"/>
      <w:pPr>
        <w:ind w:left="2880" w:hanging="180"/>
      </w:pPr>
    </w:lvl>
    <w:lvl w:ilvl="3" w:tplc="61C07456" w:tentative="1">
      <w:start w:val="1"/>
      <w:numFmt w:val="decimal"/>
      <w:lvlText w:val="%4."/>
      <w:lvlJc w:val="left"/>
      <w:pPr>
        <w:ind w:left="3600" w:hanging="360"/>
      </w:pPr>
    </w:lvl>
    <w:lvl w:ilvl="4" w:tplc="81926544" w:tentative="1">
      <w:start w:val="1"/>
      <w:numFmt w:val="lowerLetter"/>
      <w:lvlText w:val="%5."/>
      <w:lvlJc w:val="left"/>
      <w:pPr>
        <w:ind w:left="4320" w:hanging="360"/>
      </w:pPr>
    </w:lvl>
    <w:lvl w:ilvl="5" w:tplc="73EEF484" w:tentative="1">
      <w:start w:val="1"/>
      <w:numFmt w:val="lowerRoman"/>
      <w:lvlText w:val="%6."/>
      <w:lvlJc w:val="right"/>
      <w:pPr>
        <w:ind w:left="5040" w:hanging="180"/>
      </w:pPr>
    </w:lvl>
    <w:lvl w:ilvl="6" w:tplc="37425490" w:tentative="1">
      <w:start w:val="1"/>
      <w:numFmt w:val="decimal"/>
      <w:lvlText w:val="%7."/>
      <w:lvlJc w:val="left"/>
      <w:pPr>
        <w:ind w:left="5760" w:hanging="360"/>
      </w:pPr>
    </w:lvl>
    <w:lvl w:ilvl="7" w:tplc="91A60966" w:tentative="1">
      <w:start w:val="1"/>
      <w:numFmt w:val="lowerLetter"/>
      <w:lvlText w:val="%8."/>
      <w:lvlJc w:val="left"/>
      <w:pPr>
        <w:ind w:left="6480" w:hanging="360"/>
      </w:pPr>
    </w:lvl>
    <w:lvl w:ilvl="8" w:tplc="10B09BAC" w:tentative="1">
      <w:start w:val="1"/>
      <w:numFmt w:val="lowerRoman"/>
      <w:lvlText w:val="%9."/>
      <w:lvlJc w:val="right"/>
      <w:pPr>
        <w:ind w:left="7200" w:hanging="180"/>
      </w:pPr>
    </w:lvl>
  </w:abstractNum>
  <w:abstractNum w:abstractNumId="12" w15:restartNumberingAfterBreak="0">
    <w:nsid w:val="1FB75585"/>
    <w:multiLevelType w:val="hybridMultilevel"/>
    <w:tmpl w:val="3854685A"/>
    <w:lvl w:ilvl="0" w:tplc="705C15AA">
      <w:start w:val="1"/>
      <w:numFmt w:val="decimal"/>
      <w:lvlText w:val="%1."/>
      <w:lvlJc w:val="left"/>
      <w:pPr>
        <w:ind w:left="360" w:hanging="360"/>
      </w:pPr>
      <w:rPr>
        <w:rFonts w:hint="default"/>
      </w:rPr>
    </w:lvl>
    <w:lvl w:ilvl="1" w:tplc="71E82A6A" w:tentative="1">
      <w:start w:val="1"/>
      <w:numFmt w:val="lowerLetter"/>
      <w:lvlText w:val="%2."/>
      <w:lvlJc w:val="left"/>
      <w:pPr>
        <w:ind w:left="1080" w:hanging="360"/>
      </w:pPr>
    </w:lvl>
    <w:lvl w:ilvl="2" w:tplc="935817C2" w:tentative="1">
      <w:start w:val="1"/>
      <w:numFmt w:val="lowerRoman"/>
      <w:lvlText w:val="%3."/>
      <w:lvlJc w:val="right"/>
      <w:pPr>
        <w:ind w:left="1800" w:hanging="180"/>
      </w:pPr>
    </w:lvl>
    <w:lvl w:ilvl="3" w:tplc="C0B44AF8" w:tentative="1">
      <w:start w:val="1"/>
      <w:numFmt w:val="decimal"/>
      <w:lvlText w:val="%4."/>
      <w:lvlJc w:val="left"/>
      <w:pPr>
        <w:ind w:left="2520" w:hanging="360"/>
      </w:pPr>
    </w:lvl>
    <w:lvl w:ilvl="4" w:tplc="6260696C" w:tentative="1">
      <w:start w:val="1"/>
      <w:numFmt w:val="lowerLetter"/>
      <w:lvlText w:val="%5."/>
      <w:lvlJc w:val="left"/>
      <w:pPr>
        <w:ind w:left="3240" w:hanging="360"/>
      </w:pPr>
    </w:lvl>
    <w:lvl w:ilvl="5" w:tplc="E1A88E62" w:tentative="1">
      <w:start w:val="1"/>
      <w:numFmt w:val="lowerRoman"/>
      <w:lvlText w:val="%6."/>
      <w:lvlJc w:val="right"/>
      <w:pPr>
        <w:ind w:left="3960" w:hanging="180"/>
      </w:pPr>
    </w:lvl>
    <w:lvl w:ilvl="6" w:tplc="A6826B0E" w:tentative="1">
      <w:start w:val="1"/>
      <w:numFmt w:val="decimal"/>
      <w:lvlText w:val="%7."/>
      <w:lvlJc w:val="left"/>
      <w:pPr>
        <w:ind w:left="4680" w:hanging="360"/>
      </w:pPr>
    </w:lvl>
    <w:lvl w:ilvl="7" w:tplc="77EAE820" w:tentative="1">
      <w:start w:val="1"/>
      <w:numFmt w:val="lowerLetter"/>
      <w:lvlText w:val="%8."/>
      <w:lvlJc w:val="left"/>
      <w:pPr>
        <w:ind w:left="5400" w:hanging="360"/>
      </w:pPr>
    </w:lvl>
    <w:lvl w:ilvl="8" w:tplc="B14C3BF2" w:tentative="1">
      <w:start w:val="1"/>
      <w:numFmt w:val="lowerRoman"/>
      <w:lvlText w:val="%9."/>
      <w:lvlJc w:val="right"/>
      <w:pPr>
        <w:ind w:left="6120" w:hanging="180"/>
      </w:pPr>
    </w:lvl>
  </w:abstractNum>
  <w:abstractNum w:abstractNumId="13" w15:restartNumberingAfterBreak="0">
    <w:nsid w:val="25A84B0F"/>
    <w:multiLevelType w:val="hybridMultilevel"/>
    <w:tmpl w:val="62606DCA"/>
    <w:lvl w:ilvl="0" w:tplc="47FAD9F0">
      <w:start w:val="1"/>
      <w:numFmt w:val="bullet"/>
      <w:lvlText w:val=""/>
      <w:lvlJc w:val="left"/>
      <w:pPr>
        <w:ind w:left="720" w:hanging="360"/>
      </w:pPr>
      <w:rPr>
        <w:rFonts w:ascii="Symbol" w:hAnsi="Symbol" w:hint="default"/>
      </w:rPr>
    </w:lvl>
    <w:lvl w:ilvl="1" w:tplc="6F7C5CFE" w:tentative="1">
      <w:start w:val="1"/>
      <w:numFmt w:val="bullet"/>
      <w:lvlText w:val="o"/>
      <w:lvlJc w:val="left"/>
      <w:pPr>
        <w:ind w:left="1440" w:hanging="360"/>
      </w:pPr>
      <w:rPr>
        <w:rFonts w:ascii="Courier New" w:hAnsi="Courier New" w:hint="default"/>
      </w:rPr>
    </w:lvl>
    <w:lvl w:ilvl="2" w:tplc="DF7E7648" w:tentative="1">
      <w:start w:val="1"/>
      <w:numFmt w:val="bullet"/>
      <w:lvlText w:val=""/>
      <w:lvlJc w:val="left"/>
      <w:pPr>
        <w:ind w:left="2160" w:hanging="360"/>
      </w:pPr>
      <w:rPr>
        <w:rFonts w:ascii="Wingdings" w:hAnsi="Wingdings" w:hint="default"/>
      </w:rPr>
    </w:lvl>
    <w:lvl w:ilvl="3" w:tplc="2F78890C" w:tentative="1">
      <w:start w:val="1"/>
      <w:numFmt w:val="bullet"/>
      <w:lvlText w:val=""/>
      <w:lvlJc w:val="left"/>
      <w:pPr>
        <w:ind w:left="2880" w:hanging="360"/>
      </w:pPr>
      <w:rPr>
        <w:rFonts w:ascii="Symbol" w:hAnsi="Symbol" w:hint="default"/>
      </w:rPr>
    </w:lvl>
    <w:lvl w:ilvl="4" w:tplc="1C262EBC" w:tentative="1">
      <w:start w:val="1"/>
      <w:numFmt w:val="bullet"/>
      <w:lvlText w:val="o"/>
      <w:lvlJc w:val="left"/>
      <w:pPr>
        <w:ind w:left="3600" w:hanging="360"/>
      </w:pPr>
      <w:rPr>
        <w:rFonts w:ascii="Courier New" w:hAnsi="Courier New" w:hint="default"/>
      </w:rPr>
    </w:lvl>
    <w:lvl w:ilvl="5" w:tplc="4FA49D72" w:tentative="1">
      <w:start w:val="1"/>
      <w:numFmt w:val="bullet"/>
      <w:lvlText w:val=""/>
      <w:lvlJc w:val="left"/>
      <w:pPr>
        <w:ind w:left="4320" w:hanging="360"/>
      </w:pPr>
      <w:rPr>
        <w:rFonts w:ascii="Wingdings" w:hAnsi="Wingdings" w:hint="default"/>
      </w:rPr>
    </w:lvl>
    <w:lvl w:ilvl="6" w:tplc="D03E5426" w:tentative="1">
      <w:start w:val="1"/>
      <w:numFmt w:val="bullet"/>
      <w:lvlText w:val=""/>
      <w:lvlJc w:val="left"/>
      <w:pPr>
        <w:ind w:left="5040" w:hanging="360"/>
      </w:pPr>
      <w:rPr>
        <w:rFonts w:ascii="Symbol" w:hAnsi="Symbol" w:hint="default"/>
      </w:rPr>
    </w:lvl>
    <w:lvl w:ilvl="7" w:tplc="92BA4CB4" w:tentative="1">
      <w:start w:val="1"/>
      <w:numFmt w:val="bullet"/>
      <w:lvlText w:val="o"/>
      <w:lvlJc w:val="left"/>
      <w:pPr>
        <w:ind w:left="5760" w:hanging="360"/>
      </w:pPr>
      <w:rPr>
        <w:rFonts w:ascii="Courier New" w:hAnsi="Courier New" w:hint="default"/>
      </w:rPr>
    </w:lvl>
    <w:lvl w:ilvl="8" w:tplc="0EEE3686" w:tentative="1">
      <w:start w:val="1"/>
      <w:numFmt w:val="bullet"/>
      <w:lvlText w:val=""/>
      <w:lvlJc w:val="left"/>
      <w:pPr>
        <w:ind w:left="6480" w:hanging="360"/>
      </w:pPr>
      <w:rPr>
        <w:rFonts w:ascii="Wingdings" w:hAnsi="Wingdings" w:hint="default"/>
      </w:rPr>
    </w:lvl>
  </w:abstractNum>
  <w:abstractNum w:abstractNumId="14" w15:restartNumberingAfterBreak="0">
    <w:nsid w:val="2D141742"/>
    <w:multiLevelType w:val="hybridMultilevel"/>
    <w:tmpl w:val="C7FA3A0C"/>
    <w:lvl w:ilvl="0" w:tplc="E95CF916">
      <w:start w:val="3"/>
      <w:numFmt w:val="bullet"/>
      <w:lvlText w:val="-"/>
      <w:lvlJc w:val="left"/>
      <w:pPr>
        <w:ind w:left="720" w:hanging="360"/>
      </w:pPr>
      <w:rPr>
        <w:rFonts w:ascii="Arial" w:eastAsiaTheme="minorEastAsia" w:hAnsi="Arial" w:cs="Arial" w:hint="default"/>
      </w:rPr>
    </w:lvl>
    <w:lvl w:ilvl="1" w:tplc="7EA04430" w:tentative="1">
      <w:start w:val="1"/>
      <w:numFmt w:val="bullet"/>
      <w:lvlText w:val="o"/>
      <w:lvlJc w:val="left"/>
      <w:pPr>
        <w:ind w:left="1440" w:hanging="360"/>
      </w:pPr>
      <w:rPr>
        <w:rFonts w:ascii="Courier New" w:hAnsi="Courier New" w:cs="Courier New" w:hint="default"/>
      </w:rPr>
    </w:lvl>
    <w:lvl w:ilvl="2" w:tplc="58588752" w:tentative="1">
      <w:start w:val="1"/>
      <w:numFmt w:val="bullet"/>
      <w:lvlText w:val=""/>
      <w:lvlJc w:val="left"/>
      <w:pPr>
        <w:ind w:left="2160" w:hanging="360"/>
      </w:pPr>
      <w:rPr>
        <w:rFonts w:ascii="Wingdings" w:hAnsi="Wingdings" w:hint="default"/>
      </w:rPr>
    </w:lvl>
    <w:lvl w:ilvl="3" w:tplc="CF0814D0" w:tentative="1">
      <w:start w:val="1"/>
      <w:numFmt w:val="bullet"/>
      <w:lvlText w:val=""/>
      <w:lvlJc w:val="left"/>
      <w:pPr>
        <w:ind w:left="2880" w:hanging="360"/>
      </w:pPr>
      <w:rPr>
        <w:rFonts w:ascii="Symbol" w:hAnsi="Symbol" w:hint="default"/>
      </w:rPr>
    </w:lvl>
    <w:lvl w:ilvl="4" w:tplc="B0564744" w:tentative="1">
      <w:start w:val="1"/>
      <w:numFmt w:val="bullet"/>
      <w:lvlText w:val="o"/>
      <w:lvlJc w:val="left"/>
      <w:pPr>
        <w:ind w:left="3600" w:hanging="360"/>
      </w:pPr>
      <w:rPr>
        <w:rFonts w:ascii="Courier New" w:hAnsi="Courier New" w:cs="Courier New" w:hint="default"/>
      </w:rPr>
    </w:lvl>
    <w:lvl w:ilvl="5" w:tplc="628AA6B6" w:tentative="1">
      <w:start w:val="1"/>
      <w:numFmt w:val="bullet"/>
      <w:lvlText w:val=""/>
      <w:lvlJc w:val="left"/>
      <w:pPr>
        <w:ind w:left="4320" w:hanging="360"/>
      </w:pPr>
      <w:rPr>
        <w:rFonts w:ascii="Wingdings" w:hAnsi="Wingdings" w:hint="default"/>
      </w:rPr>
    </w:lvl>
    <w:lvl w:ilvl="6" w:tplc="090206A0" w:tentative="1">
      <w:start w:val="1"/>
      <w:numFmt w:val="bullet"/>
      <w:lvlText w:val=""/>
      <w:lvlJc w:val="left"/>
      <w:pPr>
        <w:ind w:left="5040" w:hanging="360"/>
      </w:pPr>
      <w:rPr>
        <w:rFonts w:ascii="Symbol" w:hAnsi="Symbol" w:hint="default"/>
      </w:rPr>
    </w:lvl>
    <w:lvl w:ilvl="7" w:tplc="AB00A85E" w:tentative="1">
      <w:start w:val="1"/>
      <w:numFmt w:val="bullet"/>
      <w:lvlText w:val="o"/>
      <w:lvlJc w:val="left"/>
      <w:pPr>
        <w:ind w:left="5760" w:hanging="360"/>
      </w:pPr>
      <w:rPr>
        <w:rFonts w:ascii="Courier New" w:hAnsi="Courier New" w:cs="Courier New" w:hint="default"/>
      </w:rPr>
    </w:lvl>
    <w:lvl w:ilvl="8" w:tplc="8E748D02" w:tentative="1">
      <w:start w:val="1"/>
      <w:numFmt w:val="bullet"/>
      <w:lvlText w:val=""/>
      <w:lvlJc w:val="left"/>
      <w:pPr>
        <w:ind w:left="6480" w:hanging="360"/>
      </w:pPr>
      <w:rPr>
        <w:rFonts w:ascii="Wingdings" w:hAnsi="Wingdings" w:hint="default"/>
      </w:rPr>
    </w:lvl>
  </w:abstractNum>
  <w:abstractNum w:abstractNumId="15" w15:restartNumberingAfterBreak="0">
    <w:nsid w:val="334A60FC"/>
    <w:multiLevelType w:val="hybridMultilevel"/>
    <w:tmpl w:val="36F8382A"/>
    <w:lvl w:ilvl="0" w:tplc="1792B994">
      <w:start w:val="1"/>
      <w:numFmt w:val="decimal"/>
      <w:lvlText w:val="%1."/>
      <w:lvlJc w:val="left"/>
      <w:pPr>
        <w:ind w:left="1080" w:hanging="360"/>
      </w:pPr>
      <w:rPr>
        <w:rFonts w:hint="default"/>
      </w:rPr>
    </w:lvl>
    <w:lvl w:ilvl="1" w:tplc="F7FC2F28">
      <w:start w:val="1"/>
      <w:numFmt w:val="lowerLetter"/>
      <w:lvlText w:val="%2."/>
      <w:lvlJc w:val="left"/>
      <w:pPr>
        <w:ind w:left="1800" w:hanging="360"/>
      </w:pPr>
    </w:lvl>
    <w:lvl w:ilvl="2" w:tplc="76BC6E18" w:tentative="1">
      <w:start w:val="1"/>
      <w:numFmt w:val="lowerRoman"/>
      <w:lvlText w:val="%3."/>
      <w:lvlJc w:val="right"/>
      <w:pPr>
        <w:ind w:left="2520" w:hanging="180"/>
      </w:pPr>
    </w:lvl>
    <w:lvl w:ilvl="3" w:tplc="161211DE" w:tentative="1">
      <w:start w:val="1"/>
      <w:numFmt w:val="decimal"/>
      <w:lvlText w:val="%4."/>
      <w:lvlJc w:val="left"/>
      <w:pPr>
        <w:ind w:left="3240" w:hanging="360"/>
      </w:pPr>
    </w:lvl>
    <w:lvl w:ilvl="4" w:tplc="D11A853E" w:tentative="1">
      <w:start w:val="1"/>
      <w:numFmt w:val="lowerLetter"/>
      <w:lvlText w:val="%5."/>
      <w:lvlJc w:val="left"/>
      <w:pPr>
        <w:ind w:left="3960" w:hanging="360"/>
      </w:pPr>
    </w:lvl>
    <w:lvl w:ilvl="5" w:tplc="272062AC" w:tentative="1">
      <w:start w:val="1"/>
      <w:numFmt w:val="lowerRoman"/>
      <w:lvlText w:val="%6."/>
      <w:lvlJc w:val="right"/>
      <w:pPr>
        <w:ind w:left="4680" w:hanging="180"/>
      </w:pPr>
    </w:lvl>
    <w:lvl w:ilvl="6" w:tplc="D84A38FC" w:tentative="1">
      <w:start w:val="1"/>
      <w:numFmt w:val="decimal"/>
      <w:lvlText w:val="%7."/>
      <w:lvlJc w:val="left"/>
      <w:pPr>
        <w:ind w:left="5400" w:hanging="360"/>
      </w:pPr>
    </w:lvl>
    <w:lvl w:ilvl="7" w:tplc="955E9E14" w:tentative="1">
      <w:start w:val="1"/>
      <w:numFmt w:val="lowerLetter"/>
      <w:lvlText w:val="%8."/>
      <w:lvlJc w:val="left"/>
      <w:pPr>
        <w:ind w:left="6120" w:hanging="360"/>
      </w:pPr>
    </w:lvl>
    <w:lvl w:ilvl="8" w:tplc="151C582C" w:tentative="1">
      <w:start w:val="1"/>
      <w:numFmt w:val="lowerRoman"/>
      <w:lvlText w:val="%9."/>
      <w:lvlJc w:val="right"/>
      <w:pPr>
        <w:ind w:left="6840" w:hanging="180"/>
      </w:pPr>
    </w:lvl>
  </w:abstractNum>
  <w:abstractNum w:abstractNumId="16" w15:restartNumberingAfterBreak="0">
    <w:nsid w:val="35BF21A7"/>
    <w:multiLevelType w:val="hybridMultilevel"/>
    <w:tmpl w:val="64126618"/>
    <w:lvl w:ilvl="0" w:tplc="46FA59D6">
      <w:start w:val="1"/>
      <w:numFmt w:val="decimal"/>
      <w:lvlText w:val="%1."/>
      <w:lvlJc w:val="left"/>
      <w:pPr>
        <w:ind w:left="360" w:hanging="360"/>
      </w:pPr>
      <w:rPr>
        <w:rFonts w:hint="default"/>
        <w:color w:val="auto"/>
      </w:rPr>
    </w:lvl>
    <w:lvl w:ilvl="1" w:tplc="01B26856" w:tentative="1">
      <w:start w:val="1"/>
      <w:numFmt w:val="lowerLetter"/>
      <w:lvlText w:val="%2."/>
      <w:lvlJc w:val="left"/>
      <w:pPr>
        <w:ind w:left="1080" w:hanging="360"/>
      </w:pPr>
    </w:lvl>
    <w:lvl w:ilvl="2" w:tplc="0D9461D6" w:tentative="1">
      <w:start w:val="1"/>
      <w:numFmt w:val="lowerRoman"/>
      <w:lvlText w:val="%3."/>
      <w:lvlJc w:val="right"/>
      <w:pPr>
        <w:ind w:left="1800" w:hanging="180"/>
      </w:pPr>
    </w:lvl>
    <w:lvl w:ilvl="3" w:tplc="D326EB20" w:tentative="1">
      <w:start w:val="1"/>
      <w:numFmt w:val="decimal"/>
      <w:lvlText w:val="%4."/>
      <w:lvlJc w:val="left"/>
      <w:pPr>
        <w:ind w:left="2520" w:hanging="360"/>
      </w:pPr>
    </w:lvl>
    <w:lvl w:ilvl="4" w:tplc="BCC20DE0" w:tentative="1">
      <w:start w:val="1"/>
      <w:numFmt w:val="lowerLetter"/>
      <w:lvlText w:val="%5."/>
      <w:lvlJc w:val="left"/>
      <w:pPr>
        <w:ind w:left="3240" w:hanging="360"/>
      </w:pPr>
    </w:lvl>
    <w:lvl w:ilvl="5" w:tplc="BCB051AA" w:tentative="1">
      <w:start w:val="1"/>
      <w:numFmt w:val="lowerRoman"/>
      <w:lvlText w:val="%6."/>
      <w:lvlJc w:val="right"/>
      <w:pPr>
        <w:ind w:left="3960" w:hanging="180"/>
      </w:pPr>
    </w:lvl>
    <w:lvl w:ilvl="6" w:tplc="41C0C01E" w:tentative="1">
      <w:start w:val="1"/>
      <w:numFmt w:val="decimal"/>
      <w:lvlText w:val="%7."/>
      <w:lvlJc w:val="left"/>
      <w:pPr>
        <w:ind w:left="4680" w:hanging="360"/>
      </w:pPr>
    </w:lvl>
    <w:lvl w:ilvl="7" w:tplc="BE3A68EA" w:tentative="1">
      <w:start w:val="1"/>
      <w:numFmt w:val="lowerLetter"/>
      <w:lvlText w:val="%8."/>
      <w:lvlJc w:val="left"/>
      <w:pPr>
        <w:ind w:left="5400" w:hanging="360"/>
      </w:pPr>
    </w:lvl>
    <w:lvl w:ilvl="8" w:tplc="6B2CE6C6" w:tentative="1">
      <w:start w:val="1"/>
      <w:numFmt w:val="lowerRoman"/>
      <w:lvlText w:val="%9."/>
      <w:lvlJc w:val="right"/>
      <w:pPr>
        <w:ind w:left="6120" w:hanging="180"/>
      </w:pPr>
    </w:lvl>
  </w:abstractNum>
  <w:abstractNum w:abstractNumId="17" w15:restartNumberingAfterBreak="0">
    <w:nsid w:val="3C0F3A81"/>
    <w:multiLevelType w:val="hybridMultilevel"/>
    <w:tmpl w:val="962A2D1C"/>
    <w:lvl w:ilvl="0" w:tplc="0652B6E4">
      <w:start w:val="1"/>
      <w:numFmt w:val="upperLetter"/>
      <w:lvlText w:val="%1."/>
      <w:lvlJc w:val="left"/>
      <w:pPr>
        <w:ind w:left="360" w:hanging="360"/>
      </w:pPr>
      <w:rPr>
        <w:rFonts w:hint="default"/>
      </w:rPr>
    </w:lvl>
    <w:lvl w:ilvl="1" w:tplc="F9BC5DEE" w:tentative="1">
      <w:start w:val="1"/>
      <w:numFmt w:val="lowerLetter"/>
      <w:lvlText w:val="%2."/>
      <w:lvlJc w:val="left"/>
      <w:pPr>
        <w:ind w:left="1080" w:hanging="360"/>
      </w:pPr>
    </w:lvl>
    <w:lvl w:ilvl="2" w:tplc="D9F65C54" w:tentative="1">
      <w:start w:val="1"/>
      <w:numFmt w:val="lowerRoman"/>
      <w:lvlText w:val="%3."/>
      <w:lvlJc w:val="right"/>
      <w:pPr>
        <w:ind w:left="1800" w:hanging="180"/>
      </w:pPr>
    </w:lvl>
    <w:lvl w:ilvl="3" w:tplc="82B0FB1E" w:tentative="1">
      <w:start w:val="1"/>
      <w:numFmt w:val="decimal"/>
      <w:lvlText w:val="%4."/>
      <w:lvlJc w:val="left"/>
      <w:pPr>
        <w:ind w:left="2520" w:hanging="360"/>
      </w:pPr>
    </w:lvl>
    <w:lvl w:ilvl="4" w:tplc="55B43A10" w:tentative="1">
      <w:start w:val="1"/>
      <w:numFmt w:val="lowerLetter"/>
      <w:lvlText w:val="%5."/>
      <w:lvlJc w:val="left"/>
      <w:pPr>
        <w:ind w:left="3240" w:hanging="360"/>
      </w:pPr>
    </w:lvl>
    <w:lvl w:ilvl="5" w:tplc="C4521A82" w:tentative="1">
      <w:start w:val="1"/>
      <w:numFmt w:val="lowerRoman"/>
      <w:lvlText w:val="%6."/>
      <w:lvlJc w:val="right"/>
      <w:pPr>
        <w:ind w:left="3960" w:hanging="180"/>
      </w:pPr>
    </w:lvl>
    <w:lvl w:ilvl="6" w:tplc="71F2CBBC" w:tentative="1">
      <w:start w:val="1"/>
      <w:numFmt w:val="decimal"/>
      <w:lvlText w:val="%7."/>
      <w:lvlJc w:val="left"/>
      <w:pPr>
        <w:ind w:left="4680" w:hanging="360"/>
      </w:pPr>
    </w:lvl>
    <w:lvl w:ilvl="7" w:tplc="6E32E622" w:tentative="1">
      <w:start w:val="1"/>
      <w:numFmt w:val="lowerLetter"/>
      <w:lvlText w:val="%8."/>
      <w:lvlJc w:val="left"/>
      <w:pPr>
        <w:ind w:left="5400" w:hanging="360"/>
      </w:pPr>
    </w:lvl>
    <w:lvl w:ilvl="8" w:tplc="3162F7C0" w:tentative="1">
      <w:start w:val="1"/>
      <w:numFmt w:val="lowerRoman"/>
      <w:lvlText w:val="%9."/>
      <w:lvlJc w:val="right"/>
      <w:pPr>
        <w:ind w:left="6120" w:hanging="180"/>
      </w:pPr>
    </w:lvl>
  </w:abstractNum>
  <w:abstractNum w:abstractNumId="18" w15:restartNumberingAfterBreak="0">
    <w:nsid w:val="40262EE4"/>
    <w:multiLevelType w:val="hybridMultilevel"/>
    <w:tmpl w:val="01D0089C"/>
    <w:lvl w:ilvl="0" w:tplc="33163626">
      <w:start w:val="1"/>
      <w:numFmt w:val="decimal"/>
      <w:lvlText w:val="%1."/>
      <w:lvlJc w:val="left"/>
      <w:pPr>
        <w:ind w:left="720" w:hanging="360"/>
      </w:pPr>
      <w:rPr>
        <w:rFonts w:hint="default"/>
        <w:color w:val="808080" w:themeColor="background1" w:themeShade="80"/>
      </w:rPr>
    </w:lvl>
    <w:lvl w:ilvl="1" w:tplc="B3682176">
      <w:start w:val="1"/>
      <w:numFmt w:val="lowerLetter"/>
      <w:lvlText w:val="%2."/>
      <w:lvlJc w:val="left"/>
      <w:pPr>
        <w:ind w:left="1440" w:hanging="360"/>
      </w:pPr>
    </w:lvl>
    <w:lvl w:ilvl="2" w:tplc="0A20D57A" w:tentative="1">
      <w:start w:val="1"/>
      <w:numFmt w:val="lowerRoman"/>
      <w:lvlText w:val="%3."/>
      <w:lvlJc w:val="right"/>
      <w:pPr>
        <w:ind w:left="2160" w:hanging="180"/>
      </w:pPr>
    </w:lvl>
    <w:lvl w:ilvl="3" w:tplc="52B429EC" w:tentative="1">
      <w:start w:val="1"/>
      <w:numFmt w:val="decimal"/>
      <w:lvlText w:val="%4."/>
      <w:lvlJc w:val="left"/>
      <w:pPr>
        <w:ind w:left="2880" w:hanging="360"/>
      </w:pPr>
    </w:lvl>
    <w:lvl w:ilvl="4" w:tplc="CE182B10" w:tentative="1">
      <w:start w:val="1"/>
      <w:numFmt w:val="lowerLetter"/>
      <w:lvlText w:val="%5."/>
      <w:lvlJc w:val="left"/>
      <w:pPr>
        <w:ind w:left="3600" w:hanging="360"/>
      </w:pPr>
    </w:lvl>
    <w:lvl w:ilvl="5" w:tplc="8256C4C6" w:tentative="1">
      <w:start w:val="1"/>
      <w:numFmt w:val="lowerRoman"/>
      <w:lvlText w:val="%6."/>
      <w:lvlJc w:val="right"/>
      <w:pPr>
        <w:ind w:left="4320" w:hanging="180"/>
      </w:pPr>
    </w:lvl>
    <w:lvl w:ilvl="6" w:tplc="5A1402B0" w:tentative="1">
      <w:start w:val="1"/>
      <w:numFmt w:val="decimal"/>
      <w:lvlText w:val="%7."/>
      <w:lvlJc w:val="left"/>
      <w:pPr>
        <w:ind w:left="5040" w:hanging="360"/>
      </w:pPr>
    </w:lvl>
    <w:lvl w:ilvl="7" w:tplc="5FB0757E" w:tentative="1">
      <w:start w:val="1"/>
      <w:numFmt w:val="lowerLetter"/>
      <w:lvlText w:val="%8."/>
      <w:lvlJc w:val="left"/>
      <w:pPr>
        <w:ind w:left="5760" w:hanging="360"/>
      </w:pPr>
    </w:lvl>
    <w:lvl w:ilvl="8" w:tplc="D19859CE" w:tentative="1">
      <w:start w:val="1"/>
      <w:numFmt w:val="lowerRoman"/>
      <w:lvlText w:val="%9."/>
      <w:lvlJc w:val="right"/>
      <w:pPr>
        <w:ind w:left="6480" w:hanging="180"/>
      </w:pPr>
    </w:lvl>
  </w:abstractNum>
  <w:abstractNum w:abstractNumId="19" w15:restartNumberingAfterBreak="0">
    <w:nsid w:val="4AC3655F"/>
    <w:multiLevelType w:val="hybridMultilevel"/>
    <w:tmpl w:val="F13C402E"/>
    <w:lvl w:ilvl="0" w:tplc="1354D9C6">
      <w:start w:val="1"/>
      <w:numFmt w:val="lowerLetter"/>
      <w:lvlText w:val="%1."/>
      <w:lvlJc w:val="left"/>
      <w:pPr>
        <w:ind w:left="-270" w:hanging="360"/>
      </w:pPr>
      <w:rPr>
        <w:rFonts w:hint="default"/>
      </w:rPr>
    </w:lvl>
    <w:lvl w:ilvl="1" w:tplc="0CD46448" w:tentative="1">
      <w:start w:val="1"/>
      <w:numFmt w:val="lowerLetter"/>
      <w:lvlText w:val="%2."/>
      <w:lvlJc w:val="left"/>
      <w:pPr>
        <w:ind w:left="450" w:hanging="360"/>
      </w:pPr>
    </w:lvl>
    <w:lvl w:ilvl="2" w:tplc="B8D67040" w:tentative="1">
      <w:start w:val="1"/>
      <w:numFmt w:val="lowerRoman"/>
      <w:lvlText w:val="%3."/>
      <w:lvlJc w:val="right"/>
      <w:pPr>
        <w:ind w:left="1170" w:hanging="180"/>
      </w:pPr>
    </w:lvl>
    <w:lvl w:ilvl="3" w:tplc="C76650A8" w:tentative="1">
      <w:start w:val="1"/>
      <w:numFmt w:val="decimal"/>
      <w:lvlText w:val="%4."/>
      <w:lvlJc w:val="left"/>
      <w:pPr>
        <w:ind w:left="1890" w:hanging="360"/>
      </w:pPr>
    </w:lvl>
    <w:lvl w:ilvl="4" w:tplc="BE323BD4" w:tentative="1">
      <w:start w:val="1"/>
      <w:numFmt w:val="lowerLetter"/>
      <w:lvlText w:val="%5."/>
      <w:lvlJc w:val="left"/>
      <w:pPr>
        <w:ind w:left="2610" w:hanging="360"/>
      </w:pPr>
    </w:lvl>
    <w:lvl w:ilvl="5" w:tplc="8D6CF77E" w:tentative="1">
      <w:start w:val="1"/>
      <w:numFmt w:val="lowerRoman"/>
      <w:lvlText w:val="%6."/>
      <w:lvlJc w:val="right"/>
      <w:pPr>
        <w:ind w:left="3330" w:hanging="180"/>
      </w:pPr>
    </w:lvl>
    <w:lvl w:ilvl="6" w:tplc="5602EF30" w:tentative="1">
      <w:start w:val="1"/>
      <w:numFmt w:val="decimal"/>
      <w:lvlText w:val="%7."/>
      <w:lvlJc w:val="left"/>
      <w:pPr>
        <w:ind w:left="4050" w:hanging="360"/>
      </w:pPr>
    </w:lvl>
    <w:lvl w:ilvl="7" w:tplc="A330D46C" w:tentative="1">
      <w:start w:val="1"/>
      <w:numFmt w:val="lowerLetter"/>
      <w:lvlText w:val="%8."/>
      <w:lvlJc w:val="left"/>
      <w:pPr>
        <w:ind w:left="4770" w:hanging="360"/>
      </w:pPr>
    </w:lvl>
    <w:lvl w:ilvl="8" w:tplc="F4E0CDFC" w:tentative="1">
      <w:start w:val="1"/>
      <w:numFmt w:val="lowerRoman"/>
      <w:lvlText w:val="%9."/>
      <w:lvlJc w:val="right"/>
      <w:pPr>
        <w:ind w:left="5490" w:hanging="180"/>
      </w:pPr>
    </w:lvl>
  </w:abstractNum>
  <w:abstractNum w:abstractNumId="20" w15:restartNumberingAfterBreak="0">
    <w:nsid w:val="4C7B5E38"/>
    <w:multiLevelType w:val="hybridMultilevel"/>
    <w:tmpl w:val="A1082B78"/>
    <w:lvl w:ilvl="0" w:tplc="FC2A76DA">
      <w:start w:val="1"/>
      <w:numFmt w:val="lowerLetter"/>
      <w:lvlText w:val="(%1)"/>
      <w:lvlJc w:val="left"/>
      <w:pPr>
        <w:ind w:left="1080" w:hanging="360"/>
      </w:pPr>
      <w:rPr>
        <w:rFonts w:hint="default"/>
      </w:rPr>
    </w:lvl>
    <w:lvl w:ilvl="1" w:tplc="FF2272EA">
      <w:start w:val="1"/>
      <w:numFmt w:val="lowerLetter"/>
      <w:lvlText w:val="%2."/>
      <w:lvlJc w:val="left"/>
      <w:pPr>
        <w:ind w:left="1800" w:hanging="360"/>
      </w:pPr>
    </w:lvl>
    <w:lvl w:ilvl="2" w:tplc="04F20B7C" w:tentative="1">
      <w:start w:val="1"/>
      <w:numFmt w:val="lowerRoman"/>
      <w:lvlText w:val="%3."/>
      <w:lvlJc w:val="right"/>
      <w:pPr>
        <w:ind w:left="2520" w:hanging="180"/>
      </w:pPr>
    </w:lvl>
    <w:lvl w:ilvl="3" w:tplc="E0B63E1A" w:tentative="1">
      <w:start w:val="1"/>
      <w:numFmt w:val="decimal"/>
      <w:lvlText w:val="%4."/>
      <w:lvlJc w:val="left"/>
      <w:pPr>
        <w:ind w:left="3240" w:hanging="360"/>
      </w:pPr>
    </w:lvl>
    <w:lvl w:ilvl="4" w:tplc="CDC0D5CE" w:tentative="1">
      <w:start w:val="1"/>
      <w:numFmt w:val="lowerLetter"/>
      <w:lvlText w:val="%5."/>
      <w:lvlJc w:val="left"/>
      <w:pPr>
        <w:ind w:left="3960" w:hanging="360"/>
      </w:pPr>
    </w:lvl>
    <w:lvl w:ilvl="5" w:tplc="FC3408EE" w:tentative="1">
      <w:start w:val="1"/>
      <w:numFmt w:val="lowerRoman"/>
      <w:lvlText w:val="%6."/>
      <w:lvlJc w:val="right"/>
      <w:pPr>
        <w:ind w:left="4680" w:hanging="180"/>
      </w:pPr>
    </w:lvl>
    <w:lvl w:ilvl="6" w:tplc="F816152C" w:tentative="1">
      <w:start w:val="1"/>
      <w:numFmt w:val="decimal"/>
      <w:lvlText w:val="%7."/>
      <w:lvlJc w:val="left"/>
      <w:pPr>
        <w:ind w:left="5400" w:hanging="360"/>
      </w:pPr>
    </w:lvl>
    <w:lvl w:ilvl="7" w:tplc="8B0E1D16" w:tentative="1">
      <w:start w:val="1"/>
      <w:numFmt w:val="lowerLetter"/>
      <w:lvlText w:val="%8."/>
      <w:lvlJc w:val="left"/>
      <w:pPr>
        <w:ind w:left="6120" w:hanging="360"/>
      </w:pPr>
    </w:lvl>
    <w:lvl w:ilvl="8" w:tplc="202C8F9A" w:tentative="1">
      <w:start w:val="1"/>
      <w:numFmt w:val="lowerRoman"/>
      <w:lvlText w:val="%9."/>
      <w:lvlJc w:val="right"/>
      <w:pPr>
        <w:ind w:left="6840" w:hanging="180"/>
      </w:pPr>
    </w:lvl>
  </w:abstractNum>
  <w:abstractNum w:abstractNumId="21" w15:restartNumberingAfterBreak="0">
    <w:nsid w:val="52D03BE4"/>
    <w:multiLevelType w:val="hybridMultilevel"/>
    <w:tmpl w:val="FED60AB6"/>
    <w:lvl w:ilvl="0" w:tplc="AF4C8AFC">
      <w:start w:val="1"/>
      <w:numFmt w:val="upperLetter"/>
      <w:lvlText w:val="%1."/>
      <w:lvlJc w:val="left"/>
      <w:pPr>
        <w:ind w:left="360" w:hanging="360"/>
      </w:pPr>
      <w:rPr>
        <w:rFonts w:hint="default"/>
      </w:rPr>
    </w:lvl>
    <w:lvl w:ilvl="1" w:tplc="769E2986" w:tentative="1">
      <w:start w:val="1"/>
      <w:numFmt w:val="lowerLetter"/>
      <w:lvlText w:val="%2."/>
      <w:lvlJc w:val="left"/>
      <w:pPr>
        <w:ind w:left="1080" w:hanging="360"/>
      </w:pPr>
    </w:lvl>
    <w:lvl w:ilvl="2" w:tplc="45843EB6" w:tentative="1">
      <w:start w:val="1"/>
      <w:numFmt w:val="lowerRoman"/>
      <w:lvlText w:val="%3."/>
      <w:lvlJc w:val="right"/>
      <w:pPr>
        <w:ind w:left="1800" w:hanging="180"/>
      </w:pPr>
    </w:lvl>
    <w:lvl w:ilvl="3" w:tplc="5470D4A0" w:tentative="1">
      <w:start w:val="1"/>
      <w:numFmt w:val="decimal"/>
      <w:lvlText w:val="%4."/>
      <w:lvlJc w:val="left"/>
      <w:pPr>
        <w:ind w:left="2520" w:hanging="360"/>
      </w:pPr>
    </w:lvl>
    <w:lvl w:ilvl="4" w:tplc="9F68DD92" w:tentative="1">
      <w:start w:val="1"/>
      <w:numFmt w:val="lowerLetter"/>
      <w:lvlText w:val="%5."/>
      <w:lvlJc w:val="left"/>
      <w:pPr>
        <w:ind w:left="3240" w:hanging="360"/>
      </w:pPr>
    </w:lvl>
    <w:lvl w:ilvl="5" w:tplc="DFB6C3BE" w:tentative="1">
      <w:start w:val="1"/>
      <w:numFmt w:val="lowerRoman"/>
      <w:lvlText w:val="%6."/>
      <w:lvlJc w:val="right"/>
      <w:pPr>
        <w:ind w:left="3960" w:hanging="180"/>
      </w:pPr>
    </w:lvl>
    <w:lvl w:ilvl="6" w:tplc="C30A02B6" w:tentative="1">
      <w:start w:val="1"/>
      <w:numFmt w:val="decimal"/>
      <w:lvlText w:val="%7."/>
      <w:lvlJc w:val="left"/>
      <w:pPr>
        <w:ind w:left="4680" w:hanging="360"/>
      </w:pPr>
    </w:lvl>
    <w:lvl w:ilvl="7" w:tplc="7938DA44" w:tentative="1">
      <w:start w:val="1"/>
      <w:numFmt w:val="lowerLetter"/>
      <w:lvlText w:val="%8."/>
      <w:lvlJc w:val="left"/>
      <w:pPr>
        <w:ind w:left="5400" w:hanging="360"/>
      </w:pPr>
    </w:lvl>
    <w:lvl w:ilvl="8" w:tplc="E8E09F40" w:tentative="1">
      <w:start w:val="1"/>
      <w:numFmt w:val="lowerRoman"/>
      <w:lvlText w:val="%9."/>
      <w:lvlJc w:val="right"/>
      <w:pPr>
        <w:ind w:left="6120" w:hanging="180"/>
      </w:pPr>
    </w:lvl>
  </w:abstractNum>
  <w:abstractNum w:abstractNumId="22" w15:restartNumberingAfterBreak="0">
    <w:nsid w:val="56320A14"/>
    <w:multiLevelType w:val="hybridMultilevel"/>
    <w:tmpl w:val="AEDCC8E0"/>
    <w:lvl w:ilvl="0" w:tplc="E4C4DC54">
      <w:start w:val="1"/>
      <w:numFmt w:val="bullet"/>
      <w:lvlText w:val=""/>
      <w:lvlJc w:val="left"/>
      <w:pPr>
        <w:ind w:left="720" w:hanging="360"/>
      </w:pPr>
      <w:rPr>
        <w:rFonts w:ascii="Symbol" w:hAnsi="Symbol" w:hint="default"/>
      </w:rPr>
    </w:lvl>
    <w:lvl w:ilvl="1" w:tplc="3436585E">
      <w:start w:val="1"/>
      <w:numFmt w:val="bullet"/>
      <w:lvlText w:val="o"/>
      <w:lvlJc w:val="left"/>
      <w:pPr>
        <w:ind w:left="1440" w:hanging="360"/>
      </w:pPr>
      <w:rPr>
        <w:rFonts w:ascii="Courier New" w:hAnsi="Courier New" w:cs="Courier New" w:hint="default"/>
      </w:rPr>
    </w:lvl>
    <w:lvl w:ilvl="2" w:tplc="6A70BAB4">
      <w:start w:val="1"/>
      <w:numFmt w:val="bullet"/>
      <w:lvlText w:val=""/>
      <w:lvlJc w:val="left"/>
      <w:pPr>
        <w:ind w:left="2160" w:hanging="360"/>
      </w:pPr>
      <w:rPr>
        <w:rFonts w:ascii="Wingdings" w:hAnsi="Wingdings" w:hint="default"/>
      </w:rPr>
    </w:lvl>
    <w:lvl w:ilvl="3" w:tplc="FC8C41C2">
      <w:start w:val="1"/>
      <w:numFmt w:val="bullet"/>
      <w:lvlText w:val=""/>
      <w:lvlJc w:val="left"/>
      <w:pPr>
        <w:ind w:left="2880" w:hanging="360"/>
      </w:pPr>
      <w:rPr>
        <w:rFonts w:ascii="Symbol" w:hAnsi="Symbol" w:hint="default"/>
      </w:rPr>
    </w:lvl>
    <w:lvl w:ilvl="4" w:tplc="1B6C7BF2">
      <w:start w:val="1"/>
      <w:numFmt w:val="bullet"/>
      <w:lvlText w:val="o"/>
      <w:lvlJc w:val="left"/>
      <w:pPr>
        <w:ind w:left="3600" w:hanging="360"/>
      </w:pPr>
      <w:rPr>
        <w:rFonts w:ascii="Courier New" w:hAnsi="Courier New" w:cs="Courier New" w:hint="default"/>
      </w:rPr>
    </w:lvl>
    <w:lvl w:ilvl="5" w:tplc="714CD7B6">
      <w:start w:val="1"/>
      <w:numFmt w:val="bullet"/>
      <w:lvlText w:val=""/>
      <w:lvlJc w:val="left"/>
      <w:pPr>
        <w:ind w:left="4320" w:hanging="360"/>
      </w:pPr>
      <w:rPr>
        <w:rFonts w:ascii="Wingdings" w:hAnsi="Wingdings" w:hint="default"/>
      </w:rPr>
    </w:lvl>
    <w:lvl w:ilvl="6" w:tplc="D890BB40">
      <w:start w:val="1"/>
      <w:numFmt w:val="bullet"/>
      <w:lvlText w:val=""/>
      <w:lvlJc w:val="left"/>
      <w:pPr>
        <w:ind w:left="5040" w:hanging="360"/>
      </w:pPr>
      <w:rPr>
        <w:rFonts w:ascii="Symbol" w:hAnsi="Symbol" w:hint="default"/>
      </w:rPr>
    </w:lvl>
    <w:lvl w:ilvl="7" w:tplc="3C7811C2">
      <w:start w:val="1"/>
      <w:numFmt w:val="bullet"/>
      <w:lvlText w:val="o"/>
      <w:lvlJc w:val="left"/>
      <w:pPr>
        <w:ind w:left="5760" w:hanging="360"/>
      </w:pPr>
      <w:rPr>
        <w:rFonts w:ascii="Courier New" w:hAnsi="Courier New" w:cs="Courier New" w:hint="default"/>
      </w:rPr>
    </w:lvl>
    <w:lvl w:ilvl="8" w:tplc="A0DEE068">
      <w:start w:val="1"/>
      <w:numFmt w:val="bullet"/>
      <w:lvlText w:val=""/>
      <w:lvlJc w:val="left"/>
      <w:pPr>
        <w:ind w:left="6480" w:hanging="360"/>
      </w:pPr>
      <w:rPr>
        <w:rFonts w:ascii="Wingdings" w:hAnsi="Wingdings" w:hint="default"/>
      </w:rPr>
    </w:lvl>
  </w:abstractNum>
  <w:abstractNum w:abstractNumId="23" w15:restartNumberingAfterBreak="0">
    <w:nsid w:val="575D4B8B"/>
    <w:multiLevelType w:val="hybridMultilevel"/>
    <w:tmpl w:val="64126618"/>
    <w:lvl w:ilvl="0" w:tplc="49D01476">
      <w:start w:val="1"/>
      <w:numFmt w:val="decimal"/>
      <w:lvlText w:val="%1."/>
      <w:lvlJc w:val="left"/>
      <w:pPr>
        <w:ind w:left="720" w:hanging="360"/>
      </w:pPr>
      <w:rPr>
        <w:rFonts w:hint="default"/>
        <w:color w:val="auto"/>
      </w:rPr>
    </w:lvl>
    <w:lvl w:ilvl="1" w:tplc="6658CFF0" w:tentative="1">
      <w:start w:val="1"/>
      <w:numFmt w:val="lowerLetter"/>
      <w:lvlText w:val="%2."/>
      <w:lvlJc w:val="left"/>
      <w:pPr>
        <w:ind w:left="1440" w:hanging="360"/>
      </w:pPr>
    </w:lvl>
    <w:lvl w:ilvl="2" w:tplc="D382CE9E" w:tentative="1">
      <w:start w:val="1"/>
      <w:numFmt w:val="lowerRoman"/>
      <w:lvlText w:val="%3."/>
      <w:lvlJc w:val="right"/>
      <w:pPr>
        <w:ind w:left="2160" w:hanging="180"/>
      </w:pPr>
    </w:lvl>
    <w:lvl w:ilvl="3" w:tplc="0DBA024E" w:tentative="1">
      <w:start w:val="1"/>
      <w:numFmt w:val="decimal"/>
      <w:lvlText w:val="%4."/>
      <w:lvlJc w:val="left"/>
      <w:pPr>
        <w:ind w:left="2880" w:hanging="360"/>
      </w:pPr>
    </w:lvl>
    <w:lvl w:ilvl="4" w:tplc="BCE2A2EE" w:tentative="1">
      <w:start w:val="1"/>
      <w:numFmt w:val="lowerLetter"/>
      <w:lvlText w:val="%5."/>
      <w:lvlJc w:val="left"/>
      <w:pPr>
        <w:ind w:left="3600" w:hanging="360"/>
      </w:pPr>
    </w:lvl>
    <w:lvl w:ilvl="5" w:tplc="2508EFFC" w:tentative="1">
      <w:start w:val="1"/>
      <w:numFmt w:val="lowerRoman"/>
      <w:lvlText w:val="%6."/>
      <w:lvlJc w:val="right"/>
      <w:pPr>
        <w:ind w:left="4320" w:hanging="180"/>
      </w:pPr>
    </w:lvl>
    <w:lvl w:ilvl="6" w:tplc="400C75A2" w:tentative="1">
      <w:start w:val="1"/>
      <w:numFmt w:val="decimal"/>
      <w:lvlText w:val="%7."/>
      <w:lvlJc w:val="left"/>
      <w:pPr>
        <w:ind w:left="5040" w:hanging="360"/>
      </w:pPr>
    </w:lvl>
    <w:lvl w:ilvl="7" w:tplc="3A309F02" w:tentative="1">
      <w:start w:val="1"/>
      <w:numFmt w:val="lowerLetter"/>
      <w:lvlText w:val="%8."/>
      <w:lvlJc w:val="left"/>
      <w:pPr>
        <w:ind w:left="5760" w:hanging="360"/>
      </w:pPr>
    </w:lvl>
    <w:lvl w:ilvl="8" w:tplc="B6AC89E2" w:tentative="1">
      <w:start w:val="1"/>
      <w:numFmt w:val="lowerRoman"/>
      <w:lvlText w:val="%9."/>
      <w:lvlJc w:val="right"/>
      <w:pPr>
        <w:ind w:left="6480" w:hanging="180"/>
      </w:pPr>
    </w:lvl>
  </w:abstractNum>
  <w:abstractNum w:abstractNumId="24" w15:restartNumberingAfterBreak="0">
    <w:nsid w:val="57E40AE0"/>
    <w:multiLevelType w:val="hybridMultilevel"/>
    <w:tmpl w:val="BB369CEE"/>
    <w:lvl w:ilvl="0" w:tplc="CA7442AC">
      <w:start w:val="1"/>
      <w:numFmt w:val="bullet"/>
      <w:lvlText w:val=""/>
      <w:lvlJc w:val="left"/>
      <w:pPr>
        <w:ind w:left="1080" w:hanging="360"/>
      </w:pPr>
      <w:rPr>
        <w:rFonts w:ascii="Symbol" w:hAnsi="Symbol" w:hint="default"/>
      </w:rPr>
    </w:lvl>
    <w:lvl w:ilvl="1" w:tplc="0DC6DF32" w:tentative="1">
      <w:start w:val="1"/>
      <w:numFmt w:val="bullet"/>
      <w:lvlText w:val="o"/>
      <w:lvlJc w:val="left"/>
      <w:pPr>
        <w:ind w:left="1800" w:hanging="360"/>
      </w:pPr>
      <w:rPr>
        <w:rFonts w:ascii="Courier New" w:hAnsi="Courier New" w:cs="Courier New" w:hint="default"/>
      </w:rPr>
    </w:lvl>
    <w:lvl w:ilvl="2" w:tplc="26866966" w:tentative="1">
      <w:start w:val="1"/>
      <w:numFmt w:val="bullet"/>
      <w:lvlText w:val=""/>
      <w:lvlJc w:val="left"/>
      <w:pPr>
        <w:ind w:left="2520" w:hanging="360"/>
      </w:pPr>
      <w:rPr>
        <w:rFonts w:ascii="Wingdings" w:hAnsi="Wingdings" w:hint="default"/>
      </w:rPr>
    </w:lvl>
    <w:lvl w:ilvl="3" w:tplc="DF9AD1C0" w:tentative="1">
      <w:start w:val="1"/>
      <w:numFmt w:val="bullet"/>
      <w:lvlText w:val=""/>
      <w:lvlJc w:val="left"/>
      <w:pPr>
        <w:ind w:left="3240" w:hanging="360"/>
      </w:pPr>
      <w:rPr>
        <w:rFonts w:ascii="Symbol" w:hAnsi="Symbol" w:hint="default"/>
      </w:rPr>
    </w:lvl>
    <w:lvl w:ilvl="4" w:tplc="41664B52" w:tentative="1">
      <w:start w:val="1"/>
      <w:numFmt w:val="bullet"/>
      <w:lvlText w:val="o"/>
      <w:lvlJc w:val="left"/>
      <w:pPr>
        <w:ind w:left="3960" w:hanging="360"/>
      </w:pPr>
      <w:rPr>
        <w:rFonts w:ascii="Courier New" w:hAnsi="Courier New" w:cs="Courier New" w:hint="default"/>
      </w:rPr>
    </w:lvl>
    <w:lvl w:ilvl="5" w:tplc="DB5842DC" w:tentative="1">
      <w:start w:val="1"/>
      <w:numFmt w:val="bullet"/>
      <w:lvlText w:val=""/>
      <w:lvlJc w:val="left"/>
      <w:pPr>
        <w:ind w:left="4680" w:hanging="360"/>
      </w:pPr>
      <w:rPr>
        <w:rFonts w:ascii="Wingdings" w:hAnsi="Wingdings" w:hint="default"/>
      </w:rPr>
    </w:lvl>
    <w:lvl w:ilvl="6" w:tplc="6478DD66" w:tentative="1">
      <w:start w:val="1"/>
      <w:numFmt w:val="bullet"/>
      <w:lvlText w:val=""/>
      <w:lvlJc w:val="left"/>
      <w:pPr>
        <w:ind w:left="5400" w:hanging="360"/>
      </w:pPr>
      <w:rPr>
        <w:rFonts w:ascii="Symbol" w:hAnsi="Symbol" w:hint="default"/>
      </w:rPr>
    </w:lvl>
    <w:lvl w:ilvl="7" w:tplc="1DA0F5F6" w:tentative="1">
      <w:start w:val="1"/>
      <w:numFmt w:val="bullet"/>
      <w:lvlText w:val="o"/>
      <w:lvlJc w:val="left"/>
      <w:pPr>
        <w:ind w:left="6120" w:hanging="360"/>
      </w:pPr>
      <w:rPr>
        <w:rFonts w:ascii="Courier New" w:hAnsi="Courier New" w:cs="Courier New" w:hint="default"/>
      </w:rPr>
    </w:lvl>
    <w:lvl w:ilvl="8" w:tplc="697ACE9A" w:tentative="1">
      <w:start w:val="1"/>
      <w:numFmt w:val="bullet"/>
      <w:lvlText w:val=""/>
      <w:lvlJc w:val="left"/>
      <w:pPr>
        <w:ind w:left="6840" w:hanging="360"/>
      </w:pPr>
      <w:rPr>
        <w:rFonts w:ascii="Wingdings" w:hAnsi="Wingdings" w:hint="default"/>
      </w:rPr>
    </w:lvl>
  </w:abstractNum>
  <w:abstractNum w:abstractNumId="25" w15:restartNumberingAfterBreak="0">
    <w:nsid w:val="583A7C03"/>
    <w:multiLevelType w:val="hybridMultilevel"/>
    <w:tmpl w:val="64126618"/>
    <w:lvl w:ilvl="0" w:tplc="119A95AC">
      <w:start w:val="1"/>
      <w:numFmt w:val="decimal"/>
      <w:lvlText w:val="%1."/>
      <w:lvlJc w:val="left"/>
      <w:pPr>
        <w:ind w:left="720" w:hanging="360"/>
      </w:pPr>
      <w:rPr>
        <w:rFonts w:hint="default"/>
        <w:color w:val="auto"/>
      </w:rPr>
    </w:lvl>
    <w:lvl w:ilvl="1" w:tplc="890ADDFE" w:tentative="1">
      <w:start w:val="1"/>
      <w:numFmt w:val="lowerLetter"/>
      <w:lvlText w:val="%2."/>
      <w:lvlJc w:val="left"/>
      <w:pPr>
        <w:ind w:left="1440" w:hanging="360"/>
      </w:pPr>
    </w:lvl>
    <w:lvl w:ilvl="2" w:tplc="0F22F88E" w:tentative="1">
      <w:start w:val="1"/>
      <w:numFmt w:val="lowerRoman"/>
      <w:lvlText w:val="%3."/>
      <w:lvlJc w:val="right"/>
      <w:pPr>
        <w:ind w:left="2160" w:hanging="180"/>
      </w:pPr>
    </w:lvl>
    <w:lvl w:ilvl="3" w:tplc="0C5A5B64" w:tentative="1">
      <w:start w:val="1"/>
      <w:numFmt w:val="decimal"/>
      <w:lvlText w:val="%4."/>
      <w:lvlJc w:val="left"/>
      <w:pPr>
        <w:ind w:left="2880" w:hanging="360"/>
      </w:pPr>
    </w:lvl>
    <w:lvl w:ilvl="4" w:tplc="845C62B0" w:tentative="1">
      <w:start w:val="1"/>
      <w:numFmt w:val="lowerLetter"/>
      <w:lvlText w:val="%5."/>
      <w:lvlJc w:val="left"/>
      <w:pPr>
        <w:ind w:left="3600" w:hanging="360"/>
      </w:pPr>
    </w:lvl>
    <w:lvl w:ilvl="5" w:tplc="87206A0A" w:tentative="1">
      <w:start w:val="1"/>
      <w:numFmt w:val="lowerRoman"/>
      <w:lvlText w:val="%6."/>
      <w:lvlJc w:val="right"/>
      <w:pPr>
        <w:ind w:left="4320" w:hanging="180"/>
      </w:pPr>
    </w:lvl>
    <w:lvl w:ilvl="6" w:tplc="953ED8F4" w:tentative="1">
      <w:start w:val="1"/>
      <w:numFmt w:val="decimal"/>
      <w:lvlText w:val="%7."/>
      <w:lvlJc w:val="left"/>
      <w:pPr>
        <w:ind w:left="5040" w:hanging="360"/>
      </w:pPr>
    </w:lvl>
    <w:lvl w:ilvl="7" w:tplc="8FB0FF68" w:tentative="1">
      <w:start w:val="1"/>
      <w:numFmt w:val="lowerLetter"/>
      <w:lvlText w:val="%8."/>
      <w:lvlJc w:val="left"/>
      <w:pPr>
        <w:ind w:left="5760" w:hanging="360"/>
      </w:pPr>
    </w:lvl>
    <w:lvl w:ilvl="8" w:tplc="F8043230" w:tentative="1">
      <w:start w:val="1"/>
      <w:numFmt w:val="lowerRoman"/>
      <w:lvlText w:val="%9."/>
      <w:lvlJc w:val="right"/>
      <w:pPr>
        <w:ind w:left="6480" w:hanging="180"/>
      </w:pPr>
    </w:lvl>
  </w:abstractNum>
  <w:abstractNum w:abstractNumId="26" w15:restartNumberingAfterBreak="0">
    <w:nsid w:val="584A617F"/>
    <w:multiLevelType w:val="hybridMultilevel"/>
    <w:tmpl w:val="F5BA7E36"/>
    <w:lvl w:ilvl="0" w:tplc="694E2C36">
      <w:start w:val="1"/>
      <w:numFmt w:val="upperRoman"/>
      <w:lvlText w:val="%1."/>
      <w:lvlJc w:val="left"/>
      <w:pPr>
        <w:ind w:left="720" w:hanging="720"/>
      </w:pPr>
      <w:rPr>
        <w:rFonts w:asciiTheme="minorHAnsi" w:hAnsiTheme="minorHAnsi" w:hint="default"/>
        <w:b/>
        <w:sz w:val="23"/>
        <w:szCs w:val="23"/>
      </w:rPr>
    </w:lvl>
    <w:lvl w:ilvl="1" w:tplc="956AAB80" w:tentative="1">
      <w:start w:val="1"/>
      <w:numFmt w:val="lowerLetter"/>
      <w:lvlText w:val="%2."/>
      <w:lvlJc w:val="left"/>
      <w:pPr>
        <w:ind w:left="1080" w:hanging="360"/>
      </w:pPr>
    </w:lvl>
    <w:lvl w:ilvl="2" w:tplc="DA7414FC" w:tentative="1">
      <w:start w:val="1"/>
      <w:numFmt w:val="lowerRoman"/>
      <w:lvlText w:val="%3."/>
      <w:lvlJc w:val="right"/>
      <w:pPr>
        <w:ind w:left="1800" w:hanging="180"/>
      </w:pPr>
    </w:lvl>
    <w:lvl w:ilvl="3" w:tplc="8D8CAAB2" w:tentative="1">
      <w:start w:val="1"/>
      <w:numFmt w:val="decimal"/>
      <w:lvlText w:val="%4."/>
      <w:lvlJc w:val="left"/>
      <w:pPr>
        <w:ind w:left="2520" w:hanging="360"/>
      </w:pPr>
    </w:lvl>
    <w:lvl w:ilvl="4" w:tplc="E9FE64D6" w:tentative="1">
      <w:start w:val="1"/>
      <w:numFmt w:val="lowerLetter"/>
      <w:lvlText w:val="%5."/>
      <w:lvlJc w:val="left"/>
      <w:pPr>
        <w:ind w:left="3240" w:hanging="360"/>
      </w:pPr>
    </w:lvl>
    <w:lvl w:ilvl="5" w:tplc="EF2632F0" w:tentative="1">
      <w:start w:val="1"/>
      <w:numFmt w:val="lowerRoman"/>
      <w:lvlText w:val="%6."/>
      <w:lvlJc w:val="right"/>
      <w:pPr>
        <w:ind w:left="3960" w:hanging="180"/>
      </w:pPr>
    </w:lvl>
    <w:lvl w:ilvl="6" w:tplc="8734564A" w:tentative="1">
      <w:start w:val="1"/>
      <w:numFmt w:val="decimal"/>
      <w:lvlText w:val="%7."/>
      <w:lvlJc w:val="left"/>
      <w:pPr>
        <w:ind w:left="4680" w:hanging="360"/>
      </w:pPr>
    </w:lvl>
    <w:lvl w:ilvl="7" w:tplc="D0F6EC34" w:tentative="1">
      <w:start w:val="1"/>
      <w:numFmt w:val="lowerLetter"/>
      <w:lvlText w:val="%8."/>
      <w:lvlJc w:val="left"/>
      <w:pPr>
        <w:ind w:left="5400" w:hanging="360"/>
      </w:pPr>
    </w:lvl>
    <w:lvl w:ilvl="8" w:tplc="2F08C182" w:tentative="1">
      <w:start w:val="1"/>
      <w:numFmt w:val="lowerRoman"/>
      <w:lvlText w:val="%9."/>
      <w:lvlJc w:val="right"/>
      <w:pPr>
        <w:ind w:left="6120" w:hanging="180"/>
      </w:pPr>
    </w:lvl>
  </w:abstractNum>
  <w:abstractNum w:abstractNumId="27" w15:restartNumberingAfterBreak="0">
    <w:nsid w:val="5EBA5AEA"/>
    <w:multiLevelType w:val="hybridMultilevel"/>
    <w:tmpl w:val="3E50D84C"/>
    <w:lvl w:ilvl="0" w:tplc="EE9674CE">
      <w:start w:val="1"/>
      <w:numFmt w:val="lowerLetter"/>
      <w:lvlText w:val="(%1)"/>
      <w:lvlJc w:val="left"/>
      <w:pPr>
        <w:ind w:left="720" w:hanging="360"/>
      </w:pPr>
      <w:rPr>
        <w:rFonts w:hint="default"/>
      </w:rPr>
    </w:lvl>
    <w:lvl w:ilvl="1" w:tplc="6580491E" w:tentative="1">
      <w:start w:val="1"/>
      <w:numFmt w:val="lowerLetter"/>
      <w:lvlText w:val="%2."/>
      <w:lvlJc w:val="left"/>
      <w:pPr>
        <w:ind w:left="1440" w:hanging="360"/>
      </w:pPr>
    </w:lvl>
    <w:lvl w:ilvl="2" w:tplc="7D4083FA" w:tentative="1">
      <w:start w:val="1"/>
      <w:numFmt w:val="lowerRoman"/>
      <w:lvlText w:val="%3."/>
      <w:lvlJc w:val="right"/>
      <w:pPr>
        <w:ind w:left="2160" w:hanging="180"/>
      </w:pPr>
    </w:lvl>
    <w:lvl w:ilvl="3" w:tplc="7D603822" w:tentative="1">
      <w:start w:val="1"/>
      <w:numFmt w:val="decimal"/>
      <w:lvlText w:val="%4."/>
      <w:lvlJc w:val="left"/>
      <w:pPr>
        <w:ind w:left="2880" w:hanging="360"/>
      </w:pPr>
    </w:lvl>
    <w:lvl w:ilvl="4" w:tplc="C70EDF9A" w:tentative="1">
      <w:start w:val="1"/>
      <w:numFmt w:val="lowerLetter"/>
      <w:lvlText w:val="%5."/>
      <w:lvlJc w:val="left"/>
      <w:pPr>
        <w:ind w:left="3600" w:hanging="360"/>
      </w:pPr>
    </w:lvl>
    <w:lvl w:ilvl="5" w:tplc="AADA0F68" w:tentative="1">
      <w:start w:val="1"/>
      <w:numFmt w:val="lowerRoman"/>
      <w:lvlText w:val="%6."/>
      <w:lvlJc w:val="right"/>
      <w:pPr>
        <w:ind w:left="4320" w:hanging="180"/>
      </w:pPr>
    </w:lvl>
    <w:lvl w:ilvl="6" w:tplc="71289A84" w:tentative="1">
      <w:start w:val="1"/>
      <w:numFmt w:val="decimal"/>
      <w:lvlText w:val="%7."/>
      <w:lvlJc w:val="left"/>
      <w:pPr>
        <w:ind w:left="5040" w:hanging="360"/>
      </w:pPr>
    </w:lvl>
    <w:lvl w:ilvl="7" w:tplc="5FF00C22" w:tentative="1">
      <w:start w:val="1"/>
      <w:numFmt w:val="lowerLetter"/>
      <w:lvlText w:val="%8."/>
      <w:lvlJc w:val="left"/>
      <w:pPr>
        <w:ind w:left="5760" w:hanging="360"/>
      </w:pPr>
    </w:lvl>
    <w:lvl w:ilvl="8" w:tplc="F2C64D4A" w:tentative="1">
      <w:start w:val="1"/>
      <w:numFmt w:val="lowerRoman"/>
      <w:lvlText w:val="%9."/>
      <w:lvlJc w:val="right"/>
      <w:pPr>
        <w:ind w:left="6480" w:hanging="180"/>
      </w:pPr>
    </w:lvl>
  </w:abstractNum>
  <w:abstractNum w:abstractNumId="28" w15:restartNumberingAfterBreak="0">
    <w:nsid w:val="650C4A70"/>
    <w:multiLevelType w:val="hybridMultilevel"/>
    <w:tmpl w:val="DF0E980C"/>
    <w:lvl w:ilvl="0" w:tplc="867257B2">
      <w:start w:val="1"/>
      <w:numFmt w:val="bullet"/>
      <w:lvlText w:val=""/>
      <w:lvlJc w:val="left"/>
      <w:pPr>
        <w:ind w:left="720" w:hanging="360"/>
      </w:pPr>
      <w:rPr>
        <w:rFonts w:ascii="Symbol" w:hAnsi="Symbol" w:hint="default"/>
        <w:color w:val="auto"/>
      </w:rPr>
    </w:lvl>
    <w:lvl w:ilvl="1" w:tplc="99B42A30" w:tentative="1">
      <w:start w:val="1"/>
      <w:numFmt w:val="lowerLetter"/>
      <w:lvlText w:val="%2."/>
      <w:lvlJc w:val="left"/>
      <w:pPr>
        <w:ind w:left="1440" w:hanging="360"/>
      </w:pPr>
    </w:lvl>
    <w:lvl w:ilvl="2" w:tplc="F962D082" w:tentative="1">
      <w:start w:val="1"/>
      <w:numFmt w:val="lowerRoman"/>
      <w:lvlText w:val="%3."/>
      <w:lvlJc w:val="right"/>
      <w:pPr>
        <w:ind w:left="2160" w:hanging="180"/>
      </w:pPr>
    </w:lvl>
    <w:lvl w:ilvl="3" w:tplc="87904878" w:tentative="1">
      <w:start w:val="1"/>
      <w:numFmt w:val="decimal"/>
      <w:lvlText w:val="%4."/>
      <w:lvlJc w:val="left"/>
      <w:pPr>
        <w:ind w:left="2880" w:hanging="360"/>
      </w:pPr>
    </w:lvl>
    <w:lvl w:ilvl="4" w:tplc="85F0B88E" w:tentative="1">
      <w:start w:val="1"/>
      <w:numFmt w:val="lowerLetter"/>
      <w:lvlText w:val="%5."/>
      <w:lvlJc w:val="left"/>
      <w:pPr>
        <w:ind w:left="3600" w:hanging="360"/>
      </w:pPr>
    </w:lvl>
    <w:lvl w:ilvl="5" w:tplc="A1AE1744" w:tentative="1">
      <w:start w:val="1"/>
      <w:numFmt w:val="lowerRoman"/>
      <w:lvlText w:val="%6."/>
      <w:lvlJc w:val="right"/>
      <w:pPr>
        <w:ind w:left="4320" w:hanging="180"/>
      </w:pPr>
    </w:lvl>
    <w:lvl w:ilvl="6" w:tplc="FE0A8B22" w:tentative="1">
      <w:start w:val="1"/>
      <w:numFmt w:val="decimal"/>
      <w:lvlText w:val="%7."/>
      <w:lvlJc w:val="left"/>
      <w:pPr>
        <w:ind w:left="5040" w:hanging="360"/>
      </w:pPr>
    </w:lvl>
    <w:lvl w:ilvl="7" w:tplc="3DB23774" w:tentative="1">
      <w:start w:val="1"/>
      <w:numFmt w:val="lowerLetter"/>
      <w:lvlText w:val="%8."/>
      <w:lvlJc w:val="left"/>
      <w:pPr>
        <w:ind w:left="5760" w:hanging="360"/>
      </w:pPr>
    </w:lvl>
    <w:lvl w:ilvl="8" w:tplc="A6D4983C" w:tentative="1">
      <w:start w:val="1"/>
      <w:numFmt w:val="lowerRoman"/>
      <w:lvlText w:val="%9."/>
      <w:lvlJc w:val="right"/>
      <w:pPr>
        <w:ind w:left="6480" w:hanging="180"/>
      </w:pPr>
    </w:lvl>
  </w:abstractNum>
  <w:abstractNum w:abstractNumId="29" w15:restartNumberingAfterBreak="0">
    <w:nsid w:val="67D81CE3"/>
    <w:multiLevelType w:val="hybridMultilevel"/>
    <w:tmpl w:val="1B70D8B2"/>
    <w:lvl w:ilvl="0" w:tplc="E59E8EDC">
      <w:start w:val="1"/>
      <w:numFmt w:val="decimal"/>
      <w:lvlText w:val="%1."/>
      <w:lvlJc w:val="left"/>
      <w:pPr>
        <w:ind w:left="720" w:hanging="360"/>
      </w:pPr>
      <w:rPr>
        <w:rFonts w:hint="default"/>
      </w:rPr>
    </w:lvl>
    <w:lvl w:ilvl="1" w:tplc="1DC2FC36" w:tentative="1">
      <w:start w:val="1"/>
      <w:numFmt w:val="lowerLetter"/>
      <w:lvlText w:val="%2."/>
      <w:lvlJc w:val="left"/>
      <w:pPr>
        <w:ind w:left="1440" w:hanging="360"/>
      </w:pPr>
    </w:lvl>
    <w:lvl w:ilvl="2" w:tplc="694AD200" w:tentative="1">
      <w:start w:val="1"/>
      <w:numFmt w:val="lowerRoman"/>
      <w:lvlText w:val="%3."/>
      <w:lvlJc w:val="right"/>
      <w:pPr>
        <w:ind w:left="2160" w:hanging="180"/>
      </w:pPr>
    </w:lvl>
    <w:lvl w:ilvl="3" w:tplc="F9DC20F0" w:tentative="1">
      <w:start w:val="1"/>
      <w:numFmt w:val="decimal"/>
      <w:lvlText w:val="%4."/>
      <w:lvlJc w:val="left"/>
      <w:pPr>
        <w:ind w:left="2880" w:hanging="360"/>
      </w:pPr>
    </w:lvl>
    <w:lvl w:ilvl="4" w:tplc="1B68E6C6" w:tentative="1">
      <w:start w:val="1"/>
      <w:numFmt w:val="lowerLetter"/>
      <w:lvlText w:val="%5."/>
      <w:lvlJc w:val="left"/>
      <w:pPr>
        <w:ind w:left="3600" w:hanging="360"/>
      </w:pPr>
    </w:lvl>
    <w:lvl w:ilvl="5" w:tplc="CA6E7E5E" w:tentative="1">
      <w:start w:val="1"/>
      <w:numFmt w:val="lowerRoman"/>
      <w:lvlText w:val="%6."/>
      <w:lvlJc w:val="right"/>
      <w:pPr>
        <w:ind w:left="4320" w:hanging="180"/>
      </w:pPr>
    </w:lvl>
    <w:lvl w:ilvl="6" w:tplc="5D6C7F28" w:tentative="1">
      <w:start w:val="1"/>
      <w:numFmt w:val="decimal"/>
      <w:lvlText w:val="%7."/>
      <w:lvlJc w:val="left"/>
      <w:pPr>
        <w:ind w:left="5040" w:hanging="360"/>
      </w:pPr>
    </w:lvl>
    <w:lvl w:ilvl="7" w:tplc="88F20EAA" w:tentative="1">
      <w:start w:val="1"/>
      <w:numFmt w:val="lowerLetter"/>
      <w:lvlText w:val="%8."/>
      <w:lvlJc w:val="left"/>
      <w:pPr>
        <w:ind w:left="5760" w:hanging="360"/>
      </w:pPr>
    </w:lvl>
    <w:lvl w:ilvl="8" w:tplc="D91CA61A" w:tentative="1">
      <w:start w:val="1"/>
      <w:numFmt w:val="lowerRoman"/>
      <w:lvlText w:val="%9."/>
      <w:lvlJc w:val="right"/>
      <w:pPr>
        <w:ind w:left="6480" w:hanging="180"/>
      </w:pPr>
    </w:lvl>
  </w:abstractNum>
  <w:abstractNum w:abstractNumId="30" w15:restartNumberingAfterBreak="0">
    <w:nsid w:val="6A33071E"/>
    <w:multiLevelType w:val="hybridMultilevel"/>
    <w:tmpl w:val="4E92A3EC"/>
    <w:lvl w:ilvl="0" w:tplc="39D88062">
      <w:start w:val="1"/>
      <w:numFmt w:val="bullet"/>
      <w:lvlText w:val=""/>
      <w:lvlJc w:val="left"/>
      <w:pPr>
        <w:ind w:left="720" w:hanging="360"/>
      </w:pPr>
      <w:rPr>
        <w:rFonts w:ascii="Symbol" w:hAnsi="Symbol" w:hint="default"/>
      </w:rPr>
    </w:lvl>
    <w:lvl w:ilvl="1" w:tplc="8E1C4AA8" w:tentative="1">
      <w:start w:val="1"/>
      <w:numFmt w:val="bullet"/>
      <w:lvlText w:val="o"/>
      <w:lvlJc w:val="left"/>
      <w:pPr>
        <w:ind w:left="1440" w:hanging="360"/>
      </w:pPr>
      <w:rPr>
        <w:rFonts w:ascii="Courier New" w:hAnsi="Courier New" w:hint="default"/>
      </w:rPr>
    </w:lvl>
    <w:lvl w:ilvl="2" w:tplc="956E3C90" w:tentative="1">
      <w:start w:val="1"/>
      <w:numFmt w:val="bullet"/>
      <w:lvlText w:val=""/>
      <w:lvlJc w:val="left"/>
      <w:pPr>
        <w:ind w:left="2160" w:hanging="360"/>
      </w:pPr>
      <w:rPr>
        <w:rFonts w:ascii="Wingdings" w:hAnsi="Wingdings" w:hint="default"/>
      </w:rPr>
    </w:lvl>
    <w:lvl w:ilvl="3" w:tplc="F336E600" w:tentative="1">
      <w:start w:val="1"/>
      <w:numFmt w:val="bullet"/>
      <w:lvlText w:val=""/>
      <w:lvlJc w:val="left"/>
      <w:pPr>
        <w:ind w:left="2880" w:hanging="360"/>
      </w:pPr>
      <w:rPr>
        <w:rFonts w:ascii="Symbol" w:hAnsi="Symbol" w:hint="default"/>
      </w:rPr>
    </w:lvl>
    <w:lvl w:ilvl="4" w:tplc="0A1083AC" w:tentative="1">
      <w:start w:val="1"/>
      <w:numFmt w:val="bullet"/>
      <w:lvlText w:val="o"/>
      <w:lvlJc w:val="left"/>
      <w:pPr>
        <w:ind w:left="3600" w:hanging="360"/>
      </w:pPr>
      <w:rPr>
        <w:rFonts w:ascii="Courier New" w:hAnsi="Courier New" w:hint="default"/>
      </w:rPr>
    </w:lvl>
    <w:lvl w:ilvl="5" w:tplc="CD90AE8A" w:tentative="1">
      <w:start w:val="1"/>
      <w:numFmt w:val="bullet"/>
      <w:lvlText w:val=""/>
      <w:lvlJc w:val="left"/>
      <w:pPr>
        <w:ind w:left="4320" w:hanging="360"/>
      </w:pPr>
      <w:rPr>
        <w:rFonts w:ascii="Wingdings" w:hAnsi="Wingdings" w:hint="default"/>
      </w:rPr>
    </w:lvl>
    <w:lvl w:ilvl="6" w:tplc="51384324" w:tentative="1">
      <w:start w:val="1"/>
      <w:numFmt w:val="bullet"/>
      <w:lvlText w:val=""/>
      <w:lvlJc w:val="left"/>
      <w:pPr>
        <w:ind w:left="5040" w:hanging="360"/>
      </w:pPr>
      <w:rPr>
        <w:rFonts w:ascii="Symbol" w:hAnsi="Symbol" w:hint="default"/>
      </w:rPr>
    </w:lvl>
    <w:lvl w:ilvl="7" w:tplc="1F705614" w:tentative="1">
      <w:start w:val="1"/>
      <w:numFmt w:val="bullet"/>
      <w:lvlText w:val="o"/>
      <w:lvlJc w:val="left"/>
      <w:pPr>
        <w:ind w:left="5760" w:hanging="360"/>
      </w:pPr>
      <w:rPr>
        <w:rFonts w:ascii="Courier New" w:hAnsi="Courier New" w:hint="default"/>
      </w:rPr>
    </w:lvl>
    <w:lvl w:ilvl="8" w:tplc="C706B972" w:tentative="1">
      <w:start w:val="1"/>
      <w:numFmt w:val="bullet"/>
      <w:lvlText w:val=""/>
      <w:lvlJc w:val="left"/>
      <w:pPr>
        <w:ind w:left="6480" w:hanging="360"/>
      </w:pPr>
      <w:rPr>
        <w:rFonts w:ascii="Wingdings" w:hAnsi="Wingdings" w:hint="default"/>
      </w:rPr>
    </w:lvl>
  </w:abstractNum>
  <w:abstractNum w:abstractNumId="31" w15:restartNumberingAfterBreak="0">
    <w:nsid w:val="6B015693"/>
    <w:multiLevelType w:val="hybridMultilevel"/>
    <w:tmpl w:val="0E4608BC"/>
    <w:lvl w:ilvl="0" w:tplc="35F0AA2E">
      <w:start w:val="1"/>
      <w:numFmt w:val="upperLetter"/>
      <w:lvlText w:val="%1."/>
      <w:lvlJc w:val="left"/>
      <w:pPr>
        <w:ind w:left="720" w:hanging="360"/>
      </w:pPr>
      <w:rPr>
        <w:rFonts w:hint="default"/>
      </w:rPr>
    </w:lvl>
    <w:lvl w:ilvl="1" w:tplc="4662AA9C" w:tentative="1">
      <w:start w:val="1"/>
      <w:numFmt w:val="lowerLetter"/>
      <w:lvlText w:val="%2."/>
      <w:lvlJc w:val="left"/>
      <w:pPr>
        <w:ind w:left="1440" w:hanging="360"/>
      </w:pPr>
    </w:lvl>
    <w:lvl w:ilvl="2" w:tplc="94D8C516" w:tentative="1">
      <w:start w:val="1"/>
      <w:numFmt w:val="lowerRoman"/>
      <w:lvlText w:val="%3."/>
      <w:lvlJc w:val="right"/>
      <w:pPr>
        <w:ind w:left="2160" w:hanging="180"/>
      </w:pPr>
    </w:lvl>
    <w:lvl w:ilvl="3" w:tplc="72802FC6" w:tentative="1">
      <w:start w:val="1"/>
      <w:numFmt w:val="decimal"/>
      <w:lvlText w:val="%4."/>
      <w:lvlJc w:val="left"/>
      <w:pPr>
        <w:ind w:left="2880" w:hanging="360"/>
      </w:pPr>
    </w:lvl>
    <w:lvl w:ilvl="4" w:tplc="20EC4C70" w:tentative="1">
      <w:start w:val="1"/>
      <w:numFmt w:val="lowerLetter"/>
      <w:lvlText w:val="%5."/>
      <w:lvlJc w:val="left"/>
      <w:pPr>
        <w:ind w:left="3600" w:hanging="360"/>
      </w:pPr>
    </w:lvl>
    <w:lvl w:ilvl="5" w:tplc="F45C2EA8" w:tentative="1">
      <w:start w:val="1"/>
      <w:numFmt w:val="lowerRoman"/>
      <w:lvlText w:val="%6."/>
      <w:lvlJc w:val="right"/>
      <w:pPr>
        <w:ind w:left="4320" w:hanging="180"/>
      </w:pPr>
    </w:lvl>
    <w:lvl w:ilvl="6" w:tplc="3B66252A" w:tentative="1">
      <w:start w:val="1"/>
      <w:numFmt w:val="decimal"/>
      <w:lvlText w:val="%7."/>
      <w:lvlJc w:val="left"/>
      <w:pPr>
        <w:ind w:left="5040" w:hanging="360"/>
      </w:pPr>
    </w:lvl>
    <w:lvl w:ilvl="7" w:tplc="FEA0D47E" w:tentative="1">
      <w:start w:val="1"/>
      <w:numFmt w:val="lowerLetter"/>
      <w:lvlText w:val="%8."/>
      <w:lvlJc w:val="left"/>
      <w:pPr>
        <w:ind w:left="5760" w:hanging="360"/>
      </w:pPr>
    </w:lvl>
    <w:lvl w:ilvl="8" w:tplc="898C28B0" w:tentative="1">
      <w:start w:val="1"/>
      <w:numFmt w:val="lowerRoman"/>
      <w:lvlText w:val="%9."/>
      <w:lvlJc w:val="right"/>
      <w:pPr>
        <w:ind w:left="6480" w:hanging="180"/>
      </w:pPr>
    </w:lvl>
  </w:abstractNum>
  <w:abstractNum w:abstractNumId="32" w15:restartNumberingAfterBreak="0">
    <w:nsid w:val="6E9C21BB"/>
    <w:multiLevelType w:val="hybridMultilevel"/>
    <w:tmpl w:val="3854685A"/>
    <w:lvl w:ilvl="0" w:tplc="C33C8F9E">
      <w:start w:val="1"/>
      <w:numFmt w:val="decimal"/>
      <w:lvlText w:val="%1."/>
      <w:lvlJc w:val="left"/>
      <w:pPr>
        <w:ind w:left="360" w:hanging="360"/>
      </w:pPr>
      <w:rPr>
        <w:rFonts w:hint="default"/>
      </w:rPr>
    </w:lvl>
    <w:lvl w:ilvl="1" w:tplc="16CAA638" w:tentative="1">
      <w:start w:val="1"/>
      <w:numFmt w:val="lowerLetter"/>
      <w:lvlText w:val="%2."/>
      <w:lvlJc w:val="left"/>
      <w:pPr>
        <w:ind w:left="1080" w:hanging="360"/>
      </w:pPr>
    </w:lvl>
    <w:lvl w:ilvl="2" w:tplc="3FFADA4C" w:tentative="1">
      <w:start w:val="1"/>
      <w:numFmt w:val="lowerRoman"/>
      <w:lvlText w:val="%3."/>
      <w:lvlJc w:val="right"/>
      <w:pPr>
        <w:ind w:left="1800" w:hanging="180"/>
      </w:pPr>
    </w:lvl>
    <w:lvl w:ilvl="3" w:tplc="3634E17C" w:tentative="1">
      <w:start w:val="1"/>
      <w:numFmt w:val="decimal"/>
      <w:lvlText w:val="%4."/>
      <w:lvlJc w:val="left"/>
      <w:pPr>
        <w:ind w:left="2520" w:hanging="360"/>
      </w:pPr>
    </w:lvl>
    <w:lvl w:ilvl="4" w:tplc="EDCE849C" w:tentative="1">
      <w:start w:val="1"/>
      <w:numFmt w:val="lowerLetter"/>
      <w:lvlText w:val="%5."/>
      <w:lvlJc w:val="left"/>
      <w:pPr>
        <w:ind w:left="3240" w:hanging="360"/>
      </w:pPr>
    </w:lvl>
    <w:lvl w:ilvl="5" w:tplc="F52C4446" w:tentative="1">
      <w:start w:val="1"/>
      <w:numFmt w:val="lowerRoman"/>
      <w:lvlText w:val="%6."/>
      <w:lvlJc w:val="right"/>
      <w:pPr>
        <w:ind w:left="3960" w:hanging="180"/>
      </w:pPr>
    </w:lvl>
    <w:lvl w:ilvl="6" w:tplc="991EA588" w:tentative="1">
      <w:start w:val="1"/>
      <w:numFmt w:val="decimal"/>
      <w:lvlText w:val="%7."/>
      <w:lvlJc w:val="left"/>
      <w:pPr>
        <w:ind w:left="4680" w:hanging="360"/>
      </w:pPr>
    </w:lvl>
    <w:lvl w:ilvl="7" w:tplc="E19C9E5C" w:tentative="1">
      <w:start w:val="1"/>
      <w:numFmt w:val="lowerLetter"/>
      <w:lvlText w:val="%8."/>
      <w:lvlJc w:val="left"/>
      <w:pPr>
        <w:ind w:left="5400" w:hanging="360"/>
      </w:pPr>
    </w:lvl>
    <w:lvl w:ilvl="8" w:tplc="C2387A1C" w:tentative="1">
      <w:start w:val="1"/>
      <w:numFmt w:val="lowerRoman"/>
      <w:lvlText w:val="%9."/>
      <w:lvlJc w:val="right"/>
      <w:pPr>
        <w:ind w:left="6120" w:hanging="180"/>
      </w:pPr>
    </w:lvl>
  </w:abstractNum>
  <w:abstractNum w:abstractNumId="33" w15:restartNumberingAfterBreak="0">
    <w:nsid w:val="755C0FAC"/>
    <w:multiLevelType w:val="hybridMultilevel"/>
    <w:tmpl w:val="E3409ACC"/>
    <w:lvl w:ilvl="0" w:tplc="6F580A72">
      <w:start w:val="1"/>
      <w:numFmt w:val="lowerRoman"/>
      <w:lvlText w:val="(%1)"/>
      <w:lvlJc w:val="left"/>
      <w:pPr>
        <w:ind w:left="1440" w:hanging="360"/>
      </w:pPr>
      <w:rPr>
        <w:rFonts w:hint="default"/>
      </w:rPr>
    </w:lvl>
    <w:lvl w:ilvl="1" w:tplc="2496ED62" w:tentative="1">
      <w:start w:val="1"/>
      <w:numFmt w:val="lowerLetter"/>
      <w:lvlText w:val="%2."/>
      <w:lvlJc w:val="left"/>
      <w:pPr>
        <w:ind w:left="2160" w:hanging="360"/>
      </w:pPr>
    </w:lvl>
    <w:lvl w:ilvl="2" w:tplc="6A6E6562" w:tentative="1">
      <w:start w:val="1"/>
      <w:numFmt w:val="lowerRoman"/>
      <w:lvlText w:val="%3."/>
      <w:lvlJc w:val="right"/>
      <w:pPr>
        <w:ind w:left="2880" w:hanging="180"/>
      </w:pPr>
    </w:lvl>
    <w:lvl w:ilvl="3" w:tplc="D08E88A8" w:tentative="1">
      <w:start w:val="1"/>
      <w:numFmt w:val="decimal"/>
      <w:lvlText w:val="%4."/>
      <w:lvlJc w:val="left"/>
      <w:pPr>
        <w:ind w:left="3600" w:hanging="360"/>
      </w:pPr>
    </w:lvl>
    <w:lvl w:ilvl="4" w:tplc="160667E6" w:tentative="1">
      <w:start w:val="1"/>
      <w:numFmt w:val="lowerLetter"/>
      <w:lvlText w:val="%5."/>
      <w:lvlJc w:val="left"/>
      <w:pPr>
        <w:ind w:left="4320" w:hanging="360"/>
      </w:pPr>
    </w:lvl>
    <w:lvl w:ilvl="5" w:tplc="80465B4E" w:tentative="1">
      <w:start w:val="1"/>
      <w:numFmt w:val="lowerRoman"/>
      <w:lvlText w:val="%6."/>
      <w:lvlJc w:val="right"/>
      <w:pPr>
        <w:ind w:left="5040" w:hanging="180"/>
      </w:pPr>
    </w:lvl>
    <w:lvl w:ilvl="6" w:tplc="19483CB6" w:tentative="1">
      <w:start w:val="1"/>
      <w:numFmt w:val="decimal"/>
      <w:lvlText w:val="%7."/>
      <w:lvlJc w:val="left"/>
      <w:pPr>
        <w:ind w:left="5760" w:hanging="360"/>
      </w:pPr>
    </w:lvl>
    <w:lvl w:ilvl="7" w:tplc="A6DEFF02" w:tentative="1">
      <w:start w:val="1"/>
      <w:numFmt w:val="lowerLetter"/>
      <w:lvlText w:val="%8."/>
      <w:lvlJc w:val="left"/>
      <w:pPr>
        <w:ind w:left="6480" w:hanging="360"/>
      </w:pPr>
    </w:lvl>
    <w:lvl w:ilvl="8" w:tplc="78FCDAE2" w:tentative="1">
      <w:start w:val="1"/>
      <w:numFmt w:val="lowerRoman"/>
      <w:lvlText w:val="%9."/>
      <w:lvlJc w:val="right"/>
      <w:pPr>
        <w:ind w:left="7200" w:hanging="180"/>
      </w:pPr>
    </w:lvl>
  </w:abstractNum>
  <w:abstractNum w:abstractNumId="34" w15:restartNumberingAfterBreak="0">
    <w:nsid w:val="756D2752"/>
    <w:multiLevelType w:val="hybridMultilevel"/>
    <w:tmpl w:val="3854685A"/>
    <w:lvl w:ilvl="0" w:tplc="B1885FC8">
      <w:start w:val="1"/>
      <w:numFmt w:val="decimal"/>
      <w:lvlText w:val="%1."/>
      <w:lvlJc w:val="left"/>
      <w:pPr>
        <w:ind w:left="360" w:hanging="360"/>
      </w:pPr>
      <w:rPr>
        <w:rFonts w:hint="default"/>
      </w:rPr>
    </w:lvl>
    <w:lvl w:ilvl="1" w:tplc="13D88916" w:tentative="1">
      <w:start w:val="1"/>
      <w:numFmt w:val="lowerLetter"/>
      <w:lvlText w:val="%2."/>
      <w:lvlJc w:val="left"/>
      <w:pPr>
        <w:ind w:left="1080" w:hanging="360"/>
      </w:pPr>
    </w:lvl>
    <w:lvl w:ilvl="2" w:tplc="ABC8B74E" w:tentative="1">
      <w:start w:val="1"/>
      <w:numFmt w:val="lowerRoman"/>
      <w:lvlText w:val="%3."/>
      <w:lvlJc w:val="right"/>
      <w:pPr>
        <w:ind w:left="1800" w:hanging="180"/>
      </w:pPr>
    </w:lvl>
    <w:lvl w:ilvl="3" w:tplc="C03E8FE6" w:tentative="1">
      <w:start w:val="1"/>
      <w:numFmt w:val="decimal"/>
      <w:lvlText w:val="%4."/>
      <w:lvlJc w:val="left"/>
      <w:pPr>
        <w:ind w:left="2520" w:hanging="360"/>
      </w:pPr>
    </w:lvl>
    <w:lvl w:ilvl="4" w:tplc="00A87884" w:tentative="1">
      <w:start w:val="1"/>
      <w:numFmt w:val="lowerLetter"/>
      <w:lvlText w:val="%5."/>
      <w:lvlJc w:val="left"/>
      <w:pPr>
        <w:ind w:left="3240" w:hanging="360"/>
      </w:pPr>
    </w:lvl>
    <w:lvl w:ilvl="5" w:tplc="F42027F2" w:tentative="1">
      <w:start w:val="1"/>
      <w:numFmt w:val="lowerRoman"/>
      <w:lvlText w:val="%6."/>
      <w:lvlJc w:val="right"/>
      <w:pPr>
        <w:ind w:left="3960" w:hanging="180"/>
      </w:pPr>
    </w:lvl>
    <w:lvl w:ilvl="6" w:tplc="EA72A69A" w:tentative="1">
      <w:start w:val="1"/>
      <w:numFmt w:val="decimal"/>
      <w:lvlText w:val="%7."/>
      <w:lvlJc w:val="left"/>
      <w:pPr>
        <w:ind w:left="4680" w:hanging="360"/>
      </w:pPr>
    </w:lvl>
    <w:lvl w:ilvl="7" w:tplc="F336EDF0" w:tentative="1">
      <w:start w:val="1"/>
      <w:numFmt w:val="lowerLetter"/>
      <w:lvlText w:val="%8."/>
      <w:lvlJc w:val="left"/>
      <w:pPr>
        <w:ind w:left="5400" w:hanging="360"/>
      </w:pPr>
    </w:lvl>
    <w:lvl w:ilvl="8" w:tplc="906E3812" w:tentative="1">
      <w:start w:val="1"/>
      <w:numFmt w:val="lowerRoman"/>
      <w:lvlText w:val="%9."/>
      <w:lvlJc w:val="right"/>
      <w:pPr>
        <w:ind w:left="6120" w:hanging="180"/>
      </w:pPr>
    </w:lvl>
  </w:abstractNum>
  <w:abstractNum w:abstractNumId="35" w15:restartNumberingAfterBreak="0">
    <w:nsid w:val="76BB3167"/>
    <w:multiLevelType w:val="hybridMultilevel"/>
    <w:tmpl w:val="0E9A7642"/>
    <w:lvl w:ilvl="0" w:tplc="AA9EFE6A">
      <w:start w:val="1"/>
      <w:numFmt w:val="decimal"/>
      <w:lvlText w:val="%1)"/>
      <w:lvlJc w:val="left"/>
      <w:pPr>
        <w:ind w:left="720" w:hanging="360"/>
      </w:pPr>
      <w:rPr>
        <w:rFonts w:hint="default"/>
        <w:color w:val="auto"/>
      </w:rPr>
    </w:lvl>
    <w:lvl w:ilvl="1" w:tplc="B1BC3110" w:tentative="1">
      <w:start w:val="1"/>
      <w:numFmt w:val="lowerLetter"/>
      <w:lvlText w:val="%2."/>
      <w:lvlJc w:val="left"/>
      <w:pPr>
        <w:ind w:left="1440" w:hanging="360"/>
      </w:pPr>
    </w:lvl>
    <w:lvl w:ilvl="2" w:tplc="7AAA448C" w:tentative="1">
      <w:start w:val="1"/>
      <w:numFmt w:val="lowerRoman"/>
      <w:lvlText w:val="%3."/>
      <w:lvlJc w:val="right"/>
      <w:pPr>
        <w:ind w:left="2160" w:hanging="180"/>
      </w:pPr>
    </w:lvl>
    <w:lvl w:ilvl="3" w:tplc="FA26433C" w:tentative="1">
      <w:start w:val="1"/>
      <w:numFmt w:val="decimal"/>
      <w:lvlText w:val="%4."/>
      <w:lvlJc w:val="left"/>
      <w:pPr>
        <w:ind w:left="2880" w:hanging="360"/>
      </w:pPr>
    </w:lvl>
    <w:lvl w:ilvl="4" w:tplc="D78ED95A" w:tentative="1">
      <w:start w:val="1"/>
      <w:numFmt w:val="lowerLetter"/>
      <w:lvlText w:val="%5."/>
      <w:lvlJc w:val="left"/>
      <w:pPr>
        <w:ind w:left="3600" w:hanging="360"/>
      </w:pPr>
    </w:lvl>
    <w:lvl w:ilvl="5" w:tplc="099CEF54" w:tentative="1">
      <w:start w:val="1"/>
      <w:numFmt w:val="lowerRoman"/>
      <w:lvlText w:val="%6."/>
      <w:lvlJc w:val="right"/>
      <w:pPr>
        <w:ind w:left="4320" w:hanging="180"/>
      </w:pPr>
    </w:lvl>
    <w:lvl w:ilvl="6" w:tplc="15607728" w:tentative="1">
      <w:start w:val="1"/>
      <w:numFmt w:val="decimal"/>
      <w:lvlText w:val="%7."/>
      <w:lvlJc w:val="left"/>
      <w:pPr>
        <w:ind w:left="5040" w:hanging="360"/>
      </w:pPr>
    </w:lvl>
    <w:lvl w:ilvl="7" w:tplc="B756F2BC" w:tentative="1">
      <w:start w:val="1"/>
      <w:numFmt w:val="lowerLetter"/>
      <w:lvlText w:val="%8."/>
      <w:lvlJc w:val="left"/>
      <w:pPr>
        <w:ind w:left="5760" w:hanging="360"/>
      </w:pPr>
    </w:lvl>
    <w:lvl w:ilvl="8" w:tplc="BA0E27D0" w:tentative="1">
      <w:start w:val="1"/>
      <w:numFmt w:val="lowerRoman"/>
      <w:lvlText w:val="%9."/>
      <w:lvlJc w:val="right"/>
      <w:pPr>
        <w:ind w:left="6480" w:hanging="180"/>
      </w:pPr>
    </w:lvl>
  </w:abstractNum>
  <w:abstractNum w:abstractNumId="36" w15:restartNumberingAfterBreak="0">
    <w:nsid w:val="7D11477D"/>
    <w:multiLevelType w:val="hybridMultilevel"/>
    <w:tmpl w:val="A258A4A0"/>
    <w:lvl w:ilvl="0" w:tplc="55CE2484">
      <w:start w:val="1"/>
      <w:numFmt w:val="bullet"/>
      <w:lvlText w:val=""/>
      <w:lvlJc w:val="left"/>
      <w:pPr>
        <w:ind w:left="86" w:hanging="360"/>
      </w:pPr>
      <w:rPr>
        <w:rFonts w:ascii="Symbol" w:hAnsi="Symbol" w:hint="default"/>
      </w:rPr>
    </w:lvl>
    <w:lvl w:ilvl="1" w:tplc="3DC890EA" w:tentative="1">
      <w:start w:val="1"/>
      <w:numFmt w:val="bullet"/>
      <w:lvlText w:val="o"/>
      <w:lvlJc w:val="left"/>
      <w:pPr>
        <w:ind w:left="806" w:hanging="360"/>
      </w:pPr>
      <w:rPr>
        <w:rFonts w:ascii="Courier New" w:hAnsi="Courier New" w:cs="Courier New" w:hint="default"/>
      </w:rPr>
    </w:lvl>
    <w:lvl w:ilvl="2" w:tplc="E82215AE" w:tentative="1">
      <w:start w:val="1"/>
      <w:numFmt w:val="bullet"/>
      <w:lvlText w:val=""/>
      <w:lvlJc w:val="left"/>
      <w:pPr>
        <w:ind w:left="1526" w:hanging="360"/>
      </w:pPr>
      <w:rPr>
        <w:rFonts w:ascii="Wingdings" w:hAnsi="Wingdings" w:hint="default"/>
      </w:rPr>
    </w:lvl>
    <w:lvl w:ilvl="3" w:tplc="0382D8A2" w:tentative="1">
      <w:start w:val="1"/>
      <w:numFmt w:val="bullet"/>
      <w:lvlText w:val=""/>
      <w:lvlJc w:val="left"/>
      <w:pPr>
        <w:ind w:left="2246" w:hanging="360"/>
      </w:pPr>
      <w:rPr>
        <w:rFonts w:ascii="Symbol" w:hAnsi="Symbol" w:hint="default"/>
      </w:rPr>
    </w:lvl>
    <w:lvl w:ilvl="4" w:tplc="6134963E" w:tentative="1">
      <w:start w:val="1"/>
      <w:numFmt w:val="bullet"/>
      <w:lvlText w:val="o"/>
      <w:lvlJc w:val="left"/>
      <w:pPr>
        <w:ind w:left="2966" w:hanging="360"/>
      </w:pPr>
      <w:rPr>
        <w:rFonts w:ascii="Courier New" w:hAnsi="Courier New" w:cs="Courier New" w:hint="default"/>
      </w:rPr>
    </w:lvl>
    <w:lvl w:ilvl="5" w:tplc="778EE2D4" w:tentative="1">
      <w:start w:val="1"/>
      <w:numFmt w:val="bullet"/>
      <w:lvlText w:val=""/>
      <w:lvlJc w:val="left"/>
      <w:pPr>
        <w:ind w:left="3686" w:hanging="360"/>
      </w:pPr>
      <w:rPr>
        <w:rFonts w:ascii="Wingdings" w:hAnsi="Wingdings" w:hint="default"/>
      </w:rPr>
    </w:lvl>
    <w:lvl w:ilvl="6" w:tplc="6A2464A2" w:tentative="1">
      <w:start w:val="1"/>
      <w:numFmt w:val="bullet"/>
      <w:lvlText w:val=""/>
      <w:lvlJc w:val="left"/>
      <w:pPr>
        <w:ind w:left="4406" w:hanging="360"/>
      </w:pPr>
      <w:rPr>
        <w:rFonts w:ascii="Symbol" w:hAnsi="Symbol" w:hint="default"/>
      </w:rPr>
    </w:lvl>
    <w:lvl w:ilvl="7" w:tplc="13F60628" w:tentative="1">
      <w:start w:val="1"/>
      <w:numFmt w:val="bullet"/>
      <w:lvlText w:val="o"/>
      <w:lvlJc w:val="left"/>
      <w:pPr>
        <w:ind w:left="5126" w:hanging="360"/>
      </w:pPr>
      <w:rPr>
        <w:rFonts w:ascii="Courier New" w:hAnsi="Courier New" w:cs="Courier New" w:hint="default"/>
      </w:rPr>
    </w:lvl>
    <w:lvl w:ilvl="8" w:tplc="6B4E1832" w:tentative="1">
      <w:start w:val="1"/>
      <w:numFmt w:val="bullet"/>
      <w:lvlText w:val=""/>
      <w:lvlJc w:val="left"/>
      <w:pPr>
        <w:ind w:left="5846" w:hanging="360"/>
      </w:pPr>
      <w:rPr>
        <w:rFonts w:ascii="Wingdings" w:hAnsi="Wingdings" w:hint="default"/>
      </w:rPr>
    </w:lvl>
  </w:abstractNum>
  <w:abstractNum w:abstractNumId="37" w15:restartNumberingAfterBreak="0">
    <w:nsid w:val="7D2B2DF5"/>
    <w:multiLevelType w:val="hybridMultilevel"/>
    <w:tmpl w:val="D982CB22"/>
    <w:lvl w:ilvl="0" w:tplc="354AB20C">
      <w:start w:val="1"/>
      <w:numFmt w:val="upperLetter"/>
      <w:lvlText w:val="%1."/>
      <w:lvlJc w:val="left"/>
      <w:pPr>
        <w:ind w:left="360" w:hanging="360"/>
      </w:pPr>
      <w:rPr>
        <w:rFonts w:hint="default"/>
      </w:rPr>
    </w:lvl>
    <w:lvl w:ilvl="1" w:tplc="FE56E1E0" w:tentative="1">
      <w:start w:val="1"/>
      <w:numFmt w:val="lowerLetter"/>
      <w:lvlText w:val="%2."/>
      <w:lvlJc w:val="left"/>
      <w:pPr>
        <w:ind w:left="1080" w:hanging="360"/>
      </w:pPr>
    </w:lvl>
    <w:lvl w:ilvl="2" w:tplc="F73406F6" w:tentative="1">
      <w:start w:val="1"/>
      <w:numFmt w:val="lowerRoman"/>
      <w:lvlText w:val="%3."/>
      <w:lvlJc w:val="right"/>
      <w:pPr>
        <w:ind w:left="1800" w:hanging="180"/>
      </w:pPr>
    </w:lvl>
    <w:lvl w:ilvl="3" w:tplc="760C429A" w:tentative="1">
      <w:start w:val="1"/>
      <w:numFmt w:val="decimal"/>
      <w:lvlText w:val="%4."/>
      <w:lvlJc w:val="left"/>
      <w:pPr>
        <w:ind w:left="2520" w:hanging="360"/>
      </w:pPr>
    </w:lvl>
    <w:lvl w:ilvl="4" w:tplc="6714C676" w:tentative="1">
      <w:start w:val="1"/>
      <w:numFmt w:val="lowerLetter"/>
      <w:lvlText w:val="%5."/>
      <w:lvlJc w:val="left"/>
      <w:pPr>
        <w:ind w:left="3240" w:hanging="360"/>
      </w:pPr>
    </w:lvl>
    <w:lvl w:ilvl="5" w:tplc="2AA45D2E" w:tentative="1">
      <w:start w:val="1"/>
      <w:numFmt w:val="lowerRoman"/>
      <w:lvlText w:val="%6."/>
      <w:lvlJc w:val="right"/>
      <w:pPr>
        <w:ind w:left="3960" w:hanging="180"/>
      </w:pPr>
    </w:lvl>
    <w:lvl w:ilvl="6" w:tplc="3CCCECA6" w:tentative="1">
      <w:start w:val="1"/>
      <w:numFmt w:val="decimal"/>
      <w:lvlText w:val="%7."/>
      <w:lvlJc w:val="left"/>
      <w:pPr>
        <w:ind w:left="4680" w:hanging="360"/>
      </w:pPr>
    </w:lvl>
    <w:lvl w:ilvl="7" w:tplc="5B7897F6" w:tentative="1">
      <w:start w:val="1"/>
      <w:numFmt w:val="lowerLetter"/>
      <w:lvlText w:val="%8."/>
      <w:lvlJc w:val="left"/>
      <w:pPr>
        <w:ind w:left="5400" w:hanging="360"/>
      </w:pPr>
    </w:lvl>
    <w:lvl w:ilvl="8" w:tplc="2AF08CD0" w:tentative="1">
      <w:start w:val="1"/>
      <w:numFmt w:val="lowerRoman"/>
      <w:lvlText w:val="%9."/>
      <w:lvlJc w:val="right"/>
      <w:pPr>
        <w:ind w:left="6120" w:hanging="180"/>
      </w:pPr>
    </w:lvl>
  </w:abstractNum>
  <w:abstractNum w:abstractNumId="38" w15:restartNumberingAfterBreak="0">
    <w:nsid w:val="7D6975BD"/>
    <w:multiLevelType w:val="hybridMultilevel"/>
    <w:tmpl w:val="64126618"/>
    <w:lvl w:ilvl="0" w:tplc="E69C7880">
      <w:start w:val="1"/>
      <w:numFmt w:val="decimal"/>
      <w:lvlText w:val="%1."/>
      <w:lvlJc w:val="left"/>
      <w:pPr>
        <w:ind w:left="360" w:hanging="360"/>
      </w:pPr>
      <w:rPr>
        <w:rFonts w:hint="default"/>
        <w:color w:val="auto"/>
      </w:rPr>
    </w:lvl>
    <w:lvl w:ilvl="1" w:tplc="3654968C" w:tentative="1">
      <w:start w:val="1"/>
      <w:numFmt w:val="lowerLetter"/>
      <w:lvlText w:val="%2."/>
      <w:lvlJc w:val="left"/>
      <w:pPr>
        <w:ind w:left="1080" w:hanging="360"/>
      </w:pPr>
    </w:lvl>
    <w:lvl w:ilvl="2" w:tplc="21AADDA2" w:tentative="1">
      <w:start w:val="1"/>
      <w:numFmt w:val="lowerRoman"/>
      <w:lvlText w:val="%3."/>
      <w:lvlJc w:val="right"/>
      <w:pPr>
        <w:ind w:left="1800" w:hanging="180"/>
      </w:pPr>
    </w:lvl>
    <w:lvl w:ilvl="3" w:tplc="3560F440" w:tentative="1">
      <w:start w:val="1"/>
      <w:numFmt w:val="decimal"/>
      <w:lvlText w:val="%4."/>
      <w:lvlJc w:val="left"/>
      <w:pPr>
        <w:ind w:left="2520" w:hanging="360"/>
      </w:pPr>
    </w:lvl>
    <w:lvl w:ilvl="4" w:tplc="EE26D384" w:tentative="1">
      <w:start w:val="1"/>
      <w:numFmt w:val="lowerLetter"/>
      <w:lvlText w:val="%5."/>
      <w:lvlJc w:val="left"/>
      <w:pPr>
        <w:ind w:left="3240" w:hanging="360"/>
      </w:pPr>
    </w:lvl>
    <w:lvl w:ilvl="5" w:tplc="2E9A1D9E" w:tentative="1">
      <w:start w:val="1"/>
      <w:numFmt w:val="lowerRoman"/>
      <w:lvlText w:val="%6."/>
      <w:lvlJc w:val="right"/>
      <w:pPr>
        <w:ind w:left="3960" w:hanging="180"/>
      </w:pPr>
    </w:lvl>
    <w:lvl w:ilvl="6" w:tplc="988A5DD0" w:tentative="1">
      <w:start w:val="1"/>
      <w:numFmt w:val="decimal"/>
      <w:lvlText w:val="%7."/>
      <w:lvlJc w:val="left"/>
      <w:pPr>
        <w:ind w:left="4680" w:hanging="360"/>
      </w:pPr>
    </w:lvl>
    <w:lvl w:ilvl="7" w:tplc="73B2EA38" w:tentative="1">
      <w:start w:val="1"/>
      <w:numFmt w:val="lowerLetter"/>
      <w:lvlText w:val="%8."/>
      <w:lvlJc w:val="left"/>
      <w:pPr>
        <w:ind w:left="5400" w:hanging="360"/>
      </w:pPr>
    </w:lvl>
    <w:lvl w:ilvl="8" w:tplc="140666EA" w:tentative="1">
      <w:start w:val="1"/>
      <w:numFmt w:val="lowerRoman"/>
      <w:lvlText w:val="%9."/>
      <w:lvlJc w:val="right"/>
      <w:pPr>
        <w:ind w:left="6120" w:hanging="180"/>
      </w:pPr>
    </w:lvl>
  </w:abstractNum>
  <w:num w:numId="1">
    <w:abstractNumId w:val="26"/>
  </w:num>
  <w:num w:numId="2">
    <w:abstractNumId w:val="4"/>
  </w:num>
  <w:num w:numId="3">
    <w:abstractNumId w:val="20"/>
  </w:num>
  <w:num w:numId="4">
    <w:abstractNumId w:val="11"/>
  </w:num>
  <w:num w:numId="5">
    <w:abstractNumId w:val="31"/>
  </w:num>
  <w:num w:numId="6">
    <w:abstractNumId w:val="27"/>
  </w:num>
  <w:num w:numId="7">
    <w:abstractNumId w:val="33"/>
  </w:num>
  <w:num w:numId="8">
    <w:abstractNumId w:val="12"/>
  </w:num>
  <w:num w:numId="9">
    <w:abstractNumId w:val="34"/>
  </w:num>
  <w:num w:numId="10">
    <w:abstractNumId w:val="18"/>
  </w:num>
  <w:num w:numId="11">
    <w:abstractNumId w:val="7"/>
  </w:num>
  <w:num w:numId="12">
    <w:abstractNumId w:val="32"/>
  </w:num>
  <w:num w:numId="13">
    <w:abstractNumId w:val="3"/>
  </w:num>
  <w:num w:numId="14">
    <w:abstractNumId w:val="19"/>
  </w:num>
  <w:num w:numId="15">
    <w:abstractNumId w:val="1"/>
  </w:num>
  <w:num w:numId="16">
    <w:abstractNumId w:val="9"/>
  </w:num>
  <w:num w:numId="17">
    <w:abstractNumId w:val="10"/>
  </w:num>
  <w:num w:numId="18">
    <w:abstractNumId w:val="37"/>
  </w:num>
  <w:num w:numId="19">
    <w:abstractNumId w:val="21"/>
  </w:num>
  <w:num w:numId="20">
    <w:abstractNumId w:val="17"/>
  </w:num>
  <w:num w:numId="21">
    <w:abstractNumId w:val="5"/>
  </w:num>
  <w:num w:numId="22">
    <w:abstractNumId w:val="24"/>
  </w:num>
  <w:num w:numId="23">
    <w:abstractNumId w:val="28"/>
  </w:num>
  <w:num w:numId="24">
    <w:abstractNumId w:val="15"/>
  </w:num>
  <w:num w:numId="25">
    <w:abstractNumId w:val="8"/>
  </w:num>
  <w:num w:numId="26">
    <w:abstractNumId w:val="2"/>
  </w:num>
  <w:num w:numId="27">
    <w:abstractNumId w:val="25"/>
  </w:num>
  <w:num w:numId="28">
    <w:abstractNumId w:val="29"/>
  </w:num>
  <w:num w:numId="29">
    <w:abstractNumId w:val="6"/>
  </w:num>
  <w:num w:numId="30">
    <w:abstractNumId w:val="23"/>
  </w:num>
  <w:num w:numId="31">
    <w:abstractNumId w:val="0"/>
  </w:num>
  <w:num w:numId="32">
    <w:abstractNumId w:val="36"/>
  </w:num>
  <w:num w:numId="33">
    <w:abstractNumId w:val="14"/>
  </w:num>
  <w:num w:numId="34">
    <w:abstractNumId w:val="16"/>
  </w:num>
  <w:num w:numId="35">
    <w:abstractNumId w:val="38"/>
  </w:num>
  <w:num w:numId="36">
    <w:abstractNumId w:val="22"/>
  </w:num>
  <w:num w:numId="37">
    <w:abstractNumId w:val="13"/>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 w:val="0,1,2,3,4,6,7,8,10,11,13"/>
    <w:docVar w:name="docversion" w:val="icr-standalone_3.0"/>
    <w:docVar w:name="lastsection" w:val="13"/>
  </w:docVars>
  <w:rsids>
    <w:rsidRoot w:val="001E1BD2"/>
    <w:rsid w:val="000001C7"/>
    <w:rsid w:val="00000FB0"/>
    <w:rsid w:val="00001183"/>
    <w:rsid w:val="0000214F"/>
    <w:rsid w:val="00003AF5"/>
    <w:rsid w:val="00005C94"/>
    <w:rsid w:val="00005F5F"/>
    <w:rsid w:val="00006896"/>
    <w:rsid w:val="00007B49"/>
    <w:rsid w:val="00007FF6"/>
    <w:rsid w:val="00010CC6"/>
    <w:rsid w:val="00011AEF"/>
    <w:rsid w:val="000128BA"/>
    <w:rsid w:val="00012A43"/>
    <w:rsid w:val="00012CA3"/>
    <w:rsid w:val="00014B14"/>
    <w:rsid w:val="000154F9"/>
    <w:rsid w:val="0001780A"/>
    <w:rsid w:val="00020664"/>
    <w:rsid w:val="00021731"/>
    <w:rsid w:val="000218FA"/>
    <w:rsid w:val="00022534"/>
    <w:rsid w:val="00023D77"/>
    <w:rsid w:val="0002462A"/>
    <w:rsid w:val="00024DC6"/>
    <w:rsid w:val="00025D8F"/>
    <w:rsid w:val="00026097"/>
    <w:rsid w:val="000269B1"/>
    <w:rsid w:val="000279F2"/>
    <w:rsid w:val="000307EC"/>
    <w:rsid w:val="00030989"/>
    <w:rsid w:val="00030D9B"/>
    <w:rsid w:val="0003112A"/>
    <w:rsid w:val="00033DAF"/>
    <w:rsid w:val="00035094"/>
    <w:rsid w:val="00036ACB"/>
    <w:rsid w:val="00036C23"/>
    <w:rsid w:val="0003783B"/>
    <w:rsid w:val="00042ECC"/>
    <w:rsid w:val="00044DFF"/>
    <w:rsid w:val="00045582"/>
    <w:rsid w:val="00045D6B"/>
    <w:rsid w:val="000520C3"/>
    <w:rsid w:val="000543CD"/>
    <w:rsid w:val="00054E58"/>
    <w:rsid w:val="0005554A"/>
    <w:rsid w:val="00055E38"/>
    <w:rsid w:val="00056AD5"/>
    <w:rsid w:val="00056D0A"/>
    <w:rsid w:val="00056E62"/>
    <w:rsid w:val="00057258"/>
    <w:rsid w:val="00057835"/>
    <w:rsid w:val="00057901"/>
    <w:rsid w:val="000616F3"/>
    <w:rsid w:val="00062A8A"/>
    <w:rsid w:val="00063B3B"/>
    <w:rsid w:val="00063C7D"/>
    <w:rsid w:val="0006545D"/>
    <w:rsid w:val="00065F47"/>
    <w:rsid w:val="00066DBA"/>
    <w:rsid w:val="00067966"/>
    <w:rsid w:val="00070D34"/>
    <w:rsid w:val="000717DA"/>
    <w:rsid w:val="00072E74"/>
    <w:rsid w:val="00073069"/>
    <w:rsid w:val="00073274"/>
    <w:rsid w:val="000749EA"/>
    <w:rsid w:val="000763E9"/>
    <w:rsid w:val="0007688B"/>
    <w:rsid w:val="00076C14"/>
    <w:rsid w:val="0007715B"/>
    <w:rsid w:val="000777A9"/>
    <w:rsid w:val="00077EDD"/>
    <w:rsid w:val="000847BD"/>
    <w:rsid w:val="00084F89"/>
    <w:rsid w:val="000852E1"/>
    <w:rsid w:val="000854F2"/>
    <w:rsid w:val="00085D06"/>
    <w:rsid w:val="000875BD"/>
    <w:rsid w:val="00087FB4"/>
    <w:rsid w:val="00093233"/>
    <w:rsid w:val="0009432E"/>
    <w:rsid w:val="00094561"/>
    <w:rsid w:val="00094621"/>
    <w:rsid w:val="00095DDE"/>
    <w:rsid w:val="0009613D"/>
    <w:rsid w:val="0009759D"/>
    <w:rsid w:val="000A13D1"/>
    <w:rsid w:val="000A14C0"/>
    <w:rsid w:val="000A1B60"/>
    <w:rsid w:val="000A3D95"/>
    <w:rsid w:val="000A4B9F"/>
    <w:rsid w:val="000A65A7"/>
    <w:rsid w:val="000A6656"/>
    <w:rsid w:val="000A722F"/>
    <w:rsid w:val="000B1AA5"/>
    <w:rsid w:val="000B27BB"/>
    <w:rsid w:val="000B3669"/>
    <w:rsid w:val="000B3890"/>
    <w:rsid w:val="000B4320"/>
    <w:rsid w:val="000B478B"/>
    <w:rsid w:val="000B53D2"/>
    <w:rsid w:val="000B56C5"/>
    <w:rsid w:val="000B5C39"/>
    <w:rsid w:val="000C004A"/>
    <w:rsid w:val="000C12E3"/>
    <w:rsid w:val="000C19EF"/>
    <w:rsid w:val="000C478C"/>
    <w:rsid w:val="000C58B9"/>
    <w:rsid w:val="000C6E00"/>
    <w:rsid w:val="000C74DC"/>
    <w:rsid w:val="000C79A0"/>
    <w:rsid w:val="000D0FE0"/>
    <w:rsid w:val="000D1F5E"/>
    <w:rsid w:val="000D3734"/>
    <w:rsid w:val="000D5B55"/>
    <w:rsid w:val="000E08BA"/>
    <w:rsid w:val="000E1562"/>
    <w:rsid w:val="000E161C"/>
    <w:rsid w:val="000E3557"/>
    <w:rsid w:val="000E3AD3"/>
    <w:rsid w:val="000E4A54"/>
    <w:rsid w:val="000E4FED"/>
    <w:rsid w:val="000E6D6A"/>
    <w:rsid w:val="000E778D"/>
    <w:rsid w:val="000F0218"/>
    <w:rsid w:val="000F079A"/>
    <w:rsid w:val="000F5DAF"/>
    <w:rsid w:val="000F6D1A"/>
    <w:rsid w:val="000F7533"/>
    <w:rsid w:val="0010204A"/>
    <w:rsid w:val="00105206"/>
    <w:rsid w:val="00106FD3"/>
    <w:rsid w:val="00107AF0"/>
    <w:rsid w:val="00107F11"/>
    <w:rsid w:val="00111FE0"/>
    <w:rsid w:val="001136B8"/>
    <w:rsid w:val="00113F16"/>
    <w:rsid w:val="00114B36"/>
    <w:rsid w:val="00115400"/>
    <w:rsid w:val="00115FD5"/>
    <w:rsid w:val="00116219"/>
    <w:rsid w:val="0011657C"/>
    <w:rsid w:val="00117C2E"/>
    <w:rsid w:val="00117F0C"/>
    <w:rsid w:val="00120537"/>
    <w:rsid w:val="00121781"/>
    <w:rsid w:val="00126542"/>
    <w:rsid w:val="0013307F"/>
    <w:rsid w:val="00134D76"/>
    <w:rsid w:val="00135A5C"/>
    <w:rsid w:val="001362DB"/>
    <w:rsid w:val="001363CD"/>
    <w:rsid w:val="00136E4E"/>
    <w:rsid w:val="0013730D"/>
    <w:rsid w:val="00137E37"/>
    <w:rsid w:val="0014072F"/>
    <w:rsid w:val="00140975"/>
    <w:rsid w:val="0014164F"/>
    <w:rsid w:val="001428D4"/>
    <w:rsid w:val="001436A9"/>
    <w:rsid w:val="00145C4E"/>
    <w:rsid w:val="001466DC"/>
    <w:rsid w:val="00147001"/>
    <w:rsid w:val="00147DB4"/>
    <w:rsid w:val="001503E9"/>
    <w:rsid w:val="0015319D"/>
    <w:rsid w:val="0015592A"/>
    <w:rsid w:val="00156026"/>
    <w:rsid w:val="00161F1A"/>
    <w:rsid w:val="00163BA3"/>
    <w:rsid w:val="00165BDE"/>
    <w:rsid w:val="001673D2"/>
    <w:rsid w:val="00167A85"/>
    <w:rsid w:val="00173499"/>
    <w:rsid w:val="001740A9"/>
    <w:rsid w:val="00175883"/>
    <w:rsid w:val="00175BFB"/>
    <w:rsid w:val="001763ED"/>
    <w:rsid w:val="001769FA"/>
    <w:rsid w:val="001770ED"/>
    <w:rsid w:val="00177C18"/>
    <w:rsid w:val="00177CA8"/>
    <w:rsid w:val="00180849"/>
    <w:rsid w:val="0018108F"/>
    <w:rsid w:val="0018231E"/>
    <w:rsid w:val="0018368A"/>
    <w:rsid w:val="0018755D"/>
    <w:rsid w:val="0019168D"/>
    <w:rsid w:val="00191E2C"/>
    <w:rsid w:val="00192A85"/>
    <w:rsid w:val="00192FBD"/>
    <w:rsid w:val="001944E7"/>
    <w:rsid w:val="00196FEE"/>
    <w:rsid w:val="00197A33"/>
    <w:rsid w:val="001A0E5B"/>
    <w:rsid w:val="001A1E1B"/>
    <w:rsid w:val="001A4E28"/>
    <w:rsid w:val="001A5E62"/>
    <w:rsid w:val="001B17EA"/>
    <w:rsid w:val="001B181C"/>
    <w:rsid w:val="001B1FFD"/>
    <w:rsid w:val="001B2682"/>
    <w:rsid w:val="001B299C"/>
    <w:rsid w:val="001B3A1F"/>
    <w:rsid w:val="001B3D1C"/>
    <w:rsid w:val="001B43FC"/>
    <w:rsid w:val="001B5209"/>
    <w:rsid w:val="001B6A86"/>
    <w:rsid w:val="001B7565"/>
    <w:rsid w:val="001B785D"/>
    <w:rsid w:val="001B7CEE"/>
    <w:rsid w:val="001C1C0D"/>
    <w:rsid w:val="001C28F5"/>
    <w:rsid w:val="001C3F32"/>
    <w:rsid w:val="001C4803"/>
    <w:rsid w:val="001C4852"/>
    <w:rsid w:val="001C499C"/>
    <w:rsid w:val="001C5640"/>
    <w:rsid w:val="001C5A19"/>
    <w:rsid w:val="001C6889"/>
    <w:rsid w:val="001C6892"/>
    <w:rsid w:val="001C77F1"/>
    <w:rsid w:val="001D0430"/>
    <w:rsid w:val="001D05DD"/>
    <w:rsid w:val="001D0FBD"/>
    <w:rsid w:val="001D102A"/>
    <w:rsid w:val="001D12D7"/>
    <w:rsid w:val="001D13EE"/>
    <w:rsid w:val="001D17D9"/>
    <w:rsid w:val="001D1A26"/>
    <w:rsid w:val="001D20FF"/>
    <w:rsid w:val="001D3020"/>
    <w:rsid w:val="001D30E7"/>
    <w:rsid w:val="001D36F0"/>
    <w:rsid w:val="001D41DE"/>
    <w:rsid w:val="001D6607"/>
    <w:rsid w:val="001D7283"/>
    <w:rsid w:val="001E0A41"/>
    <w:rsid w:val="001E1892"/>
    <w:rsid w:val="001E1BD2"/>
    <w:rsid w:val="001E2150"/>
    <w:rsid w:val="001E3155"/>
    <w:rsid w:val="001E3ACA"/>
    <w:rsid w:val="001E5449"/>
    <w:rsid w:val="001E57B1"/>
    <w:rsid w:val="001E5DFD"/>
    <w:rsid w:val="001E6B41"/>
    <w:rsid w:val="001E6FAB"/>
    <w:rsid w:val="001E7B85"/>
    <w:rsid w:val="001F06F7"/>
    <w:rsid w:val="001F0F94"/>
    <w:rsid w:val="001F1B3C"/>
    <w:rsid w:val="001F2CF5"/>
    <w:rsid w:val="001F2F8E"/>
    <w:rsid w:val="001F4553"/>
    <w:rsid w:val="001F464D"/>
    <w:rsid w:val="001F520A"/>
    <w:rsid w:val="001F5AFF"/>
    <w:rsid w:val="001F5D46"/>
    <w:rsid w:val="001F6AD3"/>
    <w:rsid w:val="001F71FC"/>
    <w:rsid w:val="001F741E"/>
    <w:rsid w:val="001F7500"/>
    <w:rsid w:val="00200586"/>
    <w:rsid w:val="0020074A"/>
    <w:rsid w:val="0020173C"/>
    <w:rsid w:val="002019D4"/>
    <w:rsid w:val="00201F1F"/>
    <w:rsid w:val="002021E3"/>
    <w:rsid w:val="002028CE"/>
    <w:rsid w:val="0020413A"/>
    <w:rsid w:val="0020672B"/>
    <w:rsid w:val="00206B3E"/>
    <w:rsid w:val="00210A83"/>
    <w:rsid w:val="00210CF6"/>
    <w:rsid w:val="00210D79"/>
    <w:rsid w:val="00213AB5"/>
    <w:rsid w:val="00214251"/>
    <w:rsid w:val="002143A9"/>
    <w:rsid w:val="0021478A"/>
    <w:rsid w:val="00214884"/>
    <w:rsid w:val="00215075"/>
    <w:rsid w:val="00215BCD"/>
    <w:rsid w:val="00215EA3"/>
    <w:rsid w:val="00216FB3"/>
    <w:rsid w:val="002173BA"/>
    <w:rsid w:val="00217B07"/>
    <w:rsid w:val="00217B25"/>
    <w:rsid w:val="00217D6E"/>
    <w:rsid w:val="00220D8D"/>
    <w:rsid w:val="00222013"/>
    <w:rsid w:val="00222B3C"/>
    <w:rsid w:val="00223AC9"/>
    <w:rsid w:val="0022452A"/>
    <w:rsid w:val="002250FD"/>
    <w:rsid w:val="00227B22"/>
    <w:rsid w:val="002312CE"/>
    <w:rsid w:val="002318A9"/>
    <w:rsid w:val="00231C12"/>
    <w:rsid w:val="00231F11"/>
    <w:rsid w:val="00232351"/>
    <w:rsid w:val="0023268D"/>
    <w:rsid w:val="00236817"/>
    <w:rsid w:val="002368EA"/>
    <w:rsid w:val="0024113C"/>
    <w:rsid w:val="002428BD"/>
    <w:rsid w:val="002445A9"/>
    <w:rsid w:val="00245421"/>
    <w:rsid w:val="00247381"/>
    <w:rsid w:val="00247CC5"/>
    <w:rsid w:val="00251F23"/>
    <w:rsid w:val="00252A44"/>
    <w:rsid w:val="00253DD4"/>
    <w:rsid w:val="00255042"/>
    <w:rsid w:val="00256908"/>
    <w:rsid w:val="0026071F"/>
    <w:rsid w:val="00260CA4"/>
    <w:rsid w:val="00261DF3"/>
    <w:rsid w:val="002625D2"/>
    <w:rsid w:val="00262E41"/>
    <w:rsid w:val="00262E96"/>
    <w:rsid w:val="00263A6C"/>
    <w:rsid w:val="00264FFC"/>
    <w:rsid w:val="00265D0D"/>
    <w:rsid w:val="00266BCF"/>
    <w:rsid w:val="00267D23"/>
    <w:rsid w:val="00271197"/>
    <w:rsid w:val="00271BAA"/>
    <w:rsid w:val="00271EB3"/>
    <w:rsid w:val="0027374A"/>
    <w:rsid w:val="00274CB5"/>
    <w:rsid w:val="00275670"/>
    <w:rsid w:val="00276068"/>
    <w:rsid w:val="002772C0"/>
    <w:rsid w:val="002776E1"/>
    <w:rsid w:val="00280556"/>
    <w:rsid w:val="00283C25"/>
    <w:rsid w:val="00283F78"/>
    <w:rsid w:val="0028498B"/>
    <w:rsid w:val="00285872"/>
    <w:rsid w:val="00293624"/>
    <w:rsid w:val="0029505F"/>
    <w:rsid w:val="00295086"/>
    <w:rsid w:val="00295286"/>
    <w:rsid w:val="002961C8"/>
    <w:rsid w:val="00296B6D"/>
    <w:rsid w:val="0029779A"/>
    <w:rsid w:val="002A24D2"/>
    <w:rsid w:val="002A276F"/>
    <w:rsid w:val="002A5E13"/>
    <w:rsid w:val="002A6ED6"/>
    <w:rsid w:val="002B1319"/>
    <w:rsid w:val="002B4550"/>
    <w:rsid w:val="002B5C77"/>
    <w:rsid w:val="002B68E4"/>
    <w:rsid w:val="002B7045"/>
    <w:rsid w:val="002B728F"/>
    <w:rsid w:val="002C0249"/>
    <w:rsid w:val="002C03F8"/>
    <w:rsid w:val="002C163B"/>
    <w:rsid w:val="002C1810"/>
    <w:rsid w:val="002C3F71"/>
    <w:rsid w:val="002C4709"/>
    <w:rsid w:val="002C786D"/>
    <w:rsid w:val="002D1558"/>
    <w:rsid w:val="002D16E8"/>
    <w:rsid w:val="002D3ED2"/>
    <w:rsid w:val="002D4F34"/>
    <w:rsid w:val="002D5192"/>
    <w:rsid w:val="002D62DD"/>
    <w:rsid w:val="002D69EC"/>
    <w:rsid w:val="002D6AD3"/>
    <w:rsid w:val="002E1BE6"/>
    <w:rsid w:val="002E1E15"/>
    <w:rsid w:val="002E2376"/>
    <w:rsid w:val="002E248E"/>
    <w:rsid w:val="002E2BBF"/>
    <w:rsid w:val="002E2CB3"/>
    <w:rsid w:val="002E340B"/>
    <w:rsid w:val="002E436B"/>
    <w:rsid w:val="002E67C9"/>
    <w:rsid w:val="002E69E3"/>
    <w:rsid w:val="002F028D"/>
    <w:rsid w:val="002F20DE"/>
    <w:rsid w:val="002F518C"/>
    <w:rsid w:val="002F6191"/>
    <w:rsid w:val="002F6B5C"/>
    <w:rsid w:val="002F6FFF"/>
    <w:rsid w:val="002F79C7"/>
    <w:rsid w:val="003023B5"/>
    <w:rsid w:val="00303197"/>
    <w:rsid w:val="00303D93"/>
    <w:rsid w:val="00306CFC"/>
    <w:rsid w:val="003078BC"/>
    <w:rsid w:val="003128D6"/>
    <w:rsid w:val="0031321F"/>
    <w:rsid w:val="00313A01"/>
    <w:rsid w:val="00313AEF"/>
    <w:rsid w:val="00314DFF"/>
    <w:rsid w:val="0031728F"/>
    <w:rsid w:val="0032023B"/>
    <w:rsid w:val="00320C2B"/>
    <w:rsid w:val="00321F3B"/>
    <w:rsid w:val="00321F54"/>
    <w:rsid w:val="003224AC"/>
    <w:rsid w:val="00322CDC"/>
    <w:rsid w:val="00323651"/>
    <w:rsid w:val="00323D71"/>
    <w:rsid w:val="00325ADD"/>
    <w:rsid w:val="00326432"/>
    <w:rsid w:val="00331CA6"/>
    <w:rsid w:val="0033668D"/>
    <w:rsid w:val="00337C04"/>
    <w:rsid w:val="00340766"/>
    <w:rsid w:val="003407A3"/>
    <w:rsid w:val="0034090E"/>
    <w:rsid w:val="00343F8D"/>
    <w:rsid w:val="00344332"/>
    <w:rsid w:val="00344412"/>
    <w:rsid w:val="00344C35"/>
    <w:rsid w:val="003466DD"/>
    <w:rsid w:val="0034737B"/>
    <w:rsid w:val="0034799A"/>
    <w:rsid w:val="0035128B"/>
    <w:rsid w:val="00351541"/>
    <w:rsid w:val="00352767"/>
    <w:rsid w:val="00353A45"/>
    <w:rsid w:val="00354484"/>
    <w:rsid w:val="003566DC"/>
    <w:rsid w:val="00357BA5"/>
    <w:rsid w:val="00360093"/>
    <w:rsid w:val="0036085B"/>
    <w:rsid w:val="00360CF2"/>
    <w:rsid w:val="003615CB"/>
    <w:rsid w:val="00361AE5"/>
    <w:rsid w:val="00362239"/>
    <w:rsid w:val="0036355B"/>
    <w:rsid w:val="00365885"/>
    <w:rsid w:val="00365D99"/>
    <w:rsid w:val="00365DC3"/>
    <w:rsid w:val="0036617B"/>
    <w:rsid w:val="0036643C"/>
    <w:rsid w:val="00370654"/>
    <w:rsid w:val="0037088B"/>
    <w:rsid w:val="00370EB6"/>
    <w:rsid w:val="00372010"/>
    <w:rsid w:val="00372748"/>
    <w:rsid w:val="00373169"/>
    <w:rsid w:val="0037454E"/>
    <w:rsid w:val="00374B03"/>
    <w:rsid w:val="0037578F"/>
    <w:rsid w:val="00375DB5"/>
    <w:rsid w:val="00376FAB"/>
    <w:rsid w:val="00377CE6"/>
    <w:rsid w:val="00377D7A"/>
    <w:rsid w:val="00380047"/>
    <w:rsid w:val="00380BFA"/>
    <w:rsid w:val="00380D2B"/>
    <w:rsid w:val="00381E46"/>
    <w:rsid w:val="00382A52"/>
    <w:rsid w:val="00383848"/>
    <w:rsid w:val="00383F16"/>
    <w:rsid w:val="00384B29"/>
    <w:rsid w:val="00384DF6"/>
    <w:rsid w:val="0038560F"/>
    <w:rsid w:val="00385A40"/>
    <w:rsid w:val="00386B48"/>
    <w:rsid w:val="003904D8"/>
    <w:rsid w:val="00391B57"/>
    <w:rsid w:val="00393579"/>
    <w:rsid w:val="003939DF"/>
    <w:rsid w:val="00393FE2"/>
    <w:rsid w:val="00394D38"/>
    <w:rsid w:val="00395CA3"/>
    <w:rsid w:val="00395FD2"/>
    <w:rsid w:val="003A4496"/>
    <w:rsid w:val="003A7621"/>
    <w:rsid w:val="003B0BF7"/>
    <w:rsid w:val="003B1A9B"/>
    <w:rsid w:val="003B1D43"/>
    <w:rsid w:val="003B1ED7"/>
    <w:rsid w:val="003B58DA"/>
    <w:rsid w:val="003B6286"/>
    <w:rsid w:val="003C0116"/>
    <w:rsid w:val="003C0DFE"/>
    <w:rsid w:val="003C12C9"/>
    <w:rsid w:val="003C2D20"/>
    <w:rsid w:val="003C3971"/>
    <w:rsid w:val="003C4BAF"/>
    <w:rsid w:val="003C692A"/>
    <w:rsid w:val="003C7055"/>
    <w:rsid w:val="003C7A31"/>
    <w:rsid w:val="003D0036"/>
    <w:rsid w:val="003D04BF"/>
    <w:rsid w:val="003D2735"/>
    <w:rsid w:val="003D318E"/>
    <w:rsid w:val="003D33CE"/>
    <w:rsid w:val="003D37E6"/>
    <w:rsid w:val="003D3DE8"/>
    <w:rsid w:val="003D4AF8"/>
    <w:rsid w:val="003D645E"/>
    <w:rsid w:val="003D74CF"/>
    <w:rsid w:val="003D7E33"/>
    <w:rsid w:val="003E29F5"/>
    <w:rsid w:val="003E43EF"/>
    <w:rsid w:val="003E59CB"/>
    <w:rsid w:val="003E5FB7"/>
    <w:rsid w:val="003E6006"/>
    <w:rsid w:val="003E6A86"/>
    <w:rsid w:val="003E6E41"/>
    <w:rsid w:val="003E6F01"/>
    <w:rsid w:val="003E75E7"/>
    <w:rsid w:val="003F1D3D"/>
    <w:rsid w:val="003F349D"/>
    <w:rsid w:val="003F4A68"/>
    <w:rsid w:val="003F594F"/>
    <w:rsid w:val="003F74D2"/>
    <w:rsid w:val="0040199D"/>
    <w:rsid w:val="00402532"/>
    <w:rsid w:val="00403E74"/>
    <w:rsid w:val="00404873"/>
    <w:rsid w:val="00404F3E"/>
    <w:rsid w:val="0040547B"/>
    <w:rsid w:val="00406E20"/>
    <w:rsid w:val="00412061"/>
    <w:rsid w:val="0041534C"/>
    <w:rsid w:val="0041674A"/>
    <w:rsid w:val="004167E7"/>
    <w:rsid w:val="00417794"/>
    <w:rsid w:val="00420504"/>
    <w:rsid w:val="0042058E"/>
    <w:rsid w:val="004212A2"/>
    <w:rsid w:val="004214F2"/>
    <w:rsid w:val="004218AD"/>
    <w:rsid w:val="00421DB6"/>
    <w:rsid w:val="00425826"/>
    <w:rsid w:val="0042751F"/>
    <w:rsid w:val="00427BFC"/>
    <w:rsid w:val="00431767"/>
    <w:rsid w:val="00431D29"/>
    <w:rsid w:val="004336E0"/>
    <w:rsid w:val="004352F8"/>
    <w:rsid w:val="00435A0F"/>
    <w:rsid w:val="0043742C"/>
    <w:rsid w:val="0044009B"/>
    <w:rsid w:val="00444001"/>
    <w:rsid w:val="00444FB1"/>
    <w:rsid w:val="00446632"/>
    <w:rsid w:val="00446BBE"/>
    <w:rsid w:val="0044724E"/>
    <w:rsid w:val="0045063F"/>
    <w:rsid w:val="00450B30"/>
    <w:rsid w:val="00451C2C"/>
    <w:rsid w:val="004532BE"/>
    <w:rsid w:val="00453AF1"/>
    <w:rsid w:val="00454490"/>
    <w:rsid w:val="004604E2"/>
    <w:rsid w:val="0046078D"/>
    <w:rsid w:val="0046098C"/>
    <w:rsid w:val="00461A79"/>
    <w:rsid w:val="00462D43"/>
    <w:rsid w:val="004634A9"/>
    <w:rsid w:val="00464409"/>
    <w:rsid w:val="004661CE"/>
    <w:rsid w:val="004678CF"/>
    <w:rsid w:val="00467FB1"/>
    <w:rsid w:val="00473A55"/>
    <w:rsid w:val="00475D20"/>
    <w:rsid w:val="0047727A"/>
    <w:rsid w:val="00480588"/>
    <w:rsid w:val="00481B90"/>
    <w:rsid w:val="004826E5"/>
    <w:rsid w:val="0048550C"/>
    <w:rsid w:val="00485C3F"/>
    <w:rsid w:val="00485FB1"/>
    <w:rsid w:val="0049239D"/>
    <w:rsid w:val="00494D61"/>
    <w:rsid w:val="004953AA"/>
    <w:rsid w:val="004957C8"/>
    <w:rsid w:val="00496C00"/>
    <w:rsid w:val="004A01CD"/>
    <w:rsid w:val="004A2152"/>
    <w:rsid w:val="004A23B3"/>
    <w:rsid w:val="004A2754"/>
    <w:rsid w:val="004A4264"/>
    <w:rsid w:val="004A590B"/>
    <w:rsid w:val="004A6100"/>
    <w:rsid w:val="004A7A95"/>
    <w:rsid w:val="004B20D2"/>
    <w:rsid w:val="004B3D71"/>
    <w:rsid w:val="004B5090"/>
    <w:rsid w:val="004B5B94"/>
    <w:rsid w:val="004B5C66"/>
    <w:rsid w:val="004B66C5"/>
    <w:rsid w:val="004B694D"/>
    <w:rsid w:val="004B729B"/>
    <w:rsid w:val="004C067E"/>
    <w:rsid w:val="004C125B"/>
    <w:rsid w:val="004C166E"/>
    <w:rsid w:val="004C45F7"/>
    <w:rsid w:val="004C4F93"/>
    <w:rsid w:val="004C57C9"/>
    <w:rsid w:val="004C5D04"/>
    <w:rsid w:val="004C6709"/>
    <w:rsid w:val="004C688D"/>
    <w:rsid w:val="004C6B9B"/>
    <w:rsid w:val="004C6BBA"/>
    <w:rsid w:val="004D067E"/>
    <w:rsid w:val="004D25B2"/>
    <w:rsid w:val="004D322D"/>
    <w:rsid w:val="004D4DCB"/>
    <w:rsid w:val="004D584F"/>
    <w:rsid w:val="004D6E81"/>
    <w:rsid w:val="004D6E8E"/>
    <w:rsid w:val="004E066C"/>
    <w:rsid w:val="004E0EFD"/>
    <w:rsid w:val="004E10F6"/>
    <w:rsid w:val="004E1C94"/>
    <w:rsid w:val="004E761F"/>
    <w:rsid w:val="004F195E"/>
    <w:rsid w:val="004F2EEE"/>
    <w:rsid w:val="004F34B1"/>
    <w:rsid w:val="004F4647"/>
    <w:rsid w:val="004F6250"/>
    <w:rsid w:val="004F7098"/>
    <w:rsid w:val="0050015C"/>
    <w:rsid w:val="005001D2"/>
    <w:rsid w:val="0050049A"/>
    <w:rsid w:val="00501672"/>
    <w:rsid w:val="00502ABB"/>
    <w:rsid w:val="005034ED"/>
    <w:rsid w:val="00504600"/>
    <w:rsid w:val="00505A63"/>
    <w:rsid w:val="00505D82"/>
    <w:rsid w:val="00505DE2"/>
    <w:rsid w:val="00506CB6"/>
    <w:rsid w:val="005076AB"/>
    <w:rsid w:val="00507787"/>
    <w:rsid w:val="00511708"/>
    <w:rsid w:val="0051283B"/>
    <w:rsid w:val="00512C9A"/>
    <w:rsid w:val="00512DEE"/>
    <w:rsid w:val="00513A75"/>
    <w:rsid w:val="00513A84"/>
    <w:rsid w:val="005145A8"/>
    <w:rsid w:val="00515763"/>
    <w:rsid w:val="0051759D"/>
    <w:rsid w:val="00517E96"/>
    <w:rsid w:val="00522420"/>
    <w:rsid w:val="005242A4"/>
    <w:rsid w:val="0052584C"/>
    <w:rsid w:val="00530655"/>
    <w:rsid w:val="0053161E"/>
    <w:rsid w:val="00533A2B"/>
    <w:rsid w:val="0053572C"/>
    <w:rsid w:val="00537DDF"/>
    <w:rsid w:val="00540588"/>
    <w:rsid w:val="00540FAD"/>
    <w:rsid w:val="00541167"/>
    <w:rsid w:val="005451E1"/>
    <w:rsid w:val="00546BFB"/>
    <w:rsid w:val="00547A7D"/>
    <w:rsid w:val="00551C19"/>
    <w:rsid w:val="005527F4"/>
    <w:rsid w:val="00554210"/>
    <w:rsid w:val="00554679"/>
    <w:rsid w:val="00554EDC"/>
    <w:rsid w:val="00554F81"/>
    <w:rsid w:val="0055662C"/>
    <w:rsid w:val="00557A81"/>
    <w:rsid w:val="00564FC4"/>
    <w:rsid w:val="00565CDD"/>
    <w:rsid w:val="00567420"/>
    <w:rsid w:val="00567D1E"/>
    <w:rsid w:val="005729E4"/>
    <w:rsid w:val="00573476"/>
    <w:rsid w:val="00574E4C"/>
    <w:rsid w:val="0057569F"/>
    <w:rsid w:val="00577582"/>
    <w:rsid w:val="00577B8A"/>
    <w:rsid w:val="00581F27"/>
    <w:rsid w:val="005823AE"/>
    <w:rsid w:val="00582984"/>
    <w:rsid w:val="00582F43"/>
    <w:rsid w:val="00590D15"/>
    <w:rsid w:val="0059129A"/>
    <w:rsid w:val="00591AB6"/>
    <w:rsid w:val="00592407"/>
    <w:rsid w:val="005926FC"/>
    <w:rsid w:val="0059533A"/>
    <w:rsid w:val="00595E11"/>
    <w:rsid w:val="00595FCA"/>
    <w:rsid w:val="005960EF"/>
    <w:rsid w:val="005A0D12"/>
    <w:rsid w:val="005A3087"/>
    <w:rsid w:val="005A40EA"/>
    <w:rsid w:val="005A49B2"/>
    <w:rsid w:val="005A5FF3"/>
    <w:rsid w:val="005A681A"/>
    <w:rsid w:val="005B1219"/>
    <w:rsid w:val="005B2403"/>
    <w:rsid w:val="005B2D2D"/>
    <w:rsid w:val="005B3309"/>
    <w:rsid w:val="005B38D6"/>
    <w:rsid w:val="005B45CE"/>
    <w:rsid w:val="005B5442"/>
    <w:rsid w:val="005B65D3"/>
    <w:rsid w:val="005B6E99"/>
    <w:rsid w:val="005C023C"/>
    <w:rsid w:val="005C4E81"/>
    <w:rsid w:val="005C762D"/>
    <w:rsid w:val="005C796D"/>
    <w:rsid w:val="005D20C7"/>
    <w:rsid w:val="005D3509"/>
    <w:rsid w:val="005D3578"/>
    <w:rsid w:val="005D58B2"/>
    <w:rsid w:val="005D67ED"/>
    <w:rsid w:val="005D6D65"/>
    <w:rsid w:val="005D76C3"/>
    <w:rsid w:val="005D7EB1"/>
    <w:rsid w:val="005E00D1"/>
    <w:rsid w:val="005E0CE7"/>
    <w:rsid w:val="005E11FC"/>
    <w:rsid w:val="005E2888"/>
    <w:rsid w:val="005E657C"/>
    <w:rsid w:val="005E6EAB"/>
    <w:rsid w:val="005F0174"/>
    <w:rsid w:val="005F05A8"/>
    <w:rsid w:val="005F0918"/>
    <w:rsid w:val="005F1291"/>
    <w:rsid w:val="005F16F4"/>
    <w:rsid w:val="005F1A38"/>
    <w:rsid w:val="005F1AE0"/>
    <w:rsid w:val="005F426E"/>
    <w:rsid w:val="005F6C54"/>
    <w:rsid w:val="005F6D17"/>
    <w:rsid w:val="005F75B5"/>
    <w:rsid w:val="00600204"/>
    <w:rsid w:val="006036D3"/>
    <w:rsid w:val="00603888"/>
    <w:rsid w:val="006052F6"/>
    <w:rsid w:val="006059D7"/>
    <w:rsid w:val="00606145"/>
    <w:rsid w:val="00606DB1"/>
    <w:rsid w:val="006076DC"/>
    <w:rsid w:val="00610EEB"/>
    <w:rsid w:val="00614F12"/>
    <w:rsid w:val="0061683B"/>
    <w:rsid w:val="006168E6"/>
    <w:rsid w:val="0061727A"/>
    <w:rsid w:val="00620A84"/>
    <w:rsid w:val="0062145A"/>
    <w:rsid w:val="00621BA6"/>
    <w:rsid w:val="00622207"/>
    <w:rsid w:val="006226F0"/>
    <w:rsid w:val="0062297D"/>
    <w:rsid w:val="00623A6C"/>
    <w:rsid w:val="00623F68"/>
    <w:rsid w:val="00624B2E"/>
    <w:rsid w:val="0062561D"/>
    <w:rsid w:val="006312F8"/>
    <w:rsid w:val="00633596"/>
    <w:rsid w:val="00634A07"/>
    <w:rsid w:val="006367EE"/>
    <w:rsid w:val="0063763B"/>
    <w:rsid w:val="0064190D"/>
    <w:rsid w:val="0064300C"/>
    <w:rsid w:val="00643C70"/>
    <w:rsid w:val="00645125"/>
    <w:rsid w:val="00647697"/>
    <w:rsid w:val="00650668"/>
    <w:rsid w:val="0065138A"/>
    <w:rsid w:val="00651CF8"/>
    <w:rsid w:val="0065324E"/>
    <w:rsid w:val="00655811"/>
    <w:rsid w:val="006561F8"/>
    <w:rsid w:val="00656279"/>
    <w:rsid w:val="0065683C"/>
    <w:rsid w:val="0065712E"/>
    <w:rsid w:val="006633A1"/>
    <w:rsid w:val="00663BB0"/>
    <w:rsid w:val="00663F61"/>
    <w:rsid w:val="00664B74"/>
    <w:rsid w:val="00665B6B"/>
    <w:rsid w:val="0066690B"/>
    <w:rsid w:val="00667CAE"/>
    <w:rsid w:val="00670015"/>
    <w:rsid w:val="00672066"/>
    <w:rsid w:val="00673E06"/>
    <w:rsid w:val="006752EB"/>
    <w:rsid w:val="00675C23"/>
    <w:rsid w:val="00675F7B"/>
    <w:rsid w:val="00676A28"/>
    <w:rsid w:val="0068048C"/>
    <w:rsid w:val="00680A23"/>
    <w:rsid w:val="00681D78"/>
    <w:rsid w:val="0068697D"/>
    <w:rsid w:val="006875ED"/>
    <w:rsid w:val="00687E6B"/>
    <w:rsid w:val="006902E0"/>
    <w:rsid w:val="0069031C"/>
    <w:rsid w:val="00690E2E"/>
    <w:rsid w:val="0069275E"/>
    <w:rsid w:val="00692E93"/>
    <w:rsid w:val="006938C2"/>
    <w:rsid w:val="006948D7"/>
    <w:rsid w:val="00694F47"/>
    <w:rsid w:val="00695D5C"/>
    <w:rsid w:val="006964A6"/>
    <w:rsid w:val="006A07EE"/>
    <w:rsid w:val="006A14B8"/>
    <w:rsid w:val="006A3B53"/>
    <w:rsid w:val="006A41B7"/>
    <w:rsid w:val="006A5CCF"/>
    <w:rsid w:val="006A6699"/>
    <w:rsid w:val="006A6A30"/>
    <w:rsid w:val="006A6DDD"/>
    <w:rsid w:val="006A7149"/>
    <w:rsid w:val="006A776D"/>
    <w:rsid w:val="006B07F8"/>
    <w:rsid w:val="006B0D3D"/>
    <w:rsid w:val="006B22E4"/>
    <w:rsid w:val="006B258B"/>
    <w:rsid w:val="006B26DD"/>
    <w:rsid w:val="006B2894"/>
    <w:rsid w:val="006B2F25"/>
    <w:rsid w:val="006B37CD"/>
    <w:rsid w:val="006B410A"/>
    <w:rsid w:val="006B5819"/>
    <w:rsid w:val="006B7754"/>
    <w:rsid w:val="006B7A5F"/>
    <w:rsid w:val="006C11D6"/>
    <w:rsid w:val="006C1AF9"/>
    <w:rsid w:val="006C3152"/>
    <w:rsid w:val="006C36CD"/>
    <w:rsid w:val="006C3A46"/>
    <w:rsid w:val="006C5290"/>
    <w:rsid w:val="006C60EE"/>
    <w:rsid w:val="006C6DD5"/>
    <w:rsid w:val="006C7354"/>
    <w:rsid w:val="006D381C"/>
    <w:rsid w:val="006D440E"/>
    <w:rsid w:val="006D60BC"/>
    <w:rsid w:val="006E0CF2"/>
    <w:rsid w:val="006E263E"/>
    <w:rsid w:val="006E3DC6"/>
    <w:rsid w:val="006E5248"/>
    <w:rsid w:val="006E53D0"/>
    <w:rsid w:val="006E54A7"/>
    <w:rsid w:val="006E62D1"/>
    <w:rsid w:val="006E6C00"/>
    <w:rsid w:val="006F0D46"/>
    <w:rsid w:val="006F1FD7"/>
    <w:rsid w:val="006F1FF4"/>
    <w:rsid w:val="006F31D2"/>
    <w:rsid w:val="006F6230"/>
    <w:rsid w:val="006F7FD8"/>
    <w:rsid w:val="00700DEB"/>
    <w:rsid w:val="00701774"/>
    <w:rsid w:val="00701799"/>
    <w:rsid w:val="007023DA"/>
    <w:rsid w:val="007029A0"/>
    <w:rsid w:val="00702B66"/>
    <w:rsid w:val="007043B8"/>
    <w:rsid w:val="0070445A"/>
    <w:rsid w:val="00704567"/>
    <w:rsid w:val="00704ACC"/>
    <w:rsid w:val="007055D3"/>
    <w:rsid w:val="0070629E"/>
    <w:rsid w:val="0070651C"/>
    <w:rsid w:val="007078F6"/>
    <w:rsid w:val="0070793D"/>
    <w:rsid w:val="00710333"/>
    <w:rsid w:val="00710684"/>
    <w:rsid w:val="007124FB"/>
    <w:rsid w:val="00712674"/>
    <w:rsid w:val="00713016"/>
    <w:rsid w:val="007133BA"/>
    <w:rsid w:val="00714185"/>
    <w:rsid w:val="0071466C"/>
    <w:rsid w:val="00714BCB"/>
    <w:rsid w:val="0071502D"/>
    <w:rsid w:val="00716F7A"/>
    <w:rsid w:val="00717450"/>
    <w:rsid w:val="0071777C"/>
    <w:rsid w:val="0071788E"/>
    <w:rsid w:val="00721C1F"/>
    <w:rsid w:val="00722680"/>
    <w:rsid w:val="007230B7"/>
    <w:rsid w:val="00723212"/>
    <w:rsid w:val="00725856"/>
    <w:rsid w:val="00726190"/>
    <w:rsid w:val="0072639C"/>
    <w:rsid w:val="00727800"/>
    <w:rsid w:val="00727BEC"/>
    <w:rsid w:val="00727ED3"/>
    <w:rsid w:val="0073027E"/>
    <w:rsid w:val="0073364B"/>
    <w:rsid w:val="00734520"/>
    <w:rsid w:val="00735935"/>
    <w:rsid w:val="00735A6F"/>
    <w:rsid w:val="00736582"/>
    <w:rsid w:val="007372B2"/>
    <w:rsid w:val="00737887"/>
    <w:rsid w:val="00737E29"/>
    <w:rsid w:val="00737F62"/>
    <w:rsid w:val="007404C7"/>
    <w:rsid w:val="007405CD"/>
    <w:rsid w:val="00740E85"/>
    <w:rsid w:val="0074146B"/>
    <w:rsid w:val="007419CB"/>
    <w:rsid w:val="00743A6F"/>
    <w:rsid w:val="00744A44"/>
    <w:rsid w:val="00745A54"/>
    <w:rsid w:val="007476C9"/>
    <w:rsid w:val="00751F11"/>
    <w:rsid w:val="00753357"/>
    <w:rsid w:val="007533D0"/>
    <w:rsid w:val="0075425C"/>
    <w:rsid w:val="00756251"/>
    <w:rsid w:val="007569B3"/>
    <w:rsid w:val="007574EB"/>
    <w:rsid w:val="00757A64"/>
    <w:rsid w:val="00763DDA"/>
    <w:rsid w:val="00764859"/>
    <w:rsid w:val="00764B4F"/>
    <w:rsid w:val="00765087"/>
    <w:rsid w:val="00767AD6"/>
    <w:rsid w:val="00767C7A"/>
    <w:rsid w:val="0077134E"/>
    <w:rsid w:val="007740F0"/>
    <w:rsid w:val="00775572"/>
    <w:rsid w:val="00782132"/>
    <w:rsid w:val="0078236E"/>
    <w:rsid w:val="007836F4"/>
    <w:rsid w:val="00785447"/>
    <w:rsid w:val="0078545C"/>
    <w:rsid w:val="00787582"/>
    <w:rsid w:val="00790FD7"/>
    <w:rsid w:val="00791210"/>
    <w:rsid w:val="007922EF"/>
    <w:rsid w:val="007923F5"/>
    <w:rsid w:val="00793C69"/>
    <w:rsid w:val="007941A0"/>
    <w:rsid w:val="007A0A45"/>
    <w:rsid w:val="007A1EF8"/>
    <w:rsid w:val="007A1FC0"/>
    <w:rsid w:val="007A2786"/>
    <w:rsid w:val="007A3304"/>
    <w:rsid w:val="007A3348"/>
    <w:rsid w:val="007A39FF"/>
    <w:rsid w:val="007A3C81"/>
    <w:rsid w:val="007A3FD4"/>
    <w:rsid w:val="007A4958"/>
    <w:rsid w:val="007A54C7"/>
    <w:rsid w:val="007A5764"/>
    <w:rsid w:val="007B022C"/>
    <w:rsid w:val="007B0FAF"/>
    <w:rsid w:val="007B0FC6"/>
    <w:rsid w:val="007B21C5"/>
    <w:rsid w:val="007B29E6"/>
    <w:rsid w:val="007B4082"/>
    <w:rsid w:val="007B4FBB"/>
    <w:rsid w:val="007B74ED"/>
    <w:rsid w:val="007C0B17"/>
    <w:rsid w:val="007C1340"/>
    <w:rsid w:val="007C1AC7"/>
    <w:rsid w:val="007C278B"/>
    <w:rsid w:val="007C31C8"/>
    <w:rsid w:val="007C3C17"/>
    <w:rsid w:val="007C4827"/>
    <w:rsid w:val="007C4842"/>
    <w:rsid w:val="007C521F"/>
    <w:rsid w:val="007C569F"/>
    <w:rsid w:val="007C57B9"/>
    <w:rsid w:val="007C650D"/>
    <w:rsid w:val="007C6AF0"/>
    <w:rsid w:val="007D285A"/>
    <w:rsid w:val="007D4110"/>
    <w:rsid w:val="007D4E7E"/>
    <w:rsid w:val="007D58F2"/>
    <w:rsid w:val="007D6506"/>
    <w:rsid w:val="007D655C"/>
    <w:rsid w:val="007D70EA"/>
    <w:rsid w:val="007E0F0D"/>
    <w:rsid w:val="007E37CA"/>
    <w:rsid w:val="007E3D75"/>
    <w:rsid w:val="007E5563"/>
    <w:rsid w:val="007F0644"/>
    <w:rsid w:val="007F0FDF"/>
    <w:rsid w:val="007F1593"/>
    <w:rsid w:val="007F326C"/>
    <w:rsid w:val="007F4037"/>
    <w:rsid w:val="007F4ED5"/>
    <w:rsid w:val="007F6A99"/>
    <w:rsid w:val="00801AFA"/>
    <w:rsid w:val="00801C68"/>
    <w:rsid w:val="00801E9D"/>
    <w:rsid w:val="00807C07"/>
    <w:rsid w:val="008114A1"/>
    <w:rsid w:val="00811AFA"/>
    <w:rsid w:val="00811F84"/>
    <w:rsid w:val="00812C15"/>
    <w:rsid w:val="00812F70"/>
    <w:rsid w:val="008131FC"/>
    <w:rsid w:val="00816425"/>
    <w:rsid w:val="00816464"/>
    <w:rsid w:val="00816875"/>
    <w:rsid w:val="008175FB"/>
    <w:rsid w:val="00823F0E"/>
    <w:rsid w:val="008242E5"/>
    <w:rsid w:val="0082486A"/>
    <w:rsid w:val="00825517"/>
    <w:rsid w:val="00827EC1"/>
    <w:rsid w:val="00827F67"/>
    <w:rsid w:val="008305CC"/>
    <w:rsid w:val="0083183D"/>
    <w:rsid w:val="00833126"/>
    <w:rsid w:val="00833689"/>
    <w:rsid w:val="00833FAD"/>
    <w:rsid w:val="0083730F"/>
    <w:rsid w:val="00837D1E"/>
    <w:rsid w:val="00843865"/>
    <w:rsid w:val="008449B1"/>
    <w:rsid w:val="00844A42"/>
    <w:rsid w:val="00845B0A"/>
    <w:rsid w:val="00845B1F"/>
    <w:rsid w:val="0084733B"/>
    <w:rsid w:val="00847E06"/>
    <w:rsid w:val="00847FFB"/>
    <w:rsid w:val="008504FA"/>
    <w:rsid w:val="00850570"/>
    <w:rsid w:val="0085204B"/>
    <w:rsid w:val="00853A44"/>
    <w:rsid w:val="00855EA4"/>
    <w:rsid w:val="008565D8"/>
    <w:rsid w:val="00856D73"/>
    <w:rsid w:val="00856F5A"/>
    <w:rsid w:val="008609F9"/>
    <w:rsid w:val="00861A9E"/>
    <w:rsid w:val="00862724"/>
    <w:rsid w:val="00862B33"/>
    <w:rsid w:val="00866A2C"/>
    <w:rsid w:val="00867C5E"/>
    <w:rsid w:val="008715EF"/>
    <w:rsid w:val="00871725"/>
    <w:rsid w:val="00871944"/>
    <w:rsid w:val="008753FD"/>
    <w:rsid w:val="00875409"/>
    <w:rsid w:val="00875C9C"/>
    <w:rsid w:val="00882207"/>
    <w:rsid w:val="00882272"/>
    <w:rsid w:val="0088365D"/>
    <w:rsid w:val="0088453B"/>
    <w:rsid w:val="00884685"/>
    <w:rsid w:val="00884850"/>
    <w:rsid w:val="00885119"/>
    <w:rsid w:val="00885A8A"/>
    <w:rsid w:val="00886373"/>
    <w:rsid w:val="00886514"/>
    <w:rsid w:val="0089071A"/>
    <w:rsid w:val="00891655"/>
    <w:rsid w:val="00891B7E"/>
    <w:rsid w:val="008921B4"/>
    <w:rsid w:val="00895ACB"/>
    <w:rsid w:val="008A06C8"/>
    <w:rsid w:val="008A15B0"/>
    <w:rsid w:val="008A3268"/>
    <w:rsid w:val="008A3590"/>
    <w:rsid w:val="008A454B"/>
    <w:rsid w:val="008A4AF4"/>
    <w:rsid w:val="008A4C6D"/>
    <w:rsid w:val="008A6399"/>
    <w:rsid w:val="008A661F"/>
    <w:rsid w:val="008B4327"/>
    <w:rsid w:val="008B500B"/>
    <w:rsid w:val="008B55BF"/>
    <w:rsid w:val="008B5A32"/>
    <w:rsid w:val="008B6B15"/>
    <w:rsid w:val="008B7A00"/>
    <w:rsid w:val="008C0BAD"/>
    <w:rsid w:val="008C0DAC"/>
    <w:rsid w:val="008C2BBF"/>
    <w:rsid w:val="008C3869"/>
    <w:rsid w:val="008C4E91"/>
    <w:rsid w:val="008C4FF9"/>
    <w:rsid w:val="008C519C"/>
    <w:rsid w:val="008C5CB3"/>
    <w:rsid w:val="008C6079"/>
    <w:rsid w:val="008C7423"/>
    <w:rsid w:val="008D0BEC"/>
    <w:rsid w:val="008D1285"/>
    <w:rsid w:val="008D294E"/>
    <w:rsid w:val="008D2C16"/>
    <w:rsid w:val="008D5787"/>
    <w:rsid w:val="008D61E1"/>
    <w:rsid w:val="008E0F86"/>
    <w:rsid w:val="008E1D61"/>
    <w:rsid w:val="008E27D4"/>
    <w:rsid w:val="008E2C56"/>
    <w:rsid w:val="008E2C91"/>
    <w:rsid w:val="008E4A70"/>
    <w:rsid w:val="008E590E"/>
    <w:rsid w:val="008E5A07"/>
    <w:rsid w:val="008E5A5D"/>
    <w:rsid w:val="008E5DD6"/>
    <w:rsid w:val="008E61FC"/>
    <w:rsid w:val="008E688A"/>
    <w:rsid w:val="008F0622"/>
    <w:rsid w:val="008F17CA"/>
    <w:rsid w:val="008F3BB9"/>
    <w:rsid w:val="008F3DB9"/>
    <w:rsid w:val="008F4DA0"/>
    <w:rsid w:val="008F568E"/>
    <w:rsid w:val="00900BF1"/>
    <w:rsid w:val="00901129"/>
    <w:rsid w:val="00902076"/>
    <w:rsid w:val="00902928"/>
    <w:rsid w:val="009039DB"/>
    <w:rsid w:val="009042FF"/>
    <w:rsid w:val="009048F2"/>
    <w:rsid w:val="00904F30"/>
    <w:rsid w:val="00906845"/>
    <w:rsid w:val="00906B31"/>
    <w:rsid w:val="00906F03"/>
    <w:rsid w:val="00907B47"/>
    <w:rsid w:val="00913BEB"/>
    <w:rsid w:val="009145D2"/>
    <w:rsid w:val="00914D3B"/>
    <w:rsid w:val="0091548E"/>
    <w:rsid w:val="00915985"/>
    <w:rsid w:val="0091700D"/>
    <w:rsid w:val="0091742E"/>
    <w:rsid w:val="00917788"/>
    <w:rsid w:val="00917A50"/>
    <w:rsid w:val="00917D43"/>
    <w:rsid w:val="009212C0"/>
    <w:rsid w:val="009234EA"/>
    <w:rsid w:val="00923ED6"/>
    <w:rsid w:val="00923F95"/>
    <w:rsid w:val="0092421D"/>
    <w:rsid w:val="00924D43"/>
    <w:rsid w:val="00925051"/>
    <w:rsid w:val="00925D63"/>
    <w:rsid w:val="00926AD1"/>
    <w:rsid w:val="009324FD"/>
    <w:rsid w:val="009331C1"/>
    <w:rsid w:val="00934A76"/>
    <w:rsid w:val="00937569"/>
    <w:rsid w:val="00937C10"/>
    <w:rsid w:val="00937C94"/>
    <w:rsid w:val="009418B9"/>
    <w:rsid w:val="00941BF2"/>
    <w:rsid w:val="0094368E"/>
    <w:rsid w:val="00943A64"/>
    <w:rsid w:val="00944C29"/>
    <w:rsid w:val="00945071"/>
    <w:rsid w:val="009457C7"/>
    <w:rsid w:val="00945BEC"/>
    <w:rsid w:val="0094654E"/>
    <w:rsid w:val="00946B5C"/>
    <w:rsid w:val="00947C62"/>
    <w:rsid w:val="00950578"/>
    <w:rsid w:val="0095268C"/>
    <w:rsid w:val="0095413A"/>
    <w:rsid w:val="0095658C"/>
    <w:rsid w:val="00956D49"/>
    <w:rsid w:val="009609C0"/>
    <w:rsid w:val="009618BC"/>
    <w:rsid w:val="0096241B"/>
    <w:rsid w:val="00962DC6"/>
    <w:rsid w:val="00962ECA"/>
    <w:rsid w:val="00966B40"/>
    <w:rsid w:val="00966BCF"/>
    <w:rsid w:val="00970C76"/>
    <w:rsid w:val="009736F5"/>
    <w:rsid w:val="00973FAA"/>
    <w:rsid w:val="00974FB5"/>
    <w:rsid w:val="00976E4A"/>
    <w:rsid w:val="00977E23"/>
    <w:rsid w:val="009803D6"/>
    <w:rsid w:val="0098111F"/>
    <w:rsid w:val="0098275D"/>
    <w:rsid w:val="009842A9"/>
    <w:rsid w:val="00984557"/>
    <w:rsid w:val="009846F3"/>
    <w:rsid w:val="00984BAA"/>
    <w:rsid w:val="009859A9"/>
    <w:rsid w:val="00986532"/>
    <w:rsid w:val="009871AD"/>
    <w:rsid w:val="009876CC"/>
    <w:rsid w:val="00990095"/>
    <w:rsid w:val="009909C4"/>
    <w:rsid w:val="00991871"/>
    <w:rsid w:val="00992A4D"/>
    <w:rsid w:val="0099409E"/>
    <w:rsid w:val="009949F3"/>
    <w:rsid w:val="00994AA1"/>
    <w:rsid w:val="00994ADB"/>
    <w:rsid w:val="009963D4"/>
    <w:rsid w:val="009965FF"/>
    <w:rsid w:val="00997025"/>
    <w:rsid w:val="00997D47"/>
    <w:rsid w:val="009A04B0"/>
    <w:rsid w:val="009A0A87"/>
    <w:rsid w:val="009A0D1D"/>
    <w:rsid w:val="009A18EB"/>
    <w:rsid w:val="009A2CD9"/>
    <w:rsid w:val="009A3FB3"/>
    <w:rsid w:val="009A4866"/>
    <w:rsid w:val="009A4B52"/>
    <w:rsid w:val="009B0D26"/>
    <w:rsid w:val="009B1B6B"/>
    <w:rsid w:val="009B31E3"/>
    <w:rsid w:val="009B3387"/>
    <w:rsid w:val="009B3E40"/>
    <w:rsid w:val="009B5D77"/>
    <w:rsid w:val="009B61E1"/>
    <w:rsid w:val="009B6A32"/>
    <w:rsid w:val="009B6BD0"/>
    <w:rsid w:val="009B70C1"/>
    <w:rsid w:val="009C512C"/>
    <w:rsid w:val="009C7C25"/>
    <w:rsid w:val="009D08CE"/>
    <w:rsid w:val="009D2B07"/>
    <w:rsid w:val="009D5294"/>
    <w:rsid w:val="009D5C3B"/>
    <w:rsid w:val="009D6C1B"/>
    <w:rsid w:val="009D7372"/>
    <w:rsid w:val="009E189A"/>
    <w:rsid w:val="009E2647"/>
    <w:rsid w:val="009E2739"/>
    <w:rsid w:val="009E4BBB"/>
    <w:rsid w:val="009E5DA3"/>
    <w:rsid w:val="009E631B"/>
    <w:rsid w:val="009E712C"/>
    <w:rsid w:val="009E78AC"/>
    <w:rsid w:val="009F0B06"/>
    <w:rsid w:val="009F3293"/>
    <w:rsid w:val="009F3CA9"/>
    <w:rsid w:val="009F4087"/>
    <w:rsid w:val="009F4095"/>
    <w:rsid w:val="009F500B"/>
    <w:rsid w:val="009F5E46"/>
    <w:rsid w:val="009F6865"/>
    <w:rsid w:val="009F6E43"/>
    <w:rsid w:val="00A0108B"/>
    <w:rsid w:val="00A03747"/>
    <w:rsid w:val="00A037BF"/>
    <w:rsid w:val="00A040CB"/>
    <w:rsid w:val="00A05180"/>
    <w:rsid w:val="00A05CEF"/>
    <w:rsid w:val="00A06CED"/>
    <w:rsid w:val="00A07710"/>
    <w:rsid w:val="00A10289"/>
    <w:rsid w:val="00A106F2"/>
    <w:rsid w:val="00A14B41"/>
    <w:rsid w:val="00A15C38"/>
    <w:rsid w:val="00A17EAB"/>
    <w:rsid w:val="00A204EF"/>
    <w:rsid w:val="00A21167"/>
    <w:rsid w:val="00A2156E"/>
    <w:rsid w:val="00A21902"/>
    <w:rsid w:val="00A21FA4"/>
    <w:rsid w:val="00A2228D"/>
    <w:rsid w:val="00A22A23"/>
    <w:rsid w:val="00A27697"/>
    <w:rsid w:val="00A31CA4"/>
    <w:rsid w:val="00A31E42"/>
    <w:rsid w:val="00A33385"/>
    <w:rsid w:val="00A3419E"/>
    <w:rsid w:val="00A34255"/>
    <w:rsid w:val="00A35297"/>
    <w:rsid w:val="00A356B3"/>
    <w:rsid w:val="00A35B01"/>
    <w:rsid w:val="00A35C75"/>
    <w:rsid w:val="00A35D75"/>
    <w:rsid w:val="00A36C3B"/>
    <w:rsid w:val="00A4119A"/>
    <w:rsid w:val="00A429F6"/>
    <w:rsid w:val="00A430D8"/>
    <w:rsid w:val="00A45546"/>
    <w:rsid w:val="00A4797E"/>
    <w:rsid w:val="00A47AA5"/>
    <w:rsid w:val="00A47FA7"/>
    <w:rsid w:val="00A50C9D"/>
    <w:rsid w:val="00A53236"/>
    <w:rsid w:val="00A53EFF"/>
    <w:rsid w:val="00A5449D"/>
    <w:rsid w:val="00A54D23"/>
    <w:rsid w:val="00A5510E"/>
    <w:rsid w:val="00A55D91"/>
    <w:rsid w:val="00A56640"/>
    <w:rsid w:val="00A617A8"/>
    <w:rsid w:val="00A61EA9"/>
    <w:rsid w:val="00A624D9"/>
    <w:rsid w:val="00A626CB"/>
    <w:rsid w:val="00A62C69"/>
    <w:rsid w:val="00A6419D"/>
    <w:rsid w:val="00A70AEF"/>
    <w:rsid w:val="00A70DB0"/>
    <w:rsid w:val="00A70E20"/>
    <w:rsid w:val="00A7154C"/>
    <w:rsid w:val="00A71781"/>
    <w:rsid w:val="00A718F3"/>
    <w:rsid w:val="00A719DF"/>
    <w:rsid w:val="00A71DF4"/>
    <w:rsid w:val="00A71E48"/>
    <w:rsid w:val="00A72EA6"/>
    <w:rsid w:val="00A72F59"/>
    <w:rsid w:val="00A73B22"/>
    <w:rsid w:val="00A73C81"/>
    <w:rsid w:val="00A75E11"/>
    <w:rsid w:val="00A76783"/>
    <w:rsid w:val="00A7701C"/>
    <w:rsid w:val="00A80CCD"/>
    <w:rsid w:val="00A822FA"/>
    <w:rsid w:val="00A823C5"/>
    <w:rsid w:val="00A82592"/>
    <w:rsid w:val="00A8338F"/>
    <w:rsid w:val="00A835DE"/>
    <w:rsid w:val="00A85B23"/>
    <w:rsid w:val="00A86484"/>
    <w:rsid w:val="00A86965"/>
    <w:rsid w:val="00A9078E"/>
    <w:rsid w:val="00A90AC6"/>
    <w:rsid w:val="00A91922"/>
    <w:rsid w:val="00A94972"/>
    <w:rsid w:val="00A9546B"/>
    <w:rsid w:val="00A96557"/>
    <w:rsid w:val="00A975F6"/>
    <w:rsid w:val="00A97DA8"/>
    <w:rsid w:val="00AA0000"/>
    <w:rsid w:val="00AA063D"/>
    <w:rsid w:val="00AA0ECA"/>
    <w:rsid w:val="00AA40F7"/>
    <w:rsid w:val="00AA5618"/>
    <w:rsid w:val="00AA6C25"/>
    <w:rsid w:val="00AA7050"/>
    <w:rsid w:val="00AB38DF"/>
    <w:rsid w:val="00AB4807"/>
    <w:rsid w:val="00AB4A5E"/>
    <w:rsid w:val="00AB505A"/>
    <w:rsid w:val="00AB5E53"/>
    <w:rsid w:val="00AB63C3"/>
    <w:rsid w:val="00AC0938"/>
    <w:rsid w:val="00AC1161"/>
    <w:rsid w:val="00AC1375"/>
    <w:rsid w:val="00AC25E8"/>
    <w:rsid w:val="00AC2C38"/>
    <w:rsid w:val="00AC3802"/>
    <w:rsid w:val="00AC4227"/>
    <w:rsid w:val="00AC7DB5"/>
    <w:rsid w:val="00AD2E32"/>
    <w:rsid w:val="00AD4EB4"/>
    <w:rsid w:val="00AD5B03"/>
    <w:rsid w:val="00AE0816"/>
    <w:rsid w:val="00AE11CD"/>
    <w:rsid w:val="00AE15BE"/>
    <w:rsid w:val="00AE274E"/>
    <w:rsid w:val="00AE51BB"/>
    <w:rsid w:val="00AE52B5"/>
    <w:rsid w:val="00AE5B9E"/>
    <w:rsid w:val="00AE6C75"/>
    <w:rsid w:val="00AE7131"/>
    <w:rsid w:val="00AE797E"/>
    <w:rsid w:val="00AF0951"/>
    <w:rsid w:val="00AF1394"/>
    <w:rsid w:val="00AF17EA"/>
    <w:rsid w:val="00AF41B3"/>
    <w:rsid w:val="00AF41C0"/>
    <w:rsid w:val="00AF591B"/>
    <w:rsid w:val="00AF62BD"/>
    <w:rsid w:val="00B0193F"/>
    <w:rsid w:val="00B02B1B"/>
    <w:rsid w:val="00B03509"/>
    <w:rsid w:val="00B03C9A"/>
    <w:rsid w:val="00B04E5D"/>
    <w:rsid w:val="00B0590C"/>
    <w:rsid w:val="00B059D0"/>
    <w:rsid w:val="00B06769"/>
    <w:rsid w:val="00B06CFE"/>
    <w:rsid w:val="00B07846"/>
    <w:rsid w:val="00B079E8"/>
    <w:rsid w:val="00B079EF"/>
    <w:rsid w:val="00B100FD"/>
    <w:rsid w:val="00B11A0A"/>
    <w:rsid w:val="00B12343"/>
    <w:rsid w:val="00B1276C"/>
    <w:rsid w:val="00B13D26"/>
    <w:rsid w:val="00B155E2"/>
    <w:rsid w:val="00B16934"/>
    <w:rsid w:val="00B2095A"/>
    <w:rsid w:val="00B24E55"/>
    <w:rsid w:val="00B25E67"/>
    <w:rsid w:val="00B25EF0"/>
    <w:rsid w:val="00B25FF6"/>
    <w:rsid w:val="00B26176"/>
    <w:rsid w:val="00B26B38"/>
    <w:rsid w:val="00B27E04"/>
    <w:rsid w:val="00B3048D"/>
    <w:rsid w:val="00B309F1"/>
    <w:rsid w:val="00B346CC"/>
    <w:rsid w:val="00B34CCC"/>
    <w:rsid w:val="00B34E1E"/>
    <w:rsid w:val="00B35F2F"/>
    <w:rsid w:val="00B374D1"/>
    <w:rsid w:val="00B378DA"/>
    <w:rsid w:val="00B4051F"/>
    <w:rsid w:val="00B419E6"/>
    <w:rsid w:val="00B41ABC"/>
    <w:rsid w:val="00B42392"/>
    <w:rsid w:val="00B425B2"/>
    <w:rsid w:val="00B42B8F"/>
    <w:rsid w:val="00B44C1A"/>
    <w:rsid w:val="00B454B7"/>
    <w:rsid w:val="00B46388"/>
    <w:rsid w:val="00B46419"/>
    <w:rsid w:val="00B47120"/>
    <w:rsid w:val="00B47FE7"/>
    <w:rsid w:val="00B50110"/>
    <w:rsid w:val="00B52D8F"/>
    <w:rsid w:val="00B536D5"/>
    <w:rsid w:val="00B54182"/>
    <w:rsid w:val="00B541AA"/>
    <w:rsid w:val="00B56108"/>
    <w:rsid w:val="00B602B3"/>
    <w:rsid w:val="00B614A2"/>
    <w:rsid w:val="00B6165D"/>
    <w:rsid w:val="00B619AC"/>
    <w:rsid w:val="00B63285"/>
    <w:rsid w:val="00B65423"/>
    <w:rsid w:val="00B65B42"/>
    <w:rsid w:val="00B70322"/>
    <w:rsid w:val="00B709ED"/>
    <w:rsid w:val="00B7107E"/>
    <w:rsid w:val="00B73780"/>
    <w:rsid w:val="00B738A1"/>
    <w:rsid w:val="00B73CE4"/>
    <w:rsid w:val="00B74241"/>
    <w:rsid w:val="00B76612"/>
    <w:rsid w:val="00B7796C"/>
    <w:rsid w:val="00B77CBF"/>
    <w:rsid w:val="00B8005B"/>
    <w:rsid w:val="00B8018D"/>
    <w:rsid w:val="00B82246"/>
    <w:rsid w:val="00B823C9"/>
    <w:rsid w:val="00B82C55"/>
    <w:rsid w:val="00B82D65"/>
    <w:rsid w:val="00B8790F"/>
    <w:rsid w:val="00B9277F"/>
    <w:rsid w:val="00B92A66"/>
    <w:rsid w:val="00B931BB"/>
    <w:rsid w:val="00B93D68"/>
    <w:rsid w:val="00B947E3"/>
    <w:rsid w:val="00B95677"/>
    <w:rsid w:val="00BA16BC"/>
    <w:rsid w:val="00BA2EFC"/>
    <w:rsid w:val="00BA2F46"/>
    <w:rsid w:val="00BA3BE3"/>
    <w:rsid w:val="00BA43FF"/>
    <w:rsid w:val="00BA6015"/>
    <w:rsid w:val="00BA756A"/>
    <w:rsid w:val="00BB07B5"/>
    <w:rsid w:val="00BB1532"/>
    <w:rsid w:val="00BB2A60"/>
    <w:rsid w:val="00BB5315"/>
    <w:rsid w:val="00BB55F4"/>
    <w:rsid w:val="00BB5BDD"/>
    <w:rsid w:val="00BB697B"/>
    <w:rsid w:val="00BC405E"/>
    <w:rsid w:val="00BC450C"/>
    <w:rsid w:val="00BC4729"/>
    <w:rsid w:val="00BC5CB8"/>
    <w:rsid w:val="00BC7C3A"/>
    <w:rsid w:val="00BC7E5B"/>
    <w:rsid w:val="00BD07BD"/>
    <w:rsid w:val="00BD1230"/>
    <w:rsid w:val="00BD333E"/>
    <w:rsid w:val="00BD4237"/>
    <w:rsid w:val="00BD5DCA"/>
    <w:rsid w:val="00BD6F6A"/>
    <w:rsid w:val="00BD749C"/>
    <w:rsid w:val="00BE0C2B"/>
    <w:rsid w:val="00BE2AAD"/>
    <w:rsid w:val="00BE30BE"/>
    <w:rsid w:val="00BE3A32"/>
    <w:rsid w:val="00BE4579"/>
    <w:rsid w:val="00BE4C35"/>
    <w:rsid w:val="00BE5976"/>
    <w:rsid w:val="00BE684D"/>
    <w:rsid w:val="00BE7257"/>
    <w:rsid w:val="00BF267B"/>
    <w:rsid w:val="00BF26AE"/>
    <w:rsid w:val="00BF30AE"/>
    <w:rsid w:val="00BF352C"/>
    <w:rsid w:val="00BF3BC3"/>
    <w:rsid w:val="00BF4B79"/>
    <w:rsid w:val="00BF55BA"/>
    <w:rsid w:val="00BF597C"/>
    <w:rsid w:val="00BF5CFD"/>
    <w:rsid w:val="00BF6102"/>
    <w:rsid w:val="00BF628C"/>
    <w:rsid w:val="00BF6402"/>
    <w:rsid w:val="00BF642B"/>
    <w:rsid w:val="00BF6A5E"/>
    <w:rsid w:val="00BF7044"/>
    <w:rsid w:val="00BF74DF"/>
    <w:rsid w:val="00BF75A1"/>
    <w:rsid w:val="00C00583"/>
    <w:rsid w:val="00C006B6"/>
    <w:rsid w:val="00C01447"/>
    <w:rsid w:val="00C01551"/>
    <w:rsid w:val="00C03EFC"/>
    <w:rsid w:val="00C04B89"/>
    <w:rsid w:val="00C10800"/>
    <w:rsid w:val="00C11DE9"/>
    <w:rsid w:val="00C11F89"/>
    <w:rsid w:val="00C12258"/>
    <w:rsid w:val="00C1300E"/>
    <w:rsid w:val="00C13455"/>
    <w:rsid w:val="00C13632"/>
    <w:rsid w:val="00C14222"/>
    <w:rsid w:val="00C14619"/>
    <w:rsid w:val="00C149EC"/>
    <w:rsid w:val="00C14BA0"/>
    <w:rsid w:val="00C15305"/>
    <w:rsid w:val="00C1629B"/>
    <w:rsid w:val="00C168DA"/>
    <w:rsid w:val="00C17916"/>
    <w:rsid w:val="00C207F9"/>
    <w:rsid w:val="00C20AF9"/>
    <w:rsid w:val="00C21D59"/>
    <w:rsid w:val="00C22312"/>
    <w:rsid w:val="00C26AC5"/>
    <w:rsid w:val="00C27328"/>
    <w:rsid w:val="00C2781B"/>
    <w:rsid w:val="00C27D73"/>
    <w:rsid w:val="00C3039B"/>
    <w:rsid w:val="00C30D13"/>
    <w:rsid w:val="00C30D38"/>
    <w:rsid w:val="00C3210C"/>
    <w:rsid w:val="00C325B8"/>
    <w:rsid w:val="00C3317C"/>
    <w:rsid w:val="00C35B28"/>
    <w:rsid w:val="00C37988"/>
    <w:rsid w:val="00C40374"/>
    <w:rsid w:val="00C40572"/>
    <w:rsid w:val="00C40F64"/>
    <w:rsid w:val="00C41963"/>
    <w:rsid w:val="00C44EF4"/>
    <w:rsid w:val="00C4665F"/>
    <w:rsid w:val="00C46CD2"/>
    <w:rsid w:val="00C506AF"/>
    <w:rsid w:val="00C50F98"/>
    <w:rsid w:val="00C53F9F"/>
    <w:rsid w:val="00C54963"/>
    <w:rsid w:val="00C5569F"/>
    <w:rsid w:val="00C55801"/>
    <w:rsid w:val="00C56D0F"/>
    <w:rsid w:val="00C56E36"/>
    <w:rsid w:val="00C57582"/>
    <w:rsid w:val="00C607F8"/>
    <w:rsid w:val="00C608FA"/>
    <w:rsid w:val="00C61583"/>
    <w:rsid w:val="00C615E9"/>
    <w:rsid w:val="00C617ED"/>
    <w:rsid w:val="00C61C25"/>
    <w:rsid w:val="00C620B7"/>
    <w:rsid w:val="00C62E59"/>
    <w:rsid w:val="00C638CC"/>
    <w:rsid w:val="00C63E2C"/>
    <w:rsid w:val="00C64B39"/>
    <w:rsid w:val="00C65966"/>
    <w:rsid w:val="00C665DC"/>
    <w:rsid w:val="00C7084E"/>
    <w:rsid w:val="00C74261"/>
    <w:rsid w:val="00C743CB"/>
    <w:rsid w:val="00C75553"/>
    <w:rsid w:val="00C75FD5"/>
    <w:rsid w:val="00C77C08"/>
    <w:rsid w:val="00C77D15"/>
    <w:rsid w:val="00C84483"/>
    <w:rsid w:val="00C8489F"/>
    <w:rsid w:val="00C8519C"/>
    <w:rsid w:val="00C85E06"/>
    <w:rsid w:val="00C87B49"/>
    <w:rsid w:val="00C90120"/>
    <w:rsid w:val="00C90245"/>
    <w:rsid w:val="00C90529"/>
    <w:rsid w:val="00C91952"/>
    <w:rsid w:val="00C91AF3"/>
    <w:rsid w:val="00C92D10"/>
    <w:rsid w:val="00C935E0"/>
    <w:rsid w:val="00C93BEF"/>
    <w:rsid w:val="00C95342"/>
    <w:rsid w:val="00C95833"/>
    <w:rsid w:val="00C95840"/>
    <w:rsid w:val="00C9705B"/>
    <w:rsid w:val="00CA02E4"/>
    <w:rsid w:val="00CA074B"/>
    <w:rsid w:val="00CA2386"/>
    <w:rsid w:val="00CA5981"/>
    <w:rsid w:val="00CA639C"/>
    <w:rsid w:val="00CA6DAF"/>
    <w:rsid w:val="00CA7B4D"/>
    <w:rsid w:val="00CB11D5"/>
    <w:rsid w:val="00CB1A13"/>
    <w:rsid w:val="00CB24D6"/>
    <w:rsid w:val="00CB304D"/>
    <w:rsid w:val="00CB34C8"/>
    <w:rsid w:val="00CB69DD"/>
    <w:rsid w:val="00CB723C"/>
    <w:rsid w:val="00CB7761"/>
    <w:rsid w:val="00CC194F"/>
    <w:rsid w:val="00CC1AA6"/>
    <w:rsid w:val="00CC1CAD"/>
    <w:rsid w:val="00CC24F6"/>
    <w:rsid w:val="00CC2C70"/>
    <w:rsid w:val="00CC35EE"/>
    <w:rsid w:val="00CC44BE"/>
    <w:rsid w:val="00CC4524"/>
    <w:rsid w:val="00CC4DCF"/>
    <w:rsid w:val="00CD1072"/>
    <w:rsid w:val="00CD1732"/>
    <w:rsid w:val="00CD1E99"/>
    <w:rsid w:val="00CD2A9A"/>
    <w:rsid w:val="00CD2D41"/>
    <w:rsid w:val="00CD2DFE"/>
    <w:rsid w:val="00CD43B8"/>
    <w:rsid w:val="00CD4804"/>
    <w:rsid w:val="00CD4BAD"/>
    <w:rsid w:val="00CD4F56"/>
    <w:rsid w:val="00CD52DB"/>
    <w:rsid w:val="00CD5CC7"/>
    <w:rsid w:val="00CD6275"/>
    <w:rsid w:val="00CD7B19"/>
    <w:rsid w:val="00CD7CC6"/>
    <w:rsid w:val="00CE0547"/>
    <w:rsid w:val="00CE0553"/>
    <w:rsid w:val="00CE1E1A"/>
    <w:rsid w:val="00CE3621"/>
    <w:rsid w:val="00CE36E0"/>
    <w:rsid w:val="00CE4465"/>
    <w:rsid w:val="00CE68A3"/>
    <w:rsid w:val="00CF0E18"/>
    <w:rsid w:val="00CF498A"/>
    <w:rsid w:val="00CF4BE1"/>
    <w:rsid w:val="00CF5A06"/>
    <w:rsid w:val="00CF6439"/>
    <w:rsid w:val="00CF6D4A"/>
    <w:rsid w:val="00CF7063"/>
    <w:rsid w:val="00CF7092"/>
    <w:rsid w:val="00D0395B"/>
    <w:rsid w:val="00D039A7"/>
    <w:rsid w:val="00D03A0B"/>
    <w:rsid w:val="00D04D05"/>
    <w:rsid w:val="00D05339"/>
    <w:rsid w:val="00D060E4"/>
    <w:rsid w:val="00D07379"/>
    <w:rsid w:val="00D07ED7"/>
    <w:rsid w:val="00D11290"/>
    <w:rsid w:val="00D11E9D"/>
    <w:rsid w:val="00D14DB8"/>
    <w:rsid w:val="00D14FA8"/>
    <w:rsid w:val="00D15330"/>
    <w:rsid w:val="00D15CE2"/>
    <w:rsid w:val="00D161B5"/>
    <w:rsid w:val="00D17D49"/>
    <w:rsid w:val="00D20B64"/>
    <w:rsid w:val="00D21396"/>
    <w:rsid w:val="00D22595"/>
    <w:rsid w:val="00D226C0"/>
    <w:rsid w:val="00D238F7"/>
    <w:rsid w:val="00D24B3F"/>
    <w:rsid w:val="00D263C1"/>
    <w:rsid w:val="00D2666F"/>
    <w:rsid w:val="00D307CC"/>
    <w:rsid w:val="00D311A5"/>
    <w:rsid w:val="00D32F0B"/>
    <w:rsid w:val="00D33859"/>
    <w:rsid w:val="00D34A48"/>
    <w:rsid w:val="00D35236"/>
    <w:rsid w:val="00D36F00"/>
    <w:rsid w:val="00D401B1"/>
    <w:rsid w:val="00D40240"/>
    <w:rsid w:val="00D413F9"/>
    <w:rsid w:val="00D41C71"/>
    <w:rsid w:val="00D449E6"/>
    <w:rsid w:val="00D4514A"/>
    <w:rsid w:val="00D45A10"/>
    <w:rsid w:val="00D50CF8"/>
    <w:rsid w:val="00D51E20"/>
    <w:rsid w:val="00D52CF0"/>
    <w:rsid w:val="00D52E0E"/>
    <w:rsid w:val="00D5357B"/>
    <w:rsid w:val="00D54246"/>
    <w:rsid w:val="00D544BC"/>
    <w:rsid w:val="00D56AAB"/>
    <w:rsid w:val="00D57BD1"/>
    <w:rsid w:val="00D57E43"/>
    <w:rsid w:val="00D616E1"/>
    <w:rsid w:val="00D63456"/>
    <w:rsid w:val="00D636E6"/>
    <w:rsid w:val="00D640EA"/>
    <w:rsid w:val="00D647F5"/>
    <w:rsid w:val="00D64BD9"/>
    <w:rsid w:val="00D66AA4"/>
    <w:rsid w:val="00D67A26"/>
    <w:rsid w:val="00D67B87"/>
    <w:rsid w:val="00D70BFB"/>
    <w:rsid w:val="00D70DD9"/>
    <w:rsid w:val="00D71114"/>
    <w:rsid w:val="00D72102"/>
    <w:rsid w:val="00D73C6D"/>
    <w:rsid w:val="00D73DD2"/>
    <w:rsid w:val="00D7461B"/>
    <w:rsid w:val="00D76301"/>
    <w:rsid w:val="00D76379"/>
    <w:rsid w:val="00D7668D"/>
    <w:rsid w:val="00D76A2C"/>
    <w:rsid w:val="00D76B03"/>
    <w:rsid w:val="00D77748"/>
    <w:rsid w:val="00D825D9"/>
    <w:rsid w:val="00D828C5"/>
    <w:rsid w:val="00D82B74"/>
    <w:rsid w:val="00D846D2"/>
    <w:rsid w:val="00D84D48"/>
    <w:rsid w:val="00D84E4E"/>
    <w:rsid w:val="00D86DE1"/>
    <w:rsid w:val="00D87C3F"/>
    <w:rsid w:val="00D90F20"/>
    <w:rsid w:val="00D91607"/>
    <w:rsid w:val="00D919C0"/>
    <w:rsid w:val="00D92863"/>
    <w:rsid w:val="00D92FF9"/>
    <w:rsid w:val="00D93950"/>
    <w:rsid w:val="00D972F0"/>
    <w:rsid w:val="00D978AD"/>
    <w:rsid w:val="00D97B49"/>
    <w:rsid w:val="00DA0C26"/>
    <w:rsid w:val="00DA1896"/>
    <w:rsid w:val="00DA1B9C"/>
    <w:rsid w:val="00DA28D6"/>
    <w:rsid w:val="00DA4427"/>
    <w:rsid w:val="00DA4C28"/>
    <w:rsid w:val="00DA5A87"/>
    <w:rsid w:val="00DA5B62"/>
    <w:rsid w:val="00DA5CE4"/>
    <w:rsid w:val="00DA6902"/>
    <w:rsid w:val="00DB03E9"/>
    <w:rsid w:val="00DB069D"/>
    <w:rsid w:val="00DB20BE"/>
    <w:rsid w:val="00DB21F8"/>
    <w:rsid w:val="00DB236A"/>
    <w:rsid w:val="00DB56DC"/>
    <w:rsid w:val="00DB6389"/>
    <w:rsid w:val="00DB6A41"/>
    <w:rsid w:val="00DB71BE"/>
    <w:rsid w:val="00DB7F84"/>
    <w:rsid w:val="00DC02C7"/>
    <w:rsid w:val="00DC0733"/>
    <w:rsid w:val="00DC0F7C"/>
    <w:rsid w:val="00DC128A"/>
    <w:rsid w:val="00DC279E"/>
    <w:rsid w:val="00DC2FF5"/>
    <w:rsid w:val="00DC32C1"/>
    <w:rsid w:val="00DC4CF4"/>
    <w:rsid w:val="00DC4FEB"/>
    <w:rsid w:val="00DC61B1"/>
    <w:rsid w:val="00DC6733"/>
    <w:rsid w:val="00DC79C3"/>
    <w:rsid w:val="00DC7E36"/>
    <w:rsid w:val="00DD0832"/>
    <w:rsid w:val="00DD2117"/>
    <w:rsid w:val="00DD4159"/>
    <w:rsid w:val="00DD4A5D"/>
    <w:rsid w:val="00DD4AC9"/>
    <w:rsid w:val="00DD4FDC"/>
    <w:rsid w:val="00DD6F1F"/>
    <w:rsid w:val="00DE13B5"/>
    <w:rsid w:val="00DE192D"/>
    <w:rsid w:val="00DE33DD"/>
    <w:rsid w:val="00DE494F"/>
    <w:rsid w:val="00DE4B82"/>
    <w:rsid w:val="00DE4CB7"/>
    <w:rsid w:val="00DE56BA"/>
    <w:rsid w:val="00DE57A3"/>
    <w:rsid w:val="00DE63AD"/>
    <w:rsid w:val="00DE72A3"/>
    <w:rsid w:val="00DF015E"/>
    <w:rsid w:val="00DF0229"/>
    <w:rsid w:val="00DF034D"/>
    <w:rsid w:val="00DF072A"/>
    <w:rsid w:val="00DF0C66"/>
    <w:rsid w:val="00DF1A02"/>
    <w:rsid w:val="00DF5481"/>
    <w:rsid w:val="00E00786"/>
    <w:rsid w:val="00E02969"/>
    <w:rsid w:val="00E036D7"/>
    <w:rsid w:val="00E04C60"/>
    <w:rsid w:val="00E07A0B"/>
    <w:rsid w:val="00E07B37"/>
    <w:rsid w:val="00E07BD0"/>
    <w:rsid w:val="00E07C16"/>
    <w:rsid w:val="00E10A48"/>
    <w:rsid w:val="00E1241B"/>
    <w:rsid w:val="00E12F21"/>
    <w:rsid w:val="00E13653"/>
    <w:rsid w:val="00E14432"/>
    <w:rsid w:val="00E14854"/>
    <w:rsid w:val="00E15AFC"/>
    <w:rsid w:val="00E166B0"/>
    <w:rsid w:val="00E166E7"/>
    <w:rsid w:val="00E16897"/>
    <w:rsid w:val="00E20D6B"/>
    <w:rsid w:val="00E21724"/>
    <w:rsid w:val="00E219E1"/>
    <w:rsid w:val="00E21C9D"/>
    <w:rsid w:val="00E22275"/>
    <w:rsid w:val="00E245AC"/>
    <w:rsid w:val="00E245D6"/>
    <w:rsid w:val="00E250BC"/>
    <w:rsid w:val="00E257C5"/>
    <w:rsid w:val="00E25C4D"/>
    <w:rsid w:val="00E2640A"/>
    <w:rsid w:val="00E2693F"/>
    <w:rsid w:val="00E302BF"/>
    <w:rsid w:val="00E3145D"/>
    <w:rsid w:val="00E326A7"/>
    <w:rsid w:val="00E336C9"/>
    <w:rsid w:val="00E340C7"/>
    <w:rsid w:val="00E35995"/>
    <w:rsid w:val="00E360B8"/>
    <w:rsid w:val="00E373C6"/>
    <w:rsid w:val="00E378C3"/>
    <w:rsid w:val="00E4261B"/>
    <w:rsid w:val="00E429FF"/>
    <w:rsid w:val="00E42B49"/>
    <w:rsid w:val="00E4495B"/>
    <w:rsid w:val="00E473B5"/>
    <w:rsid w:val="00E504E3"/>
    <w:rsid w:val="00E517A1"/>
    <w:rsid w:val="00E52891"/>
    <w:rsid w:val="00E533D1"/>
    <w:rsid w:val="00E54709"/>
    <w:rsid w:val="00E558E3"/>
    <w:rsid w:val="00E56472"/>
    <w:rsid w:val="00E56B34"/>
    <w:rsid w:val="00E56ECF"/>
    <w:rsid w:val="00E63776"/>
    <w:rsid w:val="00E646B6"/>
    <w:rsid w:val="00E64BBC"/>
    <w:rsid w:val="00E657E3"/>
    <w:rsid w:val="00E6622E"/>
    <w:rsid w:val="00E66EC3"/>
    <w:rsid w:val="00E67AAC"/>
    <w:rsid w:val="00E704A7"/>
    <w:rsid w:val="00E7084C"/>
    <w:rsid w:val="00E73A0A"/>
    <w:rsid w:val="00E74FBB"/>
    <w:rsid w:val="00E7743F"/>
    <w:rsid w:val="00E8107E"/>
    <w:rsid w:val="00E8124A"/>
    <w:rsid w:val="00E81BF3"/>
    <w:rsid w:val="00E86050"/>
    <w:rsid w:val="00E87D91"/>
    <w:rsid w:val="00E909CD"/>
    <w:rsid w:val="00E925CE"/>
    <w:rsid w:val="00E9341D"/>
    <w:rsid w:val="00E94BEF"/>
    <w:rsid w:val="00E94D9A"/>
    <w:rsid w:val="00E95DB9"/>
    <w:rsid w:val="00E95E8D"/>
    <w:rsid w:val="00E96138"/>
    <w:rsid w:val="00EA0DA0"/>
    <w:rsid w:val="00EA17CB"/>
    <w:rsid w:val="00EA25DD"/>
    <w:rsid w:val="00EA30BA"/>
    <w:rsid w:val="00EA3BD4"/>
    <w:rsid w:val="00EA7392"/>
    <w:rsid w:val="00EB1538"/>
    <w:rsid w:val="00EB18A9"/>
    <w:rsid w:val="00EB1F00"/>
    <w:rsid w:val="00EB2645"/>
    <w:rsid w:val="00EB2D59"/>
    <w:rsid w:val="00EB6C0E"/>
    <w:rsid w:val="00EB7846"/>
    <w:rsid w:val="00EC03D7"/>
    <w:rsid w:val="00EC1579"/>
    <w:rsid w:val="00EC18CE"/>
    <w:rsid w:val="00EC2266"/>
    <w:rsid w:val="00EC591A"/>
    <w:rsid w:val="00EC6557"/>
    <w:rsid w:val="00EC6A7E"/>
    <w:rsid w:val="00ED182F"/>
    <w:rsid w:val="00ED1F57"/>
    <w:rsid w:val="00ED275D"/>
    <w:rsid w:val="00ED2A48"/>
    <w:rsid w:val="00ED3D15"/>
    <w:rsid w:val="00ED5257"/>
    <w:rsid w:val="00ED633E"/>
    <w:rsid w:val="00ED64C7"/>
    <w:rsid w:val="00ED7BC5"/>
    <w:rsid w:val="00ED7E3A"/>
    <w:rsid w:val="00EE0DA8"/>
    <w:rsid w:val="00EE1E1D"/>
    <w:rsid w:val="00EE555B"/>
    <w:rsid w:val="00EE57AA"/>
    <w:rsid w:val="00EE7FCB"/>
    <w:rsid w:val="00EF1B76"/>
    <w:rsid w:val="00EF2B32"/>
    <w:rsid w:val="00EF3ABD"/>
    <w:rsid w:val="00EF3D98"/>
    <w:rsid w:val="00EF5881"/>
    <w:rsid w:val="00EF6FD0"/>
    <w:rsid w:val="00EF749B"/>
    <w:rsid w:val="00EF7866"/>
    <w:rsid w:val="00EF7A86"/>
    <w:rsid w:val="00F005A0"/>
    <w:rsid w:val="00F01FC7"/>
    <w:rsid w:val="00F04DCC"/>
    <w:rsid w:val="00F05D7E"/>
    <w:rsid w:val="00F0628B"/>
    <w:rsid w:val="00F06986"/>
    <w:rsid w:val="00F07469"/>
    <w:rsid w:val="00F07DB5"/>
    <w:rsid w:val="00F107FE"/>
    <w:rsid w:val="00F10DDA"/>
    <w:rsid w:val="00F12210"/>
    <w:rsid w:val="00F13292"/>
    <w:rsid w:val="00F1425D"/>
    <w:rsid w:val="00F166CB"/>
    <w:rsid w:val="00F16CCF"/>
    <w:rsid w:val="00F16E75"/>
    <w:rsid w:val="00F22586"/>
    <w:rsid w:val="00F226AF"/>
    <w:rsid w:val="00F22BFB"/>
    <w:rsid w:val="00F22BFF"/>
    <w:rsid w:val="00F25000"/>
    <w:rsid w:val="00F255D4"/>
    <w:rsid w:val="00F2597C"/>
    <w:rsid w:val="00F2698A"/>
    <w:rsid w:val="00F27D9F"/>
    <w:rsid w:val="00F303A9"/>
    <w:rsid w:val="00F30E54"/>
    <w:rsid w:val="00F3497E"/>
    <w:rsid w:val="00F35115"/>
    <w:rsid w:val="00F35D95"/>
    <w:rsid w:val="00F35E19"/>
    <w:rsid w:val="00F37032"/>
    <w:rsid w:val="00F4094D"/>
    <w:rsid w:val="00F42B4D"/>
    <w:rsid w:val="00F433F4"/>
    <w:rsid w:val="00F43B79"/>
    <w:rsid w:val="00F4526D"/>
    <w:rsid w:val="00F456AF"/>
    <w:rsid w:val="00F4740F"/>
    <w:rsid w:val="00F47714"/>
    <w:rsid w:val="00F47C39"/>
    <w:rsid w:val="00F47E6E"/>
    <w:rsid w:val="00F5019E"/>
    <w:rsid w:val="00F51191"/>
    <w:rsid w:val="00F51274"/>
    <w:rsid w:val="00F521C7"/>
    <w:rsid w:val="00F52504"/>
    <w:rsid w:val="00F52578"/>
    <w:rsid w:val="00F527EE"/>
    <w:rsid w:val="00F52D76"/>
    <w:rsid w:val="00F53F79"/>
    <w:rsid w:val="00F5441D"/>
    <w:rsid w:val="00F54E26"/>
    <w:rsid w:val="00F562A4"/>
    <w:rsid w:val="00F573CD"/>
    <w:rsid w:val="00F60583"/>
    <w:rsid w:val="00F608CD"/>
    <w:rsid w:val="00F61CA3"/>
    <w:rsid w:val="00F6244D"/>
    <w:rsid w:val="00F62555"/>
    <w:rsid w:val="00F63189"/>
    <w:rsid w:val="00F6433A"/>
    <w:rsid w:val="00F658A4"/>
    <w:rsid w:val="00F66A1D"/>
    <w:rsid w:val="00F678EF"/>
    <w:rsid w:val="00F70075"/>
    <w:rsid w:val="00F71026"/>
    <w:rsid w:val="00F71CCD"/>
    <w:rsid w:val="00F7248B"/>
    <w:rsid w:val="00F73F8F"/>
    <w:rsid w:val="00F76288"/>
    <w:rsid w:val="00F77723"/>
    <w:rsid w:val="00F80FB9"/>
    <w:rsid w:val="00F81AC2"/>
    <w:rsid w:val="00F81E85"/>
    <w:rsid w:val="00F8412C"/>
    <w:rsid w:val="00F8440F"/>
    <w:rsid w:val="00F854FE"/>
    <w:rsid w:val="00F8554B"/>
    <w:rsid w:val="00F8698B"/>
    <w:rsid w:val="00F87035"/>
    <w:rsid w:val="00F87B2E"/>
    <w:rsid w:val="00F920C3"/>
    <w:rsid w:val="00F92CAF"/>
    <w:rsid w:val="00F934BD"/>
    <w:rsid w:val="00F96911"/>
    <w:rsid w:val="00F97D7F"/>
    <w:rsid w:val="00FA08D0"/>
    <w:rsid w:val="00FA0E67"/>
    <w:rsid w:val="00FA0ED1"/>
    <w:rsid w:val="00FA11A5"/>
    <w:rsid w:val="00FA1FAB"/>
    <w:rsid w:val="00FA286D"/>
    <w:rsid w:val="00FA3D6E"/>
    <w:rsid w:val="00FA487B"/>
    <w:rsid w:val="00FA5C10"/>
    <w:rsid w:val="00FA5D2F"/>
    <w:rsid w:val="00FA7FD7"/>
    <w:rsid w:val="00FB02CD"/>
    <w:rsid w:val="00FB0BC4"/>
    <w:rsid w:val="00FB2669"/>
    <w:rsid w:val="00FB5EE4"/>
    <w:rsid w:val="00FB60E3"/>
    <w:rsid w:val="00FB66B2"/>
    <w:rsid w:val="00FB678F"/>
    <w:rsid w:val="00FB796E"/>
    <w:rsid w:val="00FC4481"/>
    <w:rsid w:val="00FC4583"/>
    <w:rsid w:val="00FC4F4E"/>
    <w:rsid w:val="00FD2D42"/>
    <w:rsid w:val="00FD4ACF"/>
    <w:rsid w:val="00FD4B8F"/>
    <w:rsid w:val="00FD4F25"/>
    <w:rsid w:val="00FD501D"/>
    <w:rsid w:val="00FD59CF"/>
    <w:rsid w:val="00FD5DC7"/>
    <w:rsid w:val="00FD674F"/>
    <w:rsid w:val="00FD6A8B"/>
    <w:rsid w:val="00FD6CF1"/>
    <w:rsid w:val="00FD6E5A"/>
    <w:rsid w:val="00FD7641"/>
    <w:rsid w:val="00FE32AB"/>
    <w:rsid w:val="00FE3F02"/>
    <w:rsid w:val="00FE5892"/>
    <w:rsid w:val="00FE5F93"/>
    <w:rsid w:val="00FE6478"/>
    <w:rsid w:val="00FE6818"/>
    <w:rsid w:val="00FF1F84"/>
    <w:rsid w:val="00FF272F"/>
    <w:rsid w:val="00FF3CA5"/>
    <w:rsid w:val="00FF47A5"/>
    <w:rsid w:val="00FF51C6"/>
    <w:rsid w:val="00FF6739"/>
    <w:rsid w:val="00FF7910"/>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A5C4"/>
  <w15:docId w15:val="{27B38289-546A-4DAF-9006-A55E5354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C2C"/>
    <w:pPr>
      <w:keepNext/>
      <w:keepLines/>
      <w:spacing w:before="40"/>
      <w:outlineLvl w:val="1"/>
    </w:pPr>
    <w:rPr>
      <w:rFonts w:asciiTheme="minorHAnsi" w:eastAsiaTheme="majorEastAsia" w:hAnsiTheme="minorHAnsi" w:cstheme="majorBidi"/>
      <w:color w:val="172D5F"/>
      <w:sz w:val="22"/>
      <w:szCs w:val="26"/>
    </w:rPr>
  </w:style>
  <w:style w:type="paragraph" w:styleId="Heading3">
    <w:name w:val="heading 3"/>
    <w:basedOn w:val="Normal"/>
    <w:next w:val="Normal"/>
    <w:link w:val="Heading3Char"/>
    <w:uiPriority w:val="9"/>
    <w:unhideWhenUsed/>
    <w:qFormat/>
    <w:rsid w:val="00343F8D"/>
    <w:pPr>
      <w:keepNext/>
      <w:keepLines/>
      <w:spacing w:before="40"/>
      <w:outlineLvl w:val="2"/>
    </w:pPr>
    <w:rPr>
      <w:rFonts w:asciiTheme="minorHAnsi" w:eastAsiaTheme="majorEastAsia" w:hAnsiTheme="minorHAnsi" w:cstheme="majorBidi"/>
      <w:b/>
      <w:color w:val="172D5F"/>
      <w:sz w:val="22"/>
    </w:rPr>
  </w:style>
  <w:style w:type="paragraph" w:styleId="Heading4">
    <w:name w:val="heading 4"/>
    <w:basedOn w:val="Normal"/>
    <w:next w:val="Normal"/>
    <w:link w:val="Heading4Char"/>
    <w:uiPriority w:val="9"/>
    <w:semiHidden/>
    <w:unhideWhenUsed/>
    <w:qFormat/>
    <w:rsid w:val="00A975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BodyText">
    <w:name w:val="Body Text"/>
    <w:basedOn w:val="Normal"/>
    <w:link w:val="BodyTextChar"/>
    <w:uiPriority w:val="1"/>
    <w:semiHidden/>
    <w:unhideWhenUsed/>
    <w:qFormat/>
    <w:rsid w:val="00AB11CA"/>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AB11CA"/>
    <w:rPr>
      <w:rFonts w:ascii="Times New Roman" w:eastAsia="Times New Roman" w:hAnsi="Times New Roman"/>
      <w:b/>
      <w:bCs/>
      <w:sz w:val="24"/>
      <w:szCs w:val="24"/>
    </w:rPr>
  </w:style>
  <w:style w:type="table" w:styleId="TableGrid">
    <w:name w:val="Table Grid"/>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B11CA"/>
    <w:rPr>
      <w:sz w:val="20"/>
      <w:szCs w:val="20"/>
    </w:rPr>
  </w:style>
  <w:style w:type="character" w:customStyle="1" w:styleId="CommentTextChar">
    <w:name w:val="Comment Text Char"/>
    <w:basedOn w:val="DefaultParagraphFont"/>
    <w:link w:val="CommentText"/>
    <w:uiPriority w:val="99"/>
    <w:rsid w:val="00AB11CA"/>
    <w:rPr>
      <w:rFonts w:ascii="Arial" w:eastAsiaTheme="minorEastAsia" w:hAnsi="Arial" w:cs="Arial"/>
      <w:color w:val="000000"/>
      <w:sz w:val="20"/>
      <w:szCs w:val="20"/>
    </w:rPr>
  </w:style>
  <w:style w:type="character" w:styleId="CommentReference">
    <w:name w:val="annotation reference"/>
    <w:basedOn w:val="DefaultParagraphFont"/>
    <w:unhideWhenUsed/>
    <w:rsid w:val="00AB11CA"/>
    <w:rPr>
      <w:sz w:val="16"/>
      <w:szCs w:val="16"/>
    </w:rPr>
  </w:style>
  <w:style w:type="paragraph" w:styleId="BalloonText">
    <w:name w:val="Balloon Text"/>
    <w:basedOn w:val="Normal"/>
    <w:link w:val="BalloonTextChar"/>
    <w:uiPriority w:val="99"/>
    <w:semiHidden/>
    <w:unhideWhenUsed/>
    <w:rsid w:val="00AB11CA"/>
    <w:rPr>
      <w:rFonts w:ascii="Tahoma" w:hAnsi="Tahoma" w:cs="Tahoma"/>
      <w:sz w:val="16"/>
      <w:szCs w:val="16"/>
    </w:rPr>
  </w:style>
  <w:style w:type="character" w:customStyle="1" w:styleId="BalloonTextChar">
    <w:name w:val="Balloon Text Char"/>
    <w:basedOn w:val="DefaultParagraphFont"/>
    <w:link w:val="BalloonText"/>
    <w:uiPriority w:val="99"/>
    <w:semiHidden/>
    <w:rsid w:val="00AB11CA"/>
    <w:rPr>
      <w:rFonts w:ascii="Tahoma" w:eastAsiaTheme="minorEastAsia" w:hAnsi="Tahoma" w:cs="Tahoma"/>
      <w:color w:val="000000"/>
      <w:sz w:val="16"/>
      <w:szCs w:val="16"/>
    </w:rPr>
  </w:style>
  <w:style w:type="table" w:customStyle="1" w:styleId="TableGrid1">
    <w:name w:val="Table Grid1"/>
    <w:basedOn w:val="TableNormal"/>
    <w:uiPriority w:val="39"/>
    <w:rsid w:val="00874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1F2"/>
    <w:pPr>
      <w:tabs>
        <w:tab w:val="center" w:pos="4680"/>
        <w:tab w:val="right" w:pos="9360"/>
      </w:tabs>
    </w:pPr>
  </w:style>
  <w:style w:type="character" w:customStyle="1" w:styleId="HeaderChar">
    <w:name w:val="Header Char"/>
    <w:basedOn w:val="DefaultParagraphFont"/>
    <w:link w:val="Header"/>
    <w:uiPriority w:val="99"/>
    <w:rsid w:val="00F011F2"/>
    <w:rPr>
      <w:rFonts w:ascii="Arial" w:eastAsiaTheme="minorEastAsia" w:hAnsi="Arial" w:cs="Arial"/>
      <w:color w:val="000000"/>
      <w:sz w:val="24"/>
      <w:szCs w:val="24"/>
    </w:rPr>
  </w:style>
  <w:style w:type="paragraph" w:styleId="Footer">
    <w:name w:val="footer"/>
    <w:basedOn w:val="Normal"/>
    <w:link w:val="FooterChar"/>
    <w:uiPriority w:val="99"/>
    <w:unhideWhenUsed/>
    <w:rsid w:val="00F011F2"/>
    <w:pPr>
      <w:tabs>
        <w:tab w:val="center" w:pos="4680"/>
        <w:tab w:val="right" w:pos="9360"/>
      </w:tabs>
    </w:pPr>
  </w:style>
  <w:style w:type="character" w:customStyle="1" w:styleId="FooterChar">
    <w:name w:val="Footer Char"/>
    <w:basedOn w:val="DefaultParagraphFont"/>
    <w:link w:val="Footer"/>
    <w:uiPriority w:val="99"/>
    <w:rsid w:val="00F011F2"/>
    <w:rPr>
      <w:rFonts w:ascii="Arial" w:eastAsiaTheme="minorEastAsia" w:hAnsi="Arial" w:cs="Arial"/>
      <w:color w:val="000000"/>
      <w:sz w:val="24"/>
      <w:szCs w:val="24"/>
    </w:rPr>
  </w:style>
  <w:style w:type="paragraph" w:styleId="NoSpacing">
    <w:name w:val="No Spacing"/>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Akapit z listą BS,Bullets,Figures,List Paragraph (numbered (a)),MCHIP_list paragraph,Recommendation,heading 4"/>
    <w:basedOn w:val="Normal"/>
    <w:link w:val="ListParagraphChar"/>
    <w:uiPriority w:val="34"/>
    <w:qFormat/>
    <w:rsid w:val="003D4AF8"/>
    <w:pPr>
      <w:contextualSpacing/>
    </w:pPr>
    <w:rPr>
      <w:rFonts w:asciiTheme="minorHAnsi" w:hAnsiTheme="minorHAnsi"/>
      <w:b/>
      <w:color w:val="172D5F"/>
      <w:sz w:val="22"/>
    </w:rPr>
  </w:style>
  <w:style w:type="character" w:customStyle="1" w:styleId="Heading2Char">
    <w:name w:val="Heading 2 Char"/>
    <w:basedOn w:val="DefaultParagraphFont"/>
    <w:link w:val="Heading2"/>
    <w:uiPriority w:val="9"/>
    <w:rsid w:val="00451C2C"/>
    <w:rPr>
      <w:rFonts w:eastAsiaTheme="majorEastAsia" w:cstheme="majorBidi"/>
      <w:color w:val="172D5F"/>
      <w:szCs w:val="26"/>
    </w:rPr>
  </w:style>
  <w:style w:type="character" w:styleId="PlaceholderText">
    <w:name w:val="Placeholder Text"/>
    <w:basedOn w:val="DefaultParagraphFont"/>
    <w:uiPriority w:val="99"/>
    <w:semiHidden/>
    <w:rsid w:val="002A68DE"/>
    <w:rPr>
      <w:color w:val="808080"/>
    </w:rPr>
  </w:style>
  <w:style w:type="table" w:customStyle="1" w:styleId="TableGrid2">
    <w:name w:val="Table Grid2"/>
    <w:basedOn w:val="TableNormal"/>
    <w:next w:val="TableGrid"/>
    <w:uiPriority w:val="39"/>
    <w:rsid w:val="0056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1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10E"/>
    <w:pPr>
      <w:widowControl/>
      <w:autoSpaceDE/>
      <w:autoSpaceDN/>
      <w:adjustRightInd/>
      <w:spacing w:line="259" w:lineRule="auto"/>
      <w:outlineLvl w:val="9"/>
    </w:pPr>
    <w:rPr>
      <w:rFonts w:asciiTheme="minorHAnsi" w:hAnsiTheme="minorHAnsi"/>
      <w:b/>
      <w:sz w:val="22"/>
    </w:rPr>
  </w:style>
  <w:style w:type="paragraph" w:styleId="TOC1">
    <w:name w:val="toc 1"/>
    <w:basedOn w:val="Normal"/>
    <w:next w:val="Normal"/>
    <w:uiPriority w:val="39"/>
    <w:unhideWhenUsed/>
    <w:rsid w:val="00CF6439"/>
    <w:pPr>
      <w:tabs>
        <w:tab w:val="left" w:pos="440"/>
        <w:tab w:val="right" w:leader="dot" w:pos="9350"/>
      </w:tabs>
      <w:spacing w:after="100"/>
    </w:pPr>
    <w:rPr>
      <w:rFonts w:ascii="Calibri" w:eastAsia="Times New Roman" w:hAnsi="Calibri"/>
      <w:b/>
      <w:caps/>
      <w:noProof/>
    </w:rPr>
  </w:style>
  <w:style w:type="paragraph" w:styleId="TOC2">
    <w:name w:val="toc 2"/>
    <w:basedOn w:val="Normal"/>
    <w:next w:val="Normal"/>
    <w:autoRedefine/>
    <w:uiPriority w:val="39"/>
    <w:unhideWhenUsed/>
    <w:rsid w:val="002312CE"/>
    <w:pPr>
      <w:tabs>
        <w:tab w:val="left" w:pos="450"/>
        <w:tab w:val="right" w:leader="dot" w:pos="9350"/>
      </w:tabs>
      <w:spacing w:after="100"/>
      <w:ind w:left="540" w:hanging="90"/>
    </w:pPr>
    <w:rPr>
      <w:rFonts w:asciiTheme="minorHAnsi" w:hAnsiTheme="minorHAnsi"/>
      <w:b/>
      <w:bCs/>
      <w:noProof/>
      <w:color w:val="auto"/>
      <w:sz w:val="22"/>
    </w:rPr>
  </w:style>
  <w:style w:type="character" w:styleId="Hyperlink">
    <w:name w:val="Hyperlink"/>
    <w:basedOn w:val="DefaultParagraphFont"/>
    <w:uiPriority w:val="99"/>
    <w:unhideWhenUsed/>
    <w:rsid w:val="00900BF1"/>
    <w:rPr>
      <w:i/>
      <w:sz w:val="22"/>
      <w:szCs w:val="22"/>
    </w:rPr>
  </w:style>
  <w:style w:type="paragraph" w:styleId="TOC3">
    <w:name w:val="toc 3"/>
    <w:basedOn w:val="Normal"/>
    <w:next w:val="Normal"/>
    <w:autoRedefine/>
    <w:uiPriority w:val="39"/>
    <w:unhideWhenUsed/>
    <w:rsid w:val="00B7796C"/>
    <w:pPr>
      <w:widowControl/>
      <w:tabs>
        <w:tab w:val="right" w:leader="dot" w:pos="9360"/>
      </w:tabs>
      <w:autoSpaceDE/>
      <w:autoSpaceDN/>
      <w:adjustRightInd/>
      <w:spacing w:after="100" w:line="259" w:lineRule="auto"/>
      <w:ind w:left="720"/>
    </w:pPr>
    <w:rPr>
      <w:rFonts w:asciiTheme="minorHAnsi" w:hAnsiTheme="minorHAnsi" w:cs="Times New Roman"/>
      <w:b/>
      <w:color w:val="auto"/>
      <w:sz w:val="20"/>
      <w:szCs w:val="22"/>
    </w:rPr>
  </w:style>
  <w:style w:type="paragraph" w:styleId="IntenseQuote">
    <w:name w:val="Intense Quote"/>
    <w:basedOn w:val="Normal"/>
    <w:next w:val="Normal"/>
    <w:link w:val="IntenseQuoteChar"/>
    <w:uiPriority w:val="30"/>
    <w:qFormat/>
    <w:rsid w:val="00F24EC5"/>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24EC5"/>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24EC5"/>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24EC5"/>
    <w:rPr>
      <w:rFonts w:ascii="Arial" w:eastAsiaTheme="minorEastAsia" w:hAnsi="Arial" w:cs="Arial"/>
      <w:i/>
      <w:iCs/>
      <w:color w:val="FF0000"/>
      <w:sz w:val="24"/>
      <w:szCs w:val="24"/>
    </w:rPr>
  </w:style>
  <w:style w:type="paragraph" w:customStyle="1" w:styleId="Style1">
    <w:name w:val="Style1"/>
    <w:basedOn w:val="TOC2"/>
    <w:uiPriority w:val="99"/>
    <w:rsid w:val="001D39B6"/>
    <w:rPr>
      <w:i/>
      <w:color w:val="FF0000"/>
    </w:rPr>
  </w:style>
  <w:style w:type="paragraph" w:customStyle="1" w:styleId="Style3">
    <w:name w:val="Style3"/>
    <w:basedOn w:val="TOC2"/>
    <w:uiPriority w:val="99"/>
    <w:qFormat/>
    <w:rsid w:val="001D39B6"/>
    <w:rPr>
      <w:i/>
      <w:color w:val="FF0000"/>
    </w:rPr>
  </w:style>
  <w:style w:type="paragraph" w:customStyle="1" w:styleId="Normal0">
    <w:name w:val="Normal_0"/>
    <w:qFormat/>
  </w:style>
  <w:style w:type="paragraph" w:customStyle="1" w:styleId="Normal1">
    <w:name w:val="Normal_1"/>
    <w:qFormat/>
  </w:style>
  <w:style w:type="paragraph" w:customStyle="1" w:styleId="Normal2">
    <w:name w:val="Normal_2"/>
    <w:qFormat/>
  </w:style>
  <w:style w:type="paragraph" w:customStyle="1" w:styleId="Normal3">
    <w:name w:val="Normal_3"/>
    <w:qFormat/>
  </w:style>
  <w:style w:type="paragraph" w:customStyle="1" w:styleId="Normal4">
    <w:name w:val="Normal_4"/>
    <w:qFormat/>
  </w:style>
  <w:style w:type="paragraph" w:customStyle="1" w:styleId="Normal5">
    <w:name w:val="Normal_5"/>
    <w:qFormat/>
  </w:style>
  <w:style w:type="paragraph" w:customStyle="1" w:styleId="Normal6">
    <w:name w:val="Normal_6"/>
    <w:qFormat/>
  </w:style>
  <w:style w:type="paragraph" w:customStyle="1" w:styleId="Normal7">
    <w:name w:val="Normal_7"/>
    <w:qFormat/>
  </w:style>
  <w:style w:type="paragraph" w:customStyle="1" w:styleId="Normal8">
    <w:name w:val="Normal_8"/>
    <w:qFormat/>
  </w:style>
  <w:style w:type="paragraph" w:customStyle="1" w:styleId="Normal9">
    <w:name w:val="Normal_9"/>
    <w:qFormat/>
  </w:style>
  <w:style w:type="paragraph" w:customStyle="1" w:styleId="Normal10">
    <w:name w:val="Normal_10"/>
    <w:qFormat/>
  </w:style>
  <w:style w:type="paragraph" w:customStyle="1" w:styleId="Normal11">
    <w:name w:val="Normal_11"/>
    <w:qFormat/>
  </w:style>
  <w:style w:type="paragraph" w:customStyle="1" w:styleId="Normal12">
    <w:name w:val="Normal_12"/>
    <w:qFormat/>
  </w:style>
  <w:style w:type="paragraph" w:customStyle="1" w:styleId="Normal13">
    <w:name w:val="Normal_13"/>
    <w:qFormat/>
  </w:style>
  <w:style w:type="paragraph" w:customStyle="1" w:styleId="Normal14">
    <w:name w:val="Normal_14"/>
    <w:qFormat/>
  </w:style>
  <w:style w:type="paragraph" w:customStyle="1" w:styleId="Normal15">
    <w:name w:val="Normal_15"/>
    <w:qFormat/>
  </w:style>
  <w:style w:type="paragraph" w:customStyle="1" w:styleId="Normal16">
    <w:name w:val="Normal_16"/>
    <w:qFormat/>
  </w:style>
  <w:style w:type="paragraph" w:customStyle="1" w:styleId="Normal17">
    <w:name w:val="Normal_17"/>
    <w:qFormat/>
  </w:style>
  <w:style w:type="paragraph" w:customStyle="1" w:styleId="Normal18">
    <w:name w:val="Normal_18"/>
    <w:qFormat/>
  </w:style>
  <w:style w:type="paragraph" w:customStyle="1" w:styleId="Normal19">
    <w:name w:val="Normal_19"/>
    <w:qFormat/>
  </w:style>
  <w:style w:type="paragraph" w:customStyle="1" w:styleId="Normal20">
    <w:name w:val="Normal_20"/>
    <w:qFormat/>
  </w:style>
  <w:style w:type="paragraph" w:customStyle="1" w:styleId="Normal21">
    <w:name w:val="Normal_21"/>
    <w:qFormat/>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style>
  <w:style w:type="paragraph" w:customStyle="1" w:styleId="Normal26">
    <w:name w:val="Normal_26"/>
    <w:qFormat/>
  </w:style>
  <w:style w:type="paragraph" w:customStyle="1" w:styleId="Normal27">
    <w:name w:val="Normal_27"/>
    <w:qFormat/>
  </w:style>
  <w:style w:type="paragraph" w:customStyle="1" w:styleId="Normal28">
    <w:name w:val="Normal_28"/>
    <w:qFormat/>
  </w:style>
  <w:style w:type="paragraph" w:customStyle="1" w:styleId="Normal29">
    <w:name w:val="Normal_29"/>
    <w:qFormat/>
  </w:style>
  <w:style w:type="paragraph" w:customStyle="1" w:styleId="Normal30">
    <w:name w:val="Normal_30"/>
    <w:qFormat/>
  </w:style>
  <w:style w:type="paragraph" w:customStyle="1" w:styleId="Normal31">
    <w:name w:val="Normal_31"/>
    <w:qFormat/>
  </w:style>
  <w:style w:type="paragraph" w:customStyle="1" w:styleId="Normal32">
    <w:name w:val="Normal_32"/>
    <w:qFormat/>
  </w:style>
  <w:style w:type="paragraph" w:customStyle="1" w:styleId="Normal33">
    <w:name w:val="Normal_33"/>
    <w:qFormat/>
  </w:style>
  <w:style w:type="paragraph" w:customStyle="1" w:styleId="Normal34">
    <w:name w:val="Normal_34"/>
    <w:qFormat/>
  </w:style>
  <w:style w:type="paragraph" w:customStyle="1" w:styleId="Normal35">
    <w:name w:val="Normal_35"/>
    <w:qFormat/>
  </w:style>
  <w:style w:type="paragraph" w:customStyle="1" w:styleId="Normal36">
    <w:name w:val="Normal_36"/>
    <w:qFormat/>
  </w:style>
  <w:style w:type="paragraph" w:customStyle="1" w:styleId="Normal37">
    <w:name w:val="Normal_37"/>
    <w:qFormat/>
  </w:style>
  <w:style w:type="paragraph" w:customStyle="1" w:styleId="Normal38">
    <w:name w:val="Normal_38"/>
    <w:qFormat/>
  </w:style>
  <w:style w:type="paragraph" w:customStyle="1" w:styleId="Normal39">
    <w:name w:val="Normal_39"/>
    <w:qFormat/>
  </w:style>
  <w:style w:type="paragraph" w:customStyle="1" w:styleId="Normal40">
    <w:name w:val="Normal_40"/>
    <w:qFormat/>
  </w:style>
  <w:style w:type="paragraph" w:customStyle="1" w:styleId="Normal41">
    <w:name w:val="Normal_41"/>
    <w:qFormat/>
  </w:style>
  <w:style w:type="paragraph" w:customStyle="1" w:styleId="Normal42">
    <w:name w:val="Normal_42"/>
    <w:qFormat/>
  </w:style>
  <w:style w:type="paragraph" w:customStyle="1" w:styleId="Normal43">
    <w:name w:val="Normal_43"/>
    <w:qFormat/>
  </w:style>
  <w:style w:type="paragraph" w:customStyle="1" w:styleId="Normal44">
    <w:name w:val="Normal_44"/>
    <w:qFormat/>
  </w:style>
  <w:style w:type="paragraph" w:customStyle="1" w:styleId="Normal45">
    <w:name w:val="Normal_45"/>
    <w:qFormat/>
  </w:style>
  <w:style w:type="paragraph" w:customStyle="1" w:styleId="Normal46">
    <w:name w:val="Normal_46"/>
    <w:qFormat/>
  </w:style>
  <w:style w:type="paragraph" w:customStyle="1" w:styleId="Normal47">
    <w:name w:val="Normal_47"/>
    <w:qFormat/>
  </w:style>
  <w:style w:type="paragraph" w:customStyle="1" w:styleId="Normal48">
    <w:name w:val="Normal_48"/>
    <w:qFormat/>
  </w:style>
  <w:style w:type="paragraph" w:customStyle="1" w:styleId="Normal49">
    <w:name w:val="Normal_49"/>
    <w:qFormat/>
  </w:style>
  <w:style w:type="paragraph" w:customStyle="1" w:styleId="Normal50">
    <w:name w:val="Normal_50"/>
    <w:qFormat/>
  </w:style>
  <w:style w:type="paragraph" w:customStyle="1" w:styleId="Normal51">
    <w:name w:val="Normal_51"/>
    <w:qFormat/>
  </w:style>
  <w:style w:type="paragraph" w:customStyle="1" w:styleId="Normal52">
    <w:name w:val="Normal_52"/>
    <w:qFormat/>
  </w:style>
  <w:style w:type="paragraph" w:customStyle="1" w:styleId="Normal53">
    <w:name w:val="Normal_53"/>
    <w:qFormat/>
  </w:style>
  <w:style w:type="paragraph" w:customStyle="1" w:styleId="Normal54">
    <w:name w:val="Normal_54"/>
    <w:qFormat/>
  </w:style>
  <w:style w:type="paragraph" w:customStyle="1" w:styleId="Normal55">
    <w:name w:val="Normal_55"/>
    <w:qFormat/>
  </w:style>
  <w:style w:type="paragraph" w:customStyle="1" w:styleId="Normal56">
    <w:name w:val="Normal_56"/>
    <w:qFormat/>
  </w:style>
  <w:style w:type="paragraph" w:customStyle="1" w:styleId="Normal57">
    <w:name w:val="Normal_57"/>
    <w:qFormat/>
  </w:style>
  <w:style w:type="paragraph" w:customStyle="1" w:styleId="Normal58">
    <w:name w:val="Normal_58"/>
    <w:qFormat/>
  </w:style>
  <w:style w:type="paragraph" w:customStyle="1" w:styleId="Normal59">
    <w:name w:val="Normal_59"/>
    <w:qFormat/>
  </w:style>
  <w:style w:type="paragraph" w:customStyle="1" w:styleId="Normal60">
    <w:name w:val="Normal_60"/>
    <w:qFormat/>
  </w:style>
  <w:style w:type="paragraph" w:customStyle="1" w:styleId="Normal61">
    <w:name w:val="Normal_61"/>
    <w:qFormat/>
  </w:style>
  <w:style w:type="paragraph" w:customStyle="1" w:styleId="Normal62">
    <w:name w:val="Normal_62"/>
    <w:qFormat/>
  </w:style>
  <w:style w:type="paragraph" w:customStyle="1" w:styleId="Normal63">
    <w:name w:val="Normal_63"/>
    <w:qFormat/>
  </w:style>
  <w:style w:type="paragraph" w:customStyle="1" w:styleId="Normal202">
    <w:name w:val="Normal_202"/>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674F"/>
    <w:rPr>
      <w:rFonts w:asciiTheme="minorHAnsi" w:hAnsiTheme="minorHAnsi"/>
      <w:sz w:val="18"/>
      <w:szCs w:val="20"/>
    </w:rPr>
  </w:style>
  <w:style w:type="character" w:customStyle="1" w:styleId="FootnoteTextChar">
    <w:name w:val="Footnote Text Char"/>
    <w:basedOn w:val="DefaultParagraphFont"/>
    <w:link w:val="FootnoteText"/>
    <w:uiPriority w:val="99"/>
    <w:rsid w:val="00FD674F"/>
    <w:rPr>
      <w:rFonts w:eastAsiaTheme="minorEastAsia" w:cs="Arial"/>
      <w:color w:val="000000"/>
      <w:sz w:val="18"/>
      <w:szCs w:val="20"/>
    </w:rPr>
  </w:style>
  <w:style w:type="table" w:customStyle="1" w:styleId="TableGrid11">
    <w:name w:val="Table Grid11"/>
    <w:basedOn w:val="TableNormal"/>
    <w:next w:val="TableGrid"/>
    <w:uiPriority w:val="39"/>
    <w:rsid w:val="0061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5F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B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3F8D"/>
    <w:rPr>
      <w:rFonts w:eastAsiaTheme="majorEastAsia" w:cstheme="majorBidi"/>
      <w:b/>
      <w:color w:val="172D5F"/>
      <w:szCs w:val="24"/>
    </w:rPr>
  </w:style>
  <w:style w:type="table" w:customStyle="1" w:styleId="TableGrid10">
    <w:name w:val="Table Grid10"/>
    <w:basedOn w:val="TableNormal"/>
    <w:next w:val="TableGrid"/>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33859"/>
    <w:rPr>
      <w:vertAlign w:val="superscript"/>
    </w:rPr>
  </w:style>
  <w:style w:type="paragraph" w:styleId="CommentSubject">
    <w:name w:val="annotation subject"/>
    <w:basedOn w:val="CommentText"/>
    <w:next w:val="CommentText"/>
    <w:link w:val="CommentSubjectChar"/>
    <w:uiPriority w:val="99"/>
    <w:semiHidden/>
    <w:unhideWhenUsed/>
    <w:rsid w:val="004A4264"/>
    <w:rPr>
      <w:b/>
      <w:bCs/>
    </w:rPr>
  </w:style>
  <w:style w:type="character" w:customStyle="1" w:styleId="CommentSubjectChar">
    <w:name w:val="Comment Subject Char"/>
    <w:basedOn w:val="CommentTextChar"/>
    <w:link w:val="CommentSubject"/>
    <w:uiPriority w:val="99"/>
    <w:semiHidden/>
    <w:rsid w:val="004A4264"/>
    <w:rPr>
      <w:rFonts w:ascii="Arial" w:eastAsiaTheme="minorEastAsia" w:hAnsi="Arial" w:cs="Arial"/>
      <w:b/>
      <w:bCs/>
      <w:color w:val="000000"/>
      <w:sz w:val="20"/>
      <w:szCs w:val="20"/>
    </w:rPr>
  </w:style>
  <w:style w:type="character" w:customStyle="1" w:styleId="ListParagraphChar">
    <w:name w:val="List Paragraph Char"/>
    <w:aliases w:val="Akapit z listą BS Char,Bullets Char,Figures Char,List Paragraph (numbered (a)) Char,MCHIP_list paragraph Char,Recommendation Char,heading 4 Char"/>
    <w:basedOn w:val="DefaultParagraphFont"/>
    <w:link w:val="ListParagraph"/>
    <w:uiPriority w:val="34"/>
    <w:rsid w:val="00EC1579"/>
    <w:rPr>
      <w:rFonts w:eastAsiaTheme="minorEastAsia" w:cs="Arial"/>
      <w:b/>
      <w:color w:val="172D5F"/>
      <w:szCs w:val="24"/>
    </w:rPr>
  </w:style>
  <w:style w:type="character" w:customStyle="1" w:styleId="Heading4Char">
    <w:name w:val="Heading 4 Char"/>
    <w:basedOn w:val="DefaultParagraphFont"/>
    <w:link w:val="Heading4"/>
    <w:uiPriority w:val="9"/>
    <w:semiHidden/>
    <w:rsid w:val="00A975F6"/>
    <w:rPr>
      <w:rFonts w:asciiTheme="majorHAnsi" w:eastAsiaTheme="majorEastAsia" w:hAnsiTheme="majorHAnsi" w:cstheme="majorBidi"/>
      <w:i/>
      <w:iCs/>
      <w:color w:val="2E74B5" w:themeColor="accent1" w:themeShade="BF"/>
      <w:sz w:val="24"/>
      <w:szCs w:val="24"/>
    </w:rPr>
  </w:style>
  <w:style w:type="paragraph" w:customStyle="1" w:styleId="Normal64">
    <w:name w:val="Normal_64"/>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0">
    <w:name w:val="No Spacing_0"/>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0">
    <w:name w:val="Table Grid_0"/>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_0"/>
    <w:basedOn w:val="Normal64"/>
    <w:next w:val="Normal64"/>
    <w:link w:val="Heading1Char0"/>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0">
    <w:name w:val="Heading 1 Char_0"/>
    <w:basedOn w:val="DefaultParagraphFont"/>
    <w:link w:val="Heading10"/>
    <w:uiPriority w:val="9"/>
    <w:rsid w:val="009E0108"/>
    <w:rPr>
      <w:rFonts w:asciiTheme="majorHAnsi" w:eastAsiaTheme="majorEastAsia" w:hAnsiTheme="majorHAnsi" w:cstheme="majorBidi"/>
      <w:color w:val="2E74B5" w:themeColor="accent1" w:themeShade="BF"/>
      <w:sz w:val="32"/>
      <w:szCs w:val="32"/>
    </w:rPr>
  </w:style>
  <w:style w:type="table" w:customStyle="1" w:styleId="TableGrid90">
    <w:name w:val="Table Grid9_0"/>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_0"/>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_0"/>
    <w:basedOn w:val="TableNormal"/>
    <w:next w:val="TableGrid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_0"/>
    <w:basedOn w:val="TableNormal"/>
    <w:next w:val="TableGrid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00">
    <w:name w:val="Normal_3_0"/>
    <w:qFormat/>
  </w:style>
  <w:style w:type="table" w:customStyle="1" w:styleId="TableGrid100">
    <w:name w:val="Table Grid10_0"/>
    <w:basedOn w:val="TableNormal"/>
    <w:next w:val="TableGrid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5">
    <w:name w:val="Normal_65"/>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1">
    <w:name w:val="No Spacing_1"/>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2">
    <w:name w:val="Table Grid_1"/>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65"/>
    <w:next w:val="Normal65"/>
    <w:link w:val="Heading1Char1"/>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1">
    <w:name w:val="Heading 1 Char_1"/>
    <w:basedOn w:val="DefaultParagraphFont"/>
    <w:link w:val="Heading11"/>
    <w:uiPriority w:val="9"/>
    <w:rsid w:val="009E0108"/>
    <w:rPr>
      <w:rFonts w:asciiTheme="majorHAnsi" w:eastAsiaTheme="majorEastAsia" w:hAnsiTheme="majorHAnsi" w:cstheme="majorBidi"/>
      <w:color w:val="2E74B5" w:themeColor="accent1" w:themeShade="BF"/>
      <w:sz w:val="32"/>
      <w:szCs w:val="32"/>
    </w:rPr>
  </w:style>
  <w:style w:type="table" w:customStyle="1" w:styleId="TableGrid911">
    <w:name w:val="Table Grid9_1"/>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_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2"/>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_1"/>
    <w:basedOn w:val="TableNormal"/>
    <w:next w:val="TableGrid12"/>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10">
    <w:name w:val="Normal_3_1"/>
    <w:qFormat/>
  </w:style>
  <w:style w:type="table" w:customStyle="1" w:styleId="TableGrid101">
    <w:name w:val="Table Grid10_1"/>
    <w:basedOn w:val="TableNormal"/>
    <w:next w:val="TableGrid12"/>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_1"/>
    <w:basedOn w:val="TableNormal"/>
    <w:next w:val="TableGrid12"/>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_1"/>
    <w:basedOn w:val="TableNormal"/>
    <w:next w:val="TableGrid12"/>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6">
    <w:name w:val="Normal_66"/>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2">
    <w:name w:val="No Spacing_2"/>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1">
    <w:name w:val="Table Grid_2"/>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_2"/>
    <w:basedOn w:val="Normal66"/>
    <w:next w:val="Normal66"/>
    <w:link w:val="Heading1Char2"/>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2">
    <w:name w:val="Heading 1 Char_2"/>
    <w:basedOn w:val="DefaultParagraphFont"/>
    <w:link w:val="Heading12"/>
    <w:uiPriority w:val="9"/>
    <w:rsid w:val="009E0108"/>
    <w:rPr>
      <w:rFonts w:asciiTheme="majorHAnsi" w:eastAsiaTheme="majorEastAsia" w:hAnsiTheme="majorHAnsi" w:cstheme="majorBidi"/>
      <w:color w:val="2E74B5" w:themeColor="accent1" w:themeShade="BF"/>
      <w:sz w:val="32"/>
      <w:szCs w:val="32"/>
    </w:rPr>
  </w:style>
  <w:style w:type="table" w:customStyle="1" w:styleId="TableGrid92">
    <w:name w:val="Table Grid9_2"/>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_2"/>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_2"/>
    <w:basedOn w:val="TableNormal"/>
    <w:next w:val="TableGrid21"/>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_2"/>
    <w:basedOn w:val="TableNormal"/>
    <w:next w:val="TableGrid21"/>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20">
    <w:name w:val="Normal_3_2"/>
    <w:qFormat/>
  </w:style>
  <w:style w:type="table" w:customStyle="1" w:styleId="TableGrid102">
    <w:name w:val="Table Grid10_2"/>
    <w:basedOn w:val="TableNormal"/>
    <w:next w:val="TableGrid21"/>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_2"/>
    <w:basedOn w:val="TableNormal"/>
    <w:next w:val="TableGrid21"/>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_2"/>
    <w:basedOn w:val="TableNormal"/>
    <w:next w:val="TableGrid21"/>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7">
    <w:name w:val="Normal_67"/>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3">
    <w:name w:val="No Spacing_3"/>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0">
    <w:name w:val="Table Grid_3"/>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_3"/>
    <w:basedOn w:val="Normal67"/>
    <w:next w:val="Normal67"/>
    <w:link w:val="Heading1Char3"/>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3">
    <w:name w:val="Heading 1 Char_3"/>
    <w:basedOn w:val="DefaultParagraphFont"/>
    <w:link w:val="Heading13"/>
    <w:uiPriority w:val="9"/>
    <w:rsid w:val="009E0108"/>
    <w:rPr>
      <w:rFonts w:asciiTheme="majorHAnsi" w:eastAsiaTheme="majorEastAsia" w:hAnsiTheme="majorHAnsi" w:cstheme="majorBidi"/>
      <w:color w:val="2E74B5" w:themeColor="accent1" w:themeShade="BF"/>
      <w:sz w:val="32"/>
      <w:szCs w:val="32"/>
    </w:rPr>
  </w:style>
  <w:style w:type="table" w:customStyle="1" w:styleId="TableGrid93">
    <w:name w:val="Table Grid9_3"/>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_3"/>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_3"/>
    <w:basedOn w:val="TableNormal"/>
    <w:next w:val="TableGrid3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_3"/>
    <w:basedOn w:val="TableNormal"/>
    <w:next w:val="TableGrid3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30">
    <w:name w:val="Normal_3_3"/>
    <w:qFormat/>
  </w:style>
  <w:style w:type="table" w:customStyle="1" w:styleId="TableGrid103">
    <w:name w:val="Table Grid10_3"/>
    <w:basedOn w:val="TableNormal"/>
    <w:next w:val="TableGrid3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_3"/>
    <w:basedOn w:val="TableNormal"/>
    <w:next w:val="TableGrid3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_3"/>
    <w:basedOn w:val="TableNormal"/>
    <w:next w:val="TableGrid3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8">
    <w:name w:val="Normal_68"/>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4">
    <w:name w:val="No Spacing_4"/>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64">
    <w:name w:val="Table Grid_6"/>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4">
    <w:name w:val="Heading 1_4"/>
    <w:basedOn w:val="Normal68"/>
    <w:next w:val="Normal68"/>
    <w:link w:val="Heading1Char4"/>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4">
    <w:name w:val="Heading 1 Char_4"/>
    <w:basedOn w:val="DefaultParagraphFont"/>
    <w:link w:val="Heading14"/>
    <w:uiPriority w:val="9"/>
    <w:rsid w:val="009E0108"/>
    <w:rPr>
      <w:rFonts w:asciiTheme="majorHAnsi" w:eastAsiaTheme="majorEastAsia" w:hAnsiTheme="majorHAnsi" w:cstheme="majorBidi"/>
      <w:color w:val="2E74B5" w:themeColor="accent1" w:themeShade="BF"/>
      <w:sz w:val="32"/>
      <w:szCs w:val="32"/>
    </w:rPr>
  </w:style>
  <w:style w:type="table" w:customStyle="1" w:styleId="TableGrid94">
    <w:name w:val="Table Grid9_4"/>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_4"/>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_4"/>
    <w:basedOn w:val="TableNormal"/>
    <w:next w:val="TableGrid64"/>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_4"/>
    <w:basedOn w:val="TableNormal"/>
    <w:next w:val="TableGrid64"/>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40">
    <w:name w:val="Normal_3_4"/>
    <w:qFormat/>
  </w:style>
  <w:style w:type="table" w:customStyle="1" w:styleId="TableGrid104">
    <w:name w:val="Table Grid10_4"/>
    <w:basedOn w:val="TableNormal"/>
    <w:next w:val="TableGrid64"/>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0">
    <w:name w:val="Table Grid6_4"/>
    <w:basedOn w:val="TableNormal"/>
    <w:next w:val="TableGrid64"/>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_4"/>
    <w:basedOn w:val="TableNormal"/>
    <w:next w:val="TableGrid64"/>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5">
    <w:name w:val="No Spacing_5"/>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75">
    <w:name w:val="Table Grid_7"/>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_5"/>
    <w:basedOn w:val="Normal69"/>
    <w:next w:val="Normal69"/>
    <w:link w:val="Heading1Char5"/>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5">
    <w:name w:val="Heading 1 Char_5"/>
    <w:basedOn w:val="DefaultParagraphFont"/>
    <w:link w:val="Heading15"/>
    <w:uiPriority w:val="9"/>
    <w:rsid w:val="009E0108"/>
    <w:rPr>
      <w:rFonts w:asciiTheme="majorHAnsi" w:eastAsiaTheme="majorEastAsia" w:hAnsiTheme="majorHAnsi" w:cstheme="majorBidi"/>
      <w:color w:val="2E74B5" w:themeColor="accent1" w:themeShade="BF"/>
      <w:sz w:val="32"/>
      <w:szCs w:val="32"/>
    </w:rPr>
  </w:style>
  <w:style w:type="table" w:customStyle="1" w:styleId="TableGrid95">
    <w:name w:val="Table Grid9_5"/>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_5"/>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_5"/>
    <w:basedOn w:val="TableNormal"/>
    <w:next w:val="TableGrid75"/>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_5"/>
    <w:basedOn w:val="TableNormal"/>
    <w:next w:val="TableGrid75"/>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50">
    <w:name w:val="Normal_3_5"/>
    <w:qFormat/>
  </w:style>
  <w:style w:type="table" w:customStyle="1" w:styleId="TableGrid105">
    <w:name w:val="Table Grid10_5"/>
    <w:basedOn w:val="TableNormal"/>
    <w:next w:val="TableGrid75"/>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_5"/>
    <w:basedOn w:val="TableNormal"/>
    <w:next w:val="TableGrid75"/>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0">
    <w:name w:val="Table Grid7_5"/>
    <w:basedOn w:val="TableNormal"/>
    <w:next w:val="TableGrid75"/>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C6FD031-EB47-48D7-9F52-F2D033349F11}"/>
      </w:docPartPr>
      <w:docPartBody>
        <w:p w:rsidR="004167E7" w:rsidRDefault="00DD40C3">
          <w:r w:rsidRPr="00764859">
            <w:rPr>
              <w:rStyle w:val="PlaceholderText"/>
            </w:rPr>
            <w:t>Click here to enter text.</w:t>
          </w:r>
        </w:p>
      </w:docPartBody>
    </w:docPart>
    <w:docPart>
      <w:docPartPr>
        <w:name w:val="4C6F3F8C360047F3AC0EDCD46E696C86"/>
        <w:category>
          <w:name w:val="General"/>
          <w:gallery w:val="placeholder"/>
        </w:category>
        <w:types>
          <w:type w:val="bbPlcHdr"/>
        </w:types>
        <w:behaviors>
          <w:behavior w:val="content"/>
        </w:behaviors>
        <w:guid w:val="{50B90A66-A8E5-4E78-A248-637E36E16A82}"/>
      </w:docPartPr>
      <w:docPartBody>
        <w:p w:rsidR="006C5290" w:rsidRDefault="00DD40C3" w:rsidP="00C168DA">
          <w:pPr>
            <w:pStyle w:val="4C6F3F8C360047F3AC0EDCD46E696C86"/>
          </w:pPr>
          <w:r w:rsidRPr="00764859">
            <w:rPr>
              <w:rStyle w:val="PlaceholderText"/>
            </w:rPr>
            <w:t>Click here to enter text.</w:t>
          </w:r>
        </w:p>
      </w:docPartBody>
    </w:docPart>
    <w:docPart>
      <w:docPartPr>
        <w:name w:val="DC24153066F24F00AACEADBC73512BAC"/>
        <w:category>
          <w:name w:val="General"/>
          <w:gallery w:val="placeholder"/>
        </w:category>
        <w:types>
          <w:type w:val="bbPlcHdr"/>
        </w:types>
        <w:behaviors>
          <w:behavior w:val="content"/>
        </w:behaviors>
        <w:guid w:val="{E441F751-D50E-4288-B2BF-A25FCBAFB075}"/>
      </w:docPartPr>
      <w:docPartBody>
        <w:p w:rsidR="006D381C" w:rsidRDefault="00DD40C3">
          <w:r>
            <w:t xml:space="preserve"> </w:t>
          </w:r>
        </w:p>
      </w:docPartBody>
    </w:docPart>
    <w:docPart>
      <w:docPartPr>
        <w:name w:val="3F0B331C2F344760AE61C9A706D5C719"/>
        <w:category>
          <w:name w:val="General"/>
          <w:gallery w:val="placeholder"/>
        </w:category>
        <w:types>
          <w:type w:val="bbPlcHdr"/>
        </w:types>
        <w:behaviors>
          <w:behavior w:val="content"/>
        </w:behaviors>
        <w:guid w:val="{1443DBA8-FE29-4D4F-8B35-E4DE2ACF045A}"/>
      </w:docPartPr>
      <w:docPartBody>
        <w:p w:rsidR="005D3509" w:rsidRDefault="00DD40C3" w:rsidP="00045D6B">
          <w:pPr>
            <w:pStyle w:val="3F0B331C2F344760AE61C9A706D5C71914"/>
          </w:pPr>
          <w:r>
            <w:rPr>
              <w:rFonts w:asciiTheme="minorHAnsi" w:hAnsiTheme="minorHAnsi"/>
              <w:b/>
              <w:bCs/>
              <w:color w:val="7F7F7F" w:themeColor="text1" w:themeTint="80"/>
              <w:sz w:val="22"/>
              <w:szCs w:val="22"/>
            </w:rPr>
            <w:t xml:space="preserve"> </w:t>
          </w:r>
        </w:p>
      </w:docPartBody>
    </w:docPart>
    <w:docPart>
      <w:docPartPr>
        <w:name w:val="38EE8AFCAAEB42E59B4C2A50AE10D130"/>
        <w:category>
          <w:name w:val="General"/>
          <w:gallery w:val="placeholder"/>
        </w:category>
        <w:types>
          <w:type w:val="bbPlcHdr"/>
        </w:types>
        <w:behaviors>
          <w:behavior w:val="content"/>
        </w:behaviors>
        <w:guid w:val="{952FD3A0-8CCF-4E9C-A781-856BF088695E}"/>
      </w:docPartPr>
      <w:docPartBody>
        <w:p w:rsidR="005D3509" w:rsidRDefault="00DD40C3" w:rsidP="009736F5">
          <w:pPr>
            <w:pStyle w:val="38EE8AFCAAEB42E59B4C2A50AE10D130"/>
          </w:pPr>
          <w:r w:rsidRPr="00764859">
            <w:rPr>
              <w:rStyle w:val="PlaceholderText"/>
            </w:rPr>
            <w:t>Click here to enter text.</w:t>
          </w:r>
        </w:p>
      </w:docPartBody>
    </w:docPart>
    <w:docPart>
      <w:docPartPr>
        <w:name w:val="907ABA86110D43A3A29F785143380194"/>
        <w:category>
          <w:name w:val="General"/>
          <w:gallery w:val="placeholder"/>
        </w:category>
        <w:types>
          <w:type w:val="bbPlcHdr"/>
        </w:types>
        <w:behaviors>
          <w:behavior w:val="content"/>
        </w:behaviors>
        <w:guid w:val="{E5B290BD-74AE-4133-9835-B0DF1D238B19}"/>
      </w:docPartPr>
      <w:docPartBody>
        <w:p w:rsidR="00EF3D98" w:rsidRDefault="00DD40C3" w:rsidP="00045D6B">
          <w:pPr>
            <w:pStyle w:val="907ABA86110D43A3A29F78514338019413"/>
          </w:pPr>
          <w:r w:rsidRPr="00764859">
            <w:rPr>
              <w:rStyle w:val="PlaceholderText"/>
            </w:rPr>
            <w:t>.</w:t>
          </w:r>
        </w:p>
      </w:docPartBody>
    </w:docPart>
    <w:docPart>
      <w:docPartPr>
        <w:name w:val="78734B1EDCB14D0D822B3CF0C5FF1B1B"/>
        <w:category>
          <w:name w:val="General"/>
          <w:gallery w:val="placeholder"/>
        </w:category>
        <w:types>
          <w:type w:val="bbPlcHdr"/>
        </w:types>
        <w:behaviors>
          <w:behavior w:val="content"/>
        </w:behaviors>
        <w:guid w:val="{F6734F5F-A5CE-44CC-839B-E75FE760DC74}"/>
      </w:docPartPr>
      <w:docPartBody>
        <w:p w:rsidR="00AE52B5" w:rsidRDefault="00DD40C3" w:rsidP="0096241B">
          <w:pPr>
            <w:pStyle w:val="78734B1EDCB14D0D822B3CF0C5FF1B1B"/>
          </w:pPr>
          <w:r w:rsidRPr="00764859">
            <w:rPr>
              <w:rStyle w:val="PlaceholderText"/>
            </w:rPr>
            <w:t>Click here to enter text.</w:t>
          </w:r>
        </w:p>
      </w:docPartBody>
    </w:docPart>
    <w:docPart>
      <w:docPartPr>
        <w:name w:val="E481BF2110E44A16B624ABFEBAEC25A3"/>
        <w:category>
          <w:name w:val="General"/>
          <w:gallery w:val="placeholder"/>
        </w:category>
        <w:types>
          <w:type w:val="bbPlcHdr"/>
        </w:types>
        <w:behaviors>
          <w:behavior w:val="content"/>
        </w:behaviors>
        <w:guid w:val="{31BCAACD-228C-469B-BC56-8647C266DEAF}"/>
      </w:docPartPr>
      <w:docPartBody>
        <w:p w:rsidR="00AE52B5" w:rsidRDefault="00DD40C3" w:rsidP="0096241B">
          <w:pPr>
            <w:pStyle w:val="E481BF2110E44A16B624ABFEBAEC25A3"/>
          </w:pPr>
          <w:r w:rsidRPr="00764859">
            <w:rPr>
              <w:rStyle w:val="PlaceholderText"/>
            </w:rPr>
            <w:t>Click here to enter text.</w:t>
          </w:r>
        </w:p>
      </w:docPartBody>
    </w:docPart>
    <w:docPart>
      <w:docPartPr>
        <w:name w:val="D26C7ACB08264F4CBEFE99B107484CEE"/>
        <w:category>
          <w:name w:val="General"/>
          <w:gallery w:val="placeholder"/>
        </w:category>
        <w:types>
          <w:type w:val="bbPlcHdr"/>
        </w:types>
        <w:behaviors>
          <w:behavior w:val="content"/>
        </w:behaviors>
        <w:guid w:val="{F4685B0E-AA10-4234-8701-95C43DCADBD9}"/>
      </w:docPartPr>
      <w:docPartBody>
        <w:p w:rsidR="00AE52B5" w:rsidRDefault="00DD40C3" w:rsidP="0096241B">
          <w:pPr>
            <w:pStyle w:val="D26C7ACB08264F4CBEFE99B107484CEE"/>
          </w:pPr>
          <w:r w:rsidRPr="00764859">
            <w:rPr>
              <w:rStyle w:val="PlaceholderText"/>
            </w:rPr>
            <w:t>Click here to enter text.</w:t>
          </w:r>
        </w:p>
      </w:docPartBody>
    </w:docPart>
    <w:docPart>
      <w:docPartPr>
        <w:name w:val="6684A6F845994948B52DABC45584C050"/>
        <w:category>
          <w:name w:val="General"/>
          <w:gallery w:val="placeholder"/>
        </w:category>
        <w:types>
          <w:type w:val="bbPlcHdr"/>
        </w:types>
        <w:behaviors>
          <w:behavior w:val="content"/>
        </w:behaviors>
        <w:guid w:val="{B2EE04C8-0278-426C-BC8E-5AC79F347EF6}"/>
      </w:docPartPr>
      <w:docPartBody>
        <w:p w:rsidR="00073274" w:rsidRDefault="00DD40C3" w:rsidP="00073274">
          <w:pPr>
            <w:pStyle w:val="6684A6F845994948B52DABC45584C050"/>
          </w:pPr>
          <w:r w:rsidRPr="00764859">
            <w:rPr>
              <w:rStyle w:val="PlaceholderText"/>
            </w:rPr>
            <w:t>Click here to enter text.</w:t>
          </w:r>
        </w:p>
      </w:docPartBody>
    </w:docPart>
    <w:docPart>
      <w:docPartPr>
        <w:name w:val="AE198A1D60F64EFE9318E4033AD91786"/>
        <w:category>
          <w:name w:val="General"/>
          <w:gallery w:val="placeholder"/>
        </w:category>
        <w:types>
          <w:type w:val="bbPlcHdr"/>
        </w:types>
        <w:behaviors>
          <w:behavior w:val="content"/>
        </w:behaviors>
        <w:guid w:val="{6FE0F4E5-9C00-4AD0-A99F-DD63D644285A}"/>
      </w:docPartPr>
      <w:docPartBody>
        <w:p w:rsidR="00073274" w:rsidRDefault="00DD40C3" w:rsidP="00073274">
          <w:pPr>
            <w:pStyle w:val="AE198A1D60F64EFE9318E4033AD91786"/>
          </w:pPr>
          <w:r w:rsidRPr="00764859">
            <w:rPr>
              <w:rStyle w:val="PlaceholderText"/>
            </w:rPr>
            <w:t>Click here to enter text.</w:t>
          </w:r>
        </w:p>
      </w:docPartBody>
    </w:docPart>
    <w:docPart>
      <w:docPartPr>
        <w:name w:val="2996D5764BDF46D986762CDB34C06051"/>
        <w:category>
          <w:name w:val="General"/>
          <w:gallery w:val="placeholder"/>
        </w:category>
        <w:types>
          <w:type w:val="bbPlcHdr"/>
        </w:types>
        <w:behaviors>
          <w:behavior w:val="content"/>
        </w:behaviors>
        <w:guid w:val="{09FCC48D-4263-491C-A582-66E51F2627CC}"/>
      </w:docPartPr>
      <w:docPartBody>
        <w:p w:rsidR="00073274" w:rsidRDefault="00DD40C3" w:rsidP="00073274">
          <w:pPr>
            <w:pStyle w:val="2996D5764BDF46D986762CDB34C06051"/>
          </w:pPr>
          <w:r w:rsidRPr="00764859">
            <w:rPr>
              <w:rStyle w:val="PlaceholderText"/>
            </w:rPr>
            <w:t>Click here to enter text.</w:t>
          </w:r>
        </w:p>
      </w:docPartBody>
    </w:docPart>
    <w:docPart>
      <w:docPartPr>
        <w:name w:val="A1E930F40544463486232D5111D7EB5B"/>
        <w:category>
          <w:name w:val="General"/>
          <w:gallery w:val="placeholder"/>
        </w:category>
        <w:types>
          <w:type w:val="bbPlcHdr"/>
        </w:types>
        <w:behaviors>
          <w:behavior w:val="content"/>
        </w:behaviors>
        <w:guid w:val="{D225AE20-4119-4992-99FA-D354BA11E589}"/>
      </w:docPartPr>
      <w:docPartBody>
        <w:p w:rsidR="00073274" w:rsidRDefault="00DD40C3" w:rsidP="00073274">
          <w:pPr>
            <w:pStyle w:val="A1E930F40544463486232D5111D7EB5B"/>
          </w:pPr>
          <w:r>
            <w:t xml:space="preserve"> </w:t>
          </w:r>
        </w:p>
      </w:docPartBody>
    </w:docPart>
    <w:docPart>
      <w:docPartPr>
        <w:name w:val="EAE325E281134CC3B55B7544FD72C8BB"/>
        <w:category>
          <w:name w:val="General"/>
          <w:gallery w:val="placeholder"/>
        </w:category>
        <w:types>
          <w:type w:val="bbPlcHdr"/>
        </w:types>
        <w:behaviors>
          <w:behavior w:val="content"/>
        </w:behaviors>
        <w:guid w:val="{4DEA7EB7-430C-4638-8853-8697FD531817}"/>
      </w:docPartPr>
      <w:docPartBody>
        <w:p w:rsidR="00073274" w:rsidRDefault="00DD40C3" w:rsidP="00073274">
          <w:pPr>
            <w:pStyle w:val="EAE325E281134CC3B55B7544FD72C8BB"/>
          </w:pPr>
          <w:r>
            <w:t xml:space="preserve"> </w:t>
          </w:r>
        </w:p>
      </w:docPartBody>
    </w:docPart>
    <w:docPart>
      <w:docPartPr>
        <w:name w:val="DefaultPlaceholder_22675703"/>
        <w:category>
          <w:name w:val="General"/>
          <w:gallery w:val="placeholder"/>
        </w:category>
        <w:types>
          <w:type w:val="bbPlcHdr"/>
        </w:types>
        <w:behaviors>
          <w:behavior w:val="content"/>
        </w:behaviors>
        <w:guid w:val="{79735AD4-69BB-4ED2-81D3-3FF3320C16C7}"/>
      </w:docPartPr>
      <w:docPartBody>
        <w:p w:rsidR="00633596" w:rsidRDefault="00DD40C3">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80"/>
    <w:rsid w:val="00045D6B"/>
    <w:rsid w:val="00073274"/>
    <w:rsid w:val="0008051C"/>
    <w:rsid w:val="000B37A0"/>
    <w:rsid w:val="000B38A9"/>
    <w:rsid w:val="000D5C62"/>
    <w:rsid w:val="000E289F"/>
    <w:rsid w:val="000F539C"/>
    <w:rsid w:val="00105A34"/>
    <w:rsid w:val="0019722F"/>
    <w:rsid w:val="001A3B05"/>
    <w:rsid w:val="001C737F"/>
    <w:rsid w:val="001E0ECD"/>
    <w:rsid w:val="002072C5"/>
    <w:rsid w:val="002162A5"/>
    <w:rsid w:val="002271F4"/>
    <w:rsid w:val="0026320E"/>
    <w:rsid w:val="0027654D"/>
    <w:rsid w:val="002B0813"/>
    <w:rsid w:val="002C41E5"/>
    <w:rsid w:val="002C7AD8"/>
    <w:rsid w:val="002D06DA"/>
    <w:rsid w:val="003026D3"/>
    <w:rsid w:val="00312B3E"/>
    <w:rsid w:val="0032311D"/>
    <w:rsid w:val="0032378B"/>
    <w:rsid w:val="0033490A"/>
    <w:rsid w:val="00366C35"/>
    <w:rsid w:val="003860D4"/>
    <w:rsid w:val="00395A7D"/>
    <w:rsid w:val="003C5B98"/>
    <w:rsid w:val="003E75D8"/>
    <w:rsid w:val="004167E7"/>
    <w:rsid w:val="004311E2"/>
    <w:rsid w:val="0045493F"/>
    <w:rsid w:val="00481963"/>
    <w:rsid w:val="004A1509"/>
    <w:rsid w:val="004A47F4"/>
    <w:rsid w:val="004A5840"/>
    <w:rsid w:val="004A7AD6"/>
    <w:rsid w:val="004B08E9"/>
    <w:rsid w:val="004C02E9"/>
    <w:rsid w:val="004D5114"/>
    <w:rsid w:val="004D6E42"/>
    <w:rsid w:val="004E00F6"/>
    <w:rsid w:val="004E4781"/>
    <w:rsid w:val="00507B0C"/>
    <w:rsid w:val="005124E4"/>
    <w:rsid w:val="00553535"/>
    <w:rsid w:val="00583D80"/>
    <w:rsid w:val="005B3AF6"/>
    <w:rsid w:val="005B47AF"/>
    <w:rsid w:val="005B7710"/>
    <w:rsid w:val="005C2004"/>
    <w:rsid w:val="005D3509"/>
    <w:rsid w:val="005F1AB4"/>
    <w:rsid w:val="00612650"/>
    <w:rsid w:val="00633596"/>
    <w:rsid w:val="00661C0B"/>
    <w:rsid w:val="0066214E"/>
    <w:rsid w:val="006640C2"/>
    <w:rsid w:val="006C5290"/>
    <w:rsid w:val="006C5E80"/>
    <w:rsid w:val="006D381C"/>
    <w:rsid w:val="006D4B6B"/>
    <w:rsid w:val="00706406"/>
    <w:rsid w:val="007124AE"/>
    <w:rsid w:val="00742090"/>
    <w:rsid w:val="00744A5A"/>
    <w:rsid w:val="00764FD3"/>
    <w:rsid w:val="007668A8"/>
    <w:rsid w:val="00776CF5"/>
    <w:rsid w:val="00797A05"/>
    <w:rsid w:val="007A300E"/>
    <w:rsid w:val="007B25F5"/>
    <w:rsid w:val="007C42ED"/>
    <w:rsid w:val="007C6337"/>
    <w:rsid w:val="007E085D"/>
    <w:rsid w:val="008A49FB"/>
    <w:rsid w:val="008B47E2"/>
    <w:rsid w:val="008C3F09"/>
    <w:rsid w:val="008F33BA"/>
    <w:rsid w:val="009031EE"/>
    <w:rsid w:val="00917E9C"/>
    <w:rsid w:val="009278B5"/>
    <w:rsid w:val="00934F48"/>
    <w:rsid w:val="0096241B"/>
    <w:rsid w:val="009736F5"/>
    <w:rsid w:val="009C565E"/>
    <w:rsid w:val="009E76DF"/>
    <w:rsid w:val="009F0E32"/>
    <w:rsid w:val="009F5488"/>
    <w:rsid w:val="00A12952"/>
    <w:rsid w:val="00A22727"/>
    <w:rsid w:val="00A2370F"/>
    <w:rsid w:val="00A33626"/>
    <w:rsid w:val="00A404B3"/>
    <w:rsid w:val="00A57554"/>
    <w:rsid w:val="00A65304"/>
    <w:rsid w:val="00AD2318"/>
    <w:rsid w:val="00AD6D6F"/>
    <w:rsid w:val="00AE52B5"/>
    <w:rsid w:val="00B41432"/>
    <w:rsid w:val="00BA15E3"/>
    <w:rsid w:val="00BB1530"/>
    <w:rsid w:val="00BC377E"/>
    <w:rsid w:val="00BD3F48"/>
    <w:rsid w:val="00C05835"/>
    <w:rsid w:val="00C168DA"/>
    <w:rsid w:val="00C46E30"/>
    <w:rsid w:val="00C90A7B"/>
    <w:rsid w:val="00C91377"/>
    <w:rsid w:val="00CE098E"/>
    <w:rsid w:val="00CE2633"/>
    <w:rsid w:val="00CE6DB6"/>
    <w:rsid w:val="00D217A0"/>
    <w:rsid w:val="00D5566D"/>
    <w:rsid w:val="00D84B86"/>
    <w:rsid w:val="00D9230A"/>
    <w:rsid w:val="00D95A72"/>
    <w:rsid w:val="00DB1C4A"/>
    <w:rsid w:val="00DD0C1B"/>
    <w:rsid w:val="00DD39BA"/>
    <w:rsid w:val="00DD40C3"/>
    <w:rsid w:val="00DF207E"/>
    <w:rsid w:val="00E10FA5"/>
    <w:rsid w:val="00E24746"/>
    <w:rsid w:val="00E40A5F"/>
    <w:rsid w:val="00E551E7"/>
    <w:rsid w:val="00E7449B"/>
    <w:rsid w:val="00E87643"/>
    <w:rsid w:val="00E911C9"/>
    <w:rsid w:val="00EC6C64"/>
    <w:rsid w:val="00EF14A2"/>
    <w:rsid w:val="00EF1CF0"/>
    <w:rsid w:val="00EF3D98"/>
    <w:rsid w:val="00F03DB4"/>
    <w:rsid w:val="00F12E0E"/>
    <w:rsid w:val="00F40B39"/>
    <w:rsid w:val="00F64218"/>
    <w:rsid w:val="00F710E6"/>
    <w:rsid w:val="00FB498F"/>
    <w:rsid w:val="00FC1B89"/>
    <w:rsid w:val="00FD5D47"/>
    <w:rsid w:val="00FE4E42"/>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D6B"/>
    <w:rPr>
      <w:color w:val="808080"/>
    </w:rPr>
  </w:style>
  <w:style w:type="paragraph" w:customStyle="1" w:styleId="7EB68AB6281F44C5A41AAD17C1350B95">
    <w:name w:val="7EB68AB6281F44C5A41AAD17C1350B95"/>
    <w:rsid w:val="002537EC"/>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
    <w:name w:val="327CEB2A8D9F4C728A95ADA6B961D0AA"/>
    <w:rsid w:val="002537EC"/>
  </w:style>
  <w:style w:type="paragraph" w:customStyle="1" w:styleId="A39529023D2148E2AFA37225FEF35977">
    <w:name w:val="A39529023D2148E2AFA37225FEF35977"/>
    <w:rsid w:val="002537EC"/>
  </w:style>
  <w:style w:type="paragraph" w:customStyle="1" w:styleId="64363B5B279D4F0CBBF4C055C15D773C">
    <w:name w:val="64363B5B279D4F0CBBF4C055C15D773C"/>
    <w:rsid w:val="002537EC"/>
  </w:style>
  <w:style w:type="paragraph" w:customStyle="1" w:styleId="E5CF1BD2548649838C229C9BF31FD1A2">
    <w:name w:val="E5CF1BD2548649838C229C9BF31FD1A2"/>
    <w:rsid w:val="002537EC"/>
  </w:style>
  <w:style w:type="paragraph" w:customStyle="1" w:styleId="E2BBEED339594BA68F7F3630C5CBBD1E">
    <w:name w:val="E2BBEED339594BA68F7F3630C5CBBD1E"/>
    <w:rsid w:val="002537EC"/>
  </w:style>
  <w:style w:type="paragraph" w:customStyle="1" w:styleId="00DBC6034F774BAC8D55A2FC9D82A916">
    <w:name w:val="00DBC6034F774BAC8D55A2FC9D82A916"/>
    <w:rsid w:val="002537EC"/>
  </w:style>
  <w:style w:type="paragraph" w:customStyle="1" w:styleId="3451B96AEA6A43B4B033DCC0B86C99A7">
    <w:name w:val="3451B96AEA6A43B4B033DCC0B86C99A7"/>
    <w:rsid w:val="002537EC"/>
  </w:style>
  <w:style w:type="paragraph" w:customStyle="1" w:styleId="477AF4A2FFCE49BD8CC82E3BF8D96AAD">
    <w:name w:val="477AF4A2FFCE49BD8CC82E3BF8D96AAD"/>
    <w:rsid w:val="002537EC"/>
  </w:style>
  <w:style w:type="paragraph" w:customStyle="1" w:styleId="BDF666D2219C4A6787B48C67B8016362">
    <w:name w:val="BDF666D2219C4A6787B48C67B8016362"/>
    <w:rsid w:val="002537EC"/>
  </w:style>
  <w:style w:type="paragraph" w:customStyle="1" w:styleId="5ECE595D69BB4D118CDF4F757B1F1FE6">
    <w:name w:val="5ECE595D69BB4D118CDF4F757B1F1FE6"/>
    <w:rsid w:val="002537EC"/>
  </w:style>
  <w:style w:type="paragraph" w:customStyle="1" w:styleId="5D7EAE300FE04583A9C353ADBD9EA53C">
    <w:name w:val="5D7EAE300FE04583A9C353ADBD9EA53C"/>
    <w:rsid w:val="002537EC"/>
  </w:style>
  <w:style w:type="paragraph" w:customStyle="1" w:styleId="0EF9FD940BCE47E3B605CF736CAFA970">
    <w:name w:val="0EF9FD940BCE47E3B605CF736CAFA970"/>
    <w:rsid w:val="002537EC"/>
  </w:style>
  <w:style w:type="paragraph" w:customStyle="1" w:styleId="EC0A0B958A4C4899BDED706D4A72B493">
    <w:name w:val="EC0A0B958A4C4899BDED706D4A72B493"/>
    <w:rsid w:val="002537EC"/>
  </w:style>
  <w:style w:type="paragraph" w:customStyle="1" w:styleId="493C36EE86FC42319C98C6E353161261">
    <w:name w:val="493C36EE86FC42319C98C6E353161261"/>
    <w:rsid w:val="002537EC"/>
  </w:style>
  <w:style w:type="paragraph" w:customStyle="1" w:styleId="776707CEC07447D8A9B074AB493BFE79">
    <w:name w:val="776707CEC07447D8A9B074AB493BFE79"/>
    <w:rsid w:val="002537EC"/>
  </w:style>
  <w:style w:type="paragraph" w:customStyle="1" w:styleId="319E1B3AA45B405E877C00BFD2341F39">
    <w:name w:val="319E1B3AA45B405E877C00BFD2341F39"/>
    <w:rsid w:val="002537EC"/>
  </w:style>
  <w:style w:type="paragraph" w:customStyle="1" w:styleId="60D0AB73A490415DBD17EE90E5CFFCC6">
    <w:name w:val="60D0AB73A490415DBD17EE90E5CFFCC6"/>
    <w:rsid w:val="002537EC"/>
  </w:style>
  <w:style w:type="paragraph" w:customStyle="1" w:styleId="EC4DBA6BB94047EBAD13B799EF03F802">
    <w:name w:val="EC4DBA6BB94047EBAD13B799EF03F802"/>
    <w:rsid w:val="002537EC"/>
  </w:style>
  <w:style w:type="paragraph" w:customStyle="1" w:styleId="01708203CBB7460387437AFB44D6551F">
    <w:name w:val="01708203CBB7460387437AFB44D6551F"/>
    <w:rsid w:val="002537EC"/>
  </w:style>
  <w:style w:type="paragraph" w:customStyle="1" w:styleId="76912CD803144EC4B28E05AAC7FC6B69">
    <w:name w:val="76912CD803144EC4B28E05AAC7FC6B69"/>
    <w:rsid w:val="002537EC"/>
  </w:style>
  <w:style w:type="paragraph" w:customStyle="1" w:styleId="1C69D342226F4D6795A3CEAEF5529B4A">
    <w:name w:val="1C69D342226F4D6795A3CEAEF5529B4A"/>
    <w:rsid w:val="002537EC"/>
  </w:style>
  <w:style w:type="paragraph" w:customStyle="1" w:styleId="AB476B921DB7443897EDCE0A23969AD3">
    <w:name w:val="AB476B921DB7443897EDCE0A23969AD3"/>
    <w:rsid w:val="002537EC"/>
  </w:style>
  <w:style w:type="paragraph" w:customStyle="1" w:styleId="9AB8A7F9D2F64AEEB0ECE98C8B9A4729">
    <w:name w:val="9AB8A7F9D2F64AEEB0ECE98C8B9A4729"/>
    <w:rsid w:val="002537EC"/>
  </w:style>
  <w:style w:type="paragraph" w:customStyle="1" w:styleId="0822A86F940D4CFC8DDC9D2AFC6511B9">
    <w:name w:val="0822A86F940D4CFC8DDC9D2AFC6511B9"/>
    <w:rsid w:val="002537EC"/>
  </w:style>
  <w:style w:type="paragraph" w:customStyle="1" w:styleId="F85F81438DEF4EE7AA8C10067ABF745A">
    <w:name w:val="F85F81438DEF4EE7AA8C10067ABF745A"/>
    <w:rsid w:val="002537EC"/>
  </w:style>
  <w:style w:type="paragraph" w:customStyle="1" w:styleId="54F6C250AA0E4B4DA674D96AB538B62C">
    <w:name w:val="54F6C250AA0E4B4DA674D96AB538B62C"/>
    <w:rsid w:val="002537EC"/>
  </w:style>
  <w:style w:type="paragraph" w:customStyle="1" w:styleId="FD31C06983AE4537972AD562ACA59675">
    <w:name w:val="FD31C06983AE4537972AD562ACA59675"/>
    <w:rsid w:val="002537EC"/>
  </w:style>
  <w:style w:type="paragraph" w:customStyle="1" w:styleId="0529B05531BA48E2B5E7F18131EA17A0">
    <w:name w:val="0529B05531BA48E2B5E7F18131EA17A0"/>
    <w:rsid w:val="002537EC"/>
  </w:style>
  <w:style w:type="paragraph" w:customStyle="1" w:styleId="EAED5391E33A4ECCB5E27B63A4048EF8">
    <w:name w:val="EAED5391E33A4ECCB5E27B63A4048EF8"/>
    <w:rsid w:val="002537EC"/>
  </w:style>
  <w:style w:type="paragraph" w:customStyle="1" w:styleId="2B332F0871044E2DB38589C7E49EE882">
    <w:name w:val="2B332F0871044E2DB38589C7E49EE882"/>
    <w:rsid w:val="002537EC"/>
  </w:style>
  <w:style w:type="paragraph" w:customStyle="1" w:styleId="9D7930E84AE14589A615FEE6A19931CB">
    <w:name w:val="9D7930E84AE14589A615FEE6A19931CB"/>
    <w:rsid w:val="002537EC"/>
  </w:style>
  <w:style w:type="paragraph" w:customStyle="1" w:styleId="AB5AF4800840478CB563A4D51D277BF4">
    <w:name w:val="AB5AF4800840478CB563A4D51D277BF4"/>
    <w:rsid w:val="002537EC"/>
  </w:style>
  <w:style w:type="paragraph" w:customStyle="1" w:styleId="C23EFE793EF54E39B36617975AB696CF">
    <w:name w:val="C23EFE793EF54E39B36617975AB696CF"/>
    <w:rsid w:val="002537EC"/>
  </w:style>
  <w:style w:type="paragraph" w:customStyle="1" w:styleId="BEB61E1D77D84512BA771F521491E531">
    <w:name w:val="BEB61E1D77D84512BA771F521491E531"/>
    <w:rsid w:val="002537EC"/>
  </w:style>
  <w:style w:type="paragraph" w:customStyle="1" w:styleId="E18C7D75ABA549D7812BBA82261318AF">
    <w:name w:val="E18C7D75ABA549D7812BBA82261318AF"/>
    <w:rsid w:val="002537EC"/>
  </w:style>
  <w:style w:type="paragraph" w:customStyle="1" w:styleId="213447D7499542B89710008830A6F8EC">
    <w:name w:val="213447D7499542B89710008830A6F8EC"/>
    <w:rsid w:val="002537EC"/>
  </w:style>
  <w:style w:type="paragraph" w:customStyle="1" w:styleId="2B042E76B1A140B8AA1C40C85DE4AF91">
    <w:name w:val="2B042E76B1A140B8AA1C40C85DE4AF91"/>
    <w:rsid w:val="002537EC"/>
  </w:style>
  <w:style w:type="paragraph" w:customStyle="1" w:styleId="BD46C90120E043889754AB9C7FE44AA9">
    <w:name w:val="BD46C90120E043889754AB9C7FE44AA9"/>
    <w:rsid w:val="002537EC"/>
  </w:style>
  <w:style w:type="paragraph" w:customStyle="1" w:styleId="7B9DB8A128AC462782FE08A96FDC4162">
    <w:name w:val="7B9DB8A128AC462782FE08A96FDC4162"/>
    <w:rsid w:val="002537EC"/>
  </w:style>
  <w:style w:type="paragraph" w:customStyle="1" w:styleId="9496850F2AB2492A9A241852027D015A">
    <w:name w:val="9496850F2AB2492A9A241852027D015A"/>
    <w:rsid w:val="002537EC"/>
  </w:style>
  <w:style w:type="paragraph" w:customStyle="1" w:styleId="FDFC2A49734D4D42B625D02735C9AF64">
    <w:name w:val="FDFC2A49734D4D42B625D02735C9AF64"/>
    <w:rsid w:val="002537EC"/>
  </w:style>
  <w:style w:type="paragraph" w:customStyle="1" w:styleId="A2E33FE019A94E8E9A1F48143EF590DD">
    <w:name w:val="A2E33FE019A94E8E9A1F48143EF590DD"/>
    <w:rsid w:val="002537EC"/>
  </w:style>
  <w:style w:type="paragraph" w:customStyle="1" w:styleId="282E494B7CD144D89C1AFBC087127CA9">
    <w:name w:val="282E494B7CD144D89C1AFBC087127CA9"/>
    <w:rsid w:val="002537EC"/>
  </w:style>
  <w:style w:type="paragraph" w:customStyle="1" w:styleId="745DCDCEAB804C8E9D86803F725B3B6E">
    <w:name w:val="745DCDCEAB804C8E9D86803F725B3B6E"/>
    <w:rsid w:val="002537EC"/>
  </w:style>
  <w:style w:type="paragraph" w:customStyle="1" w:styleId="58A100D0884C4516950F2D12FF7FC275">
    <w:name w:val="58A100D0884C4516950F2D12FF7FC275"/>
    <w:rsid w:val="002537EC"/>
  </w:style>
  <w:style w:type="paragraph" w:customStyle="1" w:styleId="6ADC9E9FDEFE4A5FB1D71A27DB920290">
    <w:name w:val="6ADC9E9FDEFE4A5FB1D71A27DB920290"/>
    <w:rsid w:val="002537EC"/>
  </w:style>
  <w:style w:type="paragraph" w:customStyle="1" w:styleId="9081B01769FB4F5B848B57E6BE96FD9A">
    <w:name w:val="9081B01769FB4F5B848B57E6BE96FD9A"/>
    <w:rsid w:val="002537EC"/>
  </w:style>
  <w:style w:type="paragraph" w:customStyle="1" w:styleId="676ABD25558342B4B158A15EB911CA55">
    <w:name w:val="676ABD25558342B4B158A15EB911CA55"/>
    <w:rsid w:val="002537EC"/>
  </w:style>
  <w:style w:type="paragraph" w:customStyle="1" w:styleId="891C883D8B934E59A57877369DC2FA80">
    <w:name w:val="891C883D8B934E59A57877369DC2FA80"/>
    <w:rsid w:val="002537EC"/>
  </w:style>
  <w:style w:type="paragraph" w:customStyle="1" w:styleId="D99B37197F9B4404B5DF5C9F90D71600">
    <w:name w:val="D99B37197F9B4404B5DF5C9F90D71600"/>
    <w:rsid w:val="002537EC"/>
  </w:style>
  <w:style w:type="paragraph" w:customStyle="1" w:styleId="0D6C2C9DECB04BCDB0D7E495CDCB0B55">
    <w:name w:val="0D6C2C9DECB04BCDB0D7E495CDCB0B55"/>
    <w:rsid w:val="002537EC"/>
  </w:style>
  <w:style w:type="paragraph" w:customStyle="1" w:styleId="BFA2529FB3734551BA0668D73579D52E">
    <w:name w:val="BFA2529FB3734551BA0668D73579D52E"/>
    <w:rsid w:val="002537EC"/>
  </w:style>
  <w:style w:type="paragraph" w:customStyle="1" w:styleId="1285519ECD48465DB3B825B7E3B91CB5">
    <w:name w:val="1285519ECD48465DB3B825B7E3B91CB5"/>
    <w:rsid w:val="002537EC"/>
  </w:style>
  <w:style w:type="paragraph" w:customStyle="1" w:styleId="61911100F1D4448E9F5289D42938A97A">
    <w:name w:val="61911100F1D4448E9F5289D42938A97A"/>
    <w:rsid w:val="002537EC"/>
  </w:style>
  <w:style w:type="paragraph" w:customStyle="1" w:styleId="534294DF9D3747839C6F4C0A5C20DB15">
    <w:name w:val="534294DF9D3747839C6F4C0A5C20DB15"/>
    <w:rsid w:val="002537EC"/>
  </w:style>
  <w:style w:type="paragraph" w:customStyle="1" w:styleId="0B1F51C174B24AD790CE117E032FAC08">
    <w:name w:val="0B1F51C174B24AD790CE117E032FAC08"/>
    <w:rsid w:val="002537EC"/>
  </w:style>
  <w:style w:type="paragraph" w:customStyle="1" w:styleId="8CD9DB86B7364078AA928EBBBDAAA2C2">
    <w:name w:val="8CD9DB86B7364078AA928EBBBDAAA2C2"/>
    <w:rsid w:val="002537EC"/>
  </w:style>
  <w:style w:type="paragraph" w:customStyle="1" w:styleId="9761D2A5C3F34AA09E2BEAA06AD4135A">
    <w:name w:val="9761D2A5C3F34AA09E2BEAA06AD4135A"/>
    <w:rsid w:val="002537EC"/>
  </w:style>
  <w:style w:type="paragraph" w:customStyle="1" w:styleId="0548571D54564819A6760BFB86EBD564">
    <w:name w:val="0548571D54564819A6760BFB86EBD564"/>
    <w:rsid w:val="002537EC"/>
  </w:style>
  <w:style w:type="paragraph" w:customStyle="1" w:styleId="0EF8003662F6423EB6C7885708AF6A28">
    <w:name w:val="0EF8003662F6423EB6C7885708AF6A28"/>
    <w:rsid w:val="002537EC"/>
  </w:style>
  <w:style w:type="paragraph" w:customStyle="1" w:styleId="6DA0C2259C034B789D85F45222D109CE">
    <w:name w:val="6DA0C2259C034B789D85F45222D109CE"/>
    <w:rsid w:val="002537EC"/>
  </w:style>
  <w:style w:type="paragraph" w:customStyle="1" w:styleId="347F1108557C494AB9A21811C8D55004">
    <w:name w:val="347F1108557C494AB9A21811C8D55004"/>
    <w:rsid w:val="002537EC"/>
  </w:style>
  <w:style w:type="paragraph" w:customStyle="1" w:styleId="679B0EBF2E0F4C78A4187735E24FF042">
    <w:name w:val="679B0EBF2E0F4C78A4187735E24FF042"/>
    <w:rsid w:val="002537EC"/>
  </w:style>
  <w:style w:type="paragraph" w:customStyle="1" w:styleId="C3EC1614CBE8418F93961B3F16CE944E">
    <w:name w:val="C3EC1614CBE8418F93961B3F16CE944E"/>
    <w:rsid w:val="002537EC"/>
  </w:style>
  <w:style w:type="paragraph" w:customStyle="1" w:styleId="83B73C6632A141299B8B1DAC2FB9C5BB">
    <w:name w:val="83B73C6632A141299B8B1DAC2FB9C5BB"/>
    <w:rsid w:val="002537EC"/>
  </w:style>
  <w:style w:type="paragraph" w:customStyle="1" w:styleId="8808CE751A194122B2FAAE7D62FEB52B">
    <w:name w:val="8808CE751A194122B2FAAE7D62FEB52B"/>
    <w:rsid w:val="002537EC"/>
  </w:style>
  <w:style w:type="paragraph" w:customStyle="1" w:styleId="D4AAC802B6664856B9DECD54A3FC7D86">
    <w:name w:val="D4AAC802B6664856B9DECD54A3FC7D86"/>
    <w:rsid w:val="006E6C04"/>
  </w:style>
  <w:style w:type="paragraph" w:customStyle="1" w:styleId="436DEF12728340D7ABAA315692ACA338">
    <w:name w:val="436DEF12728340D7ABAA315692ACA338"/>
    <w:rsid w:val="00084914"/>
  </w:style>
  <w:style w:type="paragraph" w:customStyle="1" w:styleId="B9D74D3FA07F4CF88BAC5F7FE0A35F78">
    <w:name w:val="B9D74D3FA07F4CF88BAC5F7FE0A35F78"/>
    <w:rsid w:val="00084914"/>
  </w:style>
  <w:style w:type="paragraph" w:customStyle="1" w:styleId="FFB65A34F2664830AC332626889C203E">
    <w:name w:val="FFB65A34F2664830AC332626889C203E"/>
    <w:rsid w:val="00084914"/>
  </w:style>
  <w:style w:type="paragraph" w:customStyle="1" w:styleId="7EB68AB6281F44C5A41AAD17C1350B951">
    <w:name w:val="7EB68AB6281F44C5A41AAD17C1350B9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1">
    <w:name w:val="327CEB2A8D9F4C728A95ADA6B961D0A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39529023D2148E2AFA37225FEF359771">
    <w:name w:val="A39529023D2148E2AFA37225FEF35977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5CF1BD2548649838C229C9BF31FD1A21">
    <w:name w:val="E5CF1BD2548649838C229C9BF31FD1A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0DBC6034F774BAC8D55A2FC9D82A9161">
    <w:name w:val="00DBC6034F774BAC8D55A2FC9D82A91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77AF4A2FFCE49BD8CC82E3BF8D96AAD1">
    <w:name w:val="477AF4A2FFCE49BD8CC82E3BF8D96AA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ECE595D69BB4D118CDF4F757B1F1FE61">
    <w:name w:val="5ECE595D69BB4D118CDF4F757B1F1FE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9FD940BCE47E3B605CF736CAFA9701">
    <w:name w:val="0EF9FD940BCE47E3B605CF736CAFA97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93C36EE86FC42319C98C6E3531612611">
    <w:name w:val="493C36EE86FC42319C98C6E35316126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19E1B3AA45B405E877C00BFD2341F391">
    <w:name w:val="319E1B3AA45B405E877C00BFD2341F3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C4DBA6BB94047EBAD13B799EF03F8021">
    <w:name w:val="EC4DBA6BB94047EBAD13B799EF03F80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6912CD803144EC4B28E05AAC7FC6B691">
    <w:name w:val="76912CD803144EC4B28E05AAC7FC6B6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476B921DB7443897EDCE0A23969AD31">
    <w:name w:val="AB476B921DB7443897EDCE0A23969AD3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822A86F940D4CFC8DDC9D2AFC6511B91">
    <w:name w:val="0822A86F940D4CFC8DDC9D2AFC6511B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4F6C250AA0E4B4DA674D96AB538B62C1">
    <w:name w:val="54F6C250AA0E4B4DA674D96AB538B62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1">
    <w:name w:val="D4AAC802B6664856B9DECD54A3FC7D8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B332F0871044E2DB38589C7E49EE8821">
    <w:name w:val="2B332F0871044E2DB38589C7E49EE88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5AF4800840478CB563A4D51D277BF41">
    <w:name w:val="AB5AF4800840478CB563A4D51D277BF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EB61E1D77D84512BA771F521491E5311">
    <w:name w:val="BEB61E1D77D84512BA771F521491E53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13447D7499542B89710008830A6F8EC1">
    <w:name w:val="213447D7499542B89710008830A6F8E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D46C90120E043889754AB9C7FE44AA91">
    <w:name w:val="BD46C90120E043889754AB9C7FE44AA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496850F2AB2492A9A241852027D015A1">
    <w:name w:val="9496850F2AB2492A9A241852027D01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2E33FE019A94E8E9A1F48143EF590DD1">
    <w:name w:val="A2E33FE019A94E8E9A1F48143EF590D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ADC9E9FDEFE4A5FB1D71A27DB9202901">
    <w:name w:val="6ADC9E9FDEFE4A5FB1D71A27DB92029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76ABD25558342B4B158A15EB911CA551">
    <w:name w:val="676ABD25558342B4B158A15EB911CA5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99B37197F9B4404B5DF5C9F90D716001">
    <w:name w:val="D99B37197F9B4404B5DF5C9F90D7160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FA2529FB3734551BA0668D73579D52E1">
    <w:name w:val="BFA2529FB3734551BA0668D73579D52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1911100F1D4448E9F5289D42938A97A1">
    <w:name w:val="61911100F1D4448E9F5289D42938A97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B1F51C174B24AD790CE117E032FAC081">
    <w:name w:val="0B1F51C174B24AD790CE117E032FAC0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761D2A5C3F34AA09E2BEAA06AD4135A1">
    <w:name w:val="9761D2A5C3F34AA09E2BEAA06AD413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8003662F6423EB6C7885708AF6A281">
    <w:name w:val="0EF8003662F6423EB6C7885708AF6A2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47F1108557C494AB9A21811C8D550041">
    <w:name w:val="347F1108557C494AB9A21811C8D5500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C3EC1614CBE8418F93961B3F16CE944E1">
    <w:name w:val="C3EC1614CBE8418F93961B3F16CE944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8808CE751A194122B2FAAE7D62FEB52B1">
    <w:name w:val="8808CE751A194122B2FAAE7D62FEB52B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EB68AB6281F44C5A41AAD17C1350B952">
    <w:name w:val="7EB68AB6281F44C5A41AAD17C1350B95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
    <w:name w:val="B17568A0CD814A909408E387A21A729E"/>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
    <w:name w:val="F13FD1B7498B49088CD25DD7119AD54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1">
    <w:name w:val="64363B5B279D4F0CBBF4C055C15D77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2BBEED339594BA68F7F3630C5CBBD1E1">
    <w:name w:val="E2BBEED339594BA68F7F3630C5CBBD1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1">
    <w:name w:val="3451B96AEA6A43B4B033DCC0B86C99A7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1">
    <w:name w:val="BDF666D2219C4A6787B48C67B80163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D7EAE300FE04583A9C353ADBD9EA53C1">
    <w:name w:val="5D7EAE300FE04583A9C353ADBD9EA5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C0A0B958A4C4899BDED706D4A72B4931">
    <w:name w:val="EC0A0B958A4C4899BDED706D4A72B493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76707CEC07447D8A9B074AB493BFE791">
    <w:name w:val="776707CEC07447D8A9B074AB493BFE7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0D0AB73A490415DBD17EE90E5CFFCC61">
    <w:name w:val="60D0AB73A490415DBD17EE90E5CFFCC6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1708203CBB7460387437AFB44D6551F1">
    <w:name w:val="01708203CBB7460387437AFB44D6551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C69D342226F4D6795A3CEAEF5529B4A1">
    <w:name w:val="1C69D342226F4D6795A3CEAEF5529B4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AB8A7F9D2F64AEEB0ECE98C8B9A47291">
    <w:name w:val="9AB8A7F9D2F64AEEB0ECE98C8B9A472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85F81438DEF4EE7AA8C10067ABF745A1">
    <w:name w:val="F85F81438DEF4EE7AA8C10067ABF745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2">
    <w:name w:val="D4AAC802B6664856B9DECD54A3FC7D86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AED5391E33A4ECCB5E27B63A4048EF81">
    <w:name w:val="EAED5391E33A4ECCB5E27B63A4048EF8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D7930E84AE14589A615FEE6A19931CB1">
    <w:name w:val="9D7930E84AE14589A615FEE6A19931C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23EFE793EF54E39B36617975AB696CF1">
    <w:name w:val="C23EFE793EF54E39B36617975AB696C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18C7D75ABA549D7812BBA82261318AF1">
    <w:name w:val="E18C7D75ABA549D7812BBA82261318A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2B042E76B1A140B8AA1C40C85DE4AF911">
    <w:name w:val="2B042E76B1A140B8AA1C40C85DE4AF91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B9DB8A128AC462782FE08A96FDC41621">
    <w:name w:val="7B9DB8A128AC462782FE08A96FDC41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DFC2A49734D4D42B625D02735C9AF641">
    <w:name w:val="FDFC2A49734D4D42B625D02735C9AF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8A100D0884C4516950F2D12FF7FC2751">
    <w:name w:val="58A100D0884C4516950F2D12FF7FC27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081B01769FB4F5B848B57E6BE96FD9A1">
    <w:name w:val="9081B01769FB4F5B848B57E6BE96FD9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91C883D8B934E59A57877369DC2FA801">
    <w:name w:val="891C883D8B934E59A57877369DC2FA80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D6C2C9DECB04BCDB0D7E495CDCB0B551">
    <w:name w:val="0D6C2C9DECB04BCDB0D7E495CDCB0B5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285519ECD48465DB3B825B7E3B91CB51">
    <w:name w:val="1285519ECD48465DB3B825B7E3B91CB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34294DF9D3747839C6F4C0A5C20DB151">
    <w:name w:val="534294DF9D3747839C6F4C0A5C20DB1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CD9DB86B7364078AA928EBBBDAAA2C21">
    <w:name w:val="8CD9DB86B7364078AA928EBBBDAAA2C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548571D54564819A6760BFB86EBD5641">
    <w:name w:val="0548571D54564819A6760BFB86EBD5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DA0C2259C034B789D85F45222D109CE1">
    <w:name w:val="6DA0C2259C034B789D85F45222D109C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79B0EBF2E0F4C78A4187735E24FF0421">
    <w:name w:val="679B0EBF2E0F4C78A4187735E24FF04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3B73C6632A141299B8B1DAC2FB9C5BB1">
    <w:name w:val="83B73C6632A141299B8B1DAC2FB9C5B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396A1A60A8749DB8441D2C9C7F85F7A">
    <w:name w:val="C396A1A60A8749DB8441D2C9C7F85F7A"/>
    <w:rsid w:val="0011267F"/>
  </w:style>
  <w:style w:type="paragraph" w:customStyle="1" w:styleId="19AE02C270274DF9B019122A63F7E50F">
    <w:name w:val="19AE02C270274DF9B019122A63F7E50F"/>
    <w:rsid w:val="0011267F"/>
  </w:style>
  <w:style w:type="paragraph" w:customStyle="1" w:styleId="A1B71390CFF74E8299901C7427B494CE">
    <w:name w:val="A1B71390CFF74E8299901C7427B494CE"/>
    <w:rsid w:val="00A371B2"/>
  </w:style>
  <w:style w:type="paragraph" w:customStyle="1" w:styleId="6C770E40BB7A45569716B2D0581A8F1C">
    <w:name w:val="6C770E40BB7A45569716B2D0581A8F1C"/>
    <w:rsid w:val="00A371B2"/>
  </w:style>
  <w:style w:type="paragraph" w:customStyle="1" w:styleId="A267331130FB4F69AB1C1D55F67086F6">
    <w:name w:val="A267331130FB4F69AB1C1D55F67086F6"/>
    <w:rsid w:val="00A371B2"/>
  </w:style>
  <w:style w:type="paragraph" w:customStyle="1" w:styleId="CAF9C189218848E6AB4EE45497B62A77">
    <w:name w:val="CAF9C189218848E6AB4EE45497B62A77"/>
    <w:rsid w:val="00A371B2"/>
  </w:style>
  <w:style w:type="paragraph" w:customStyle="1" w:styleId="4536320275FA4F6890A74701DCD9B4A8">
    <w:name w:val="4536320275FA4F6890A74701DCD9B4A8"/>
    <w:rsid w:val="00A371B2"/>
  </w:style>
  <w:style w:type="paragraph" w:customStyle="1" w:styleId="F5C4869578F74AF9B986EFED5F7DAF16">
    <w:name w:val="F5C4869578F74AF9B986EFED5F7DAF16"/>
    <w:rsid w:val="00A371B2"/>
  </w:style>
  <w:style w:type="paragraph" w:customStyle="1" w:styleId="7343B2042BAB4BAFB51A490E9E247494">
    <w:name w:val="7343B2042BAB4BAFB51A490E9E247494"/>
    <w:rsid w:val="00A371B2"/>
  </w:style>
  <w:style w:type="paragraph" w:customStyle="1" w:styleId="8013544DB2764DF39B0203CE88BBA609">
    <w:name w:val="8013544DB2764DF39B0203CE88BBA609"/>
    <w:rsid w:val="00A371B2"/>
  </w:style>
  <w:style w:type="paragraph" w:customStyle="1" w:styleId="6E9A33AC3F5B484F8CCF4216BB07323E">
    <w:name w:val="6E9A33AC3F5B484F8CCF4216BB07323E"/>
    <w:rsid w:val="00A371B2"/>
  </w:style>
  <w:style w:type="paragraph" w:customStyle="1" w:styleId="7EC5DC4AD5EE4D04A1EFF68161B1C44F">
    <w:name w:val="7EC5DC4AD5EE4D04A1EFF68161B1C44F"/>
    <w:rsid w:val="00A371B2"/>
  </w:style>
  <w:style w:type="paragraph" w:customStyle="1" w:styleId="4D1D5D81BFA54D3D8B177BDB28FFFD9D">
    <w:name w:val="4D1D5D81BFA54D3D8B177BDB28FFFD9D"/>
    <w:rsid w:val="00A371B2"/>
  </w:style>
  <w:style w:type="paragraph" w:customStyle="1" w:styleId="182D3AE2CA6C4570947F63FDD98B2F89">
    <w:name w:val="182D3AE2CA6C4570947F63FDD98B2F89"/>
    <w:rsid w:val="00A371B2"/>
  </w:style>
  <w:style w:type="paragraph" w:customStyle="1" w:styleId="12C2E7B921DD46AE8B5CE7CCC41EF746">
    <w:name w:val="12C2E7B921DD46AE8B5CE7CCC41EF746"/>
    <w:rsid w:val="00A371B2"/>
  </w:style>
  <w:style w:type="paragraph" w:customStyle="1" w:styleId="13EDEDF8DC534954945942AA10359972">
    <w:name w:val="13EDEDF8DC534954945942AA10359972"/>
    <w:rsid w:val="00A371B2"/>
  </w:style>
  <w:style w:type="paragraph" w:customStyle="1" w:styleId="4FDCCB9B5E07416D97DC932083E76A43">
    <w:name w:val="4FDCCB9B5E07416D97DC932083E76A43"/>
    <w:rsid w:val="00A371B2"/>
  </w:style>
  <w:style w:type="paragraph" w:customStyle="1" w:styleId="0FD8A4C7062E46AF96C9A7A7FE6BE2AC">
    <w:name w:val="0FD8A4C7062E46AF96C9A7A7FE6BE2AC"/>
    <w:rsid w:val="00A371B2"/>
  </w:style>
  <w:style w:type="paragraph" w:customStyle="1" w:styleId="5D4340D4D8A449419A551EB95A6CA204">
    <w:name w:val="5D4340D4D8A449419A551EB95A6CA204"/>
    <w:rsid w:val="00A371B2"/>
  </w:style>
  <w:style w:type="paragraph" w:customStyle="1" w:styleId="3DCE25ADF34A46D1AA3C06AAA0AC5A94">
    <w:name w:val="3DCE25ADF34A46D1AA3C06AAA0AC5A94"/>
    <w:rsid w:val="00A371B2"/>
  </w:style>
  <w:style w:type="paragraph" w:customStyle="1" w:styleId="67B1C7024E914D3D99F8A2A94CFA1A6F">
    <w:name w:val="67B1C7024E914D3D99F8A2A94CFA1A6F"/>
    <w:rsid w:val="00A371B2"/>
  </w:style>
  <w:style w:type="paragraph" w:customStyle="1" w:styleId="B47F97422CAF4DD29F7F15104BFEE23C">
    <w:name w:val="B47F97422CAF4DD29F7F15104BFEE23C"/>
    <w:rsid w:val="00A371B2"/>
  </w:style>
  <w:style w:type="paragraph" w:customStyle="1" w:styleId="F16B8F02C9744F6E84D4F615F6427253">
    <w:name w:val="F16B8F02C9744F6E84D4F615F6427253"/>
    <w:rsid w:val="00A371B2"/>
  </w:style>
  <w:style w:type="paragraph" w:customStyle="1" w:styleId="DD72C64ADEFF43E2B54D2BD5C06A7F88">
    <w:name w:val="DD72C64ADEFF43E2B54D2BD5C06A7F88"/>
    <w:rsid w:val="00A371B2"/>
  </w:style>
  <w:style w:type="paragraph" w:customStyle="1" w:styleId="61AD63307A8F44EB8C0C9F40D6B5658B">
    <w:name w:val="61AD63307A8F44EB8C0C9F40D6B5658B"/>
    <w:rsid w:val="00A371B2"/>
  </w:style>
  <w:style w:type="paragraph" w:customStyle="1" w:styleId="8B2A02A390654179908CC20242344569">
    <w:name w:val="8B2A02A390654179908CC20242344569"/>
    <w:rsid w:val="00A371B2"/>
  </w:style>
  <w:style w:type="paragraph" w:customStyle="1" w:styleId="B4DB322478B44B68AE2B1F75985C169F">
    <w:name w:val="B4DB322478B44B68AE2B1F75985C169F"/>
    <w:rsid w:val="00A371B2"/>
  </w:style>
  <w:style w:type="paragraph" w:customStyle="1" w:styleId="5EDE2A78FD2E43EFB6B9A9BA35E9C504">
    <w:name w:val="5EDE2A78FD2E43EFB6B9A9BA35E9C504"/>
    <w:rsid w:val="00A371B2"/>
  </w:style>
  <w:style w:type="paragraph" w:customStyle="1" w:styleId="531EBDE47D6B42DD86700D4B23A56972">
    <w:name w:val="531EBDE47D6B42DD86700D4B23A56972"/>
    <w:rsid w:val="00A371B2"/>
  </w:style>
  <w:style w:type="paragraph" w:customStyle="1" w:styleId="7EB68AB6281F44C5A41AAD17C1350B953">
    <w:name w:val="7EB68AB6281F44C5A41AAD17C1350B95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1">
    <w:name w:val="B17568A0CD814A909408E387A21A729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1">
    <w:name w:val="F13FD1B7498B49088CD25DD7119AD54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2">
    <w:name w:val="64363B5B279D4F0CBBF4C055C15D773C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2">
    <w:name w:val="3451B96AEA6A43B4B033DCC0B86C99A7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2">
    <w:name w:val="BDF666D2219C4A6787B48C67B8016362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A1B71390CFF74E8299901C7427B494CE1">
    <w:name w:val="A1B71390CFF74E8299901C7427B494C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C770E40BB7A45569716B2D0581A8F1C1">
    <w:name w:val="6C770E40BB7A45569716B2D0581A8F1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CAF9C189218848E6AB4EE45497B62A771">
    <w:name w:val="CAF9C189218848E6AB4EE45497B62A77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536320275FA4F6890A74701DCD9B4A81">
    <w:name w:val="4536320275FA4F6890A74701DCD9B4A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5C4869578F74AF9B986EFED5F7DAF161">
    <w:name w:val="F5C4869578F74AF9B986EFED5F7DAF1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343B2042BAB4BAFB51A490E9E2474941">
    <w:name w:val="7343B2042BAB4BAFB51A490E9E2474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013544DB2764DF39B0203CE88BBA6091">
    <w:name w:val="8013544DB2764DF39B0203CE88BBA60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E9A33AC3F5B484F8CCF4216BB07323E1">
    <w:name w:val="6E9A33AC3F5B484F8CCF4216BB07323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3">
    <w:name w:val="D4AAC802B6664856B9DECD54A3FC7D86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EC5DC4AD5EE4D04A1EFF68161B1C44F1">
    <w:name w:val="7EC5DC4AD5EE4D04A1EFF68161B1C44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D1D5D81BFA54D3D8B177BDB28FFFD9D1">
    <w:name w:val="4D1D5D81BFA54D3D8B177BDB28FFFD9D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82D3AE2CA6C4570947F63FDD98B2F891">
    <w:name w:val="182D3AE2CA6C4570947F63FDD98B2F8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2C2E7B921DD46AE8B5CE7CCC41EF7461">
    <w:name w:val="12C2E7B921DD46AE8B5CE7CCC41EF74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3EDEDF8DC534954945942AA103599721">
    <w:name w:val="13EDEDF8DC534954945942AA10359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FDCCB9B5E07416D97DC932083E76A431">
    <w:name w:val="4FDCCB9B5E07416D97DC932083E76A4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0FD8A4C7062E46AF96C9A7A7FE6BE2AC1">
    <w:name w:val="0FD8A4C7062E46AF96C9A7A7FE6BE2A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D4340D4D8A449419A551EB95A6CA2041">
    <w:name w:val="5D4340D4D8A449419A551EB95A6CA2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DCE25ADF34A46D1AA3C06AAA0AC5A941">
    <w:name w:val="3DCE25ADF34A46D1AA3C06AAA0AC5A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7B1C7024E914D3D99F8A2A94CFA1A6F1">
    <w:name w:val="67B1C7024E914D3D99F8A2A94CFA1A6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7F97422CAF4DD29F7F15104BFEE23C1">
    <w:name w:val="B47F97422CAF4DD29F7F15104BFEE23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6B8F02C9744F6E84D4F615F64272531">
    <w:name w:val="F16B8F02C9744F6E84D4F615F642725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D72C64ADEFF43E2B54D2BD5C06A7F881">
    <w:name w:val="DD72C64ADEFF43E2B54D2BD5C06A7F8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1AD63307A8F44EB8C0C9F40D6B5658B1">
    <w:name w:val="61AD63307A8F44EB8C0C9F40D6B5658B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B2A02A390654179908CC202423445691">
    <w:name w:val="8B2A02A390654179908CC2024234456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DB322478B44B68AE2B1F75985C169F1">
    <w:name w:val="B4DB322478B44B68AE2B1F75985C169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EDE2A78FD2E43EFB6B9A9BA35E9C5041">
    <w:name w:val="5EDE2A78FD2E43EFB6B9A9BA35E9C5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1">
    <w:name w:val="531EBDE47D6B42DD86700D4B23A56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06D5DF02C464CBCADAFD01F1DB9BABB">
    <w:name w:val="406D5DF02C464CBCADAFD01F1DB9BABB"/>
    <w:rsid w:val="000E4AD2"/>
  </w:style>
  <w:style w:type="paragraph" w:customStyle="1" w:styleId="ED3010C677294EBD82053DA606F1D942">
    <w:name w:val="ED3010C677294EBD82053DA606F1D942"/>
    <w:rsid w:val="000E4AD2"/>
  </w:style>
  <w:style w:type="paragraph" w:customStyle="1" w:styleId="96F915C03328414F99C527CD52BE1328">
    <w:name w:val="96F915C03328414F99C527CD52BE1328"/>
    <w:rsid w:val="000E4AD2"/>
  </w:style>
  <w:style w:type="paragraph" w:customStyle="1" w:styleId="E6B907F97E804C2EB88450DF84806996">
    <w:name w:val="E6B907F97E804C2EB88450DF84806996"/>
    <w:rsid w:val="000E4AD2"/>
  </w:style>
  <w:style w:type="paragraph" w:customStyle="1" w:styleId="7C8F4756BFC343D8BBFB2382DB57C16E">
    <w:name w:val="7C8F4756BFC343D8BBFB2382DB57C16E"/>
    <w:rsid w:val="000E4AD2"/>
  </w:style>
  <w:style w:type="paragraph" w:customStyle="1" w:styleId="532FE1AEBA7D49A5BDE9F0553145BDC2">
    <w:name w:val="532FE1AEBA7D49A5BDE9F0553145BDC2"/>
    <w:rsid w:val="000E4AD2"/>
  </w:style>
  <w:style w:type="paragraph" w:customStyle="1" w:styleId="6BB2585CCCFF45BDA95509D523B37E8D">
    <w:name w:val="6BB2585CCCFF45BDA95509D523B37E8D"/>
    <w:rsid w:val="000E4AD2"/>
  </w:style>
  <w:style w:type="paragraph" w:customStyle="1" w:styleId="4169D71707FB44BC9967865497D8320E">
    <w:name w:val="4169D71707FB44BC9967865497D8320E"/>
    <w:rsid w:val="000E4AD2"/>
  </w:style>
  <w:style w:type="paragraph" w:customStyle="1" w:styleId="2C3D94A926D5423498035D5551DBC17B">
    <w:name w:val="2C3D94A926D5423498035D5551DBC17B"/>
    <w:rsid w:val="000E4AD2"/>
  </w:style>
  <w:style w:type="paragraph" w:customStyle="1" w:styleId="5376AE2134E0401DA070DBCB03135502">
    <w:name w:val="5376AE2134E0401DA070DBCB03135502"/>
    <w:rsid w:val="000E4AD2"/>
  </w:style>
  <w:style w:type="paragraph" w:customStyle="1" w:styleId="F280187FEF524D24834903A18492B072">
    <w:name w:val="F280187FEF524D24834903A18492B072"/>
    <w:rsid w:val="000E4AD2"/>
  </w:style>
  <w:style w:type="paragraph" w:customStyle="1" w:styleId="338C4B6A0CFF4D2FB9A530FFD2FBE4AE">
    <w:name w:val="338C4B6A0CFF4D2FB9A530FFD2FBE4AE"/>
    <w:rsid w:val="000E4AD2"/>
  </w:style>
  <w:style w:type="paragraph" w:customStyle="1" w:styleId="DC28BB20EF434CA5BA21FBE52D75D90F">
    <w:name w:val="DC28BB20EF434CA5BA21FBE52D75D90F"/>
    <w:rsid w:val="000E4AD2"/>
  </w:style>
  <w:style w:type="paragraph" w:customStyle="1" w:styleId="8686AA532C634B9FAB84EB5452BE9BEE">
    <w:name w:val="8686AA532C634B9FAB84EB5452BE9BEE"/>
    <w:rsid w:val="000E4AD2"/>
  </w:style>
  <w:style w:type="paragraph" w:customStyle="1" w:styleId="67699315CF18404B9F5EC0AE3C7947BA">
    <w:name w:val="67699315CF18404B9F5EC0AE3C7947BA"/>
    <w:rsid w:val="000E4AD2"/>
  </w:style>
  <w:style w:type="paragraph" w:customStyle="1" w:styleId="30B0825EE92A4220BBB5B30A3F9F2D9C">
    <w:name w:val="30B0825EE92A4220BBB5B30A3F9F2D9C"/>
    <w:rsid w:val="000E4AD2"/>
  </w:style>
  <w:style w:type="paragraph" w:customStyle="1" w:styleId="9EBA7D1F822842BB931CD8ABBEC13EBC">
    <w:name w:val="9EBA7D1F822842BB931CD8ABBEC13EBC"/>
    <w:rsid w:val="000E4AD2"/>
  </w:style>
  <w:style w:type="paragraph" w:customStyle="1" w:styleId="1096E3C78EEA48938210A024B3B2814E">
    <w:name w:val="1096E3C78EEA48938210A024B3B2814E"/>
    <w:rsid w:val="000E4AD2"/>
  </w:style>
  <w:style w:type="paragraph" w:customStyle="1" w:styleId="866CF2BF5ABC4B2D96BE1C56E77BCF5B">
    <w:name w:val="866CF2BF5ABC4B2D96BE1C56E77BCF5B"/>
    <w:rsid w:val="000E4AD2"/>
  </w:style>
  <w:style w:type="paragraph" w:customStyle="1" w:styleId="4AA4070EDB9C42668879064173777148">
    <w:name w:val="4AA4070EDB9C42668879064173777148"/>
    <w:rsid w:val="000E4AD2"/>
  </w:style>
  <w:style w:type="paragraph" w:customStyle="1" w:styleId="7024FCA3780B4BE2A5B7F5E4C07A3FC8">
    <w:name w:val="7024FCA3780B4BE2A5B7F5E4C07A3FC8"/>
    <w:rsid w:val="000E4AD2"/>
  </w:style>
  <w:style w:type="paragraph" w:customStyle="1" w:styleId="668B6645251E43F2803C6CD28CBD4E9D">
    <w:name w:val="668B6645251E43F2803C6CD28CBD4E9D"/>
    <w:rsid w:val="000E4AD2"/>
  </w:style>
  <w:style w:type="paragraph" w:customStyle="1" w:styleId="3B2D54A9F38B473897E2A0130878C8EC">
    <w:name w:val="3B2D54A9F38B473897E2A0130878C8EC"/>
    <w:rsid w:val="000E4AD2"/>
  </w:style>
  <w:style w:type="paragraph" w:customStyle="1" w:styleId="D8C0C87CD5F944BA87C81A02320D97FD">
    <w:name w:val="D8C0C87CD5F944BA87C81A02320D97FD"/>
    <w:rsid w:val="000E4AD2"/>
  </w:style>
  <w:style w:type="paragraph" w:customStyle="1" w:styleId="0D93DAD776C1408F8E5A77E481F6C164">
    <w:name w:val="0D93DAD776C1408F8E5A77E481F6C164"/>
    <w:rsid w:val="000E4AD2"/>
  </w:style>
  <w:style w:type="paragraph" w:customStyle="1" w:styleId="00F4749C84424143AAD3038F97E61F52">
    <w:name w:val="00F4749C84424143AAD3038F97E61F52"/>
    <w:rsid w:val="000E4AD2"/>
  </w:style>
  <w:style w:type="paragraph" w:customStyle="1" w:styleId="008721BB5DDA4DAA8C661292B8FEECC7">
    <w:name w:val="008721BB5DDA4DAA8C661292B8FEECC7"/>
    <w:rsid w:val="000E4AD2"/>
  </w:style>
  <w:style w:type="paragraph" w:customStyle="1" w:styleId="46A7A0A9DB2E4FD49900C39064783E55">
    <w:name w:val="46A7A0A9DB2E4FD49900C39064783E55"/>
    <w:rsid w:val="000E4AD2"/>
  </w:style>
  <w:style w:type="paragraph" w:customStyle="1" w:styleId="959DB74DD68F4FEEAA3E76B2329358C7">
    <w:name w:val="959DB74DD68F4FEEAA3E76B2329358C7"/>
    <w:rsid w:val="000E4AD2"/>
  </w:style>
  <w:style w:type="paragraph" w:customStyle="1" w:styleId="D9738BC1B57B4BAC90E89915DDFBC6F9">
    <w:name w:val="D9738BC1B57B4BAC90E89915DDFBC6F9"/>
    <w:rsid w:val="000E4AD2"/>
  </w:style>
  <w:style w:type="paragraph" w:customStyle="1" w:styleId="D1886644713142C7B306F5D57F912042">
    <w:name w:val="D1886644713142C7B306F5D57F912042"/>
    <w:rsid w:val="000E4AD2"/>
  </w:style>
  <w:style w:type="paragraph" w:customStyle="1" w:styleId="C1A1ACC2E2244B38A046346329A327D2">
    <w:name w:val="C1A1ACC2E2244B38A046346329A327D2"/>
    <w:rsid w:val="000E4AD2"/>
  </w:style>
  <w:style w:type="paragraph" w:customStyle="1" w:styleId="5EDE2A78FD2E43EFB6B9A9BA35E9C5042">
    <w:name w:val="5EDE2A78FD2E43EFB6B9A9BA35E9C504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2">
    <w:name w:val="531EBDE47D6B42DD86700D4B23A56972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B34EA63DBEDD49758B2E31C626EF5802">
    <w:name w:val="B34EA63DBEDD49758B2E31C626EF5802"/>
    <w:rsid w:val="000E4AD2"/>
  </w:style>
  <w:style w:type="paragraph" w:customStyle="1" w:styleId="7574617D2B8E4AF7871A181355A63D74">
    <w:name w:val="7574617D2B8E4AF7871A181355A63D74"/>
    <w:rsid w:val="000E4AD2"/>
  </w:style>
  <w:style w:type="paragraph" w:customStyle="1" w:styleId="CE9330B4CB4446ADB9D0B23D72F204E5">
    <w:name w:val="CE9330B4CB4446ADB9D0B23D72F204E5"/>
    <w:rsid w:val="00C820E4"/>
  </w:style>
  <w:style w:type="paragraph" w:customStyle="1" w:styleId="0B2EA78DB4D0491F8080C4C8ED038DA5">
    <w:name w:val="0B2EA78DB4D0491F8080C4C8ED038DA5"/>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
    <w:name w:val="8232AE14014E4CFEA5817EB170759B7D"/>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237A17A22C4B45B6AD521F8989F3B684">
    <w:name w:val="237A17A22C4B45B6AD521F8989F3B684"/>
    <w:rsid w:val="004167E7"/>
  </w:style>
  <w:style w:type="paragraph" w:customStyle="1" w:styleId="A530F6C1CF2C457AB7ACAECF5859F187">
    <w:name w:val="A530F6C1CF2C457AB7ACAECF5859F187"/>
    <w:rsid w:val="004167E7"/>
  </w:style>
  <w:style w:type="paragraph" w:customStyle="1" w:styleId="0B2EA78DB4D0491F8080C4C8ED038DA51">
    <w:name w:val="0B2EA78DB4D0491F8080C4C8ED038DA5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1">
    <w:name w:val="8232AE14014E4CFEA5817EB170759B7D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2">
    <w:name w:val="0B2EA78DB4D0491F8080C4C8ED038DA5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2">
    <w:name w:val="8232AE14014E4CFEA5817EB170759B7D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3">
    <w:name w:val="0B2EA78DB4D0491F8080C4C8ED038DA5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3">
    <w:name w:val="8232AE14014E4CFEA5817EB170759B7D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4">
    <w:name w:val="0B2EA78DB4D0491F8080C4C8ED038DA54"/>
    <w:rsid w:val="00CE2633"/>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5">
    <w:name w:val="0B2EA78DB4D0491F8080C4C8ED038DA55"/>
    <w:rsid w:val="000D5C62"/>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6">
    <w:name w:val="0B2EA78DB4D0491F8080C4C8ED038DA56"/>
    <w:rsid w:val="00553535"/>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7">
    <w:name w:val="0B2EA78DB4D0491F8080C4C8ED038DA57"/>
    <w:rsid w:val="00DB1C4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8">
    <w:name w:val="0B2EA78DB4D0491F8080C4C8ED038DA58"/>
    <w:rsid w:val="0027654D"/>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9">
    <w:name w:val="0B2EA78DB4D0491F8080C4C8ED038DA59"/>
    <w:rsid w:val="00D95A72"/>
    <w:pPr>
      <w:widowControl w:val="0"/>
      <w:autoSpaceDE w:val="0"/>
      <w:autoSpaceDN w:val="0"/>
      <w:adjustRightInd w:val="0"/>
      <w:spacing w:after="0" w:line="240" w:lineRule="auto"/>
    </w:pPr>
    <w:rPr>
      <w:rFonts w:ascii="Arial" w:hAnsi="Arial" w:cs="Arial"/>
      <w:color w:val="000000"/>
      <w:sz w:val="24"/>
      <w:szCs w:val="24"/>
    </w:rPr>
  </w:style>
  <w:style w:type="paragraph" w:customStyle="1" w:styleId="A1F91A03994842C79CF4E60F7DB032CD">
    <w:name w:val="A1F91A03994842C79CF4E60F7DB032CD"/>
    <w:rsid w:val="00FC1B89"/>
  </w:style>
  <w:style w:type="paragraph" w:customStyle="1" w:styleId="7F4CB2D64CD9493A8935148B89FB45EE">
    <w:name w:val="7F4CB2D64CD9493A8935148B89FB45EE"/>
    <w:rsid w:val="00FC1B89"/>
  </w:style>
  <w:style w:type="paragraph" w:customStyle="1" w:styleId="8470686223734B3AB117F33E2EB8F16D">
    <w:name w:val="8470686223734B3AB117F33E2EB8F16D"/>
    <w:rsid w:val="00FC1B89"/>
  </w:style>
  <w:style w:type="paragraph" w:customStyle="1" w:styleId="D9B9EBD1477546E59D048A207C0C5E55">
    <w:name w:val="D9B9EBD1477546E59D048A207C0C5E55"/>
    <w:rsid w:val="00FC1B89"/>
  </w:style>
  <w:style w:type="paragraph" w:customStyle="1" w:styleId="29611F48F7A74FF29DC69A92EA34FFD6">
    <w:name w:val="29611F48F7A74FF29DC69A92EA34FFD6"/>
    <w:rsid w:val="00FC1B89"/>
  </w:style>
  <w:style w:type="paragraph" w:customStyle="1" w:styleId="2C59B64DF0DB404D9B5DAA0CC516C5F8">
    <w:name w:val="2C59B64DF0DB404D9B5DAA0CC516C5F8"/>
    <w:rsid w:val="00FC1B89"/>
  </w:style>
  <w:style w:type="paragraph" w:customStyle="1" w:styleId="4449993B89A54783BE736B72ABF30EC3">
    <w:name w:val="4449993B89A54783BE736B72ABF30EC3"/>
    <w:rsid w:val="00FC1B89"/>
  </w:style>
  <w:style w:type="paragraph" w:customStyle="1" w:styleId="595017CBF0A4437BB40C264783919181">
    <w:name w:val="595017CBF0A4437BB40C264783919181"/>
    <w:rsid w:val="00FC1B89"/>
  </w:style>
  <w:style w:type="paragraph" w:customStyle="1" w:styleId="9B834A0BC58947E38B04DA13362507A2">
    <w:name w:val="9B834A0BC58947E38B04DA13362507A2"/>
    <w:rsid w:val="00FC1B89"/>
  </w:style>
  <w:style w:type="paragraph" w:customStyle="1" w:styleId="28017976120A4920BCA0C7CD22454945">
    <w:name w:val="28017976120A4920BCA0C7CD22454945"/>
    <w:rsid w:val="00FC1B89"/>
  </w:style>
  <w:style w:type="paragraph" w:customStyle="1" w:styleId="30670093D3A64F109AE36DF61F202F79">
    <w:name w:val="30670093D3A64F109AE36DF61F202F79"/>
    <w:rsid w:val="00FC1B89"/>
  </w:style>
  <w:style w:type="paragraph" w:customStyle="1" w:styleId="B54D8D116E0F4D0AAC5AA67D763ECA3E">
    <w:name w:val="B54D8D116E0F4D0AAC5AA67D763ECA3E"/>
    <w:rsid w:val="00FC1B89"/>
  </w:style>
  <w:style w:type="paragraph" w:customStyle="1" w:styleId="D854B85922D5456A968CCDCBF0CDCC45">
    <w:name w:val="D854B85922D5456A968CCDCBF0CDCC45"/>
    <w:rsid w:val="00FC1B89"/>
  </w:style>
  <w:style w:type="paragraph" w:customStyle="1" w:styleId="51DEC0A8D09E4EB58BDDFC8C9740A9B4">
    <w:name w:val="51DEC0A8D09E4EB58BDDFC8C9740A9B4"/>
    <w:rsid w:val="00FC1B89"/>
  </w:style>
  <w:style w:type="paragraph" w:customStyle="1" w:styleId="DF42F45970014BBABF0A34E98C19025F">
    <w:name w:val="DF42F45970014BBABF0A34E98C19025F"/>
    <w:rsid w:val="00FC1B89"/>
  </w:style>
  <w:style w:type="paragraph" w:customStyle="1" w:styleId="4B8BD681D9EF4B26A93C2F46E6500707">
    <w:name w:val="4B8BD681D9EF4B26A93C2F46E6500707"/>
    <w:rsid w:val="00FC1B89"/>
  </w:style>
  <w:style w:type="paragraph" w:customStyle="1" w:styleId="24DA4D28406541FC9A776D6C8D8C92F8">
    <w:name w:val="24DA4D28406541FC9A776D6C8D8C92F8"/>
    <w:rsid w:val="00FC1B89"/>
  </w:style>
  <w:style w:type="paragraph" w:customStyle="1" w:styleId="5A987FF1381B4FF4B8F631FE3303E81D">
    <w:name w:val="5A987FF1381B4FF4B8F631FE3303E81D"/>
    <w:rsid w:val="00FC1B89"/>
  </w:style>
  <w:style w:type="paragraph" w:customStyle="1" w:styleId="E79DFA657337491E81451FA4E2859CF3">
    <w:name w:val="E79DFA657337491E81451FA4E2859CF3"/>
    <w:rsid w:val="00FC1B89"/>
  </w:style>
  <w:style w:type="paragraph" w:customStyle="1" w:styleId="9F2E210AD5714B4DA1A7A2DACEA73931">
    <w:name w:val="9F2E210AD5714B4DA1A7A2DACEA73931"/>
    <w:rsid w:val="00FC1B89"/>
  </w:style>
  <w:style w:type="paragraph" w:customStyle="1" w:styleId="E72A9F95B4BA4C27B164D2AF0417FAAB">
    <w:name w:val="E72A9F95B4BA4C27B164D2AF0417FAAB"/>
    <w:rsid w:val="00FC1B89"/>
  </w:style>
  <w:style w:type="paragraph" w:customStyle="1" w:styleId="1A16B3A087004899A96FD14CD20229AD">
    <w:name w:val="1A16B3A087004899A96FD14CD20229AD"/>
    <w:rsid w:val="00FC1B89"/>
  </w:style>
  <w:style w:type="paragraph" w:customStyle="1" w:styleId="FDB63B0AA8B74C30825A38A9C18E6007">
    <w:name w:val="FDB63B0AA8B74C30825A38A9C18E6007"/>
    <w:rsid w:val="00FC1B89"/>
  </w:style>
  <w:style w:type="paragraph" w:customStyle="1" w:styleId="144F73A693424450963F03EAF3ACFC81">
    <w:name w:val="144F73A693424450963F03EAF3ACFC81"/>
    <w:rsid w:val="00FC1B89"/>
  </w:style>
  <w:style w:type="paragraph" w:customStyle="1" w:styleId="E67D65311D8A4DDAB80C5DCA2EEE000E">
    <w:name w:val="E67D65311D8A4DDAB80C5DCA2EEE000E"/>
    <w:rsid w:val="00FC1B89"/>
  </w:style>
  <w:style w:type="paragraph" w:customStyle="1" w:styleId="AFC20CCE342041AD986E5A1F56454501">
    <w:name w:val="AFC20CCE342041AD986E5A1F56454501"/>
    <w:rsid w:val="00FC1B89"/>
  </w:style>
  <w:style w:type="paragraph" w:customStyle="1" w:styleId="8AF41967C5FE4F4891A7742E1DE1D9D8">
    <w:name w:val="8AF41967C5FE4F4891A7742E1DE1D9D8"/>
    <w:rsid w:val="00FC1B89"/>
  </w:style>
  <w:style w:type="paragraph" w:customStyle="1" w:styleId="072BE92D8599477E85DE86C0425E87BE">
    <w:name w:val="072BE92D8599477E85DE86C0425E87BE"/>
    <w:rsid w:val="00FC1B89"/>
  </w:style>
  <w:style w:type="paragraph" w:customStyle="1" w:styleId="E79ED8DB1C154CB3861E7CA60E414683">
    <w:name w:val="E79ED8DB1C154CB3861E7CA60E414683"/>
    <w:rsid w:val="00FC1B89"/>
  </w:style>
  <w:style w:type="paragraph" w:customStyle="1" w:styleId="A42DD7C8DD4B439B828DF10A52020F38">
    <w:name w:val="A42DD7C8DD4B439B828DF10A52020F38"/>
    <w:rsid w:val="00FC1B89"/>
  </w:style>
  <w:style w:type="paragraph" w:customStyle="1" w:styleId="03A6DDF8C5734472A929583348EEF8D9">
    <w:name w:val="03A6DDF8C5734472A929583348EEF8D9"/>
    <w:rsid w:val="00FC1B89"/>
  </w:style>
  <w:style w:type="paragraph" w:customStyle="1" w:styleId="15A41B987A434A0186206E6C7F652F7F">
    <w:name w:val="15A41B987A434A0186206E6C7F652F7F"/>
    <w:rsid w:val="00FC1B89"/>
  </w:style>
  <w:style w:type="paragraph" w:customStyle="1" w:styleId="3B31F9592B9E447EB943B8387EFA381A">
    <w:name w:val="3B31F9592B9E447EB943B8387EFA381A"/>
    <w:rsid w:val="00FC1B89"/>
  </w:style>
  <w:style w:type="paragraph" w:customStyle="1" w:styleId="825A3C1A00D549DA90CB6C8FB1048F16">
    <w:name w:val="825A3C1A00D549DA90CB6C8FB1048F16"/>
    <w:rsid w:val="00FC1B89"/>
  </w:style>
  <w:style w:type="paragraph" w:customStyle="1" w:styleId="A8985F22716844029764900FB491F654">
    <w:name w:val="A8985F22716844029764900FB491F654"/>
    <w:rsid w:val="00FC1B89"/>
  </w:style>
  <w:style w:type="paragraph" w:customStyle="1" w:styleId="C547E2ACBBEC487ABD224ACA21C64289">
    <w:name w:val="C547E2ACBBEC487ABD224ACA21C64289"/>
    <w:rsid w:val="00FC1B89"/>
  </w:style>
  <w:style w:type="paragraph" w:customStyle="1" w:styleId="2E03010E91994B03BDC9F2B154064629">
    <w:name w:val="2E03010E91994B03BDC9F2B154064629"/>
    <w:rsid w:val="00FC1B89"/>
  </w:style>
  <w:style w:type="paragraph" w:customStyle="1" w:styleId="05A6A33D29D04898AD00B20B276740B8">
    <w:name w:val="05A6A33D29D04898AD00B20B276740B8"/>
    <w:rsid w:val="00FC1B89"/>
  </w:style>
  <w:style w:type="paragraph" w:customStyle="1" w:styleId="F1BF74236E2C4A8BA8D90C01917BD05F">
    <w:name w:val="F1BF74236E2C4A8BA8D90C01917BD05F"/>
    <w:rsid w:val="00FC1B89"/>
  </w:style>
  <w:style w:type="paragraph" w:customStyle="1" w:styleId="760DC65E516640F89460F56662A6A8FE">
    <w:name w:val="760DC65E516640F89460F56662A6A8FE"/>
    <w:rsid w:val="00FC1B89"/>
  </w:style>
  <w:style w:type="paragraph" w:customStyle="1" w:styleId="DA66879C654C4367BD0A2C0C0987D9D7">
    <w:name w:val="DA66879C654C4367BD0A2C0C0987D9D7"/>
    <w:rsid w:val="00FC1B89"/>
  </w:style>
  <w:style w:type="paragraph" w:customStyle="1" w:styleId="5424576909424A4E9E0998B4F0F81F07">
    <w:name w:val="5424576909424A4E9E0998B4F0F81F07"/>
    <w:rsid w:val="00FC1B89"/>
  </w:style>
  <w:style w:type="paragraph" w:customStyle="1" w:styleId="78ED5D8AF7FB4293B60F728F0F97B4DC">
    <w:name w:val="78ED5D8AF7FB4293B60F728F0F97B4DC"/>
    <w:rsid w:val="00FC1B89"/>
  </w:style>
  <w:style w:type="paragraph" w:customStyle="1" w:styleId="0B2EA78DB4D0491F8080C4C8ED038DA510">
    <w:name w:val="0B2EA78DB4D0491F8080C4C8ED038DA510"/>
    <w:rsid w:val="00C168DA"/>
    <w:pPr>
      <w:widowControl w:val="0"/>
      <w:autoSpaceDE w:val="0"/>
      <w:autoSpaceDN w:val="0"/>
      <w:adjustRightInd w:val="0"/>
      <w:spacing w:after="0" w:line="240" w:lineRule="auto"/>
    </w:pPr>
    <w:rPr>
      <w:rFonts w:ascii="Arial" w:hAnsi="Arial" w:cs="Arial"/>
      <w:color w:val="000000"/>
      <w:sz w:val="24"/>
      <w:szCs w:val="24"/>
    </w:rPr>
  </w:style>
  <w:style w:type="paragraph" w:customStyle="1" w:styleId="F4D5E2E8C0A744A5811E4215ECB0FDC6">
    <w:name w:val="F4D5E2E8C0A744A5811E4215ECB0FDC6"/>
    <w:rsid w:val="00C168DA"/>
  </w:style>
  <w:style w:type="paragraph" w:customStyle="1" w:styleId="3856C9B3FEA842B2B9B75A8621C29A03">
    <w:name w:val="3856C9B3FEA842B2B9B75A8621C29A03"/>
    <w:rsid w:val="00C168DA"/>
  </w:style>
  <w:style w:type="paragraph" w:customStyle="1" w:styleId="C84FED75BFD14EF498CE74ED3CFD8CD0">
    <w:name w:val="C84FED75BFD14EF498CE74ED3CFD8CD0"/>
    <w:rsid w:val="00C168DA"/>
  </w:style>
  <w:style w:type="paragraph" w:customStyle="1" w:styleId="CEC0BF0FC4AB48E5BA6E16E5AC9473A7">
    <w:name w:val="CEC0BF0FC4AB48E5BA6E16E5AC9473A7"/>
    <w:rsid w:val="00C168DA"/>
  </w:style>
  <w:style w:type="paragraph" w:customStyle="1" w:styleId="7621608203A54418A1D620CC195226F4">
    <w:name w:val="7621608203A54418A1D620CC195226F4"/>
    <w:rsid w:val="00C168DA"/>
  </w:style>
  <w:style w:type="paragraph" w:customStyle="1" w:styleId="962A2602A97E46A28B29FC918FBE6A4D">
    <w:name w:val="962A2602A97E46A28B29FC918FBE6A4D"/>
    <w:rsid w:val="00C168DA"/>
  </w:style>
  <w:style w:type="paragraph" w:customStyle="1" w:styleId="5D65071F2C6F4C2286FEF1F32A948B77">
    <w:name w:val="5D65071F2C6F4C2286FEF1F32A948B77"/>
    <w:rsid w:val="00C168DA"/>
  </w:style>
  <w:style w:type="paragraph" w:customStyle="1" w:styleId="AA8C548EF2504B88ABC4B2F1A4B009A8">
    <w:name w:val="AA8C548EF2504B88ABC4B2F1A4B009A8"/>
    <w:rsid w:val="00C168DA"/>
  </w:style>
  <w:style w:type="paragraph" w:customStyle="1" w:styleId="527F918549AD4C9289E504289A2FA8E2">
    <w:name w:val="527F918549AD4C9289E504289A2FA8E2"/>
    <w:rsid w:val="00C168DA"/>
  </w:style>
  <w:style w:type="paragraph" w:customStyle="1" w:styleId="5AA197CAA5E3424ABE9F8296E39DC0A6">
    <w:name w:val="5AA197CAA5E3424ABE9F8296E39DC0A6"/>
    <w:rsid w:val="00C168DA"/>
  </w:style>
  <w:style w:type="paragraph" w:customStyle="1" w:styleId="85AF512FD9BB4119B8AB968293E96BDC">
    <w:name w:val="85AF512FD9BB4119B8AB968293E96BDC"/>
    <w:rsid w:val="00C168DA"/>
  </w:style>
  <w:style w:type="paragraph" w:customStyle="1" w:styleId="4C6F3F8C360047F3AC0EDCD46E696C86">
    <w:name w:val="4C6F3F8C360047F3AC0EDCD46E696C86"/>
    <w:rsid w:val="00C168DA"/>
  </w:style>
  <w:style w:type="paragraph" w:customStyle="1" w:styleId="AD9071922DF14865B3B01E9AF7CF63AB">
    <w:name w:val="AD9071922DF14865B3B01E9AF7CF63AB"/>
    <w:rsid w:val="00776C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
    <w:name w:val="AD9071922DF14865B3B01E9AF7CF63AB1"/>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2">
    <w:name w:val="AD9071922DF14865B3B01E9AF7CF63AB2"/>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3">
    <w:name w:val="AD9071922DF14865B3B01E9AF7CF63AB3"/>
    <w:rsid w:val="00797A05"/>
    <w:pPr>
      <w:widowControl w:val="0"/>
      <w:autoSpaceDE w:val="0"/>
      <w:autoSpaceDN w:val="0"/>
      <w:adjustRightInd w:val="0"/>
      <w:spacing w:after="0" w:line="240" w:lineRule="auto"/>
    </w:pPr>
    <w:rPr>
      <w:rFonts w:ascii="Arial" w:hAnsi="Arial" w:cs="Arial"/>
      <w:color w:val="000000"/>
      <w:sz w:val="24"/>
      <w:szCs w:val="24"/>
    </w:rPr>
  </w:style>
  <w:style w:type="paragraph" w:customStyle="1" w:styleId="F8A3BEA3A45841C99C58634B7CB812E6">
    <w:name w:val="F8A3BEA3A45841C99C58634B7CB812E6"/>
    <w:rsid w:val="00797A05"/>
  </w:style>
  <w:style w:type="paragraph" w:customStyle="1" w:styleId="7BB76776D2444A90BD146C6ECD74E1F7">
    <w:name w:val="7BB76776D2444A90BD146C6ECD74E1F7"/>
    <w:rsid w:val="00797A05"/>
  </w:style>
  <w:style w:type="paragraph" w:customStyle="1" w:styleId="AD9071922DF14865B3B01E9AF7CF63AB4">
    <w:name w:val="AD9071922DF14865B3B01E9AF7CF63AB4"/>
    <w:rsid w:val="009F5488"/>
    <w:pPr>
      <w:widowControl w:val="0"/>
      <w:autoSpaceDE w:val="0"/>
      <w:autoSpaceDN w:val="0"/>
      <w:adjustRightInd w:val="0"/>
      <w:spacing w:after="0" w:line="240" w:lineRule="auto"/>
    </w:pPr>
    <w:rPr>
      <w:rFonts w:ascii="Arial" w:hAnsi="Arial" w:cs="Arial"/>
      <w:color w:val="000000"/>
      <w:sz w:val="24"/>
      <w:szCs w:val="24"/>
    </w:rPr>
  </w:style>
  <w:style w:type="paragraph" w:customStyle="1" w:styleId="F9092DE9640E4514A2A1E066915D1067">
    <w:name w:val="F9092DE9640E4514A2A1E066915D1067"/>
    <w:rsid w:val="004A1509"/>
  </w:style>
  <w:style w:type="paragraph" w:customStyle="1" w:styleId="AD9071922DF14865B3B01E9AF7CF63AB5">
    <w:name w:val="AD9071922DF14865B3B01E9AF7CF63AB5"/>
    <w:rsid w:val="00F12E0E"/>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6">
    <w:name w:val="AD9071922DF14865B3B01E9AF7CF63AB6"/>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7">
    <w:name w:val="AD9071922DF14865B3B01E9AF7CF63AB7"/>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8">
    <w:name w:val="AD9071922DF14865B3B01E9AF7CF63AB8"/>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9">
    <w:name w:val="AD9071922DF14865B3B01E9AF7CF63AB9"/>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0">
    <w:name w:val="AD9071922DF14865B3B01E9AF7CF63AB10"/>
    <w:rsid w:val="00E40A5F"/>
    <w:pPr>
      <w:widowControl w:val="0"/>
      <w:autoSpaceDE w:val="0"/>
      <w:autoSpaceDN w:val="0"/>
      <w:adjustRightInd w:val="0"/>
      <w:spacing w:after="0" w:line="240" w:lineRule="auto"/>
    </w:pPr>
    <w:rPr>
      <w:rFonts w:ascii="Arial" w:hAnsi="Arial" w:cs="Arial"/>
      <w:color w:val="000000"/>
      <w:sz w:val="24"/>
      <w:szCs w:val="24"/>
    </w:rPr>
  </w:style>
  <w:style w:type="paragraph" w:customStyle="1" w:styleId="0986FC8BEA25441B884B7E4A2B124856">
    <w:name w:val="0986FC8BEA25441B884B7E4A2B124856"/>
    <w:rsid w:val="00E40A5F"/>
  </w:style>
  <w:style w:type="paragraph" w:customStyle="1" w:styleId="F84EC7C53AF5489891A0116775004EA6">
    <w:name w:val="F84EC7C53AF5489891A0116775004EA6"/>
    <w:rsid w:val="00E40A5F"/>
  </w:style>
  <w:style w:type="paragraph" w:customStyle="1" w:styleId="AD9071922DF14865B3B01E9AF7CF63AB11">
    <w:name w:val="AD9071922DF14865B3B01E9AF7CF63AB11"/>
    <w:rsid w:val="004311E2"/>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2">
    <w:name w:val="AD9071922DF14865B3B01E9AF7CF63AB12"/>
    <w:rsid w:val="00E551E7"/>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3">
    <w:name w:val="AD9071922DF14865B3B01E9AF7CF63AB13"/>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4">
    <w:name w:val="AD9071922DF14865B3B01E9AF7CF63AB14"/>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5">
    <w:name w:val="AD9071922DF14865B3B01E9AF7CF63AB15"/>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
    <w:name w:val="3F0B331C2F344760AE61C9A706D5C719"/>
    <w:rsid w:val="009736F5"/>
  </w:style>
  <w:style w:type="paragraph" w:customStyle="1" w:styleId="38EE8AFCAAEB42E59B4C2A50AE10D130">
    <w:name w:val="38EE8AFCAAEB42E59B4C2A50AE10D130"/>
    <w:rsid w:val="009736F5"/>
  </w:style>
  <w:style w:type="paragraph" w:customStyle="1" w:styleId="907ABA86110D43A3A29F785143380194">
    <w:name w:val="907ABA86110D43A3A29F785143380194"/>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
    <w:name w:val="3F0B331C2F344760AE61C9A706D5C719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
    <w:name w:val="907ABA86110D43A3A29F785143380194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
    <w:name w:val="3F0B331C2F344760AE61C9A706D5C7192"/>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8E615D09D3204376B029A8D36F15B3FC">
    <w:name w:val="8E615D09D3204376B029A8D36F15B3FC"/>
    <w:rsid w:val="005D3509"/>
  </w:style>
  <w:style w:type="paragraph" w:customStyle="1" w:styleId="907ABA86110D43A3A29F7851433801942">
    <w:name w:val="907ABA86110D43A3A29F7851433801942"/>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
    <w:name w:val="3F0B331C2F344760AE61C9A706D5C7193"/>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
    <w:name w:val="907ABA86110D43A3A29F7851433801943"/>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4">
    <w:name w:val="3F0B331C2F344760AE61C9A706D5C7194"/>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4">
    <w:name w:val="907ABA86110D43A3A29F7851433801944"/>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5">
    <w:name w:val="3F0B331C2F344760AE61C9A706D5C7195"/>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5E63676D9F374CAE9D0AE4399CE26A60">
    <w:name w:val="5E63676D9F374CAE9D0AE4399CE26A60"/>
    <w:rsid w:val="004A5840"/>
  </w:style>
  <w:style w:type="paragraph" w:customStyle="1" w:styleId="907ABA86110D43A3A29F7851433801945">
    <w:name w:val="907ABA86110D43A3A29F7851433801945"/>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6">
    <w:name w:val="3F0B331C2F344760AE61C9A706D5C7196"/>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6">
    <w:name w:val="907ABA86110D43A3A29F7851433801946"/>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7">
    <w:name w:val="3F0B331C2F344760AE61C9A706D5C7197"/>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004AC0134B6C4B06B4EEFD24BDFCB14E">
    <w:name w:val="004AC0134B6C4B06B4EEFD24BDFCB14E"/>
    <w:rsid w:val="0096241B"/>
  </w:style>
  <w:style w:type="paragraph" w:customStyle="1" w:styleId="B0FD5F08F0B746E19BA09EBBFB1BB514">
    <w:name w:val="B0FD5F08F0B746E19BA09EBBFB1BB514"/>
    <w:rsid w:val="0096241B"/>
  </w:style>
  <w:style w:type="paragraph" w:customStyle="1" w:styleId="B1EB3708896A44C3A2154771A400FA48">
    <w:name w:val="B1EB3708896A44C3A2154771A400FA48"/>
    <w:rsid w:val="0096241B"/>
  </w:style>
  <w:style w:type="paragraph" w:customStyle="1" w:styleId="E57CBED4C4554B9A8C136FF1F6807E25">
    <w:name w:val="E57CBED4C4554B9A8C136FF1F6807E25"/>
    <w:rsid w:val="0096241B"/>
  </w:style>
  <w:style w:type="paragraph" w:customStyle="1" w:styleId="78734B1EDCB14D0D822B3CF0C5FF1B1B">
    <w:name w:val="78734B1EDCB14D0D822B3CF0C5FF1B1B"/>
    <w:rsid w:val="0096241B"/>
  </w:style>
  <w:style w:type="paragraph" w:customStyle="1" w:styleId="E481BF2110E44A16B624ABFEBAEC25A3">
    <w:name w:val="E481BF2110E44A16B624ABFEBAEC25A3"/>
    <w:rsid w:val="0096241B"/>
  </w:style>
  <w:style w:type="paragraph" w:customStyle="1" w:styleId="D26C7ACB08264F4CBEFE99B107484CEE">
    <w:name w:val="D26C7ACB08264F4CBEFE99B107484CEE"/>
    <w:rsid w:val="0096241B"/>
  </w:style>
  <w:style w:type="paragraph" w:customStyle="1" w:styleId="907ABA86110D43A3A29F7851433801947">
    <w:name w:val="907ABA86110D43A3A29F7851433801947"/>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8">
    <w:name w:val="3F0B331C2F344760AE61C9A706D5C719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8">
    <w:name w:val="907ABA86110D43A3A29F785143380194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9">
    <w:name w:val="3F0B331C2F344760AE61C9A706D5C7199"/>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9">
    <w:name w:val="907ABA86110D43A3A29F7851433801949"/>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0">
    <w:name w:val="3F0B331C2F344760AE61C9A706D5C71910"/>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0">
    <w:name w:val="907ABA86110D43A3A29F78514338019410"/>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1">
    <w:name w:val="3F0B331C2F344760AE61C9A706D5C71911"/>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6684A6F845994948B52DABC45584C050">
    <w:name w:val="6684A6F845994948B52DABC45584C050"/>
    <w:rsid w:val="00073274"/>
  </w:style>
  <w:style w:type="paragraph" w:customStyle="1" w:styleId="AE198A1D60F64EFE9318E4033AD91786">
    <w:name w:val="AE198A1D60F64EFE9318E4033AD91786"/>
    <w:rsid w:val="00073274"/>
  </w:style>
  <w:style w:type="paragraph" w:customStyle="1" w:styleId="2996D5764BDF46D986762CDB34C06051">
    <w:name w:val="2996D5764BDF46D986762CDB34C06051"/>
    <w:rsid w:val="00073274"/>
  </w:style>
  <w:style w:type="paragraph" w:customStyle="1" w:styleId="A1E930F40544463486232D5111D7EB5B">
    <w:name w:val="A1E930F40544463486232D5111D7EB5B"/>
    <w:rsid w:val="00073274"/>
  </w:style>
  <w:style w:type="paragraph" w:customStyle="1" w:styleId="EAE325E281134CC3B55B7544FD72C8BB">
    <w:name w:val="EAE325E281134CC3B55B7544FD72C8BB"/>
    <w:rsid w:val="00073274"/>
  </w:style>
  <w:style w:type="paragraph" w:customStyle="1" w:styleId="907ABA86110D43A3A29F78514338019411">
    <w:name w:val="907ABA86110D43A3A29F78514338019411"/>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2">
    <w:name w:val="3F0B331C2F344760AE61C9A706D5C719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2">
    <w:name w:val="907ABA86110D43A3A29F785143380194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3">
    <w:name w:val="3F0B331C2F344760AE61C9A706D5C71913"/>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3">
    <w:name w:val="907ABA86110D43A3A29F78514338019413"/>
    <w:rsid w:val="00045D6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4">
    <w:name w:val="3F0B331C2F344760AE61C9A706D5C71914"/>
    <w:rsid w:val="00045D6B"/>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ECENTER-17-2327</_dlc_DocId>
    <_dlc_DocIdUrl xmlns="abd7fad0-8e9a-4f24-82a0-e4a690a7a66d">
      <Url>https://ispan.worldbank.org/sites/BOS/_layouts/15/DocIdRedir.aspx?ID=ECENTER-17-2327</Url>
      <Description>ECENTER-17-2327</Description>
    </_dlc_DocIdUrl>
    <DocumentDate xmlns="1e565efc-c76f-4e3a-ad62-733aa42cc28d">2017-12-28T05:00:00+00:00</DocumentDate>
    <unid xmlns="1e565efc-c76f-4e3a-ad62-733aa42cc28d" xsi:nil="true"/>
    <Volume_x0020_Title xmlns="1e565efc-c76f-4e3a-ad62-733aa42cc28d">Argentina - Mining Environmental Restoration Project - Implementation Completion and Results Report</Volume_x0020_Title>
    <Disclosure_x0020_Type xmlns="1e565efc-c76f-4e3a-ad62-733aa42cc28d" xsi:nil="true"/>
    <Unit_x0020_Owning_x0020_or_x0020_Responsible xmlns="1e565efc-c76f-4e3a-ad62-733aa42cc28d">GEN04</Unit_x0020_Owning_x0020_or_x0020_Responsible>
    <BOSWBdocsWebServiceStatus xmlns="1e565efc-c76f-4e3a-ad62-733aa42cc28d" xsi:nil="true"/>
    <RObjectID xmlns="1e565efc-c76f-4e3a-ad62-733aa42cc28d">090224b0854dcfde</RObjectID>
    <Document_x0020_Type xmlns="1e565efc-c76f-4e3a-ad62-733aa42cc28d">Board Report</Document_x0020_Type>
    <Bank_x0020_Group_x0020_Institution xmlns="1e565efc-c76f-4e3a-ad62-733aa42cc28d">IBRD</Bank_x0020_Group_x0020_Institution>
    <Project_x0020_ID xmlns="1e565efc-c76f-4e3a-ad62-733aa42cc28d">P110462</Project_x0020_ID>
    <Report_x0020_Number xmlns="1e565efc-c76f-4e3a-ad62-733aa42cc28d">ICR00004359</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 xsi:nil="true"/>
    <Board_x0020_Meeting_x0020_Type xmlns="1e565efc-c76f-4e3a-ad62-733aa42cc28d">Board Meeting</Board_x0020_Meeting_x0020_Type>
    <UpdateEntityID xmlns="1e565efc-c76f-4e3a-ad62-733aa42cc28d">4ef913fa-7eeb-e711-94e1-005056953af8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2018-01-02T17:21:51+00:00</InfolitePublishedDate>
    <Country_x0020_Region xmlns="1e565efc-c76f-4e3a-ad62-733aa42cc28d">Argentina</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2018-01-02T17:26:08+00:00</ArchivedDate>
    <PublicClassificationDecidedby xmlns="1e565efc-c76f-4e3a-ad62-733aa42cc28d">Veronica Yolanda Jarrin</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3D04FD-6254-4870-8C16-F26EF8030E51}"/>
</file>

<file path=customXml/itemProps2.xml><?xml version="1.0" encoding="utf-8"?>
<ds:datastoreItem xmlns:ds="http://schemas.openxmlformats.org/officeDocument/2006/customXml" ds:itemID="{DC37677E-A86C-44AC-9A1A-80923ED8950C}"/>
</file>

<file path=customXml/itemProps3.xml><?xml version="1.0" encoding="utf-8"?>
<ds:datastoreItem xmlns:ds="http://schemas.openxmlformats.org/officeDocument/2006/customXml" ds:itemID="{78E17A52-429E-4531-9B59-C1D65B44BB4D}"/>
</file>

<file path=customXml/itemProps4.xml><?xml version="1.0" encoding="utf-8"?>
<ds:datastoreItem xmlns:ds="http://schemas.openxmlformats.org/officeDocument/2006/customXml" ds:itemID="{A36C9F6F-F886-4FD0-9706-C781451FC8D0}"/>
</file>

<file path=customXml/itemProps5.xml><?xml version="1.0" encoding="utf-8"?>
<ds:datastoreItem xmlns:ds="http://schemas.openxmlformats.org/officeDocument/2006/customXml" ds:itemID="{2713B6F1-74A7-456E-8ACA-2026E35FCDD3}"/>
</file>

<file path=docProps/app.xml><?xml version="1.0" encoding="utf-8"?>
<Properties xmlns="http://schemas.openxmlformats.org/officeDocument/2006/extended-properties" xmlns:vt="http://schemas.openxmlformats.org/officeDocument/2006/docPropsVTypes">
  <Template>Normal.dotm</Template>
  <TotalTime>1</TotalTime>
  <Pages>75</Pages>
  <Words>25365</Words>
  <Characters>144581</Characters>
  <Application>Microsoft Office Word</Application>
  <DocSecurity>4</DocSecurity>
  <Lines>1204</Lines>
  <Paragraphs>339</Paragraphs>
  <ScaleCrop>false</ScaleCrop>
  <HeadingPairs>
    <vt:vector size="2" baseType="variant">
      <vt:variant>
        <vt:lpstr>Title</vt:lpstr>
      </vt:variant>
      <vt:variant>
        <vt:i4>1</vt:i4>
      </vt:variant>
    </vt:vector>
  </HeadingPairs>
  <TitlesOfParts>
    <vt:vector size="1" baseType="lpstr">
      <vt:lpstr>Implementation Completion and Results Report (ICR) Document</vt:lpstr>
    </vt:vector>
  </TitlesOfParts>
  <Company/>
  <LinksUpToDate>false</LinksUpToDate>
  <CharactersWithSpaces>169607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 Mining Environmental Restoration Project - Implementation Completion and Results Report</dc:title>
  <dc:creator>Renan Alberto Poveda</dc:creator>
  <cp:lastModifiedBy>Veronica Jarrin</cp:lastModifiedBy>
  <cp:revision>2</cp:revision>
  <dcterms:created xsi:type="dcterms:W3CDTF">2017-12-28T03:26:00Z</dcterms:created>
  <dcterms:modified xsi:type="dcterms:W3CDTF">2017-12-28T03:26:00Z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LikedBy">
    <vt:lpwstr/>
  </property>
  <property fmtid="{D5CDD505-2E9C-101B-9397-08002B2CF9AE}" pid="4" name="RatedBy">
    <vt:lpwstr/>
  </property>
  <property fmtid="{D5CDD505-2E9C-101B-9397-08002B2CF9AE}" pid="5" name="_dlc_DocIdItemGuid">
    <vt:lpwstr>6c27b516-9a57-4086-b2b8-af0eea71d52d</vt:lpwstr>
  </property>
</Properties>
</file>