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EE897" w14:textId="60A724F7" w:rsidR="00420BF9" w:rsidRPr="00420BF9" w:rsidRDefault="00420BF9" w:rsidP="00C20EC5">
      <w:pPr>
        <w:rPr>
          <w:rFonts w:ascii="Cambria" w:hAnsi="Cambria"/>
          <w:b/>
        </w:rPr>
      </w:pPr>
      <w:bookmarkStart w:id="0" w:name="_Toc129526746"/>
      <w:r w:rsidRPr="00420BF9">
        <w:rPr>
          <w:rFonts w:ascii="Cambria" w:hAnsi="Cambria"/>
          <w:b/>
        </w:rPr>
        <w:t>Report No.</w:t>
      </w:r>
      <w:r w:rsidR="00C646A3">
        <w:rPr>
          <w:rFonts w:ascii="Cambria" w:hAnsi="Cambria"/>
          <w:b/>
        </w:rPr>
        <w:t xml:space="preserve"> 89007</w:t>
      </w:r>
      <w:bookmarkStart w:id="1" w:name="_GoBack"/>
      <w:bookmarkEnd w:id="1"/>
    </w:p>
    <w:p w14:paraId="12FDE10B" w14:textId="77777777" w:rsidR="00420BF9" w:rsidRDefault="00420BF9" w:rsidP="00C20EC5">
      <w:pPr>
        <w:rPr>
          <w:rFonts w:ascii="Cambria" w:hAnsi="Cambria"/>
          <w:b/>
          <w:sz w:val="48"/>
          <w:szCs w:val="48"/>
        </w:rPr>
      </w:pPr>
    </w:p>
    <w:p w14:paraId="7C4CF77C" w14:textId="77777777" w:rsidR="00C20EC5" w:rsidRPr="003A7C3C" w:rsidRDefault="00C20EC5" w:rsidP="00C20EC5">
      <w:pPr>
        <w:rPr>
          <w:rFonts w:ascii="Cambria" w:hAnsi="Cambria"/>
          <w:b/>
          <w:sz w:val="48"/>
          <w:szCs w:val="48"/>
        </w:rPr>
      </w:pPr>
      <w:r w:rsidRPr="003A7C3C">
        <w:rPr>
          <w:rFonts w:ascii="Cambria" w:hAnsi="Cambria"/>
          <w:b/>
          <w:sz w:val="48"/>
          <w:szCs w:val="48"/>
        </w:rPr>
        <w:t>Kyrgyz Republic</w:t>
      </w:r>
    </w:p>
    <w:p w14:paraId="25C55397" w14:textId="77777777" w:rsidR="00C20EC5" w:rsidRPr="00C20EC5" w:rsidRDefault="00C20EC5" w:rsidP="00C20EC5">
      <w:pPr>
        <w:rPr>
          <w:rFonts w:ascii="Cambria" w:hAnsi="Cambria"/>
          <w:b/>
        </w:rPr>
      </w:pPr>
    </w:p>
    <w:p w14:paraId="1E2497A8" w14:textId="77777777" w:rsidR="00C20EC5" w:rsidRPr="00C20EC5" w:rsidRDefault="00C20EC5" w:rsidP="00C20EC5">
      <w:pPr>
        <w:rPr>
          <w:rFonts w:ascii="Cambria" w:hAnsi="Cambria"/>
          <w:b/>
          <w:sz w:val="48"/>
          <w:szCs w:val="48"/>
        </w:rPr>
      </w:pPr>
      <w:r w:rsidRPr="00C20EC5">
        <w:rPr>
          <w:rFonts w:ascii="Cambria" w:hAnsi="Cambria"/>
          <w:b/>
          <w:sz w:val="48"/>
          <w:szCs w:val="48"/>
        </w:rPr>
        <w:t>Public Expenditure Review Policy Notes</w:t>
      </w:r>
    </w:p>
    <w:p w14:paraId="7CDACCAA" w14:textId="77777777" w:rsidR="00C20EC5" w:rsidRPr="00C20EC5" w:rsidRDefault="00C20EC5" w:rsidP="00C20EC5">
      <w:pPr>
        <w:rPr>
          <w:rFonts w:ascii="Cambria" w:hAnsi="Cambria"/>
          <w:b/>
          <w:sz w:val="32"/>
          <w:szCs w:val="32"/>
        </w:rPr>
      </w:pPr>
    </w:p>
    <w:p w14:paraId="70EA7E48" w14:textId="77777777" w:rsidR="00C20EC5" w:rsidRPr="00C20EC5" w:rsidRDefault="008E20D3" w:rsidP="00C20EC5">
      <w:pPr>
        <w:rPr>
          <w:rFonts w:ascii="Cambria" w:hAnsi="Cambria"/>
          <w:b/>
          <w:i/>
          <w:sz w:val="40"/>
          <w:szCs w:val="40"/>
        </w:rPr>
      </w:pPr>
      <w:r>
        <w:rPr>
          <w:rFonts w:ascii="Cambria" w:hAnsi="Cambria"/>
          <w:b/>
          <w:i/>
          <w:sz w:val="40"/>
          <w:szCs w:val="40"/>
        </w:rPr>
        <w:t>Pensions</w:t>
      </w:r>
    </w:p>
    <w:p w14:paraId="6EFB78FA" w14:textId="77777777" w:rsidR="00C20EC5" w:rsidRDefault="00C20EC5" w:rsidP="00C20EC5">
      <w:pPr>
        <w:rPr>
          <w:rFonts w:ascii="Cambria" w:hAnsi="Cambria"/>
          <w:b/>
        </w:rPr>
      </w:pPr>
    </w:p>
    <w:p w14:paraId="454D57DF" w14:textId="77777777" w:rsidR="002937CC" w:rsidRDefault="002937CC" w:rsidP="00C20EC5">
      <w:pPr>
        <w:rPr>
          <w:rFonts w:ascii="Cambria" w:hAnsi="Cambria"/>
          <w:b/>
        </w:rPr>
      </w:pPr>
    </w:p>
    <w:p w14:paraId="281B95C4" w14:textId="77777777" w:rsidR="002937CC" w:rsidRPr="00C20EC5" w:rsidRDefault="002937CC" w:rsidP="00C20EC5">
      <w:pPr>
        <w:rPr>
          <w:rFonts w:ascii="Cambria" w:hAnsi="Cambria"/>
          <w:b/>
        </w:rPr>
      </w:pPr>
    </w:p>
    <w:p w14:paraId="27142D4D" w14:textId="77777777" w:rsidR="0044650B" w:rsidRDefault="0044650B" w:rsidP="00C20EC5">
      <w:pPr>
        <w:rPr>
          <w:rFonts w:ascii="Cambria" w:hAnsi="Cambria"/>
          <w:b/>
        </w:rPr>
      </w:pPr>
    </w:p>
    <w:p w14:paraId="4C1A9B2B" w14:textId="77777777" w:rsidR="0044650B" w:rsidRPr="00C20EC5" w:rsidRDefault="0044650B" w:rsidP="00C20EC5">
      <w:pPr>
        <w:rPr>
          <w:rFonts w:ascii="Cambria" w:hAnsi="Cambria"/>
          <w:b/>
        </w:rPr>
      </w:pPr>
    </w:p>
    <w:p w14:paraId="29D66CC7" w14:textId="77777777" w:rsidR="00C20EC5" w:rsidRPr="00C20EC5" w:rsidRDefault="00C20EC5" w:rsidP="00C20EC5">
      <w:pPr>
        <w:rPr>
          <w:rFonts w:ascii="Cambria" w:hAnsi="Cambria"/>
          <w:b/>
        </w:rPr>
      </w:pPr>
    </w:p>
    <w:p w14:paraId="2217C6F1" w14:textId="77777777" w:rsidR="00C20EC5" w:rsidRPr="00C20EC5" w:rsidRDefault="00C20EC5" w:rsidP="00C20EC5">
      <w:pPr>
        <w:rPr>
          <w:rFonts w:ascii="Cambria" w:hAnsi="Cambria"/>
          <w:b/>
        </w:rPr>
      </w:pPr>
    </w:p>
    <w:p w14:paraId="0537CB52" w14:textId="77777777" w:rsidR="00C20EC5" w:rsidRPr="00C20EC5" w:rsidRDefault="00C20EC5" w:rsidP="00C20EC5">
      <w:pPr>
        <w:rPr>
          <w:rFonts w:ascii="Cambria" w:hAnsi="Cambria"/>
          <w:b/>
        </w:rPr>
      </w:pPr>
    </w:p>
    <w:p w14:paraId="487FAC01" w14:textId="77777777" w:rsidR="00C20EC5" w:rsidRPr="00C20EC5" w:rsidRDefault="00C20EC5" w:rsidP="00C20EC5">
      <w:pPr>
        <w:rPr>
          <w:rFonts w:ascii="Cambria" w:hAnsi="Cambria"/>
          <w:b/>
        </w:rPr>
      </w:pPr>
    </w:p>
    <w:p w14:paraId="64F68A70" w14:textId="77777777" w:rsidR="00C20EC5" w:rsidRPr="00C20EC5" w:rsidRDefault="00C20EC5" w:rsidP="00C20EC5">
      <w:pPr>
        <w:rPr>
          <w:rFonts w:ascii="Cambria" w:hAnsi="Cambria"/>
          <w:b/>
        </w:rPr>
      </w:pPr>
    </w:p>
    <w:p w14:paraId="6129CFFD" w14:textId="77777777" w:rsidR="00C20EC5" w:rsidRPr="00C20EC5" w:rsidRDefault="00C20EC5" w:rsidP="00C20EC5">
      <w:pPr>
        <w:rPr>
          <w:rFonts w:ascii="Cambria" w:hAnsi="Cambria"/>
          <w:b/>
        </w:rPr>
      </w:pPr>
    </w:p>
    <w:p w14:paraId="1C1D0CEE" w14:textId="77777777" w:rsidR="00C20EC5" w:rsidRPr="00C20EC5" w:rsidRDefault="00C20EC5" w:rsidP="00C20EC5">
      <w:pPr>
        <w:rPr>
          <w:rFonts w:ascii="Cambria" w:hAnsi="Cambria"/>
          <w:b/>
        </w:rPr>
      </w:pPr>
    </w:p>
    <w:p w14:paraId="2185CF25" w14:textId="77777777" w:rsidR="00C20EC5" w:rsidRPr="00C20EC5" w:rsidRDefault="00C20EC5" w:rsidP="00C20EC5">
      <w:pPr>
        <w:rPr>
          <w:rFonts w:ascii="Cambria" w:hAnsi="Cambria"/>
          <w:b/>
        </w:rPr>
      </w:pPr>
    </w:p>
    <w:p w14:paraId="25687943" w14:textId="77777777" w:rsidR="00C20EC5" w:rsidRDefault="00C20EC5" w:rsidP="00C20EC5">
      <w:pPr>
        <w:rPr>
          <w:rFonts w:ascii="Cambria" w:hAnsi="Cambria"/>
          <w:b/>
        </w:rPr>
      </w:pPr>
    </w:p>
    <w:p w14:paraId="0175332B" w14:textId="77777777" w:rsidR="003A7C3C" w:rsidRDefault="003A7C3C" w:rsidP="00C20EC5">
      <w:pPr>
        <w:rPr>
          <w:rFonts w:ascii="Cambria" w:hAnsi="Cambria"/>
          <w:b/>
        </w:rPr>
      </w:pPr>
    </w:p>
    <w:p w14:paraId="056E5B1E" w14:textId="77777777" w:rsidR="00670196" w:rsidRPr="00C20EC5" w:rsidRDefault="00670196" w:rsidP="00C20EC5">
      <w:pPr>
        <w:rPr>
          <w:rFonts w:ascii="Cambria" w:hAnsi="Cambria"/>
          <w:b/>
        </w:rPr>
      </w:pPr>
    </w:p>
    <w:p w14:paraId="3400C95F" w14:textId="77777777" w:rsidR="00C20EC5" w:rsidRPr="00C20EC5" w:rsidRDefault="00C20EC5" w:rsidP="00C20EC5">
      <w:pPr>
        <w:rPr>
          <w:rFonts w:ascii="Cambria" w:hAnsi="Cambria"/>
          <w:b/>
        </w:rPr>
      </w:pPr>
    </w:p>
    <w:p w14:paraId="1D3A06AC" w14:textId="77777777" w:rsidR="00C20EC5" w:rsidRPr="00C20EC5" w:rsidRDefault="00C20EC5" w:rsidP="00C20EC5">
      <w:pPr>
        <w:rPr>
          <w:rFonts w:ascii="Cambria" w:hAnsi="Cambria"/>
          <w:b/>
        </w:rPr>
      </w:pPr>
    </w:p>
    <w:p w14:paraId="74E14EB6" w14:textId="77777777" w:rsidR="00C20EC5" w:rsidRPr="00C20EC5" w:rsidRDefault="00C20EC5" w:rsidP="00C20EC5">
      <w:pPr>
        <w:rPr>
          <w:rFonts w:ascii="Cambria" w:hAnsi="Cambria"/>
          <w:b/>
        </w:rPr>
      </w:pPr>
    </w:p>
    <w:p w14:paraId="02959C66" w14:textId="3D8B08DB" w:rsidR="00C20EC5" w:rsidRPr="00C20EC5" w:rsidRDefault="00040DE4" w:rsidP="00C20EC5">
      <w:pPr>
        <w:rPr>
          <w:rFonts w:ascii="Cambria" w:hAnsi="Cambria"/>
          <w:b/>
        </w:rPr>
      </w:pPr>
      <w:r>
        <w:rPr>
          <w:rFonts w:ascii="Cambria" w:hAnsi="Cambria"/>
          <w:b/>
        </w:rPr>
        <w:t>May</w:t>
      </w:r>
      <w:r w:rsidR="007B2BCA">
        <w:rPr>
          <w:rFonts w:ascii="Cambria" w:hAnsi="Cambria"/>
          <w:b/>
        </w:rPr>
        <w:t xml:space="preserve"> 2014</w:t>
      </w:r>
    </w:p>
    <w:p w14:paraId="409DA755" w14:textId="77777777" w:rsidR="00C20EC5" w:rsidRPr="00C20EC5" w:rsidRDefault="00C20EC5" w:rsidP="00C20EC5">
      <w:pPr>
        <w:rPr>
          <w:rFonts w:ascii="Cambria" w:hAnsi="Cambria"/>
          <w:b/>
        </w:rPr>
      </w:pPr>
    </w:p>
    <w:p w14:paraId="7B293D25" w14:textId="77777777" w:rsidR="00C20EC5" w:rsidRPr="00C20EC5" w:rsidRDefault="00C20EC5" w:rsidP="00C20EC5">
      <w:pPr>
        <w:rPr>
          <w:rFonts w:ascii="Cambria" w:hAnsi="Cambria"/>
          <w:b/>
        </w:rPr>
      </w:pPr>
    </w:p>
    <w:p w14:paraId="781BC068" w14:textId="77777777" w:rsidR="00C20EC5" w:rsidRPr="00C20EC5" w:rsidRDefault="00C20EC5" w:rsidP="00C20EC5">
      <w:pPr>
        <w:rPr>
          <w:rFonts w:ascii="Cambria" w:hAnsi="Cambria"/>
          <w:b/>
        </w:rPr>
      </w:pPr>
      <w:r w:rsidRPr="00C20EC5">
        <w:rPr>
          <w:rFonts w:ascii="Cambria" w:hAnsi="Cambria"/>
          <w:b/>
        </w:rPr>
        <w:t>Poverty Reduction and Economic Management Unit</w:t>
      </w:r>
    </w:p>
    <w:p w14:paraId="5BB13B4F" w14:textId="77777777" w:rsidR="00C20EC5" w:rsidRPr="00C20EC5" w:rsidRDefault="00C20EC5" w:rsidP="00C20EC5">
      <w:pPr>
        <w:rPr>
          <w:rFonts w:ascii="Cambria" w:hAnsi="Cambria"/>
          <w:b/>
        </w:rPr>
      </w:pPr>
      <w:r w:rsidRPr="00C20EC5">
        <w:rPr>
          <w:rFonts w:ascii="Cambria" w:hAnsi="Cambria"/>
          <w:b/>
        </w:rPr>
        <w:t>Europe and Central Asia Region</w:t>
      </w:r>
    </w:p>
    <w:p w14:paraId="393D2456" w14:textId="77777777" w:rsidR="00C20EC5" w:rsidRPr="00C20EC5" w:rsidRDefault="00C20EC5" w:rsidP="00C20EC5">
      <w:pPr>
        <w:rPr>
          <w:rFonts w:ascii="Cambria" w:hAnsi="Cambria"/>
          <w:b/>
        </w:rPr>
      </w:pPr>
    </w:p>
    <w:p w14:paraId="79A7BA86" w14:textId="77777777" w:rsidR="00C20EC5" w:rsidRPr="00C20EC5" w:rsidRDefault="00C20EC5" w:rsidP="00C20EC5">
      <w:pPr>
        <w:rPr>
          <w:rFonts w:ascii="Cambria" w:hAnsi="Cambria"/>
          <w:b/>
        </w:rPr>
      </w:pPr>
    </w:p>
    <w:p w14:paraId="32ABAB3B" w14:textId="77777777" w:rsidR="00C20EC5" w:rsidRPr="00C20EC5" w:rsidRDefault="00C20EC5" w:rsidP="00C20EC5">
      <w:pPr>
        <w:rPr>
          <w:rFonts w:ascii="Cambria" w:hAnsi="Cambria"/>
          <w:b/>
        </w:rPr>
      </w:pPr>
    </w:p>
    <w:p w14:paraId="08389E9D" w14:textId="77777777" w:rsidR="003A7C3C" w:rsidRPr="00C20EC5" w:rsidRDefault="003A7C3C" w:rsidP="00C20EC5">
      <w:pPr>
        <w:rPr>
          <w:rFonts w:ascii="Cambria" w:hAnsi="Cambria"/>
          <w:b/>
        </w:rPr>
      </w:pPr>
    </w:p>
    <w:p w14:paraId="41644BD9" w14:textId="77777777" w:rsidR="00C20EC5" w:rsidRPr="00C20EC5" w:rsidRDefault="00C20EC5" w:rsidP="00C20EC5">
      <w:pPr>
        <w:rPr>
          <w:rFonts w:ascii="Cambria" w:hAnsi="Cambria"/>
          <w:b/>
        </w:rPr>
      </w:pPr>
    </w:p>
    <w:p w14:paraId="0CB1C02F" w14:textId="414B5128" w:rsidR="00C20EC5" w:rsidRPr="00C20EC5" w:rsidRDefault="00C20EC5" w:rsidP="00C20EC5">
      <w:pPr>
        <w:rPr>
          <w:rFonts w:ascii="Cambria" w:hAnsi="Cambria"/>
          <w:b/>
        </w:rPr>
      </w:pPr>
      <w:r w:rsidRPr="00C20EC5">
        <w:rPr>
          <w:rFonts w:ascii="Cambria" w:hAnsi="Cambria"/>
          <w:b/>
          <w:noProof/>
        </w:rPr>
        <w:drawing>
          <wp:inline distT="0" distB="0" distL="0" distR="0" wp14:anchorId="2A25B0CF" wp14:editId="02FCC6CD">
            <wp:extent cx="636270" cy="501015"/>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36270" cy="501015"/>
                    </a:xfrm>
                    <a:prstGeom prst="rect">
                      <a:avLst/>
                    </a:prstGeom>
                    <a:noFill/>
                    <a:ln w="9525">
                      <a:noFill/>
                      <a:miter lim="800000"/>
                      <a:headEnd/>
                      <a:tailEnd/>
                    </a:ln>
                  </pic:spPr>
                </pic:pic>
              </a:graphicData>
            </a:graphic>
          </wp:inline>
        </w:drawing>
      </w:r>
    </w:p>
    <w:p w14:paraId="1A2689A4" w14:textId="77777777" w:rsidR="00C20EC5" w:rsidRPr="00C20EC5" w:rsidRDefault="00C20EC5" w:rsidP="00C20EC5">
      <w:pPr>
        <w:rPr>
          <w:rFonts w:ascii="Cambria" w:hAnsi="Cambria"/>
          <w:b/>
        </w:rPr>
      </w:pPr>
    </w:p>
    <w:p w14:paraId="537B25C1" w14:textId="77777777" w:rsidR="00C20EC5" w:rsidRPr="00C20EC5" w:rsidRDefault="00C20EC5" w:rsidP="00C20EC5">
      <w:pPr>
        <w:rPr>
          <w:rFonts w:ascii="Cambria" w:hAnsi="Cambria"/>
          <w:b/>
        </w:rPr>
      </w:pPr>
    </w:p>
    <w:p w14:paraId="36643A66" w14:textId="77777777" w:rsidR="00C20EC5" w:rsidRPr="00C20EC5" w:rsidRDefault="00C20EC5" w:rsidP="00C20EC5">
      <w:pPr>
        <w:pBdr>
          <w:bottom w:val="double" w:sz="4" w:space="1" w:color="auto"/>
        </w:pBdr>
        <w:rPr>
          <w:rFonts w:ascii="Cambria" w:hAnsi="Cambria"/>
          <w:b/>
        </w:rPr>
      </w:pPr>
      <w:r w:rsidRPr="00C20EC5">
        <w:rPr>
          <w:rFonts w:ascii="Cambria" w:hAnsi="Cambria"/>
          <w:b/>
        </w:rPr>
        <w:t>Document of the World Bank</w:t>
      </w:r>
    </w:p>
    <w:p w14:paraId="3E213A5D" w14:textId="77777777" w:rsidR="00C20EC5" w:rsidRPr="00A16C88" w:rsidRDefault="00C20EC5" w:rsidP="00C20EC5">
      <w:pPr>
        <w:sectPr w:rsidR="00C20EC5" w:rsidRPr="00A16C88" w:rsidSect="009A5654">
          <w:footerReference w:type="default" r:id="rId10"/>
          <w:pgSz w:w="12240" w:h="15840"/>
          <w:pgMar w:top="1440" w:right="1440" w:bottom="1440" w:left="1440" w:header="720" w:footer="720" w:gutter="0"/>
          <w:cols w:space="720"/>
          <w:docGrid w:linePitch="360"/>
        </w:sectPr>
      </w:pPr>
    </w:p>
    <w:p w14:paraId="1BC8DD6D" w14:textId="77777777" w:rsidR="00C20EC5" w:rsidRPr="00C20EC5" w:rsidRDefault="00C20EC5" w:rsidP="00C20EC5">
      <w:pPr>
        <w:autoSpaceDE w:val="0"/>
        <w:autoSpaceDN w:val="0"/>
        <w:adjustRightInd w:val="0"/>
        <w:jc w:val="center"/>
        <w:rPr>
          <w:rFonts w:ascii="Cambria" w:hAnsi="Cambria"/>
          <w:b/>
          <w:bCs/>
          <w:sz w:val="22"/>
          <w:szCs w:val="22"/>
        </w:rPr>
      </w:pPr>
      <w:r w:rsidRPr="00C20EC5">
        <w:rPr>
          <w:rFonts w:ascii="Cambria" w:hAnsi="Cambria"/>
          <w:b/>
          <w:bCs/>
          <w:sz w:val="22"/>
          <w:szCs w:val="22"/>
        </w:rPr>
        <w:lastRenderedPageBreak/>
        <w:t>KYRGYZ REPUBLIC - GOVERNMENT FISCAL YEAR</w:t>
      </w:r>
    </w:p>
    <w:p w14:paraId="03E357B2" w14:textId="77777777" w:rsidR="00C20EC5" w:rsidRPr="00C20EC5" w:rsidRDefault="00C20EC5" w:rsidP="00C20EC5">
      <w:pPr>
        <w:autoSpaceDE w:val="0"/>
        <w:autoSpaceDN w:val="0"/>
        <w:adjustRightInd w:val="0"/>
        <w:jc w:val="center"/>
        <w:rPr>
          <w:rFonts w:ascii="Cambria" w:hAnsi="Cambria"/>
          <w:b/>
          <w:sz w:val="22"/>
          <w:szCs w:val="22"/>
        </w:rPr>
      </w:pPr>
      <w:r w:rsidRPr="00C20EC5">
        <w:rPr>
          <w:rFonts w:ascii="Cambria" w:hAnsi="Cambria"/>
          <w:sz w:val="22"/>
          <w:szCs w:val="22"/>
        </w:rPr>
        <w:t>January 1 – December 31</w:t>
      </w:r>
    </w:p>
    <w:p w14:paraId="43A80AE0" w14:textId="77777777" w:rsidR="00C20EC5" w:rsidRPr="00C20EC5" w:rsidRDefault="00C20EC5" w:rsidP="00C20EC5">
      <w:pPr>
        <w:autoSpaceDE w:val="0"/>
        <w:autoSpaceDN w:val="0"/>
        <w:adjustRightInd w:val="0"/>
        <w:rPr>
          <w:rFonts w:ascii="Cambria" w:hAnsi="Cambria"/>
          <w:bCs/>
          <w:sz w:val="22"/>
          <w:szCs w:val="22"/>
        </w:rPr>
      </w:pPr>
    </w:p>
    <w:p w14:paraId="20B60A98" w14:textId="77777777" w:rsidR="00C20EC5" w:rsidRPr="00C20EC5" w:rsidRDefault="00C20EC5" w:rsidP="00C20EC5">
      <w:pPr>
        <w:autoSpaceDE w:val="0"/>
        <w:autoSpaceDN w:val="0"/>
        <w:adjustRightInd w:val="0"/>
        <w:jc w:val="center"/>
        <w:rPr>
          <w:rFonts w:ascii="Cambria" w:hAnsi="Cambria"/>
          <w:b/>
          <w:bCs/>
          <w:sz w:val="22"/>
          <w:szCs w:val="22"/>
        </w:rPr>
      </w:pPr>
      <w:r w:rsidRPr="00C20EC5">
        <w:rPr>
          <w:rFonts w:ascii="Cambria" w:hAnsi="Cambria"/>
          <w:b/>
          <w:bCs/>
          <w:sz w:val="22"/>
          <w:szCs w:val="22"/>
        </w:rPr>
        <w:t>CURRENCY EQUIVALENTS</w:t>
      </w:r>
    </w:p>
    <w:p w14:paraId="02C12D2F" w14:textId="3D283F88" w:rsidR="00C20EC5" w:rsidRPr="00C20EC5" w:rsidRDefault="00C20EC5" w:rsidP="00C20EC5">
      <w:pPr>
        <w:autoSpaceDE w:val="0"/>
        <w:autoSpaceDN w:val="0"/>
        <w:adjustRightInd w:val="0"/>
        <w:jc w:val="center"/>
        <w:rPr>
          <w:rFonts w:ascii="Cambria" w:hAnsi="Cambria"/>
          <w:b/>
          <w:sz w:val="22"/>
          <w:szCs w:val="22"/>
        </w:rPr>
      </w:pPr>
      <w:r w:rsidRPr="00C20EC5">
        <w:rPr>
          <w:rFonts w:ascii="Cambria" w:hAnsi="Cambria"/>
          <w:sz w:val="22"/>
          <w:szCs w:val="22"/>
        </w:rPr>
        <w:t>(Excha</w:t>
      </w:r>
      <w:r w:rsidR="004814CC">
        <w:rPr>
          <w:rFonts w:ascii="Cambria" w:hAnsi="Cambria"/>
          <w:sz w:val="22"/>
          <w:szCs w:val="22"/>
        </w:rPr>
        <w:t xml:space="preserve">nge </w:t>
      </w:r>
      <w:r w:rsidR="004B7D5B">
        <w:rPr>
          <w:rFonts w:ascii="Cambria" w:hAnsi="Cambria"/>
          <w:sz w:val="22"/>
          <w:szCs w:val="22"/>
        </w:rPr>
        <w:t xml:space="preserve">Rate Effective as of </w:t>
      </w:r>
      <w:r w:rsidR="00036E8F">
        <w:rPr>
          <w:rFonts w:ascii="Cambria" w:hAnsi="Cambria"/>
          <w:sz w:val="22"/>
          <w:szCs w:val="22"/>
        </w:rPr>
        <w:t>April 30</w:t>
      </w:r>
      <w:r w:rsidRPr="00C20EC5">
        <w:rPr>
          <w:rFonts w:ascii="Cambria" w:hAnsi="Cambria"/>
          <w:sz w:val="22"/>
          <w:szCs w:val="22"/>
        </w:rPr>
        <w:t>, 201</w:t>
      </w:r>
      <w:r w:rsidR="007B2BCA">
        <w:rPr>
          <w:rFonts w:ascii="Cambria" w:hAnsi="Cambria"/>
          <w:sz w:val="22"/>
          <w:szCs w:val="22"/>
        </w:rPr>
        <w:t>4</w:t>
      </w:r>
      <w:r w:rsidRPr="00C20EC5">
        <w:rPr>
          <w:rFonts w:ascii="Cambria" w:hAnsi="Cambria"/>
          <w:sz w:val="22"/>
          <w:szCs w:val="22"/>
        </w:rPr>
        <w:t>)</w:t>
      </w:r>
    </w:p>
    <w:p w14:paraId="47EF0DE2" w14:textId="77777777" w:rsidR="00C20EC5" w:rsidRPr="00C20EC5" w:rsidRDefault="00C20EC5" w:rsidP="00C20EC5">
      <w:pPr>
        <w:autoSpaceDE w:val="0"/>
        <w:autoSpaceDN w:val="0"/>
        <w:adjustRightInd w:val="0"/>
        <w:jc w:val="center"/>
        <w:rPr>
          <w:rFonts w:ascii="Cambria" w:hAnsi="Cambria"/>
          <w:sz w:val="22"/>
          <w:szCs w:val="22"/>
        </w:rPr>
      </w:pPr>
    </w:p>
    <w:p w14:paraId="38F47E95" w14:textId="77777777" w:rsidR="00C20EC5" w:rsidRPr="00C20EC5" w:rsidRDefault="00C20EC5" w:rsidP="00C20EC5">
      <w:pPr>
        <w:autoSpaceDE w:val="0"/>
        <w:autoSpaceDN w:val="0"/>
        <w:adjustRightInd w:val="0"/>
        <w:jc w:val="center"/>
        <w:rPr>
          <w:rFonts w:ascii="Cambria" w:hAnsi="Cambria"/>
          <w:b/>
          <w:sz w:val="22"/>
          <w:szCs w:val="22"/>
        </w:rPr>
      </w:pPr>
      <w:r w:rsidRPr="00C20EC5">
        <w:rPr>
          <w:rFonts w:ascii="Cambria" w:hAnsi="Cambria"/>
          <w:b/>
          <w:sz w:val="22"/>
          <w:szCs w:val="22"/>
        </w:rPr>
        <w:t xml:space="preserve">Currency Unit = Kyrgyz </w:t>
      </w:r>
      <w:proofErr w:type="spellStart"/>
      <w:r w:rsidRPr="00C20EC5">
        <w:rPr>
          <w:rFonts w:ascii="Cambria" w:hAnsi="Cambria"/>
          <w:b/>
          <w:sz w:val="22"/>
          <w:szCs w:val="22"/>
        </w:rPr>
        <w:t>Som</w:t>
      </w:r>
      <w:proofErr w:type="spellEnd"/>
      <w:r w:rsidRPr="00C20EC5">
        <w:rPr>
          <w:rFonts w:ascii="Cambria" w:hAnsi="Cambria"/>
          <w:b/>
          <w:sz w:val="22"/>
          <w:szCs w:val="22"/>
        </w:rPr>
        <w:t xml:space="preserve"> (KGS)</w:t>
      </w:r>
    </w:p>
    <w:p w14:paraId="16A8DEB1" w14:textId="10C29285" w:rsidR="00C20EC5" w:rsidRPr="00C20EC5" w:rsidRDefault="00C20EC5" w:rsidP="00C20EC5">
      <w:pPr>
        <w:autoSpaceDE w:val="0"/>
        <w:autoSpaceDN w:val="0"/>
        <w:adjustRightInd w:val="0"/>
        <w:jc w:val="center"/>
        <w:rPr>
          <w:rFonts w:ascii="Cambria" w:hAnsi="Cambria"/>
          <w:b/>
          <w:sz w:val="22"/>
          <w:szCs w:val="22"/>
        </w:rPr>
      </w:pPr>
      <w:r w:rsidRPr="00C20EC5">
        <w:rPr>
          <w:rFonts w:ascii="Cambria" w:hAnsi="Cambria"/>
          <w:sz w:val="22"/>
          <w:szCs w:val="22"/>
        </w:rPr>
        <w:t xml:space="preserve">US$1.00 = </w:t>
      </w:r>
      <w:r w:rsidR="00A71CDA">
        <w:rPr>
          <w:rFonts w:ascii="Cambria" w:hAnsi="Cambria"/>
          <w:sz w:val="22"/>
          <w:szCs w:val="22"/>
        </w:rPr>
        <w:t xml:space="preserve">KGS </w:t>
      </w:r>
      <w:r w:rsidR="00B05D4C">
        <w:rPr>
          <w:rFonts w:ascii="Cambria" w:hAnsi="Cambria"/>
          <w:sz w:val="22"/>
          <w:szCs w:val="22"/>
        </w:rPr>
        <w:t>5</w:t>
      </w:r>
      <w:r w:rsidR="00036E8F">
        <w:rPr>
          <w:rFonts w:ascii="Cambria" w:hAnsi="Cambria"/>
          <w:sz w:val="22"/>
          <w:szCs w:val="22"/>
        </w:rPr>
        <w:t>3</w:t>
      </w:r>
      <w:r w:rsidR="00B05D4C">
        <w:rPr>
          <w:rFonts w:ascii="Cambria" w:hAnsi="Cambria"/>
          <w:sz w:val="22"/>
          <w:szCs w:val="22"/>
        </w:rPr>
        <w:t>.</w:t>
      </w:r>
      <w:r w:rsidR="00036E8F">
        <w:rPr>
          <w:rFonts w:ascii="Cambria" w:hAnsi="Cambria"/>
          <w:sz w:val="22"/>
          <w:szCs w:val="22"/>
        </w:rPr>
        <w:t>9</w:t>
      </w:r>
      <w:r w:rsidR="00B05D4C">
        <w:rPr>
          <w:rFonts w:ascii="Cambria" w:hAnsi="Cambria"/>
          <w:sz w:val="22"/>
          <w:szCs w:val="22"/>
        </w:rPr>
        <w:t>6</w:t>
      </w:r>
      <w:r w:rsidR="00036E8F">
        <w:rPr>
          <w:rFonts w:ascii="Cambria" w:hAnsi="Cambria"/>
          <w:sz w:val="22"/>
          <w:szCs w:val="22"/>
        </w:rPr>
        <w:t>15</w:t>
      </w:r>
    </w:p>
    <w:p w14:paraId="6773E77E" w14:textId="77777777" w:rsidR="00C20EC5" w:rsidRPr="00C20EC5" w:rsidRDefault="00C20EC5" w:rsidP="00C20EC5">
      <w:pPr>
        <w:autoSpaceDE w:val="0"/>
        <w:autoSpaceDN w:val="0"/>
        <w:adjustRightInd w:val="0"/>
        <w:rPr>
          <w:rFonts w:ascii="Cambria" w:hAnsi="Cambria"/>
          <w:sz w:val="22"/>
          <w:szCs w:val="22"/>
        </w:rPr>
      </w:pPr>
    </w:p>
    <w:p w14:paraId="6484B9A4" w14:textId="77777777" w:rsidR="00C20EC5" w:rsidRPr="00C20EC5" w:rsidRDefault="00C20EC5" w:rsidP="00C20EC5">
      <w:pPr>
        <w:autoSpaceDE w:val="0"/>
        <w:autoSpaceDN w:val="0"/>
        <w:adjustRightInd w:val="0"/>
        <w:jc w:val="center"/>
        <w:rPr>
          <w:rFonts w:ascii="Cambria" w:hAnsi="Cambria"/>
          <w:b/>
          <w:sz w:val="22"/>
          <w:szCs w:val="22"/>
        </w:rPr>
      </w:pPr>
      <w:r w:rsidRPr="00C20EC5">
        <w:rPr>
          <w:rFonts w:ascii="Cambria" w:hAnsi="Cambria"/>
          <w:b/>
          <w:sz w:val="22"/>
          <w:szCs w:val="22"/>
        </w:rPr>
        <w:t>Weights and Measures</w:t>
      </w:r>
    </w:p>
    <w:p w14:paraId="52D2C5DB" w14:textId="77777777" w:rsidR="00C20EC5" w:rsidRPr="00C20EC5" w:rsidRDefault="00C20EC5" w:rsidP="00C20EC5">
      <w:pPr>
        <w:autoSpaceDE w:val="0"/>
        <w:autoSpaceDN w:val="0"/>
        <w:adjustRightInd w:val="0"/>
        <w:jc w:val="center"/>
        <w:rPr>
          <w:rFonts w:ascii="Cambria" w:hAnsi="Cambria"/>
          <w:b/>
          <w:sz w:val="22"/>
          <w:szCs w:val="22"/>
        </w:rPr>
      </w:pPr>
      <w:r w:rsidRPr="00C20EC5">
        <w:rPr>
          <w:rFonts w:ascii="Cambria" w:hAnsi="Cambria"/>
          <w:sz w:val="22"/>
          <w:szCs w:val="22"/>
        </w:rPr>
        <w:t>Metric System</w:t>
      </w:r>
    </w:p>
    <w:p w14:paraId="7AFD575E" w14:textId="77777777" w:rsidR="00C20EC5" w:rsidRPr="00C20EC5" w:rsidRDefault="00C20EC5" w:rsidP="00C20EC5">
      <w:pPr>
        <w:jc w:val="center"/>
        <w:rPr>
          <w:rFonts w:ascii="Cambria" w:hAnsi="Cambria"/>
          <w:sz w:val="22"/>
          <w:szCs w:val="22"/>
        </w:rPr>
      </w:pPr>
    </w:p>
    <w:p w14:paraId="640DB82B" w14:textId="77777777" w:rsidR="00C20EC5" w:rsidRPr="00C20EC5" w:rsidRDefault="00C20EC5" w:rsidP="00C20EC5">
      <w:pPr>
        <w:jc w:val="center"/>
        <w:rPr>
          <w:rFonts w:ascii="Cambria" w:hAnsi="Cambria"/>
          <w:b/>
          <w:sz w:val="22"/>
          <w:szCs w:val="22"/>
        </w:rPr>
      </w:pPr>
      <w:r w:rsidRPr="00C20EC5">
        <w:rPr>
          <w:rFonts w:ascii="Cambria" w:hAnsi="Cambria"/>
          <w:b/>
          <w:sz w:val="22"/>
          <w:szCs w:val="22"/>
        </w:rPr>
        <w:t>ACRONYMS AND ABBREVIATIONS</w:t>
      </w:r>
    </w:p>
    <w:p w14:paraId="7D5F2FBF" w14:textId="77777777" w:rsidR="00C20EC5" w:rsidRPr="00C20EC5" w:rsidRDefault="00C20EC5" w:rsidP="00C20EC5">
      <w:pPr>
        <w:jc w:val="center"/>
        <w:rPr>
          <w:rFonts w:ascii="Cambria" w:hAnsi="Cambria"/>
          <w:sz w:val="22"/>
          <w:szCs w:val="22"/>
        </w:rPr>
      </w:pPr>
    </w:p>
    <w:p w14:paraId="47B7A254" w14:textId="77777777" w:rsidR="00C20EC5" w:rsidRPr="00C20EC5" w:rsidRDefault="00C20EC5" w:rsidP="00C20EC5">
      <w:pPr>
        <w:jc w:val="center"/>
        <w:rPr>
          <w:rFonts w:ascii="Cambria" w:hAnsi="Cambria"/>
          <w:sz w:val="22"/>
          <w:szCs w:val="22"/>
        </w:rPr>
      </w:pPr>
    </w:p>
    <w:tbl>
      <w:tblPr>
        <w:tblStyle w:val="TableGrid"/>
        <w:tblW w:w="9468" w:type="dxa"/>
        <w:jc w:val="center"/>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237213" w:rsidRPr="006231B5" w14:paraId="3542ABD6" w14:textId="77777777" w:rsidTr="00A11D79">
        <w:trPr>
          <w:jc w:val="center"/>
        </w:trPr>
        <w:tc>
          <w:tcPr>
            <w:tcW w:w="9468"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2"/>
            </w:tblGrid>
            <w:tr w:rsidR="00237213" w:rsidRPr="00420BF9" w14:paraId="4D0C57CE" w14:textId="77777777" w:rsidTr="00A11D79">
              <w:trPr>
                <w:jc w:val="center"/>
              </w:trPr>
              <w:tc>
                <w:tcPr>
                  <w:tcW w:w="6822" w:type="dxa"/>
                </w:tcPr>
                <w:p w14:paraId="02D79AA9" w14:textId="77777777" w:rsidR="00237213" w:rsidRDefault="00237213" w:rsidP="007D4E50">
                  <w:pPr>
                    <w:tabs>
                      <w:tab w:val="left" w:pos="900"/>
                    </w:tabs>
                    <w:rPr>
                      <w:rFonts w:ascii="Cambria" w:hAnsi="Cambria"/>
                      <w:sz w:val="22"/>
                      <w:szCs w:val="22"/>
                    </w:rPr>
                  </w:pPr>
                  <w:r>
                    <w:rPr>
                      <w:rFonts w:ascii="Cambria" w:hAnsi="Cambria"/>
                      <w:sz w:val="22"/>
                      <w:szCs w:val="22"/>
                    </w:rPr>
                    <w:t>DFID</w:t>
                  </w:r>
                  <w:r>
                    <w:rPr>
                      <w:rFonts w:ascii="Cambria" w:hAnsi="Cambria"/>
                      <w:sz w:val="22"/>
                      <w:szCs w:val="22"/>
                    </w:rPr>
                    <w:tab/>
                  </w:r>
                  <w:r w:rsidRPr="00300E34">
                    <w:rPr>
                      <w:rFonts w:ascii="Cambria" w:hAnsi="Cambria"/>
                      <w:sz w:val="22"/>
                      <w:szCs w:val="22"/>
                    </w:rPr>
                    <w:t xml:space="preserve">UK’s Department for </w:t>
                  </w:r>
                  <w:r>
                    <w:rPr>
                      <w:rFonts w:ascii="Cambria" w:hAnsi="Cambria"/>
                      <w:sz w:val="22"/>
                      <w:szCs w:val="22"/>
                    </w:rPr>
                    <w:t>International Development</w:t>
                  </w:r>
                </w:p>
                <w:p w14:paraId="2454F055" w14:textId="77777777" w:rsidR="00237213" w:rsidRPr="006231B5" w:rsidRDefault="00237213" w:rsidP="007D4E50">
                  <w:pPr>
                    <w:tabs>
                      <w:tab w:val="left" w:pos="900"/>
                    </w:tabs>
                    <w:rPr>
                      <w:rFonts w:ascii="Cambria" w:hAnsi="Cambria"/>
                      <w:sz w:val="22"/>
                      <w:szCs w:val="22"/>
                    </w:rPr>
                  </w:pPr>
                  <w:r w:rsidRPr="00C20EC5">
                    <w:rPr>
                      <w:rFonts w:ascii="Cambria" w:hAnsi="Cambria"/>
                      <w:sz w:val="22"/>
                      <w:szCs w:val="22"/>
                    </w:rPr>
                    <w:t>ECA</w:t>
                  </w:r>
                  <w:r w:rsidRPr="00C20EC5">
                    <w:rPr>
                      <w:rFonts w:ascii="Cambria" w:hAnsi="Cambria"/>
                      <w:sz w:val="22"/>
                      <w:szCs w:val="22"/>
                    </w:rPr>
                    <w:tab/>
                    <w:t>Europe and Central Asia</w:t>
                  </w:r>
                </w:p>
                <w:p w14:paraId="6994A36D" w14:textId="77777777" w:rsidR="00237213" w:rsidRPr="006231B5" w:rsidRDefault="00237213" w:rsidP="007D4E50">
                  <w:pPr>
                    <w:tabs>
                      <w:tab w:val="left" w:pos="900"/>
                    </w:tabs>
                    <w:rPr>
                      <w:rFonts w:ascii="Cambria" w:hAnsi="Cambria"/>
                      <w:sz w:val="22"/>
                      <w:szCs w:val="22"/>
                    </w:rPr>
                  </w:pPr>
                  <w:r w:rsidRPr="00C20EC5">
                    <w:rPr>
                      <w:rFonts w:ascii="Cambria" w:hAnsi="Cambria"/>
                      <w:sz w:val="22"/>
                      <w:szCs w:val="22"/>
                    </w:rPr>
                    <w:t>EU</w:t>
                  </w:r>
                  <w:r w:rsidRPr="00C20EC5">
                    <w:rPr>
                      <w:rFonts w:ascii="Cambria" w:hAnsi="Cambria"/>
                      <w:sz w:val="22"/>
                      <w:szCs w:val="22"/>
                    </w:rPr>
                    <w:tab/>
                    <w:t>European Union</w:t>
                  </w:r>
                </w:p>
                <w:p w14:paraId="064E866F" w14:textId="77777777" w:rsidR="00237213" w:rsidRDefault="00237213" w:rsidP="007D4E50">
                  <w:pPr>
                    <w:tabs>
                      <w:tab w:val="left" w:pos="900"/>
                    </w:tabs>
                    <w:rPr>
                      <w:rFonts w:ascii="Cambria" w:hAnsi="Cambria"/>
                      <w:sz w:val="22"/>
                      <w:szCs w:val="22"/>
                    </w:rPr>
                  </w:pPr>
                  <w:r>
                    <w:rPr>
                      <w:rFonts w:ascii="Cambria" w:hAnsi="Cambria"/>
                      <w:sz w:val="22"/>
                      <w:szCs w:val="22"/>
                    </w:rPr>
                    <w:t>FFDC</w:t>
                  </w:r>
                  <w:r>
                    <w:rPr>
                      <w:rFonts w:ascii="Cambria" w:hAnsi="Cambria"/>
                      <w:sz w:val="22"/>
                      <w:szCs w:val="22"/>
                    </w:rPr>
                    <w:tab/>
                    <w:t>Fully Funded Defined Contribution</w:t>
                  </w:r>
                </w:p>
                <w:p w14:paraId="0D881124" w14:textId="77777777" w:rsidR="00237213" w:rsidRPr="006231B5" w:rsidRDefault="00237213" w:rsidP="007D4E50">
                  <w:pPr>
                    <w:tabs>
                      <w:tab w:val="left" w:pos="900"/>
                    </w:tabs>
                    <w:rPr>
                      <w:rFonts w:ascii="Cambria" w:hAnsi="Cambria"/>
                      <w:sz w:val="22"/>
                      <w:szCs w:val="22"/>
                    </w:rPr>
                  </w:pPr>
                  <w:r w:rsidRPr="00C20EC5">
                    <w:rPr>
                      <w:rFonts w:ascii="Cambria" w:hAnsi="Cambria"/>
                      <w:sz w:val="22"/>
                      <w:szCs w:val="22"/>
                    </w:rPr>
                    <w:t>GDP</w:t>
                  </w:r>
                  <w:r w:rsidRPr="00C20EC5">
                    <w:rPr>
                      <w:rFonts w:ascii="Cambria" w:hAnsi="Cambria"/>
                      <w:sz w:val="22"/>
                      <w:szCs w:val="22"/>
                    </w:rPr>
                    <w:tab/>
                    <w:t>Gross Domestic Product</w:t>
                  </w:r>
                </w:p>
                <w:p w14:paraId="1D16026D" w14:textId="77777777" w:rsidR="00237213" w:rsidRDefault="00237213" w:rsidP="006231B5">
                  <w:pPr>
                    <w:tabs>
                      <w:tab w:val="left" w:pos="900"/>
                    </w:tabs>
                    <w:rPr>
                      <w:rFonts w:ascii="Cambria" w:hAnsi="Cambria"/>
                      <w:sz w:val="22"/>
                      <w:szCs w:val="22"/>
                    </w:rPr>
                  </w:pPr>
                  <w:r w:rsidRPr="00677FD4">
                    <w:rPr>
                      <w:rFonts w:ascii="Cambria" w:hAnsi="Cambria"/>
                      <w:sz w:val="22"/>
                      <w:szCs w:val="22"/>
                    </w:rPr>
                    <w:t>NDC</w:t>
                  </w:r>
                  <w:r w:rsidRPr="00677FD4">
                    <w:rPr>
                      <w:rFonts w:ascii="Cambria" w:hAnsi="Cambria"/>
                      <w:sz w:val="22"/>
                      <w:szCs w:val="22"/>
                    </w:rPr>
                    <w:tab/>
                    <w:t>Notional Defined contribution</w:t>
                  </w:r>
                </w:p>
                <w:p w14:paraId="585FF9D0" w14:textId="77777777" w:rsidR="00A11D79" w:rsidRDefault="00A11D79" w:rsidP="00A11D79">
                  <w:pPr>
                    <w:tabs>
                      <w:tab w:val="left" w:pos="900"/>
                    </w:tabs>
                    <w:rPr>
                      <w:rFonts w:ascii="Cambria" w:hAnsi="Cambria"/>
                      <w:sz w:val="22"/>
                      <w:szCs w:val="22"/>
                    </w:rPr>
                  </w:pPr>
                  <w:r w:rsidRPr="006231B5">
                    <w:rPr>
                      <w:rFonts w:ascii="Cambria" w:hAnsi="Cambria"/>
                      <w:sz w:val="22"/>
                      <w:szCs w:val="22"/>
                    </w:rPr>
                    <w:t>OECD</w:t>
                  </w:r>
                  <w:r w:rsidRPr="006231B5">
                    <w:rPr>
                      <w:rFonts w:ascii="Cambria" w:hAnsi="Cambria"/>
                      <w:sz w:val="22"/>
                      <w:szCs w:val="22"/>
                    </w:rPr>
                    <w:tab/>
                  </w:r>
                  <w:r>
                    <w:rPr>
                      <w:rFonts w:ascii="Cambria" w:hAnsi="Cambria"/>
                      <w:sz w:val="22"/>
                      <w:szCs w:val="22"/>
                    </w:rPr>
                    <w:t xml:space="preserve"> </w:t>
                  </w:r>
                  <w:r w:rsidRPr="00677FD4">
                    <w:rPr>
                      <w:rFonts w:ascii="Cambria" w:hAnsi="Cambria"/>
                      <w:sz w:val="22"/>
                      <w:szCs w:val="22"/>
                    </w:rPr>
                    <w:t>Organization</w:t>
                  </w:r>
                  <w:r w:rsidRPr="006231B5">
                    <w:rPr>
                      <w:rFonts w:ascii="Cambria" w:hAnsi="Cambria"/>
                      <w:sz w:val="22"/>
                      <w:szCs w:val="22"/>
                    </w:rPr>
                    <w:t xml:space="preserve"> for Economic Co-operation and Development</w:t>
                  </w:r>
                </w:p>
                <w:p w14:paraId="4A308E5E" w14:textId="77777777" w:rsidR="00A11D79" w:rsidRDefault="00A11D79" w:rsidP="00A11D79">
                  <w:pPr>
                    <w:tabs>
                      <w:tab w:val="left" w:pos="900"/>
                    </w:tabs>
                    <w:rPr>
                      <w:rFonts w:ascii="Cambria" w:hAnsi="Cambria"/>
                      <w:sz w:val="22"/>
                      <w:szCs w:val="22"/>
                    </w:rPr>
                  </w:pPr>
                  <w:r>
                    <w:rPr>
                      <w:rFonts w:ascii="Cambria" w:hAnsi="Cambria"/>
                      <w:sz w:val="22"/>
                      <w:szCs w:val="22"/>
                    </w:rPr>
                    <w:t>PER</w:t>
                  </w:r>
                  <w:r>
                    <w:rPr>
                      <w:rFonts w:ascii="Cambria" w:hAnsi="Cambria"/>
                      <w:sz w:val="22"/>
                      <w:szCs w:val="22"/>
                    </w:rPr>
                    <w:tab/>
                    <w:t xml:space="preserve"> Public Expenditure Review</w:t>
                  </w:r>
                </w:p>
                <w:p w14:paraId="636B89C1" w14:textId="77777777" w:rsidR="00A11D79" w:rsidRDefault="00A11D79" w:rsidP="00A11D79">
                  <w:pPr>
                    <w:tabs>
                      <w:tab w:val="left" w:pos="900"/>
                    </w:tabs>
                    <w:rPr>
                      <w:rFonts w:ascii="Cambria" w:hAnsi="Cambria"/>
                      <w:sz w:val="22"/>
                      <w:szCs w:val="22"/>
                    </w:rPr>
                  </w:pPr>
                  <w:r>
                    <w:rPr>
                      <w:rFonts w:ascii="Cambria" w:hAnsi="Cambria"/>
                      <w:sz w:val="22"/>
                      <w:szCs w:val="22"/>
                    </w:rPr>
                    <w:t>PAYG</w:t>
                  </w:r>
                  <w:r>
                    <w:rPr>
                      <w:rFonts w:ascii="Cambria" w:hAnsi="Cambria"/>
                      <w:sz w:val="22"/>
                      <w:szCs w:val="22"/>
                    </w:rPr>
                    <w:tab/>
                    <w:t xml:space="preserve"> Pay-as-you-go</w:t>
                  </w:r>
                </w:p>
                <w:p w14:paraId="42702637" w14:textId="77777777" w:rsidR="00A11D79" w:rsidRDefault="00A11D79" w:rsidP="00A11D79">
                  <w:pPr>
                    <w:tabs>
                      <w:tab w:val="left" w:pos="900"/>
                    </w:tabs>
                    <w:rPr>
                      <w:rFonts w:ascii="Cambria" w:hAnsi="Cambria"/>
                      <w:sz w:val="22"/>
                      <w:szCs w:val="22"/>
                    </w:rPr>
                  </w:pPr>
                  <w:r w:rsidRPr="006231B5">
                    <w:rPr>
                      <w:rFonts w:ascii="Cambria" w:hAnsi="Cambria"/>
                      <w:sz w:val="22"/>
                      <w:szCs w:val="22"/>
                    </w:rPr>
                    <w:t>PROST</w:t>
                  </w:r>
                  <w:r w:rsidRPr="006231B5">
                    <w:rPr>
                      <w:rFonts w:ascii="Cambria" w:hAnsi="Cambria"/>
                      <w:sz w:val="22"/>
                      <w:szCs w:val="22"/>
                    </w:rPr>
                    <w:tab/>
                  </w:r>
                  <w:r>
                    <w:rPr>
                      <w:rFonts w:ascii="Cambria" w:hAnsi="Cambria"/>
                      <w:sz w:val="22"/>
                      <w:szCs w:val="22"/>
                    </w:rPr>
                    <w:t xml:space="preserve"> </w:t>
                  </w:r>
                  <w:r w:rsidRPr="00C20EC5">
                    <w:rPr>
                      <w:rFonts w:ascii="Cambria" w:hAnsi="Cambria"/>
                      <w:sz w:val="22"/>
                      <w:szCs w:val="22"/>
                    </w:rPr>
                    <w:t>Pension Reform Options Simulation Toolkit</w:t>
                  </w:r>
                </w:p>
                <w:p w14:paraId="23F6BF6F" w14:textId="3CB47327" w:rsidR="00A11D79" w:rsidRDefault="00A11D79" w:rsidP="00A11D79">
                  <w:pPr>
                    <w:tabs>
                      <w:tab w:val="left" w:pos="900"/>
                    </w:tabs>
                    <w:rPr>
                      <w:rFonts w:ascii="Cambria" w:hAnsi="Cambria"/>
                      <w:sz w:val="22"/>
                      <w:szCs w:val="22"/>
                    </w:rPr>
                  </w:pPr>
                  <w:r>
                    <w:rPr>
                      <w:rFonts w:ascii="Cambria" w:hAnsi="Cambria"/>
                      <w:sz w:val="22"/>
                      <w:szCs w:val="22"/>
                    </w:rPr>
                    <w:t>SECO</w:t>
                  </w:r>
                  <w:r>
                    <w:rPr>
                      <w:rFonts w:ascii="Cambria" w:hAnsi="Cambria"/>
                      <w:sz w:val="22"/>
                      <w:szCs w:val="22"/>
                    </w:rPr>
                    <w:tab/>
                    <w:t xml:space="preserve"> </w:t>
                  </w:r>
                  <w:r w:rsidRPr="00300E34">
                    <w:rPr>
                      <w:rFonts w:ascii="Cambria" w:hAnsi="Cambria"/>
                      <w:sz w:val="22"/>
                      <w:szCs w:val="22"/>
                    </w:rPr>
                    <w:t>Swiss Economic Cooperation Organization</w:t>
                  </w:r>
                </w:p>
                <w:p w14:paraId="3B65D796" w14:textId="38064A20" w:rsidR="00A11D79" w:rsidRPr="006231B5" w:rsidRDefault="00A11D79" w:rsidP="006231B5">
                  <w:pPr>
                    <w:tabs>
                      <w:tab w:val="left" w:pos="900"/>
                    </w:tabs>
                    <w:rPr>
                      <w:rFonts w:ascii="Cambria" w:hAnsi="Cambria"/>
                      <w:sz w:val="22"/>
                      <w:szCs w:val="22"/>
                    </w:rPr>
                  </w:pPr>
                </w:p>
              </w:tc>
            </w:tr>
          </w:tbl>
          <w:p w14:paraId="74211C2C" w14:textId="3A35CADE" w:rsidR="00237213" w:rsidRPr="006231B5" w:rsidRDefault="00237213" w:rsidP="00237213">
            <w:pPr>
              <w:tabs>
                <w:tab w:val="left" w:pos="900"/>
              </w:tabs>
              <w:ind w:left="1350"/>
              <w:rPr>
                <w:rFonts w:ascii="Cambria" w:hAnsi="Cambria"/>
                <w:sz w:val="22"/>
                <w:szCs w:val="22"/>
              </w:rPr>
            </w:pPr>
          </w:p>
        </w:tc>
      </w:tr>
    </w:tbl>
    <w:p w14:paraId="29FB926C" w14:textId="77777777" w:rsidR="00C20EC5" w:rsidRPr="00C20EC5" w:rsidRDefault="00C20EC5" w:rsidP="00C20EC5">
      <w:pPr>
        <w:jc w:val="center"/>
        <w:rPr>
          <w:rFonts w:ascii="Cambria" w:hAnsi="Cambria"/>
        </w:rPr>
      </w:pPr>
    </w:p>
    <w:p w14:paraId="332CFF5E" w14:textId="77777777" w:rsidR="00C20EC5" w:rsidRPr="00C20EC5" w:rsidRDefault="00C20EC5" w:rsidP="00C20EC5">
      <w:pPr>
        <w:rPr>
          <w:rFonts w:ascii="Cambria" w:hAnsi="Cambria"/>
        </w:rPr>
      </w:pPr>
    </w:p>
    <w:p w14:paraId="604D9396" w14:textId="77777777" w:rsidR="00C20EC5" w:rsidRPr="00C20EC5" w:rsidRDefault="00C20EC5" w:rsidP="00C20EC5">
      <w:pPr>
        <w:rPr>
          <w:rFonts w:ascii="Cambria" w:hAnsi="Cambria"/>
        </w:rPr>
      </w:pPr>
    </w:p>
    <w:p w14:paraId="1B23C48D" w14:textId="77777777" w:rsidR="00C20EC5" w:rsidRPr="00C20EC5" w:rsidRDefault="00C20EC5" w:rsidP="00C20EC5">
      <w:pPr>
        <w:ind w:left="720"/>
        <w:rPr>
          <w:rFonts w:ascii="Cambria" w:hAnsi="Cambria"/>
          <w:sz w:val="20"/>
          <w:szCs w:val="20"/>
        </w:rPr>
      </w:pPr>
    </w:p>
    <w:p w14:paraId="46380DA5" w14:textId="77777777" w:rsidR="00C20EC5" w:rsidRPr="00C20EC5" w:rsidRDefault="00C20EC5" w:rsidP="00C20EC5">
      <w:pPr>
        <w:ind w:left="720"/>
        <w:rPr>
          <w:rFonts w:ascii="Cambria" w:hAnsi="Cambria"/>
          <w:sz w:val="20"/>
          <w:szCs w:val="20"/>
        </w:rPr>
      </w:pPr>
    </w:p>
    <w:p w14:paraId="6F704429" w14:textId="77777777" w:rsidR="00C20EC5" w:rsidRPr="00C20EC5" w:rsidRDefault="00C20EC5" w:rsidP="00C20EC5">
      <w:pPr>
        <w:ind w:left="720"/>
        <w:rPr>
          <w:rFonts w:ascii="Cambria" w:hAnsi="Cambria"/>
          <w:sz w:val="20"/>
          <w:szCs w:val="20"/>
        </w:rPr>
      </w:pPr>
    </w:p>
    <w:p w14:paraId="7AED206F" w14:textId="77777777" w:rsidR="00952D1E" w:rsidRDefault="00952D1E" w:rsidP="00C20EC5">
      <w:pPr>
        <w:ind w:left="720"/>
        <w:rPr>
          <w:rFonts w:ascii="Cambria" w:hAnsi="Cambria"/>
          <w:sz w:val="20"/>
          <w:szCs w:val="20"/>
        </w:rPr>
      </w:pPr>
    </w:p>
    <w:p w14:paraId="76022C32" w14:textId="77777777" w:rsidR="00952D1E" w:rsidRDefault="00952D1E" w:rsidP="00C20EC5">
      <w:pPr>
        <w:ind w:left="720"/>
        <w:rPr>
          <w:rFonts w:ascii="Cambria" w:hAnsi="Cambria"/>
          <w:sz w:val="20"/>
          <w:szCs w:val="20"/>
        </w:rPr>
      </w:pPr>
    </w:p>
    <w:p w14:paraId="4C666D54" w14:textId="77777777" w:rsidR="00952D1E" w:rsidRDefault="00952D1E" w:rsidP="00C20EC5">
      <w:pPr>
        <w:ind w:left="720"/>
        <w:rPr>
          <w:rFonts w:ascii="Cambria" w:hAnsi="Cambria"/>
          <w:sz w:val="20"/>
          <w:szCs w:val="20"/>
        </w:rPr>
      </w:pPr>
    </w:p>
    <w:p w14:paraId="107D1067" w14:textId="77777777" w:rsidR="00952D1E" w:rsidRDefault="00952D1E" w:rsidP="00C20EC5">
      <w:pPr>
        <w:ind w:left="720"/>
        <w:rPr>
          <w:rFonts w:ascii="Cambria" w:hAnsi="Cambria"/>
          <w:sz w:val="20"/>
          <w:szCs w:val="20"/>
        </w:rPr>
      </w:pPr>
    </w:p>
    <w:p w14:paraId="28EAED93" w14:textId="77777777" w:rsidR="00952D1E" w:rsidRPr="00C20EC5" w:rsidRDefault="00952D1E" w:rsidP="00C20EC5">
      <w:pPr>
        <w:ind w:left="720"/>
        <w:rPr>
          <w:rFonts w:ascii="Cambria" w:hAnsi="Cambria"/>
          <w:sz w:val="20"/>
          <w:szCs w:val="20"/>
        </w:rPr>
      </w:pPr>
    </w:p>
    <w:p w14:paraId="57A8F60B" w14:textId="77777777" w:rsidR="00C20EC5" w:rsidRPr="00C20EC5" w:rsidRDefault="00C20EC5" w:rsidP="00C20EC5">
      <w:pPr>
        <w:ind w:left="720"/>
        <w:rPr>
          <w:rFonts w:ascii="Cambria" w:hAnsi="Cambria"/>
          <w:sz w:val="20"/>
          <w:szCs w:val="20"/>
        </w:rPr>
      </w:pPr>
    </w:p>
    <w:p w14:paraId="07F3F571" w14:textId="77777777" w:rsidR="00C20EC5" w:rsidRPr="00C20EC5" w:rsidRDefault="00C20EC5" w:rsidP="00C20EC5">
      <w:pPr>
        <w:ind w:left="720"/>
        <w:rPr>
          <w:rFonts w:ascii="Cambria" w:hAnsi="Cambria"/>
          <w:sz w:val="20"/>
          <w:szCs w:val="20"/>
        </w:rPr>
      </w:pPr>
    </w:p>
    <w:p w14:paraId="351BA3AD" w14:textId="77777777" w:rsidR="00C20EC5" w:rsidRPr="00C20EC5" w:rsidRDefault="00C20EC5" w:rsidP="00C20EC5">
      <w:pPr>
        <w:ind w:left="720"/>
        <w:rPr>
          <w:rFonts w:ascii="Cambria" w:hAnsi="Cambria"/>
          <w:sz w:val="20"/>
          <w:szCs w:val="20"/>
        </w:rPr>
      </w:pPr>
    </w:p>
    <w:p w14:paraId="00630376" w14:textId="77777777" w:rsidR="00C20EC5" w:rsidRPr="00C20EC5" w:rsidRDefault="00C20EC5" w:rsidP="00C20EC5">
      <w:pPr>
        <w:ind w:left="720"/>
        <w:rPr>
          <w:rFonts w:ascii="Cambria" w:hAnsi="Cambria"/>
          <w:sz w:val="20"/>
          <w:szCs w:val="20"/>
        </w:rPr>
      </w:pPr>
    </w:p>
    <w:tbl>
      <w:tblPr>
        <w:tblStyle w:val="TableGrid"/>
        <w:tblW w:w="0" w:type="auto"/>
        <w:jc w:val="center"/>
        <w:tblInd w:w="896" w:type="dxa"/>
        <w:tblBorders>
          <w:insideH w:val="none" w:sz="0" w:space="0" w:color="auto"/>
          <w:insideV w:val="none" w:sz="0" w:space="0" w:color="auto"/>
        </w:tblBorders>
        <w:tblLayout w:type="fixed"/>
        <w:tblLook w:val="04A0" w:firstRow="1" w:lastRow="0" w:firstColumn="1" w:lastColumn="0" w:noHBand="0" w:noVBand="1"/>
      </w:tblPr>
      <w:tblGrid>
        <w:gridCol w:w="3251"/>
        <w:gridCol w:w="461"/>
        <w:gridCol w:w="2790"/>
      </w:tblGrid>
      <w:tr w:rsidR="00C20EC5" w:rsidRPr="00C20EC5" w14:paraId="53BFE9F7" w14:textId="77777777" w:rsidTr="00CA1555">
        <w:trPr>
          <w:jc w:val="center"/>
        </w:trPr>
        <w:tc>
          <w:tcPr>
            <w:tcW w:w="3251" w:type="dxa"/>
          </w:tcPr>
          <w:p w14:paraId="718870A6" w14:textId="77777777" w:rsidR="00C20EC5" w:rsidRPr="00C20EC5" w:rsidRDefault="00C20EC5" w:rsidP="009A5654">
            <w:pPr>
              <w:jc w:val="right"/>
              <w:rPr>
                <w:rFonts w:ascii="Cambria" w:eastAsiaTheme="majorEastAsia" w:hAnsi="Cambria"/>
                <w:b/>
                <w:bCs/>
                <w:sz w:val="22"/>
                <w:szCs w:val="22"/>
              </w:rPr>
            </w:pPr>
            <w:r w:rsidRPr="00C20EC5">
              <w:rPr>
                <w:rFonts w:ascii="Cambria" w:hAnsi="Cambria"/>
                <w:sz w:val="22"/>
                <w:szCs w:val="22"/>
              </w:rPr>
              <w:t>Vice President:</w:t>
            </w:r>
          </w:p>
        </w:tc>
        <w:tc>
          <w:tcPr>
            <w:tcW w:w="461" w:type="dxa"/>
          </w:tcPr>
          <w:p w14:paraId="1A5685A5" w14:textId="77777777" w:rsidR="00C20EC5" w:rsidRPr="00C20EC5" w:rsidRDefault="00C20EC5" w:rsidP="009A5654">
            <w:pPr>
              <w:rPr>
                <w:rFonts w:ascii="Cambria" w:eastAsiaTheme="majorEastAsia" w:hAnsi="Cambria"/>
                <w:b/>
                <w:bCs/>
                <w:sz w:val="22"/>
                <w:szCs w:val="22"/>
              </w:rPr>
            </w:pPr>
          </w:p>
        </w:tc>
        <w:tc>
          <w:tcPr>
            <w:tcW w:w="2790" w:type="dxa"/>
          </w:tcPr>
          <w:p w14:paraId="0451DE0A" w14:textId="3F35067B" w:rsidR="00C20EC5" w:rsidRPr="00C20EC5" w:rsidRDefault="00CA1555" w:rsidP="009A5654">
            <w:pPr>
              <w:rPr>
                <w:rFonts w:ascii="Cambria" w:eastAsiaTheme="majorEastAsia" w:hAnsi="Cambria"/>
                <w:b/>
                <w:bCs/>
                <w:sz w:val="22"/>
                <w:szCs w:val="22"/>
              </w:rPr>
            </w:pPr>
            <w:r>
              <w:rPr>
                <w:rFonts w:ascii="Cambria" w:hAnsi="Cambria"/>
                <w:bCs/>
                <w:sz w:val="22"/>
                <w:szCs w:val="22"/>
                <w:lang w:val="fr-CI"/>
              </w:rPr>
              <w:t xml:space="preserve">Laura </w:t>
            </w:r>
            <w:proofErr w:type="spellStart"/>
            <w:r>
              <w:rPr>
                <w:rFonts w:ascii="Cambria" w:hAnsi="Cambria"/>
                <w:bCs/>
                <w:sz w:val="22"/>
                <w:szCs w:val="22"/>
                <w:lang w:val="fr-CI"/>
              </w:rPr>
              <w:t>Tuck</w:t>
            </w:r>
            <w:proofErr w:type="spellEnd"/>
          </w:p>
        </w:tc>
      </w:tr>
      <w:tr w:rsidR="00C20EC5" w:rsidRPr="00C20EC5" w14:paraId="552C1C95" w14:textId="77777777" w:rsidTr="00CA1555">
        <w:trPr>
          <w:jc w:val="center"/>
        </w:trPr>
        <w:tc>
          <w:tcPr>
            <w:tcW w:w="3251" w:type="dxa"/>
          </w:tcPr>
          <w:p w14:paraId="047F9BC0" w14:textId="77777777" w:rsidR="00C20EC5" w:rsidRPr="00C20EC5" w:rsidRDefault="00C20EC5" w:rsidP="009A5654">
            <w:pPr>
              <w:jc w:val="right"/>
              <w:rPr>
                <w:rFonts w:ascii="Cambria" w:eastAsiaTheme="majorEastAsia" w:hAnsi="Cambria"/>
                <w:b/>
                <w:bCs/>
                <w:sz w:val="22"/>
                <w:szCs w:val="22"/>
              </w:rPr>
            </w:pPr>
            <w:r w:rsidRPr="00C20EC5">
              <w:rPr>
                <w:rFonts w:ascii="Cambria" w:hAnsi="Cambria"/>
                <w:sz w:val="22"/>
                <w:szCs w:val="22"/>
              </w:rPr>
              <w:t>Country Director:</w:t>
            </w:r>
          </w:p>
        </w:tc>
        <w:tc>
          <w:tcPr>
            <w:tcW w:w="461" w:type="dxa"/>
          </w:tcPr>
          <w:p w14:paraId="2E86C142" w14:textId="77777777" w:rsidR="00C20EC5" w:rsidRPr="00C20EC5" w:rsidRDefault="00C20EC5" w:rsidP="009A5654">
            <w:pPr>
              <w:rPr>
                <w:rFonts w:ascii="Cambria" w:eastAsiaTheme="majorEastAsia" w:hAnsi="Cambria"/>
                <w:b/>
                <w:bCs/>
                <w:sz w:val="22"/>
                <w:szCs w:val="22"/>
              </w:rPr>
            </w:pPr>
          </w:p>
        </w:tc>
        <w:tc>
          <w:tcPr>
            <w:tcW w:w="2790" w:type="dxa"/>
          </w:tcPr>
          <w:p w14:paraId="02B0D6C6" w14:textId="77777777" w:rsidR="00C20EC5" w:rsidRPr="00C20EC5" w:rsidRDefault="00C20EC5" w:rsidP="009A5654">
            <w:pPr>
              <w:rPr>
                <w:rFonts w:ascii="Cambria" w:eastAsiaTheme="majorEastAsia" w:hAnsi="Cambria"/>
                <w:b/>
                <w:bCs/>
                <w:sz w:val="22"/>
                <w:szCs w:val="22"/>
              </w:rPr>
            </w:pPr>
            <w:proofErr w:type="spellStart"/>
            <w:r w:rsidRPr="00C20EC5">
              <w:rPr>
                <w:rFonts w:ascii="Cambria" w:hAnsi="Cambria"/>
                <w:sz w:val="22"/>
                <w:szCs w:val="22"/>
              </w:rPr>
              <w:t>Saroj</w:t>
            </w:r>
            <w:proofErr w:type="spellEnd"/>
            <w:r w:rsidRPr="00C20EC5">
              <w:rPr>
                <w:rFonts w:ascii="Cambria" w:hAnsi="Cambria"/>
                <w:sz w:val="22"/>
                <w:szCs w:val="22"/>
              </w:rPr>
              <w:t xml:space="preserve"> Kumar </w:t>
            </w:r>
            <w:proofErr w:type="spellStart"/>
            <w:r w:rsidRPr="00C20EC5">
              <w:rPr>
                <w:rFonts w:ascii="Cambria" w:hAnsi="Cambria"/>
                <w:sz w:val="22"/>
                <w:szCs w:val="22"/>
              </w:rPr>
              <w:t>Jha</w:t>
            </w:r>
            <w:proofErr w:type="spellEnd"/>
          </w:p>
        </w:tc>
      </w:tr>
      <w:tr w:rsidR="00CA1555" w:rsidRPr="00C20EC5" w14:paraId="4572E383" w14:textId="77777777" w:rsidTr="00CA1555">
        <w:trPr>
          <w:jc w:val="center"/>
        </w:trPr>
        <w:tc>
          <w:tcPr>
            <w:tcW w:w="3251" w:type="dxa"/>
          </w:tcPr>
          <w:p w14:paraId="7B408CFB" w14:textId="25EE0289" w:rsidR="00CA1555" w:rsidRPr="00C20EC5" w:rsidRDefault="00CA1555" w:rsidP="00CA1555">
            <w:pPr>
              <w:jc w:val="right"/>
              <w:rPr>
                <w:rFonts w:ascii="Cambria" w:hAnsi="Cambria"/>
                <w:sz w:val="22"/>
                <w:szCs w:val="22"/>
              </w:rPr>
            </w:pPr>
            <w:r>
              <w:rPr>
                <w:rFonts w:ascii="Cambria" w:hAnsi="Cambria"/>
                <w:sz w:val="22"/>
                <w:szCs w:val="22"/>
              </w:rPr>
              <w:t>Country Manager:</w:t>
            </w:r>
          </w:p>
        </w:tc>
        <w:tc>
          <w:tcPr>
            <w:tcW w:w="461" w:type="dxa"/>
          </w:tcPr>
          <w:p w14:paraId="766D8526" w14:textId="77777777" w:rsidR="00CA1555" w:rsidRPr="00C20EC5" w:rsidRDefault="00CA1555" w:rsidP="009A5654">
            <w:pPr>
              <w:rPr>
                <w:rFonts w:ascii="Cambria" w:eastAsiaTheme="majorEastAsia" w:hAnsi="Cambria"/>
                <w:b/>
                <w:bCs/>
                <w:sz w:val="22"/>
                <w:szCs w:val="22"/>
              </w:rPr>
            </w:pPr>
          </w:p>
        </w:tc>
        <w:tc>
          <w:tcPr>
            <w:tcW w:w="2790" w:type="dxa"/>
          </w:tcPr>
          <w:p w14:paraId="6299E855" w14:textId="36E40DAC" w:rsidR="00CA1555" w:rsidRPr="00C20EC5" w:rsidRDefault="00CA1555" w:rsidP="009A5654">
            <w:pPr>
              <w:rPr>
                <w:rFonts w:ascii="Cambria" w:hAnsi="Cambria"/>
                <w:sz w:val="22"/>
                <w:szCs w:val="22"/>
              </w:rPr>
            </w:pPr>
            <w:r>
              <w:rPr>
                <w:rFonts w:ascii="Cambria" w:hAnsi="Cambria"/>
                <w:sz w:val="22"/>
                <w:szCs w:val="22"/>
              </w:rPr>
              <w:t>Alexander Kremer</w:t>
            </w:r>
          </w:p>
        </w:tc>
      </w:tr>
      <w:tr w:rsidR="00C20EC5" w:rsidRPr="00C20EC5" w14:paraId="7FB4E3FA" w14:textId="77777777" w:rsidTr="00CA1555">
        <w:trPr>
          <w:jc w:val="center"/>
        </w:trPr>
        <w:tc>
          <w:tcPr>
            <w:tcW w:w="3251" w:type="dxa"/>
          </w:tcPr>
          <w:p w14:paraId="185151E1" w14:textId="65ED5965" w:rsidR="00C20EC5" w:rsidRPr="00C20EC5" w:rsidRDefault="00C20EC5" w:rsidP="009A5654">
            <w:pPr>
              <w:jc w:val="right"/>
              <w:rPr>
                <w:rFonts w:ascii="Cambria" w:eastAsiaTheme="majorEastAsia" w:hAnsi="Cambria"/>
                <w:b/>
                <w:bCs/>
                <w:sz w:val="22"/>
                <w:szCs w:val="22"/>
              </w:rPr>
            </w:pPr>
            <w:r w:rsidRPr="00C20EC5">
              <w:rPr>
                <w:rFonts w:ascii="Cambria" w:hAnsi="Cambria"/>
                <w:sz w:val="22"/>
                <w:szCs w:val="22"/>
              </w:rPr>
              <w:tab/>
            </w:r>
            <w:r w:rsidR="00CA1555">
              <w:rPr>
                <w:rFonts w:ascii="Cambria" w:hAnsi="Cambria"/>
                <w:sz w:val="22"/>
                <w:szCs w:val="22"/>
              </w:rPr>
              <w:t xml:space="preserve">(Acting) </w:t>
            </w:r>
            <w:r w:rsidRPr="00C20EC5">
              <w:rPr>
                <w:rFonts w:ascii="Cambria" w:hAnsi="Cambria"/>
                <w:sz w:val="22"/>
                <w:szCs w:val="22"/>
              </w:rPr>
              <w:t>Sector Director:</w:t>
            </w:r>
          </w:p>
        </w:tc>
        <w:tc>
          <w:tcPr>
            <w:tcW w:w="461" w:type="dxa"/>
          </w:tcPr>
          <w:p w14:paraId="02BEF5BD" w14:textId="77777777" w:rsidR="00C20EC5" w:rsidRPr="00C20EC5" w:rsidRDefault="00C20EC5" w:rsidP="009A5654">
            <w:pPr>
              <w:rPr>
                <w:rFonts w:ascii="Cambria" w:eastAsiaTheme="majorEastAsia" w:hAnsi="Cambria"/>
                <w:b/>
                <w:bCs/>
                <w:sz w:val="22"/>
                <w:szCs w:val="22"/>
              </w:rPr>
            </w:pPr>
          </w:p>
        </w:tc>
        <w:tc>
          <w:tcPr>
            <w:tcW w:w="2790" w:type="dxa"/>
          </w:tcPr>
          <w:p w14:paraId="72E614B2" w14:textId="484E226C" w:rsidR="00C20EC5" w:rsidRPr="00C20EC5" w:rsidRDefault="00CA1555" w:rsidP="009A5654">
            <w:pPr>
              <w:rPr>
                <w:rFonts w:ascii="Cambria" w:eastAsiaTheme="majorEastAsia" w:hAnsi="Cambria"/>
                <w:b/>
                <w:bCs/>
                <w:sz w:val="22"/>
                <w:szCs w:val="22"/>
              </w:rPr>
            </w:pPr>
            <w:proofErr w:type="spellStart"/>
            <w:r>
              <w:rPr>
                <w:rFonts w:ascii="Cambria" w:hAnsi="Cambria"/>
                <w:sz w:val="22"/>
                <w:szCs w:val="22"/>
              </w:rPr>
              <w:t>Roumeen</w:t>
            </w:r>
            <w:proofErr w:type="spellEnd"/>
            <w:r>
              <w:rPr>
                <w:rFonts w:ascii="Cambria" w:hAnsi="Cambria"/>
                <w:sz w:val="22"/>
                <w:szCs w:val="22"/>
              </w:rPr>
              <w:t xml:space="preserve"> Islam</w:t>
            </w:r>
          </w:p>
        </w:tc>
      </w:tr>
      <w:tr w:rsidR="00C20EC5" w:rsidRPr="00C20EC5" w14:paraId="79702A9C" w14:textId="77777777" w:rsidTr="00CA1555">
        <w:trPr>
          <w:jc w:val="center"/>
        </w:trPr>
        <w:tc>
          <w:tcPr>
            <w:tcW w:w="3251" w:type="dxa"/>
          </w:tcPr>
          <w:p w14:paraId="599AF391" w14:textId="77777777" w:rsidR="00C20EC5" w:rsidRPr="00C20EC5" w:rsidRDefault="00C20EC5" w:rsidP="009A5654">
            <w:pPr>
              <w:jc w:val="right"/>
              <w:rPr>
                <w:rFonts w:ascii="Cambria" w:eastAsiaTheme="majorEastAsia" w:hAnsi="Cambria"/>
                <w:b/>
                <w:bCs/>
                <w:sz w:val="22"/>
                <w:szCs w:val="22"/>
              </w:rPr>
            </w:pPr>
            <w:r w:rsidRPr="00C20EC5">
              <w:rPr>
                <w:rFonts w:ascii="Cambria" w:hAnsi="Cambria"/>
                <w:sz w:val="22"/>
                <w:szCs w:val="22"/>
              </w:rPr>
              <w:t>Sector Manager:</w:t>
            </w:r>
          </w:p>
        </w:tc>
        <w:tc>
          <w:tcPr>
            <w:tcW w:w="461" w:type="dxa"/>
          </w:tcPr>
          <w:p w14:paraId="287EE45C" w14:textId="77777777" w:rsidR="00C20EC5" w:rsidRPr="00C20EC5" w:rsidRDefault="00C20EC5" w:rsidP="009A5654">
            <w:pPr>
              <w:rPr>
                <w:rFonts w:ascii="Cambria" w:eastAsiaTheme="majorEastAsia" w:hAnsi="Cambria"/>
                <w:b/>
                <w:bCs/>
                <w:sz w:val="22"/>
                <w:szCs w:val="22"/>
              </w:rPr>
            </w:pPr>
          </w:p>
        </w:tc>
        <w:tc>
          <w:tcPr>
            <w:tcW w:w="2790" w:type="dxa"/>
          </w:tcPr>
          <w:p w14:paraId="270B595E" w14:textId="77777777" w:rsidR="00C20EC5" w:rsidRPr="00C20EC5" w:rsidRDefault="00C20EC5" w:rsidP="009A5654">
            <w:pPr>
              <w:rPr>
                <w:rFonts w:ascii="Cambria" w:eastAsiaTheme="majorEastAsia" w:hAnsi="Cambria"/>
                <w:b/>
                <w:bCs/>
                <w:sz w:val="22"/>
                <w:szCs w:val="22"/>
              </w:rPr>
            </w:pPr>
            <w:proofErr w:type="spellStart"/>
            <w:r w:rsidRPr="00C20EC5">
              <w:rPr>
                <w:rFonts w:ascii="Cambria" w:hAnsi="Cambria"/>
                <w:sz w:val="22"/>
                <w:szCs w:val="22"/>
              </w:rPr>
              <w:t>Ivailo</w:t>
            </w:r>
            <w:proofErr w:type="spellEnd"/>
            <w:r w:rsidRPr="00C20EC5">
              <w:rPr>
                <w:rFonts w:ascii="Cambria" w:hAnsi="Cambria"/>
                <w:sz w:val="22"/>
                <w:szCs w:val="22"/>
              </w:rPr>
              <w:t xml:space="preserve"> V. </w:t>
            </w:r>
            <w:proofErr w:type="spellStart"/>
            <w:r w:rsidRPr="00C20EC5">
              <w:rPr>
                <w:rFonts w:ascii="Cambria" w:hAnsi="Cambria"/>
                <w:sz w:val="22"/>
                <w:szCs w:val="22"/>
              </w:rPr>
              <w:t>Izvorski</w:t>
            </w:r>
            <w:proofErr w:type="spellEnd"/>
          </w:p>
        </w:tc>
      </w:tr>
      <w:tr w:rsidR="00C20EC5" w:rsidRPr="00C20EC5" w14:paraId="0401CD53" w14:textId="77777777" w:rsidTr="00CA1555">
        <w:trPr>
          <w:jc w:val="center"/>
        </w:trPr>
        <w:tc>
          <w:tcPr>
            <w:tcW w:w="3251" w:type="dxa"/>
          </w:tcPr>
          <w:p w14:paraId="5F1F9D1A" w14:textId="77777777" w:rsidR="00C20EC5" w:rsidRPr="00C20EC5" w:rsidRDefault="00C20EC5" w:rsidP="009A5654">
            <w:pPr>
              <w:jc w:val="right"/>
              <w:rPr>
                <w:rFonts w:ascii="Cambria" w:hAnsi="Cambria"/>
                <w:b/>
                <w:sz w:val="22"/>
                <w:szCs w:val="22"/>
              </w:rPr>
            </w:pPr>
            <w:r w:rsidRPr="00C20EC5">
              <w:rPr>
                <w:rFonts w:ascii="Cambria" w:hAnsi="Cambria"/>
                <w:sz w:val="22"/>
                <w:szCs w:val="22"/>
              </w:rPr>
              <w:t>Task Team Leader:</w:t>
            </w:r>
          </w:p>
          <w:p w14:paraId="5ADAE727" w14:textId="77777777" w:rsidR="00C20EC5" w:rsidRPr="00C20EC5" w:rsidRDefault="00C20EC5" w:rsidP="009A5654">
            <w:pPr>
              <w:jc w:val="right"/>
              <w:rPr>
                <w:rFonts w:ascii="Cambria" w:eastAsiaTheme="majorEastAsia" w:hAnsi="Cambria"/>
                <w:b/>
                <w:bCs/>
                <w:sz w:val="22"/>
                <w:szCs w:val="22"/>
              </w:rPr>
            </w:pPr>
            <w:r w:rsidRPr="00C20EC5">
              <w:rPr>
                <w:rFonts w:ascii="Cambria" w:hAnsi="Cambria"/>
                <w:sz w:val="22"/>
                <w:szCs w:val="22"/>
              </w:rPr>
              <w:t>Policy Note Author:</w:t>
            </w:r>
          </w:p>
        </w:tc>
        <w:tc>
          <w:tcPr>
            <w:tcW w:w="461" w:type="dxa"/>
          </w:tcPr>
          <w:p w14:paraId="1AE2B4E9" w14:textId="77777777" w:rsidR="00C20EC5" w:rsidRPr="00C20EC5" w:rsidRDefault="00C20EC5" w:rsidP="009A5654">
            <w:pPr>
              <w:rPr>
                <w:rFonts w:ascii="Cambria" w:eastAsiaTheme="majorEastAsia" w:hAnsi="Cambria"/>
                <w:b/>
                <w:bCs/>
                <w:sz w:val="22"/>
                <w:szCs w:val="22"/>
              </w:rPr>
            </w:pPr>
          </w:p>
        </w:tc>
        <w:tc>
          <w:tcPr>
            <w:tcW w:w="2790" w:type="dxa"/>
          </w:tcPr>
          <w:p w14:paraId="06431E26" w14:textId="6D2C494F" w:rsidR="00C20EC5" w:rsidRPr="00C20EC5" w:rsidRDefault="00CA1555" w:rsidP="009A5654">
            <w:pPr>
              <w:rPr>
                <w:rFonts w:ascii="Cambria" w:hAnsi="Cambria"/>
                <w:b/>
                <w:sz w:val="22"/>
                <w:szCs w:val="22"/>
              </w:rPr>
            </w:pPr>
            <w:proofErr w:type="spellStart"/>
            <w:r>
              <w:rPr>
                <w:rFonts w:ascii="Cambria" w:hAnsi="Cambria"/>
                <w:sz w:val="22"/>
                <w:szCs w:val="22"/>
              </w:rPr>
              <w:t>Evgenij</w:t>
            </w:r>
            <w:proofErr w:type="spellEnd"/>
            <w:r>
              <w:rPr>
                <w:rFonts w:ascii="Cambria" w:hAnsi="Cambria"/>
                <w:sz w:val="22"/>
                <w:szCs w:val="22"/>
              </w:rPr>
              <w:t xml:space="preserve"> </w:t>
            </w:r>
            <w:proofErr w:type="spellStart"/>
            <w:r>
              <w:rPr>
                <w:rFonts w:ascii="Cambria" w:hAnsi="Cambria"/>
                <w:sz w:val="22"/>
                <w:szCs w:val="22"/>
              </w:rPr>
              <w:t>Najdov</w:t>
            </w:r>
            <w:proofErr w:type="spellEnd"/>
          </w:p>
          <w:p w14:paraId="57E84091" w14:textId="77777777" w:rsidR="00C20EC5" w:rsidRPr="00C20EC5" w:rsidRDefault="00425018" w:rsidP="009A5654">
            <w:pPr>
              <w:rPr>
                <w:rFonts w:ascii="Cambria" w:eastAsiaTheme="majorEastAsia" w:hAnsi="Cambria"/>
                <w:b/>
                <w:bCs/>
                <w:sz w:val="22"/>
                <w:szCs w:val="22"/>
              </w:rPr>
            </w:pPr>
            <w:r w:rsidRPr="00425018">
              <w:rPr>
                <w:rFonts w:ascii="Cambria" w:hAnsi="Cambria"/>
                <w:sz w:val="22"/>
                <w:szCs w:val="22"/>
              </w:rPr>
              <w:t xml:space="preserve">Tatyana </w:t>
            </w:r>
            <w:proofErr w:type="spellStart"/>
            <w:r w:rsidRPr="00425018">
              <w:rPr>
                <w:rFonts w:ascii="Cambria" w:hAnsi="Cambria"/>
                <w:sz w:val="22"/>
                <w:szCs w:val="22"/>
              </w:rPr>
              <w:t>Bogomolova</w:t>
            </w:r>
            <w:proofErr w:type="spellEnd"/>
          </w:p>
        </w:tc>
      </w:tr>
    </w:tbl>
    <w:p w14:paraId="542EAA0A" w14:textId="77777777" w:rsidR="00C20EC5" w:rsidRPr="00C20EC5" w:rsidRDefault="00C20EC5" w:rsidP="00C20EC5">
      <w:pPr>
        <w:jc w:val="center"/>
        <w:rPr>
          <w:rStyle w:val="BookTitle"/>
          <w:rFonts w:ascii="Cambria" w:hAnsi="Cambria"/>
          <w:b w:val="0"/>
          <w:sz w:val="28"/>
          <w:szCs w:val="28"/>
        </w:rPr>
        <w:sectPr w:rsidR="00C20EC5" w:rsidRPr="00C20EC5" w:rsidSect="009A5654">
          <w:pgSz w:w="12240" w:h="15840"/>
          <w:pgMar w:top="1440" w:right="1440" w:bottom="1440" w:left="1440" w:header="720" w:footer="720" w:gutter="0"/>
          <w:cols w:space="720"/>
          <w:docGrid w:linePitch="360"/>
        </w:sectPr>
      </w:pPr>
    </w:p>
    <w:p w14:paraId="1D3E2703" w14:textId="19D4327E" w:rsidR="00C20EC5" w:rsidRPr="00C20EC5" w:rsidRDefault="00500831" w:rsidP="004B7D5B">
      <w:pPr>
        <w:pStyle w:val="Heading1"/>
        <w:numPr>
          <w:ilvl w:val="0"/>
          <w:numId w:val="0"/>
        </w:numPr>
      </w:pPr>
      <w:bookmarkStart w:id="2" w:name="_Toc387325515"/>
      <w:r>
        <w:lastRenderedPageBreak/>
        <w:t>Acknowledgements</w:t>
      </w:r>
      <w:bookmarkEnd w:id="2"/>
    </w:p>
    <w:p w14:paraId="0F393EDD" w14:textId="43D1C1D2" w:rsidR="00CA1555" w:rsidRPr="00300E34" w:rsidRDefault="004B7D5B" w:rsidP="0084457D">
      <w:pPr>
        <w:jc w:val="both"/>
        <w:rPr>
          <w:rFonts w:ascii="Cambria" w:hAnsi="Cambria"/>
          <w:sz w:val="22"/>
          <w:szCs w:val="22"/>
        </w:rPr>
      </w:pPr>
      <w:r w:rsidRPr="00300E34">
        <w:rPr>
          <w:rFonts w:ascii="Cambria" w:hAnsi="Cambria"/>
          <w:sz w:val="22"/>
          <w:szCs w:val="22"/>
        </w:rPr>
        <w:t xml:space="preserve">This note is part of the Kyrgyz Republic Programmatic Public Expenditure Review (PER) led by </w:t>
      </w:r>
      <w:proofErr w:type="spellStart"/>
      <w:r w:rsidRPr="00300E34">
        <w:rPr>
          <w:rFonts w:ascii="Cambria" w:hAnsi="Cambria"/>
          <w:sz w:val="22"/>
          <w:szCs w:val="22"/>
        </w:rPr>
        <w:t>Evgenij</w:t>
      </w:r>
      <w:proofErr w:type="spellEnd"/>
      <w:r w:rsidRPr="00300E34">
        <w:rPr>
          <w:rFonts w:ascii="Cambria" w:hAnsi="Cambria"/>
          <w:sz w:val="22"/>
          <w:szCs w:val="22"/>
        </w:rPr>
        <w:t xml:space="preserve"> </w:t>
      </w:r>
      <w:proofErr w:type="spellStart"/>
      <w:r w:rsidRPr="00300E34">
        <w:rPr>
          <w:rFonts w:ascii="Cambria" w:hAnsi="Cambria"/>
          <w:sz w:val="22"/>
          <w:szCs w:val="22"/>
        </w:rPr>
        <w:t>Najdov</w:t>
      </w:r>
      <w:proofErr w:type="spellEnd"/>
      <w:r w:rsidRPr="00300E34">
        <w:rPr>
          <w:rFonts w:ascii="Cambria" w:hAnsi="Cambria"/>
          <w:sz w:val="22"/>
          <w:szCs w:val="22"/>
        </w:rPr>
        <w:t xml:space="preserve"> (Task Team Leader) and K. </w:t>
      </w:r>
      <w:proofErr w:type="spellStart"/>
      <w:r w:rsidRPr="00300E34">
        <w:rPr>
          <w:rFonts w:ascii="Cambria" w:hAnsi="Cambria"/>
          <w:sz w:val="22"/>
          <w:szCs w:val="22"/>
        </w:rPr>
        <w:t>Migara</w:t>
      </w:r>
      <w:proofErr w:type="spellEnd"/>
      <w:r w:rsidRPr="00300E34">
        <w:rPr>
          <w:rFonts w:ascii="Cambria" w:hAnsi="Cambria"/>
          <w:sz w:val="22"/>
          <w:szCs w:val="22"/>
        </w:rPr>
        <w:t xml:space="preserve"> O. de Silva (co-TTL).  The PER work was initiated by </w:t>
      </w:r>
      <w:proofErr w:type="spellStart"/>
      <w:r w:rsidRPr="00300E34">
        <w:rPr>
          <w:rFonts w:ascii="Cambria" w:hAnsi="Cambria"/>
          <w:sz w:val="22"/>
          <w:szCs w:val="22"/>
        </w:rPr>
        <w:t>Orhan</w:t>
      </w:r>
      <w:proofErr w:type="spellEnd"/>
      <w:r w:rsidRPr="00300E34">
        <w:rPr>
          <w:rFonts w:ascii="Cambria" w:hAnsi="Cambria"/>
          <w:sz w:val="22"/>
          <w:szCs w:val="22"/>
        </w:rPr>
        <w:t xml:space="preserve"> </w:t>
      </w:r>
      <w:proofErr w:type="spellStart"/>
      <w:r w:rsidRPr="00300E34">
        <w:rPr>
          <w:rFonts w:ascii="Cambria" w:hAnsi="Cambria"/>
          <w:sz w:val="22"/>
          <w:szCs w:val="22"/>
        </w:rPr>
        <w:t>Niksic</w:t>
      </w:r>
      <w:proofErr w:type="spellEnd"/>
      <w:r w:rsidRPr="00300E34">
        <w:rPr>
          <w:rFonts w:ascii="Cambria" w:hAnsi="Cambria"/>
          <w:sz w:val="22"/>
          <w:szCs w:val="22"/>
        </w:rPr>
        <w:t xml:space="preserve">. </w:t>
      </w:r>
      <w:proofErr w:type="spellStart"/>
      <w:r w:rsidRPr="00300E34">
        <w:rPr>
          <w:rFonts w:ascii="Cambria" w:hAnsi="Cambria"/>
          <w:sz w:val="22"/>
          <w:szCs w:val="22"/>
        </w:rPr>
        <w:t>Faruk</w:t>
      </w:r>
      <w:proofErr w:type="spellEnd"/>
      <w:r w:rsidRPr="00300E34">
        <w:rPr>
          <w:rFonts w:ascii="Cambria" w:hAnsi="Cambria"/>
          <w:sz w:val="22"/>
          <w:szCs w:val="22"/>
        </w:rPr>
        <w:t xml:space="preserve"> Khan took over as task team leader from September 2012 to June 2013. K. </w:t>
      </w:r>
      <w:proofErr w:type="spellStart"/>
      <w:r w:rsidRPr="00300E34">
        <w:rPr>
          <w:rFonts w:ascii="Cambria" w:hAnsi="Cambria"/>
          <w:sz w:val="22"/>
          <w:szCs w:val="22"/>
        </w:rPr>
        <w:t>Migara</w:t>
      </w:r>
      <w:proofErr w:type="spellEnd"/>
      <w:r w:rsidRPr="00300E34">
        <w:rPr>
          <w:rFonts w:ascii="Cambria" w:hAnsi="Cambria"/>
          <w:sz w:val="22"/>
          <w:szCs w:val="22"/>
        </w:rPr>
        <w:t xml:space="preserve"> O. de Silva’s co-TTL-ship was uninterrupted with primary responsibility for the sector notes on wage bill management, public investments management and intergovernmental transfers.</w:t>
      </w:r>
    </w:p>
    <w:p w14:paraId="61055F04" w14:textId="77777777" w:rsidR="004B7D5B" w:rsidRPr="00300E34" w:rsidRDefault="004B7D5B" w:rsidP="0084457D">
      <w:pPr>
        <w:jc w:val="both"/>
        <w:rPr>
          <w:rFonts w:ascii="Cambria" w:hAnsi="Cambria"/>
          <w:sz w:val="22"/>
          <w:szCs w:val="22"/>
        </w:rPr>
      </w:pPr>
    </w:p>
    <w:p w14:paraId="746B6EB6" w14:textId="5A8DAFD2" w:rsidR="00231DFA" w:rsidRPr="00300E34" w:rsidRDefault="00CA1555" w:rsidP="0084457D">
      <w:pPr>
        <w:jc w:val="both"/>
        <w:rPr>
          <w:rFonts w:ascii="Cambria" w:hAnsi="Cambria"/>
          <w:sz w:val="22"/>
          <w:szCs w:val="22"/>
        </w:rPr>
      </w:pPr>
      <w:r w:rsidRPr="00300E34">
        <w:rPr>
          <w:rFonts w:ascii="Cambria" w:hAnsi="Cambria"/>
          <w:sz w:val="22"/>
          <w:szCs w:val="22"/>
        </w:rPr>
        <w:t xml:space="preserve">This note was prepared by Tatyana </w:t>
      </w:r>
      <w:proofErr w:type="spellStart"/>
      <w:r w:rsidRPr="00300E34">
        <w:rPr>
          <w:rFonts w:ascii="Cambria" w:hAnsi="Cambria"/>
          <w:sz w:val="22"/>
          <w:szCs w:val="22"/>
        </w:rPr>
        <w:t>Bogomolova</w:t>
      </w:r>
      <w:proofErr w:type="spellEnd"/>
      <w:r w:rsidRPr="00300E34">
        <w:rPr>
          <w:rFonts w:ascii="Cambria" w:hAnsi="Cambria"/>
          <w:sz w:val="22"/>
          <w:szCs w:val="22"/>
        </w:rPr>
        <w:t xml:space="preserve">.  The team benefited from advice and guidance from Anita Schwarz and Robert Palacios and comments from Helen </w:t>
      </w:r>
      <w:proofErr w:type="spellStart"/>
      <w:r w:rsidRPr="00300E34">
        <w:rPr>
          <w:rFonts w:ascii="Cambria" w:hAnsi="Cambria"/>
          <w:sz w:val="22"/>
          <w:szCs w:val="22"/>
        </w:rPr>
        <w:t>Edmundson</w:t>
      </w:r>
      <w:proofErr w:type="spellEnd"/>
      <w:r w:rsidRPr="00300E34">
        <w:rPr>
          <w:rFonts w:ascii="Cambria" w:hAnsi="Cambria"/>
          <w:sz w:val="22"/>
          <w:szCs w:val="22"/>
        </w:rPr>
        <w:t xml:space="preserve">. </w:t>
      </w:r>
      <w:proofErr w:type="spellStart"/>
      <w:r w:rsidR="001950EF" w:rsidRPr="00300E34">
        <w:rPr>
          <w:rFonts w:ascii="Cambria" w:hAnsi="Cambria"/>
          <w:sz w:val="22"/>
          <w:szCs w:val="22"/>
        </w:rPr>
        <w:t>Zakia</w:t>
      </w:r>
      <w:proofErr w:type="spellEnd"/>
      <w:r w:rsidR="001950EF" w:rsidRPr="00300E34">
        <w:rPr>
          <w:rFonts w:ascii="Cambria" w:hAnsi="Cambria"/>
          <w:sz w:val="22"/>
          <w:szCs w:val="22"/>
        </w:rPr>
        <w:t xml:space="preserve"> </w:t>
      </w:r>
      <w:proofErr w:type="spellStart"/>
      <w:r w:rsidR="001950EF" w:rsidRPr="00300E34">
        <w:rPr>
          <w:rFonts w:ascii="Cambria" w:hAnsi="Cambria"/>
          <w:sz w:val="22"/>
          <w:szCs w:val="22"/>
        </w:rPr>
        <w:t>Nekaien-Nowrouz</w:t>
      </w:r>
      <w:proofErr w:type="spellEnd"/>
      <w:r w:rsidR="001950EF" w:rsidRPr="00300E34">
        <w:rPr>
          <w:rFonts w:ascii="Cambria" w:hAnsi="Cambria"/>
          <w:sz w:val="22"/>
          <w:szCs w:val="22"/>
        </w:rPr>
        <w:t xml:space="preserve">, Sarah </w:t>
      </w:r>
      <w:proofErr w:type="spellStart"/>
      <w:r w:rsidR="001950EF" w:rsidRPr="00300E34">
        <w:rPr>
          <w:rFonts w:ascii="Cambria" w:hAnsi="Cambria"/>
          <w:sz w:val="22"/>
          <w:szCs w:val="22"/>
        </w:rPr>
        <w:t>Nankya</w:t>
      </w:r>
      <w:proofErr w:type="spellEnd"/>
      <w:r w:rsidR="001950EF" w:rsidRPr="00300E34">
        <w:rPr>
          <w:rFonts w:ascii="Cambria" w:hAnsi="Cambria"/>
          <w:sz w:val="22"/>
          <w:szCs w:val="22"/>
        </w:rPr>
        <w:t xml:space="preserve"> </w:t>
      </w:r>
      <w:proofErr w:type="spellStart"/>
      <w:r w:rsidR="001950EF" w:rsidRPr="00300E34">
        <w:rPr>
          <w:rFonts w:ascii="Cambria" w:hAnsi="Cambria"/>
          <w:sz w:val="22"/>
          <w:szCs w:val="22"/>
        </w:rPr>
        <w:t>Babirye</w:t>
      </w:r>
      <w:proofErr w:type="spellEnd"/>
      <w:r w:rsidR="001950EF" w:rsidRPr="00300E34">
        <w:rPr>
          <w:rFonts w:ascii="Cambria" w:hAnsi="Cambria"/>
          <w:sz w:val="22"/>
          <w:szCs w:val="22"/>
        </w:rPr>
        <w:t xml:space="preserve">, </w:t>
      </w:r>
      <w:proofErr w:type="spellStart"/>
      <w:r w:rsidR="001950EF" w:rsidRPr="00300E34">
        <w:rPr>
          <w:rFonts w:ascii="Cambria" w:hAnsi="Cambria"/>
          <w:sz w:val="22"/>
          <w:szCs w:val="22"/>
        </w:rPr>
        <w:t>Ewelina</w:t>
      </w:r>
      <w:proofErr w:type="spellEnd"/>
      <w:r w:rsidR="001950EF" w:rsidRPr="00300E34">
        <w:rPr>
          <w:rFonts w:ascii="Cambria" w:hAnsi="Cambria"/>
          <w:sz w:val="22"/>
          <w:szCs w:val="22"/>
        </w:rPr>
        <w:t xml:space="preserve"> </w:t>
      </w:r>
      <w:proofErr w:type="spellStart"/>
      <w:r w:rsidR="001950EF" w:rsidRPr="00300E34">
        <w:rPr>
          <w:rFonts w:ascii="Cambria" w:hAnsi="Cambria"/>
          <w:sz w:val="22"/>
          <w:szCs w:val="22"/>
        </w:rPr>
        <w:t>Lajch</w:t>
      </w:r>
      <w:proofErr w:type="spellEnd"/>
      <w:r w:rsidR="001950EF" w:rsidRPr="00300E34">
        <w:rPr>
          <w:rFonts w:ascii="Cambria" w:hAnsi="Cambria"/>
          <w:sz w:val="22"/>
          <w:szCs w:val="22"/>
        </w:rPr>
        <w:t xml:space="preserve"> and Lilia </w:t>
      </w:r>
      <w:proofErr w:type="spellStart"/>
      <w:r w:rsidR="001950EF" w:rsidRPr="00300E34">
        <w:rPr>
          <w:rFonts w:ascii="Cambria" w:hAnsi="Cambria"/>
          <w:sz w:val="22"/>
          <w:szCs w:val="22"/>
        </w:rPr>
        <w:t>Saetova</w:t>
      </w:r>
      <w:proofErr w:type="spellEnd"/>
      <w:r w:rsidR="001950EF" w:rsidRPr="00300E34">
        <w:rPr>
          <w:rFonts w:ascii="Cambria" w:hAnsi="Cambria"/>
          <w:sz w:val="22"/>
          <w:szCs w:val="22"/>
        </w:rPr>
        <w:t xml:space="preserve"> provided technical and administrative support. </w:t>
      </w:r>
      <w:r w:rsidR="00231DFA" w:rsidRPr="00300E34">
        <w:rPr>
          <w:rFonts w:ascii="Cambria" w:hAnsi="Cambria"/>
          <w:sz w:val="22"/>
          <w:szCs w:val="22"/>
        </w:rPr>
        <w:t>The PER analysis has been conducted in close coordination with Government counterparts, with earlier drafts, power-point presentations, and workshops used to support a dialogue on public expenditure policy priorities facing the Kyrgyz Republic.</w:t>
      </w:r>
    </w:p>
    <w:p w14:paraId="603A9EC9" w14:textId="77777777" w:rsidR="00CA1555" w:rsidRPr="00300E34" w:rsidRDefault="00CA1555" w:rsidP="0084457D">
      <w:pPr>
        <w:jc w:val="both"/>
        <w:rPr>
          <w:rFonts w:ascii="Cambria" w:hAnsi="Cambria"/>
          <w:sz w:val="22"/>
          <w:szCs w:val="22"/>
        </w:rPr>
      </w:pPr>
    </w:p>
    <w:p w14:paraId="43EA708B" w14:textId="13EC5113" w:rsidR="00CA1555" w:rsidRPr="00300E34" w:rsidRDefault="00CA1555" w:rsidP="0084457D">
      <w:pPr>
        <w:jc w:val="both"/>
        <w:rPr>
          <w:rFonts w:ascii="Cambria" w:hAnsi="Cambria"/>
          <w:sz w:val="22"/>
          <w:szCs w:val="22"/>
        </w:rPr>
      </w:pPr>
      <w:r w:rsidRPr="00300E34">
        <w:rPr>
          <w:rFonts w:ascii="Cambria" w:hAnsi="Cambria"/>
          <w:sz w:val="22"/>
          <w:szCs w:val="22"/>
        </w:rPr>
        <w:t>The team is grateful to the UK’s Department for International Development (DFID) and the Swiss Economic Cooperation Organization (SECO) for co-financing this programmatic Public Expenditure Review.</w:t>
      </w:r>
    </w:p>
    <w:p w14:paraId="5883270A" w14:textId="77777777" w:rsidR="00231DFA" w:rsidRPr="00300E34" w:rsidRDefault="00231DFA" w:rsidP="00231DFA">
      <w:pPr>
        <w:rPr>
          <w:rFonts w:ascii="Cambria" w:hAnsi="Cambria"/>
          <w:sz w:val="22"/>
          <w:szCs w:val="22"/>
        </w:rPr>
      </w:pPr>
    </w:p>
    <w:p w14:paraId="7D7ADA2D" w14:textId="77777777" w:rsidR="00231DFA" w:rsidRPr="00300E34" w:rsidRDefault="00231DFA" w:rsidP="00231DFA">
      <w:pPr>
        <w:rPr>
          <w:rFonts w:ascii="Cambria" w:hAnsi="Cambria"/>
          <w:sz w:val="22"/>
          <w:szCs w:val="22"/>
        </w:rPr>
      </w:pPr>
    </w:p>
    <w:p w14:paraId="6D10E981" w14:textId="77777777" w:rsidR="00231DFA" w:rsidRDefault="00231DFA" w:rsidP="00231DFA">
      <w:pPr>
        <w:rPr>
          <w:rFonts w:ascii="Cambria" w:hAnsi="Cambria"/>
          <w:sz w:val="22"/>
          <w:szCs w:val="22"/>
        </w:rPr>
      </w:pPr>
    </w:p>
    <w:p w14:paraId="3CDAEF20" w14:textId="77777777" w:rsidR="00231DFA" w:rsidRPr="00231DFA" w:rsidRDefault="00231DFA" w:rsidP="00231DFA">
      <w:pPr>
        <w:rPr>
          <w:rFonts w:ascii="Cambria" w:hAnsi="Cambria"/>
          <w:sz w:val="22"/>
          <w:szCs w:val="22"/>
        </w:rPr>
        <w:sectPr w:rsidR="00231DFA" w:rsidRPr="00231DFA" w:rsidSect="009A5654">
          <w:footerReference w:type="default" r:id="rId11"/>
          <w:pgSz w:w="12240" w:h="15840" w:code="1"/>
          <w:pgMar w:top="1440" w:right="1440" w:bottom="1440" w:left="1440" w:header="720" w:footer="720" w:gutter="0"/>
          <w:pgNumType w:fmt="lowerRoman" w:start="3"/>
          <w:cols w:space="720"/>
          <w:docGrid w:linePitch="360"/>
        </w:sectPr>
      </w:pPr>
    </w:p>
    <w:p w14:paraId="361482CE" w14:textId="77777777" w:rsidR="00C20EC5" w:rsidRPr="00C20EC5" w:rsidRDefault="00C20EC5" w:rsidP="00C20EC5">
      <w:pPr>
        <w:jc w:val="center"/>
        <w:rPr>
          <w:rFonts w:ascii="Cambria" w:hAnsi="Cambria"/>
          <w:b/>
          <w:sz w:val="28"/>
          <w:szCs w:val="28"/>
        </w:rPr>
      </w:pPr>
      <w:r w:rsidRPr="00C20EC5">
        <w:rPr>
          <w:rFonts w:ascii="Cambria" w:hAnsi="Cambria"/>
          <w:b/>
          <w:sz w:val="28"/>
          <w:szCs w:val="28"/>
        </w:rPr>
        <w:lastRenderedPageBreak/>
        <w:t>Contents</w:t>
      </w:r>
    </w:p>
    <w:p w14:paraId="4BEAED0E" w14:textId="77777777" w:rsidR="00C20EC5" w:rsidRDefault="00C20EC5" w:rsidP="00C20EC5">
      <w:pPr>
        <w:rPr>
          <w:rFonts w:ascii="Cambria" w:hAnsi="Cambria"/>
        </w:rPr>
      </w:pPr>
    </w:p>
    <w:p w14:paraId="48BCBB73" w14:textId="77777777" w:rsidR="0098538E" w:rsidRPr="0098538E" w:rsidRDefault="00C11A93">
      <w:pPr>
        <w:pStyle w:val="TOC1"/>
        <w:tabs>
          <w:tab w:val="right" w:leader="dot" w:pos="9350"/>
        </w:tabs>
        <w:rPr>
          <w:rFonts w:asciiTheme="majorHAnsi" w:eastAsiaTheme="minorEastAsia" w:hAnsiTheme="majorHAnsi" w:cstheme="minorBidi"/>
          <w:noProof/>
          <w:sz w:val="22"/>
          <w:szCs w:val="22"/>
        </w:rPr>
      </w:pPr>
      <w:r w:rsidRPr="00E56B66">
        <w:rPr>
          <w:rFonts w:asciiTheme="majorHAnsi" w:hAnsiTheme="majorHAnsi"/>
          <w:sz w:val="22"/>
          <w:szCs w:val="22"/>
        </w:rPr>
        <w:fldChar w:fldCharType="begin"/>
      </w:r>
      <w:r w:rsidRPr="00E56B66">
        <w:rPr>
          <w:rFonts w:asciiTheme="majorHAnsi" w:hAnsiTheme="majorHAnsi"/>
          <w:sz w:val="22"/>
          <w:szCs w:val="22"/>
        </w:rPr>
        <w:instrText xml:space="preserve"> TOC \h \z \t "Heading 1,1,Heading 2,2,Heading 3,3,Title,1" </w:instrText>
      </w:r>
      <w:r w:rsidRPr="00E56B66">
        <w:rPr>
          <w:rFonts w:asciiTheme="majorHAnsi" w:hAnsiTheme="majorHAnsi"/>
          <w:sz w:val="22"/>
          <w:szCs w:val="22"/>
        </w:rPr>
        <w:fldChar w:fldCharType="separate"/>
      </w:r>
      <w:hyperlink w:anchor="_Toc387325515" w:history="1">
        <w:r w:rsidR="0098538E" w:rsidRPr="0098538E">
          <w:rPr>
            <w:rStyle w:val="Hyperlink"/>
            <w:rFonts w:asciiTheme="majorHAnsi" w:hAnsiTheme="majorHAnsi"/>
            <w:noProof/>
            <w:sz w:val="22"/>
            <w:szCs w:val="22"/>
          </w:rPr>
          <w:t>Acknowledgements</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_Toc387325515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sidR="00C646A3">
          <w:rPr>
            <w:rFonts w:asciiTheme="majorHAnsi" w:hAnsiTheme="majorHAnsi"/>
            <w:noProof/>
            <w:webHidden/>
            <w:sz w:val="22"/>
            <w:szCs w:val="22"/>
          </w:rPr>
          <w:t>iii</w:t>
        </w:r>
        <w:r w:rsidR="0098538E" w:rsidRPr="0098538E">
          <w:rPr>
            <w:rFonts w:asciiTheme="majorHAnsi" w:hAnsiTheme="majorHAnsi"/>
            <w:noProof/>
            <w:webHidden/>
            <w:sz w:val="22"/>
            <w:szCs w:val="22"/>
          </w:rPr>
          <w:fldChar w:fldCharType="end"/>
        </w:r>
      </w:hyperlink>
    </w:p>
    <w:p w14:paraId="0B7009DD" w14:textId="77777777" w:rsidR="0098538E" w:rsidRPr="0098538E" w:rsidRDefault="00C646A3">
      <w:pPr>
        <w:pStyle w:val="TOC1"/>
        <w:tabs>
          <w:tab w:val="left" w:pos="630"/>
          <w:tab w:val="right" w:leader="dot" w:pos="9350"/>
        </w:tabs>
        <w:rPr>
          <w:rFonts w:asciiTheme="majorHAnsi" w:eastAsiaTheme="minorEastAsia" w:hAnsiTheme="majorHAnsi" w:cstheme="minorBidi"/>
          <w:noProof/>
          <w:sz w:val="22"/>
          <w:szCs w:val="22"/>
        </w:rPr>
      </w:pPr>
      <w:hyperlink w:anchor="_Toc387325516" w:history="1">
        <w:r w:rsidR="0098538E" w:rsidRPr="0098538E">
          <w:rPr>
            <w:rStyle w:val="Hyperlink"/>
            <w:rFonts w:asciiTheme="majorHAnsi" w:hAnsiTheme="majorHAnsi"/>
            <w:noProof/>
            <w:sz w:val="22"/>
            <w:szCs w:val="22"/>
          </w:rPr>
          <w:t>1.</w:t>
        </w:r>
        <w:r w:rsidR="0098538E" w:rsidRPr="0098538E">
          <w:rPr>
            <w:rFonts w:asciiTheme="majorHAnsi" w:eastAsiaTheme="minorEastAsia" w:hAnsiTheme="majorHAnsi" w:cstheme="minorBidi"/>
            <w:noProof/>
            <w:sz w:val="22"/>
            <w:szCs w:val="22"/>
          </w:rPr>
          <w:tab/>
        </w:r>
        <w:r w:rsidR="0098538E" w:rsidRPr="0098538E">
          <w:rPr>
            <w:rStyle w:val="Hyperlink"/>
            <w:rFonts w:asciiTheme="majorHAnsi" w:hAnsiTheme="majorHAnsi"/>
            <w:noProof/>
            <w:sz w:val="22"/>
            <w:szCs w:val="22"/>
          </w:rPr>
          <w:t>Executive Summary</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_Toc387325516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1</w:t>
        </w:r>
        <w:r w:rsidR="0098538E" w:rsidRPr="0098538E">
          <w:rPr>
            <w:rFonts w:asciiTheme="majorHAnsi" w:hAnsiTheme="majorHAnsi"/>
            <w:noProof/>
            <w:webHidden/>
            <w:sz w:val="22"/>
            <w:szCs w:val="22"/>
          </w:rPr>
          <w:fldChar w:fldCharType="end"/>
        </w:r>
      </w:hyperlink>
    </w:p>
    <w:p w14:paraId="64372A04" w14:textId="77777777" w:rsidR="0098538E" w:rsidRPr="0098538E" w:rsidRDefault="00C646A3">
      <w:pPr>
        <w:pStyle w:val="TOC1"/>
        <w:tabs>
          <w:tab w:val="left" w:pos="630"/>
          <w:tab w:val="right" w:leader="dot" w:pos="9350"/>
        </w:tabs>
        <w:rPr>
          <w:rFonts w:asciiTheme="majorHAnsi" w:eastAsiaTheme="minorEastAsia" w:hAnsiTheme="majorHAnsi" w:cstheme="minorBidi"/>
          <w:noProof/>
          <w:sz w:val="22"/>
          <w:szCs w:val="22"/>
        </w:rPr>
      </w:pPr>
      <w:hyperlink w:anchor="_Toc387325517" w:history="1">
        <w:r w:rsidR="0098538E" w:rsidRPr="0098538E">
          <w:rPr>
            <w:rStyle w:val="Hyperlink"/>
            <w:rFonts w:asciiTheme="majorHAnsi" w:hAnsiTheme="majorHAnsi"/>
            <w:noProof/>
            <w:sz w:val="22"/>
            <w:szCs w:val="22"/>
          </w:rPr>
          <w:t>2.</w:t>
        </w:r>
        <w:r w:rsidR="0098538E" w:rsidRPr="0098538E">
          <w:rPr>
            <w:rFonts w:asciiTheme="majorHAnsi" w:eastAsiaTheme="minorEastAsia" w:hAnsiTheme="majorHAnsi" w:cstheme="minorBidi"/>
            <w:noProof/>
            <w:sz w:val="22"/>
            <w:szCs w:val="22"/>
          </w:rPr>
          <w:tab/>
        </w:r>
        <w:r w:rsidR="0098538E" w:rsidRPr="0098538E">
          <w:rPr>
            <w:rStyle w:val="Hyperlink"/>
            <w:rFonts w:asciiTheme="majorHAnsi" w:hAnsiTheme="majorHAnsi"/>
            <w:noProof/>
            <w:sz w:val="22"/>
            <w:szCs w:val="22"/>
          </w:rPr>
          <w:t>Overview of the Current Pension System</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_Toc387325517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2</w:t>
        </w:r>
        <w:r w:rsidR="0098538E" w:rsidRPr="0098538E">
          <w:rPr>
            <w:rFonts w:asciiTheme="majorHAnsi" w:hAnsiTheme="majorHAnsi"/>
            <w:noProof/>
            <w:webHidden/>
            <w:sz w:val="22"/>
            <w:szCs w:val="22"/>
          </w:rPr>
          <w:fldChar w:fldCharType="end"/>
        </w:r>
      </w:hyperlink>
    </w:p>
    <w:p w14:paraId="3353C747" w14:textId="77777777" w:rsidR="0098538E" w:rsidRPr="0098538E" w:rsidRDefault="00C646A3">
      <w:pPr>
        <w:pStyle w:val="TOC2"/>
        <w:rPr>
          <w:rFonts w:asciiTheme="majorHAnsi" w:eastAsiaTheme="minorEastAsia" w:hAnsiTheme="majorHAnsi" w:cstheme="minorBidi"/>
          <w:noProof/>
          <w:sz w:val="22"/>
          <w:szCs w:val="22"/>
        </w:rPr>
      </w:pPr>
      <w:hyperlink w:anchor="_Toc387325518" w:history="1">
        <w:r w:rsidR="0098538E" w:rsidRPr="0098538E">
          <w:rPr>
            <w:rStyle w:val="Hyperlink"/>
            <w:rFonts w:asciiTheme="majorHAnsi" w:hAnsiTheme="majorHAnsi"/>
            <w:noProof/>
            <w:sz w:val="22"/>
            <w:szCs w:val="22"/>
          </w:rPr>
          <w:t>Summary of the Key Issues with the National Pension System</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_Toc387325518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4</w:t>
        </w:r>
        <w:r w:rsidR="0098538E" w:rsidRPr="0098538E">
          <w:rPr>
            <w:rFonts w:asciiTheme="majorHAnsi" w:hAnsiTheme="majorHAnsi"/>
            <w:noProof/>
            <w:webHidden/>
            <w:sz w:val="22"/>
            <w:szCs w:val="22"/>
          </w:rPr>
          <w:fldChar w:fldCharType="end"/>
        </w:r>
      </w:hyperlink>
    </w:p>
    <w:p w14:paraId="3010B0E2" w14:textId="77777777" w:rsidR="0098538E" w:rsidRPr="0098538E" w:rsidRDefault="00C646A3">
      <w:pPr>
        <w:pStyle w:val="TOC3"/>
        <w:rPr>
          <w:rFonts w:asciiTheme="majorHAnsi" w:eastAsiaTheme="minorEastAsia" w:hAnsiTheme="majorHAnsi" w:cstheme="minorBidi"/>
          <w:noProof/>
          <w:sz w:val="22"/>
          <w:szCs w:val="22"/>
        </w:rPr>
      </w:pPr>
      <w:hyperlink w:anchor="_Toc387325519" w:history="1">
        <w:r w:rsidR="0098538E" w:rsidRPr="0098538E">
          <w:rPr>
            <w:rStyle w:val="Hyperlink"/>
            <w:rFonts w:asciiTheme="majorHAnsi" w:hAnsiTheme="majorHAnsi"/>
            <w:noProof/>
            <w:sz w:val="22"/>
            <w:szCs w:val="22"/>
          </w:rPr>
          <w:t>Current Status of the National Pension System</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_Toc387325519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5</w:t>
        </w:r>
        <w:r w:rsidR="0098538E" w:rsidRPr="0098538E">
          <w:rPr>
            <w:rFonts w:asciiTheme="majorHAnsi" w:hAnsiTheme="majorHAnsi"/>
            <w:noProof/>
            <w:webHidden/>
            <w:sz w:val="22"/>
            <w:szCs w:val="22"/>
          </w:rPr>
          <w:fldChar w:fldCharType="end"/>
        </w:r>
      </w:hyperlink>
    </w:p>
    <w:p w14:paraId="0B5E8986" w14:textId="77777777" w:rsidR="0098538E" w:rsidRPr="0098538E" w:rsidRDefault="00C646A3">
      <w:pPr>
        <w:pStyle w:val="TOC1"/>
        <w:tabs>
          <w:tab w:val="left" w:pos="630"/>
          <w:tab w:val="right" w:leader="dot" w:pos="9350"/>
        </w:tabs>
        <w:rPr>
          <w:rFonts w:asciiTheme="majorHAnsi" w:eastAsiaTheme="minorEastAsia" w:hAnsiTheme="majorHAnsi" w:cstheme="minorBidi"/>
          <w:noProof/>
          <w:sz w:val="22"/>
          <w:szCs w:val="22"/>
        </w:rPr>
      </w:pPr>
      <w:hyperlink w:anchor="_Toc387325520" w:history="1">
        <w:r w:rsidR="0098538E" w:rsidRPr="0098538E">
          <w:rPr>
            <w:rStyle w:val="Hyperlink"/>
            <w:rFonts w:asciiTheme="majorHAnsi" w:hAnsiTheme="majorHAnsi"/>
            <w:noProof/>
            <w:sz w:val="22"/>
            <w:szCs w:val="22"/>
          </w:rPr>
          <w:t>3.</w:t>
        </w:r>
        <w:r w:rsidR="0098538E" w:rsidRPr="0098538E">
          <w:rPr>
            <w:rFonts w:asciiTheme="majorHAnsi" w:eastAsiaTheme="minorEastAsia" w:hAnsiTheme="majorHAnsi" w:cstheme="minorBidi"/>
            <w:noProof/>
            <w:sz w:val="22"/>
            <w:szCs w:val="22"/>
          </w:rPr>
          <w:tab/>
        </w:r>
        <w:r w:rsidR="0098538E" w:rsidRPr="0098538E">
          <w:rPr>
            <w:rStyle w:val="Hyperlink"/>
            <w:rFonts w:asciiTheme="majorHAnsi" w:hAnsiTheme="majorHAnsi"/>
            <w:noProof/>
            <w:sz w:val="22"/>
            <w:szCs w:val="22"/>
          </w:rPr>
          <w:t>Projections of the Fiscal and Social Impact for the National Pension System: No-reform Scenario</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_Toc387325520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12</w:t>
        </w:r>
        <w:r w:rsidR="0098538E" w:rsidRPr="0098538E">
          <w:rPr>
            <w:rFonts w:asciiTheme="majorHAnsi" w:hAnsiTheme="majorHAnsi"/>
            <w:noProof/>
            <w:webHidden/>
            <w:sz w:val="22"/>
            <w:szCs w:val="22"/>
          </w:rPr>
          <w:fldChar w:fldCharType="end"/>
        </w:r>
      </w:hyperlink>
    </w:p>
    <w:p w14:paraId="44CE8EBB" w14:textId="77777777" w:rsidR="0098538E" w:rsidRPr="0098538E" w:rsidRDefault="00C646A3">
      <w:pPr>
        <w:pStyle w:val="TOC1"/>
        <w:tabs>
          <w:tab w:val="left" w:pos="630"/>
          <w:tab w:val="right" w:leader="dot" w:pos="9350"/>
        </w:tabs>
        <w:rPr>
          <w:rFonts w:asciiTheme="majorHAnsi" w:eastAsiaTheme="minorEastAsia" w:hAnsiTheme="majorHAnsi" w:cstheme="minorBidi"/>
          <w:noProof/>
          <w:sz w:val="22"/>
          <w:szCs w:val="22"/>
        </w:rPr>
      </w:pPr>
      <w:hyperlink w:anchor="_Toc387325521" w:history="1">
        <w:r w:rsidR="0098538E" w:rsidRPr="0098538E">
          <w:rPr>
            <w:rStyle w:val="Hyperlink"/>
            <w:rFonts w:asciiTheme="majorHAnsi" w:hAnsiTheme="majorHAnsi"/>
            <w:noProof/>
            <w:sz w:val="22"/>
            <w:szCs w:val="22"/>
          </w:rPr>
          <w:t>4.</w:t>
        </w:r>
        <w:r w:rsidR="0098538E" w:rsidRPr="0098538E">
          <w:rPr>
            <w:rFonts w:asciiTheme="majorHAnsi" w:eastAsiaTheme="minorEastAsia" w:hAnsiTheme="majorHAnsi" w:cstheme="minorBidi"/>
            <w:noProof/>
            <w:sz w:val="22"/>
            <w:szCs w:val="22"/>
          </w:rPr>
          <w:tab/>
        </w:r>
        <w:r w:rsidR="0098538E" w:rsidRPr="0098538E">
          <w:rPr>
            <w:rStyle w:val="Hyperlink"/>
            <w:rFonts w:asciiTheme="majorHAnsi" w:hAnsiTheme="majorHAnsi"/>
            <w:noProof/>
            <w:sz w:val="22"/>
            <w:szCs w:val="22"/>
          </w:rPr>
          <w:t>Possible Reform Options</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_Toc387325521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17</w:t>
        </w:r>
        <w:r w:rsidR="0098538E" w:rsidRPr="0098538E">
          <w:rPr>
            <w:rFonts w:asciiTheme="majorHAnsi" w:hAnsiTheme="majorHAnsi"/>
            <w:noProof/>
            <w:webHidden/>
            <w:sz w:val="22"/>
            <w:szCs w:val="22"/>
          </w:rPr>
          <w:fldChar w:fldCharType="end"/>
        </w:r>
      </w:hyperlink>
    </w:p>
    <w:p w14:paraId="4346667D" w14:textId="77777777" w:rsidR="0098538E" w:rsidRPr="0098538E" w:rsidRDefault="00C646A3">
      <w:pPr>
        <w:pStyle w:val="TOC2"/>
        <w:rPr>
          <w:rFonts w:asciiTheme="majorHAnsi" w:eastAsiaTheme="minorEastAsia" w:hAnsiTheme="majorHAnsi" w:cstheme="minorBidi"/>
          <w:noProof/>
          <w:sz w:val="22"/>
          <w:szCs w:val="22"/>
        </w:rPr>
      </w:pPr>
      <w:hyperlink w:anchor="_Toc387325522" w:history="1">
        <w:r w:rsidR="0098538E" w:rsidRPr="0098538E">
          <w:rPr>
            <w:rStyle w:val="Hyperlink"/>
            <w:rFonts w:asciiTheme="majorHAnsi" w:hAnsiTheme="majorHAnsi"/>
            <w:noProof/>
            <w:sz w:val="22"/>
            <w:szCs w:val="22"/>
          </w:rPr>
          <w:t>Main Results of Proposed Reforms</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_Toc387325522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24</w:t>
        </w:r>
        <w:r w:rsidR="0098538E" w:rsidRPr="0098538E">
          <w:rPr>
            <w:rFonts w:asciiTheme="majorHAnsi" w:hAnsiTheme="majorHAnsi"/>
            <w:noProof/>
            <w:webHidden/>
            <w:sz w:val="22"/>
            <w:szCs w:val="22"/>
          </w:rPr>
          <w:fldChar w:fldCharType="end"/>
        </w:r>
      </w:hyperlink>
    </w:p>
    <w:p w14:paraId="7ED698FB" w14:textId="77777777" w:rsidR="0098538E" w:rsidRPr="0098538E" w:rsidRDefault="00C646A3">
      <w:pPr>
        <w:pStyle w:val="TOC1"/>
        <w:tabs>
          <w:tab w:val="left" w:pos="630"/>
          <w:tab w:val="right" w:leader="dot" w:pos="9350"/>
        </w:tabs>
        <w:rPr>
          <w:rFonts w:asciiTheme="majorHAnsi" w:eastAsiaTheme="minorEastAsia" w:hAnsiTheme="majorHAnsi" w:cstheme="minorBidi"/>
          <w:noProof/>
          <w:sz w:val="22"/>
          <w:szCs w:val="22"/>
        </w:rPr>
      </w:pPr>
      <w:hyperlink w:anchor="_Toc387325523" w:history="1">
        <w:r w:rsidR="0098538E" w:rsidRPr="0098538E">
          <w:rPr>
            <w:rStyle w:val="Hyperlink"/>
            <w:rFonts w:asciiTheme="majorHAnsi" w:hAnsiTheme="majorHAnsi"/>
            <w:noProof/>
            <w:sz w:val="22"/>
            <w:szCs w:val="22"/>
          </w:rPr>
          <w:t>5.</w:t>
        </w:r>
        <w:r w:rsidR="0098538E" w:rsidRPr="0098538E">
          <w:rPr>
            <w:rFonts w:asciiTheme="majorHAnsi" w:eastAsiaTheme="minorEastAsia" w:hAnsiTheme="majorHAnsi" w:cstheme="minorBidi"/>
            <w:noProof/>
            <w:sz w:val="22"/>
            <w:szCs w:val="22"/>
          </w:rPr>
          <w:tab/>
        </w:r>
        <w:r w:rsidR="0098538E" w:rsidRPr="0098538E">
          <w:rPr>
            <w:rStyle w:val="Hyperlink"/>
            <w:rFonts w:asciiTheme="majorHAnsi" w:hAnsiTheme="majorHAnsi"/>
            <w:noProof/>
            <w:sz w:val="22"/>
            <w:szCs w:val="22"/>
          </w:rPr>
          <w:t>Remaining Issues</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_Toc387325523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26</w:t>
        </w:r>
        <w:r w:rsidR="0098538E" w:rsidRPr="0098538E">
          <w:rPr>
            <w:rFonts w:asciiTheme="majorHAnsi" w:hAnsiTheme="majorHAnsi"/>
            <w:noProof/>
            <w:webHidden/>
            <w:sz w:val="22"/>
            <w:szCs w:val="22"/>
          </w:rPr>
          <w:fldChar w:fldCharType="end"/>
        </w:r>
      </w:hyperlink>
    </w:p>
    <w:p w14:paraId="09B7D1A5" w14:textId="77777777" w:rsidR="0098538E" w:rsidRPr="0098538E" w:rsidRDefault="00C646A3">
      <w:pPr>
        <w:pStyle w:val="TOC1"/>
        <w:tabs>
          <w:tab w:val="left" w:pos="630"/>
          <w:tab w:val="right" w:leader="dot" w:pos="9350"/>
        </w:tabs>
        <w:rPr>
          <w:rFonts w:asciiTheme="majorHAnsi" w:eastAsiaTheme="minorEastAsia" w:hAnsiTheme="majorHAnsi" w:cstheme="minorBidi"/>
          <w:noProof/>
          <w:sz w:val="22"/>
          <w:szCs w:val="22"/>
        </w:rPr>
      </w:pPr>
      <w:hyperlink w:anchor="_Toc387325524" w:history="1">
        <w:r w:rsidR="0098538E" w:rsidRPr="0098538E">
          <w:rPr>
            <w:rStyle w:val="Hyperlink"/>
            <w:rFonts w:asciiTheme="majorHAnsi" w:hAnsiTheme="majorHAnsi"/>
            <w:noProof/>
            <w:sz w:val="22"/>
            <w:szCs w:val="22"/>
          </w:rPr>
          <w:t>6.</w:t>
        </w:r>
        <w:r w:rsidR="0098538E" w:rsidRPr="0098538E">
          <w:rPr>
            <w:rFonts w:asciiTheme="majorHAnsi" w:eastAsiaTheme="minorEastAsia" w:hAnsiTheme="majorHAnsi" w:cstheme="minorBidi"/>
            <w:noProof/>
            <w:sz w:val="22"/>
            <w:szCs w:val="22"/>
          </w:rPr>
          <w:tab/>
        </w:r>
        <w:r w:rsidR="0098538E" w:rsidRPr="0098538E">
          <w:rPr>
            <w:rStyle w:val="Hyperlink"/>
            <w:rFonts w:asciiTheme="majorHAnsi" w:hAnsiTheme="majorHAnsi"/>
            <w:noProof/>
            <w:sz w:val="22"/>
            <w:szCs w:val="22"/>
          </w:rPr>
          <w:t>Conclusions: The Way Forward</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_Toc387325524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27</w:t>
        </w:r>
        <w:r w:rsidR="0098538E" w:rsidRPr="0098538E">
          <w:rPr>
            <w:rFonts w:asciiTheme="majorHAnsi" w:hAnsiTheme="majorHAnsi"/>
            <w:noProof/>
            <w:webHidden/>
            <w:sz w:val="22"/>
            <w:szCs w:val="22"/>
          </w:rPr>
          <w:fldChar w:fldCharType="end"/>
        </w:r>
      </w:hyperlink>
    </w:p>
    <w:p w14:paraId="6BF24F2D" w14:textId="77777777" w:rsidR="0098538E" w:rsidRDefault="00C646A3">
      <w:pPr>
        <w:pStyle w:val="TOC1"/>
        <w:tabs>
          <w:tab w:val="right" w:leader="dot" w:pos="9350"/>
        </w:tabs>
        <w:rPr>
          <w:rFonts w:asciiTheme="minorHAnsi" w:eastAsiaTheme="minorEastAsia" w:hAnsiTheme="minorHAnsi" w:cstheme="minorBidi"/>
          <w:noProof/>
          <w:sz w:val="22"/>
          <w:szCs w:val="22"/>
        </w:rPr>
      </w:pPr>
      <w:hyperlink w:anchor="_Toc387325525" w:history="1">
        <w:r w:rsidR="0098538E" w:rsidRPr="0098538E">
          <w:rPr>
            <w:rStyle w:val="Hyperlink"/>
            <w:rFonts w:asciiTheme="majorHAnsi" w:hAnsiTheme="majorHAnsi"/>
            <w:noProof/>
            <w:sz w:val="22"/>
            <w:szCs w:val="22"/>
          </w:rPr>
          <w:t>References</w:t>
        </w:r>
        <w:r w:rsidR="0098538E" w:rsidRPr="0098538E">
          <w:rPr>
            <w:rFonts w:asciiTheme="majorHAnsi" w:hAnsiTheme="majorHAnsi"/>
            <w:noProof/>
            <w:webHidden/>
            <w:sz w:val="22"/>
            <w:szCs w:val="22"/>
          </w:rPr>
          <w:tab/>
        </w:r>
        <w:r w:rsidR="0098538E" w:rsidRPr="0098538E">
          <w:rPr>
            <w:rFonts w:asciiTheme="majorHAnsi" w:hAnsiTheme="majorHAnsi"/>
            <w:noProof/>
            <w:webHidden/>
            <w:sz w:val="22"/>
            <w:szCs w:val="22"/>
          </w:rPr>
          <w:fldChar w:fldCharType="begin"/>
        </w:r>
        <w:r w:rsidR="0098538E" w:rsidRPr="0098538E">
          <w:rPr>
            <w:rFonts w:asciiTheme="majorHAnsi" w:hAnsiTheme="majorHAnsi"/>
            <w:noProof/>
            <w:webHidden/>
            <w:sz w:val="22"/>
            <w:szCs w:val="22"/>
          </w:rPr>
          <w:instrText xml:space="preserve"> PAGEREF _Toc387325525 \h </w:instrText>
        </w:r>
        <w:r w:rsidR="0098538E" w:rsidRPr="0098538E">
          <w:rPr>
            <w:rFonts w:asciiTheme="majorHAnsi" w:hAnsiTheme="majorHAnsi"/>
            <w:noProof/>
            <w:webHidden/>
            <w:sz w:val="22"/>
            <w:szCs w:val="22"/>
          </w:rPr>
        </w:r>
        <w:r w:rsidR="0098538E" w:rsidRPr="0098538E">
          <w:rPr>
            <w:rFonts w:asciiTheme="majorHAnsi" w:hAnsiTheme="majorHAnsi"/>
            <w:noProof/>
            <w:webHidden/>
            <w:sz w:val="22"/>
            <w:szCs w:val="22"/>
          </w:rPr>
          <w:fldChar w:fldCharType="separate"/>
        </w:r>
        <w:r>
          <w:rPr>
            <w:rFonts w:asciiTheme="majorHAnsi" w:hAnsiTheme="majorHAnsi"/>
            <w:noProof/>
            <w:webHidden/>
            <w:sz w:val="22"/>
            <w:szCs w:val="22"/>
          </w:rPr>
          <w:t>34</w:t>
        </w:r>
        <w:r w:rsidR="0098538E" w:rsidRPr="0098538E">
          <w:rPr>
            <w:rFonts w:asciiTheme="majorHAnsi" w:hAnsiTheme="majorHAnsi"/>
            <w:noProof/>
            <w:webHidden/>
            <w:sz w:val="22"/>
            <w:szCs w:val="22"/>
          </w:rPr>
          <w:fldChar w:fldCharType="end"/>
        </w:r>
      </w:hyperlink>
    </w:p>
    <w:p w14:paraId="0BA70242" w14:textId="77777777" w:rsidR="009A5654" w:rsidRDefault="00C11A93" w:rsidP="00C20EC5">
      <w:pPr>
        <w:rPr>
          <w:rFonts w:ascii="Cambria" w:hAnsi="Cambria"/>
        </w:rPr>
      </w:pPr>
      <w:r w:rsidRPr="00E56B66">
        <w:rPr>
          <w:rFonts w:asciiTheme="majorHAnsi" w:hAnsiTheme="majorHAnsi"/>
          <w:sz w:val="22"/>
          <w:szCs w:val="22"/>
        </w:rPr>
        <w:fldChar w:fldCharType="end"/>
      </w:r>
    </w:p>
    <w:p w14:paraId="210E5D71" w14:textId="77777777" w:rsidR="00C11A93" w:rsidRPr="00A11D79" w:rsidRDefault="00C11A93" w:rsidP="00C11A93">
      <w:pPr>
        <w:jc w:val="center"/>
        <w:rPr>
          <w:rFonts w:ascii="Cambria" w:hAnsi="Cambria"/>
          <w:b/>
          <w:sz w:val="22"/>
          <w:szCs w:val="22"/>
        </w:rPr>
      </w:pPr>
      <w:r w:rsidRPr="00A11D79">
        <w:rPr>
          <w:rFonts w:ascii="Cambria" w:hAnsi="Cambria"/>
          <w:b/>
          <w:sz w:val="22"/>
          <w:szCs w:val="22"/>
        </w:rPr>
        <w:t>List of Annexes</w:t>
      </w:r>
    </w:p>
    <w:p w14:paraId="3F238C1F" w14:textId="77777777" w:rsidR="00C11A93" w:rsidRDefault="00C11A93" w:rsidP="00C20EC5">
      <w:pPr>
        <w:rPr>
          <w:rFonts w:ascii="Cambria" w:hAnsi="Cambria"/>
        </w:rPr>
      </w:pPr>
    </w:p>
    <w:p w14:paraId="1D697E8D" w14:textId="77777777" w:rsidR="00EF1B17" w:rsidRPr="00EF1B17" w:rsidRDefault="00C11A93">
      <w:pPr>
        <w:pStyle w:val="TableofFigures"/>
        <w:tabs>
          <w:tab w:val="right" w:leader="dot" w:pos="9350"/>
        </w:tabs>
        <w:rPr>
          <w:rFonts w:ascii="Cambria" w:eastAsiaTheme="minorEastAsia" w:hAnsi="Cambria" w:cstheme="minorBidi"/>
          <w:noProof/>
          <w:sz w:val="22"/>
          <w:szCs w:val="22"/>
        </w:rPr>
      </w:pPr>
      <w:r w:rsidRPr="00D0740C">
        <w:rPr>
          <w:rFonts w:asciiTheme="majorHAnsi" w:hAnsiTheme="majorHAnsi"/>
          <w:sz w:val="22"/>
          <w:szCs w:val="22"/>
        </w:rPr>
        <w:fldChar w:fldCharType="begin"/>
      </w:r>
      <w:r w:rsidRPr="00D0740C">
        <w:rPr>
          <w:rFonts w:asciiTheme="majorHAnsi" w:hAnsiTheme="majorHAnsi"/>
          <w:sz w:val="22"/>
          <w:szCs w:val="22"/>
        </w:rPr>
        <w:instrText xml:space="preserve"> TOC \h \z \c "Annex" </w:instrText>
      </w:r>
      <w:r w:rsidRPr="00D0740C">
        <w:rPr>
          <w:rFonts w:asciiTheme="majorHAnsi" w:hAnsiTheme="majorHAnsi"/>
          <w:sz w:val="22"/>
          <w:szCs w:val="22"/>
        </w:rPr>
        <w:fldChar w:fldCharType="separate"/>
      </w:r>
      <w:hyperlink w:anchor="_Toc378163789" w:history="1">
        <w:r w:rsidR="00EF1B17" w:rsidRPr="00EF1B17">
          <w:rPr>
            <w:rStyle w:val="Hyperlink"/>
            <w:rFonts w:ascii="Cambria" w:eastAsiaTheme="majorEastAsia" w:hAnsi="Cambria"/>
            <w:noProof/>
            <w:sz w:val="22"/>
            <w:szCs w:val="22"/>
          </w:rPr>
          <w:t>Annex 1. Main Parameters of the Kyrgyz Contributory Pension System</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_Toc378163789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sidR="00C646A3">
          <w:rPr>
            <w:rFonts w:ascii="Cambria" w:hAnsi="Cambria"/>
            <w:noProof/>
            <w:webHidden/>
            <w:sz w:val="22"/>
            <w:szCs w:val="22"/>
          </w:rPr>
          <w:t>29</w:t>
        </w:r>
        <w:r w:rsidR="00EF1B17" w:rsidRPr="00EF1B17">
          <w:rPr>
            <w:rFonts w:ascii="Cambria" w:hAnsi="Cambria"/>
            <w:noProof/>
            <w:webHidden/>
            <w:sz w:val="22"/>
            <w:szCs w:val="22"/>
          </w:rPr>
          <w:fldChar w:fldCharType="end"/>
        </w:r>
      </w:hyperlink>
    </w:p>
    <w:p w14:paraId="73289FB7" w14:textId="77777777" w:rsidR="00EF1B17" w:rsidRDefault="00C646A3">
      <w:pPr>
        <w:pStyle w:val="TableofFigures"/>
        <w:tabs>
          <w:tab w:val="right" w:leader="dot" w:pos="9350"/>
        </w:tabs>
        <w:rPr>
          <w:rFonts w:asciiTheme="minorHAnsi" w:eastAsiaTheme="minorEastAsia" w:hAnsiTheme="minorHAnsi" w:cstheme="minorBidi"/>
          <w:noProof/>
          <w:sz w:val="22"/>
          <w:szCs w:val="22"/>
        </w:rPr>
      </w:pPr>
      <w:hyperlink w:anchor="_Toc378163790" w:history="1">
        <w:r w:rsidR="00EF1B17" w:rsidRPr="00EF1B17">
          <w:rPr>
            <w:rStyle w:val="Hyperlink"/>
            <w:rFonts w:ascii="Cambria" w:eastAsiaTheme="majorEastAsia" w:hAnsi="Cambria"/>
            <w:noProof/>
            <w:sz w:val="22"/>
            <w:szCs w:val="22"/>
          </w:rPr>
          <w:t>Annex 2. Main Assumptions and Projection Methodology</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_Toc378163790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30</w:t>
        </w:r>
        <w:r w:rsidR="00EF1B17" w:rsidRPr="00EF1B17">
          <w:rPr>
            <w:rFonts w:ascii="Cambria" w:hAnsi="Cambria"/>
            <w:noProof/>
            <w:webHidden/>
            <w:sz w:val="22"/>
            <w:szCs w:val="22"/>
          </w:rPr>
          <w:fldChar w:fldCharType="end"/>
        </w:r>
      </w:hyperlink>
    </w:p>
    <w:p w14:paraId="4CD11571" w14:textId="77777777" w:rsidR="00C11A93" w:rsidRDefault="00C11A93" w:rsidP="00C20EC5">
      <w:pPr>
        <w:rPr>
          <w:rFonts w:ascii="Cambria" w:hAnsi="Cambria"/>
          <w:sz w:val="22"/>
          <w:szCs w:val="22"/>
        </w:rPr>
      </w:pPr>
      <w:r w:rsidRPr="00D0740C">
        <w:rPr>
          <w:rFonts w:asciiTheme="majorHAnsi" w:hAnsiTheme="majorHAnsi"/>
          <w:sz w:val="22"/>
          <w:szCs w:val="22"/>
        </w:rPr>
        <w:fldChar w:fldCharType="end"/>
      </w:r>
    </w:p>
    <w:p w14:paraId="6437DFDF" w14:textId="77777777" w:rsidR="00C11A93" w:rsidRPr="00A11D79" w:rsidRDefault="00C11A93" w:rsidP="00C11A93">
      <w:pPr>
        <w:jc w:val="center"/>
        <w:rPr>
          <w:rFonts w:ascii="Cambria" w:hAnsi="Cambria"/>
          <w:b/>
          <w:sz w:val="22"/>
          <w:szCs w:val="22"/>
        </w:rPr>
      </w:pPr>
      <w:r w:rsidRPr="00A11D79">
        <w:rPr>
          <w:rFonts w:ascii="Cambria" w:hAnsi="Cambria"/>
          <w:b/>
          <w:sz w:val="22"/>
          <w:szCs w:val="22"/>
        </w:rPr>
        <w:t>List of Figures</w:t>
      </w:r>
    </w:p>
    <w:p w14:paraId="4E9465BF" w14:textId="77777777" w:rsidR="00C11A93" w:rsidRDefault="00C11A93" w:rsidP="00C11A93">
      <w:pPr>
        <w:jc w:val="center"/>
        <w:rPr>
          <w:rFonts w:ascii="Cambria" w:hAnsi="Cambria"/>
          <w:b/>
        </w:rPr>
      </w:pPr>
    </w:p>
    <w:p w14:paraId="62F500ED" w14:textId="77777777" w:rsidR="00EF1B17" w:rsidRPr="00EF1B17" w:rsidRDefault="00C11A93">
      <w:pPr>
        <w:pStyle w:val="TableofFigures"/>
        <w:tabs>
          <w:tab w:val="right" w:leader="dot" w:pos="9350"/>
        </w:tabs>
        <w:rPr>
          <w:rFonts w:ascii="Cambria" w:eastAsiaTheme="minorEastAsia" w:hAnsi="Cambria" w:cstheme="minorBidi"/>
          <w:noProof/>
          <w:sz w:val="22"/>
          <w:szCs w:val="22"/>
        </w:rPr>
      </w:pPr>
      <w:r w:rsidRPr="007B0395">
        <w:rPr>
          <w:rFonts w:ascii="Cambria" w:hAnsi="Cambria"/>
          <w:b/>
          <w:sz w:val="22"/>
          <w:szCs w:val="22"/>
        </w:rPr>
        <w:fldChar w:fldCharType="begin"/>
      </w:r>
      <w:r w:rsidRPr="007B0395">
        <w:rPr>
          <w:rFonts w:ascii="Cambria" w:hAnsi="Cambria"/>
          <w:b/>
          <w:sz w:val="22"/>
          <w:szCs w:val="22"/>
        </w:rPr>
        <w:instrText xml:space="preserve"> TOC \h \z \c "Figure " </w:instrText>
      </w:r>
      <w:r w:rsidRPr="007B0395">
        <w:rPr>
          <w:rFonts w:ascii="Cambria" w:hAnsi="Cambria"/>
          <w:b/>
          <w:sz w:val="22"/>
          <w:szCs w:val="22"/>
        </w:rPr>
        <w:fldChar w:fldCharType="separate"/>
      </w:r>
      <w:hyperlink w:anchor="_Toc378163834" w:history="1">
        <w:r w:rsidR="00EF1B17" w:rsidRPr="00EF1B17">
          <w:rPr>
            <w:rStyle w:val="Hyperlink"/>
            <w:rFonts w:ascii="Cambria" w:eastAsiaTheme="majorEastAsia" w:hAnsi="Cambria"/>
            <w:noProof/>
            <w:sz w:val="22"/>
            <w:szCs w:val="22"/>
          </w:rPr>
          <w:t>Figure 1. Central Government Budget Pension Spending</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_Toc378163834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sidR="00C646A3">
          <w:rPr>
            <w:rFonts w:ascii="Cambria" w:hAnsi="Cambria"/>
            <w:noProof/>
            <w:webHidden/>
            <w:sz w:val="22"/>
            <w:szCs w:val="22"/>
          </w:rPr>
          <w:t>5</w:t>
        </w:r>
        <w:r w:rsidR="00EF1B17" w:rsidRPr="00EF1B17">
          <w:rPr>
            <w:rFonts w:ascii="Cambria" w:hAnsi="Cambria"/>
            <w:noProof/>
            <w:webHidden/>
            <w:sz w:val="22"/>
            <w:szCs w:val="22"/>
          </w:rPr>
          <w:fldChar w:fldCharType="end"/>
        </w:r>
      </w:hyperlink>
    </w:p>
    <w:p w14:paraId="6C3180ED"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35" w:history="1">
        <w:r w:rsidR="00EF1B17" w:rsidRPr="00EF1B17">
          <w:rPr>
            <w:rStyle w:val="Hyperlink"/>
            <w:rFonts w:ascii="Cambria" w:eastAsiaTheme="majorEastAsia" w:hAnsi="Cambria"/>
            <w:noProof/>
            <w:sz w:val="22"/>
            <w:szCs w:val="22"/>
          </w:rPr>
          <w:t>Figure 2. Average Public Pension Expenditure by Region</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_Toc378163835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6</w:t>
        </w:r>
        <w:r w:rsidR="00EF1B17" w:rsidRPr="00EF1B17">
          <w:rPr>
            <w:rFonts w:ascii="Cambria" w:hAnsi="Cambria"/>
            <w:noProof/>
            <w:webHidden/>
            <w:sz w:val="22"/>
            <w:szCs w:val="22"/>
          </w:rPr>
          <w:fldChar w:fldCharType="end"/>
        </w:r>
      </w:hyperlink>
    </w:p>
    <w:p w14:paraId="422BF577"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36" w:history="1">
        <w:r w:rsidR="00EF1B17" w:rsidRPr="00EF1B17">
          <w:rPr>
            <w:rStyle w:val="Hyperlink"/>
            <w:rFonts w:ascii="Cambria" w:eastAsiaTheme="majorEastAsia" w:hAnsi="Cambria"/>
            <w:noProof/>
            <w:sz w:val="22"/>
            <w:szCs w:val="22"/>
          </w:rPr>
          <w:t>Figure 3. Public Pension Spending versus Percentage of Population over 65</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_Toc378163836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6</w:t>
        </w:r>
        <w:r w:rsidR="00EF1B17" w:rsidRPr="00EF1B17">
          <w:rPr>
            <w:rFonts w:ascii="Cambria" w:hAnsi="Cambria"/>
            <w:noProof/>
            <w:webHidden/>
            <w:sz w:val="22"/>
            <w:szCs w:val="22"/>
          </w:rPr>
          <w:fldChar w:fldCharType="end"/>
        </w:r>
      </w:hyperlink>
    </w:p>
    <w:p w14:paraId="2B74A954"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37" w:history="1">
        <w:r w:rsidR="00EF1B17" w:rsidRPr="00EF1B17">
          <w:rPr>
            <w:rStyle w:val="Hyperlink"/>
            <w:rFonts w:ascii="Cambria" w:eastAsiaTheme="majorEastAsia" w:hAnsi="Cambria"/>
            <w:noProof/>
            <w:sz w:val="22"/>
            <w:szCs w:val="22"/>
          </w:rPr>
          <w:t>Figure 4. Total Old-Age Pensioners as Percentage of Population over 65</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_Toc378163837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7</w:t>
        </w:r>
        <w:r w:rsidR="00EF1B17" w:rsidRPr="00EF1B17">
          <w:rPr>
            <w:rFonts w:ascii="Cambria" w:hAnsi="Cambria"/>
            <w:noProof/>
            <w:webHidden/>
            <w:sz w:val="22"/>
            <w:szCs w:val="22"/>
          </w:rPr>
          <w:fldChar w:fldCharType="end"/>
        </w:r>
      </w:hyperlink>
    </w:p>
    <w:p w14:paraId="3590BFDA"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38" w:history="1">
        <w:r w:rsidR="00EF1B17" w:rsidRPr="00EF1B17">
          <w:rPr>
            <w:rStyle w:val="Hyperlink"/>
            <w:rFonts w:ascii="Cambria" w:eastAsiaTheme="majorEastAsia" w:hAnsi="Cambria"/>
            <w:noProof/>
            <w:sz w:val="22"/>
            <w:szCs w:val="22"/>
          </w:rPr>
          <w:t>Figure 5. Average Coverage Rates by Region</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_Toc378163838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8</w:t>
        </w:r>
        <w:r w:rsidR="00EF1B17" w:rsidRPr="00EF1B17">
          <w:rPr>
            <w:rFonts w:ascii="Cambria" w:hAnsi="Cambria"/>
            <w:noProof/>
            <w:webHidden/>
            <w:sz w:val="22"/>
            <w:szCs w:val="22"/>
          </w:rPr>
          <w:fldChar w:fldCharType="end"/>
        </w:r>
      </w:hyperlink>
    </w:p>
    <w:p w14:paraId="0D1CDADA"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39" w:history="1">
        <w:r w:rsidR="00EF1B17" w:rsidRPr="00EF1B17">
          <w:rPr>
            <w:rStyle w:val="Hyperlink"/>
            <w:rFonts w:ascii="Cambria" w:eastAsiaTheme="majorEastAsia" w:hAnsi="Cambria"/>
            <w:noProof/>
            <w:sz w:val="22"/>
            <w:szCs w:val="22"/>
          </w:rPr>
          <w:t>Figure 6. Average Contribution Rates by Region</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_Toc378163839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11</w:t>
        </w:r>
        <w:r w:rsidR="00EF1B17" w:rsidRPr="00EF1B17">
          <w:rPr>
            <w:rFonts w:ascii="Cambria" w:hAnsi="Cambria"/>
            <w:noProof/>
            <w:webHidden/>
            <w:sz w:val="22"/>
            <w:szCs w:val="22"/>
          </w:rPr>
          <w:fldChar w:fldCharType="end"/>
        </w:r>
      </w:hyperlink>
    </w:p>
    <w:p w14:paraId="270489B4"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0" w:history="1">
        <w:r w:rsidR="00EF1B17" w:rsidRPr="00EF1B17">
          <w:rPr>
            <w:rStyle w:val="Hyperlink"/>
            <w:rFonts w:ascii="Cambria" w:eastAsiaTheme="majorEastAsia" w:hAnsi="Cambria"/>
            <w:noProof/>
            <w:sz w:val="22"/>
            <w:szCs w:val="22"/>
          </w:rPr>
          <w:t>Figure 7. Dependency Rates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_Toc378163840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12</w:t>
        </w:r>
        <w:r w:rsidR="00EF1B17" w:rsidRPr="00EF1B17">
          <w:rPr>
            <w:rFonts w:ascii="Cambria" w:hAnsi="Cambria"/>
            <w:noProof/>
            <w:webHidden/>
            <w:sz w:val="22"/>
            <w:szCs w:val="22"/>
          </w:rPr>
          <w:fldChar w:fldCharType="end"/>
        </w:r>
      </w:hyperlink>
    </w:p>
    <w:p w14:paraId="7423942E"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1" w:history="1">
        <w:r w:rsidR="00EF1B17" w:rsidRPr="00EF1B17">
          <w:rPr>
            <w:rStyle w:val="Hyperlink"/>
            <w:rFonts w:ascii="Cambria" w:eastAsiaTheme="majorEastAsia" w:hAnsi="Cambria"/>
            <w:noProof/>
            <w:sz w:val="22"/>
            <w:szCs w:val="22"/>
          </w:rPr>
          <w:t>Figure 8. Average Replacement Rates for New Old-Age Pensioners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_Toc378163841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13</w:t>
        </w:r>
        <w:r w:rsidR="00EF1B17" w:rsidRPr="00EF1B17">
          <w:rPr>
            <w:rFonts w:ascii="Cambria" w:hAnsi="Cambria"/>
            <w:noProof/>
            <w:webHidden/>
            <w:sz w:val="22"/>
            <w:szCs w:val="22"/>
          </w:rPr>
          <w:fldChar w:fldCharType="end"/>
        </w:r>
      </w:hyperlink>
    </w:p>
    <w:p w14:paraId="13F8A818"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2" w:history="1">
        <w:r w:rsidR="00EF1B17" w:rsidRPr="00EF1B17">
          <w:rPr>
            <w:rStyle w:val="Hyperlink"/>
            <w:rFonts w:ascii="Cambria" w:eastAsiaTheme="majorEastAsia" w:hAnsi="Cambria"/>
            <w:noProof/>
            <w:sz w:val="22"/>
            <w:szCs w:val="22"/>
          </w:rPr>
          <w:t>Figure 9. Average Replacement Rates for All Existing Old-Age Pensioners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_Toc378163842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14</w:t>
        </w:r>
        <w:r w:rsidR="00EF1B17" w:rsidRPr="00EF1B17">
          <w:rPr>
            <w:rFonts w:ascii="Cambria" w:hAnsi="Cambria"/>
            <w:noProof/>
            <w:webHidden/>
            <w:sz w:val="22"/>
            <w:szCs w:val="22"/>
          </w:rPr>
          <w:fldChar w:fldCharType="end"/>
        </w:r>
      </w:hyperlink>
    </w:p>
    <w:p w14:paraId="45554C1A"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3" w:history="1">
        <w:r w:rsidR="00EF1B17" w:rsidRPr="00EF1B17">
          <w:rPr>
            <w:rStyle w:val="Hyperlink"/>
            <w:rFonts w:ascii="Cambria" w:eastAsiaTheme="majorEastAsia" w:hAnsi="Cambria"/>
            <w:noProof/>
            <w:sz w:val="22"/>
            <w:szCs w:val="22"/>
          </w:rPr>
          <w:t>Figure 10. Pay-as-you-go System Financial Flows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_Toc378163843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15</w:t>
        </w:r>
        <w:r w:rsidR="00EF1B17" w:rsidRPr="00EF1B17">
          <w:rPr>
            <w:rFonts w:ascii="Cambria" w:hAnsi="Cambria"/>
            <w:noProof/>
            <w:webHidden/>
            <w:sz w:val="22"/>
            <w:szCs w:val="22"/>
          </w:rPr>
          <w:fldChar w:fldCharType="end"/>
        </w:r>
      </w:hyperlink>
    </w:p>
    <w:p w14:paraId="745561CD"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4" w:history="1">
        <w:r w:rsidR="00EF1B17" w:rsidRPr="00EF1B17">
          <w:rPr>
            <w:rStyle w:val="Hyperlink"/>
            <w:rFonts w:ascii="Cambria" w:eastAsiaTheme="majorEastAsia" w:hAnsi="Cambria"/>
            <w:noProof/>
            <w:sz w:val="22"/>
            <w:szCs w:val="22"/>
          </w:rPr>
          <w:t>Figure 11. Government Spending on Basic and Social Pensions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_Toc378163844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16</w:t>
        </w:r>
        <w:r w:rsidR="00EF1B17" w:rsidRPr="00EF1B17">
          <w:rPr>
            <w:rFonts w:ascii="Cambria" w:hAnsi="Cambria"/>
            <w:noProof/>
            <w:webHidden/>
            <w:sz w:val="22"/>
            <w:szCs w:val="22"/>
          </w:rPr>
          <w:fldChar w:fldCharType="end"/>
        </w:r>
      </w:hyperlink>
    </w:p>
    <w:p w14:paraId="0A95E5F2"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5" w:history="1">
        <w:r w:rsidR="00EF1B17" w:rsidRPr="00EF1B17">
          <w:rPr>
            <w:rStyle w:val="Hyperlink"/>
            <w:rFonts w:ascii="Cambria" w:eastAsiaTheme="majorEastAsia" w:hAnsi="Cambria"/>
            <w:noProof/>
            <w:sz w:val="22"/>
            <w:szCs w:val="22"/>
          </w:rPr>
          <w:t>Figure 12. Consolidated Public Pension Expenditures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_Toc378163845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16</w:t>
        </w:r>
        <w:r w:rsidR="00EF1B17" w:rsidRPr="00EF1B17">
          <w:rPr>
            <w:rFonts w:ascii="Cambria" w:hAnsi="Cambria"/>
            <w:noProof/>
            <w:webHidden/>
            <w:sz w:val="22"/>
            <w:szCs w:val="22"/>
          </w:rPr>
          <w:fldChar w:fldCharType="end"/>
        </w:r>
      </w:hyperlink>
    </w:p>
    <w:p w14:paraId="33A31AC1"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6" w:history="1">
        <w:r w:rsidR="00EF1B17" w:rsidRPr="00EF1B17">
          <w:rPr>
            <w:rStyle w:val="Hyperlink"/>
            <w:rFonts w:ascii="Cambria" w:eastAsiaTheme="majorEastAsia" w:hAnsi="Cambria"/>
            <w:noProof/>
            <w:sz w:val="22"/>
            <w:szCs w:val="22"/>
          </w:rPr>
          <w:t>Figure 13. Average Replacement Rates for New Old-Age Pensioners, Salaried Workers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_Toc378163846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18</w:t>
        </w:r>
        <w:r w:rsidR="00EF1B17" w:rsidRPr="00EF1B17">
          <w:rPr>
            <w:rFonts w:ascii="Cambria" w:hAnsi="Cambria"/>
            <w:noProof/>
            <w:webHidden/>
            <w:sz w:val="22"/>
            <w:szCs w:val="22"/>
          </w:rPr>
          <w:fldChar w:fldCharType="end"/>
        </w:r>
      </w:hyperlink>
    </w:p>
    <w:p w14:paraId="13462D8A"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7" w:history="1">
        <w:r w:rsidR="00EF1B17" w:rsidRPr="00EF1B17">
          <w:rPr>
            <w:rStyle w:val="Hyperlink"/>
            <w:rFonts w:ascii="Cambria" w:eastAsiaTheme="majorEastAsia" w:hAnsi="Cambria"/>
            <w:noProof/>
            <w:sz w:val="22"/>
            <w:szCs w:val="22"/>
          </w:rPr>
          <w:t>Figure 14. Average Replacement Rates for All Existing Old-Age Pensioners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_Toc378163847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19</w:t>
        </w:r>
        <w:r w:rsidR="00EF1B17" w:rsidRPr="00EF1B17">
          <w:rPr>
            <w:rFonts w:ascii="Cambria" w:hAnsi="Cambria"/>
            <w:noProof/>
            <w:webHidden/>
            <w:sz w:val="22"/>
            <w:szCs w:val="22"/>
          </w:rPr>
          <w:fldChar w:fldCharType="end"/>
        </w:r>
      </w:hyperlink>
    </w:p>
    <w:p w14:paraId="064DCF4B"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8" w:history="1">
        <w:r w:rsidR="00EF1B17" w:rsidRPr="00EF1B17">
          <w:rPr>
            <w:rStyle w:val="Hyperlink"/>
            <w:rFonts w:ascii="Cambria" w:eastAsiaTheme="majorEastAsia" w:hAnsi="Cambria"/>
            <w:noProof/>
            <w:sz w:val="22"/>
            <w:szCs w:val="22"/>
          </w:rPr>
          <w:t>Figure 15. Average Old-Age Pension as percent of Average Wage, Europe and Central Asia</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_Toc378163848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20</w:t>
        </w:r>
        <w:r w:rsidR="00EF1B17" w:rsidRPr="00EF1B17">
          <w:rPr>
            <w:rFonts w:ascii="Cambria" w:hAnsi="Cambria"/>
            <w:noProof/>
            <w:webHidden/>
            <w:sz w:val="22"/>
            <w:szCs w:val="22"/>
          </w:rPr>
          <w:fldChar w:fldCharType="end"/>
        </w:r>
      </w:hyperlink>
    </w:p>
    <w:p w14:paraId="721620A6"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49" w:history="1">
        <w:r w:rsidR="00EF1B17" w:rsidRPr="00EF1B17">
          <w:rPr>
            <w:rStyle w:val="Hyperlink"/>
            <w:rFonts w:ascii="Cambria" w:eastAsiaTheme="majorEastAsia" w:hAnsi="Cambria"/>
            <w:noProof/>
            <w:sz w:val="22"/>
            <w:szCs w:val="22"/>
          </w:rPr>
          <w:t>Figure 16. Social Fund (PAYG System) Annual Current Balance</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_Toc378163849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21</w:t>
        </w:r>
        <w:r w:rsidR="00EF1B17" w:rsidRPr="00EF1B17">
          <w:rPr>
            <w:rFonts w:ascii="Cambria" w:hAnsi="Cambria"/>
            <w:noProof/>
            <w:webHidden/>
            <w:sz w:val="22"/>
            <w:szCs w:val="22"/>
          </w:rPr>
          <w:fldChar w:fldCharType="end"/>
        </w:r>
      </w:hyperlink>
    </w:p>
    <w:p w14:paraId="55EF672E" w14:textId="77777777"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50" w:history="1">
        <w:r w:rsidR="00EF1B17" w:rsidRPr="00EF1B17">
          <w:rPr>
            <w:rStyle w:val="Hyperlink"/>
            <w:rFonts w:ascii="Cambria" w:eastAsiaTheme="majorEastAsia" w:hAnsi="Cambria"/>
            <w:noProof/>
            <w:sz w:val="22"/>
            <w:szCs w:val="22"/>
          </w:rPr>
          <w:t>Figure 17. System Dependency Rate</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_Toc378163850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21</w:t>
        </w:r>
        <w:r w:rsidR="00EF1B17" w:rsidRPr="00EF1B17">
          <w:rPr>
            <w:rFonts w:ascii="Cambria" w:hAnsi="Cambria"/>
            <w:noProof/>
            <w:webHidden/>
            <w:sz w:val="22"/>
            <w:szCs w:val="22"/>
          </w:rPr>
          <w:fldChar w:fldCharType="end"/>
        </w:r>
      </w:hyperlink>
    </w:p>
    <w:p w14:paraId="5C5638AF" w14:textId="4BA70B9E" w:rsidR="00EF1B17" w:rsidRPr="00EF1B17" w:rsidRDefault="00C646A3">
      <w:pPr>
        <w:pStyle w:val="TableofFigures"/>
        <w:tabs>
          <w:tab w:val="right" w:leader="dot" w:pos="9350"/>
        </w:tabs>
        <w:rPr>
          <w:rFonts w:ascii="Cambria" w:eastAsiaTheme="minorEastAsia" w:hAnsi="Cambria" w:cstheme="minorBidi"/>
          <w:noProof/>
          <w:sz w:val="22"/>
          <w:szCs w:val="22"/>
        </w:rPr>
      </w:pPr>
      <w:hyperlink w:anchor="_Toc378163851" w:history="1">
        <w:r w:rsidR="00EF1B17" w:rsidRPr="00EF1B17">
          <w:rPr>
            <w:rStyle w:val="Hyperlink"/>
            <w:rFonts w:ascii="Cambria" w:eastAsiaTheme="majorEastAsia" w:hAnsi="Cambria"/>
            <w:noProof/>
            <w:sz w:val="22"/>
            <w:szCs w:val="22"/>
          </w:rPr>
          <w:t>Figure 18. Cost to the Government: Basic and Social Pension or Demogrant + PAYG Deficit</w:t>
        </w:r>
        <w:r w:rsidR="00EF1B17">
          <w:rPr>
            <w:rStyle w:val="Hyperlink"/>
            <w:rFonts w:ascii="Cambria" w:eastAsiaTheme="majorEastAsia" w:hAnsi="Cambria"/>
            <w:noProof/>
            <w:sz w:val="22"/>
            <w:szCs w:val="22"/>
          </w:rPr>
          <w:br/>
          <w:t xml:space="preserve">                   </w:t>
        </w:r>
        <w:r w:rsidR="00EF1B17" w:rsidRPr="00EF1B17">
          <w:rPr>
            <w:rStyle w:val="Hyperlink"/>
            <w:rFonts w:ascii="Cambria" w:eastAsiaTheme="majorEastAsia" w:hAnsi="Cambria"/>
            <w:noProof/>
            <w:sz w:val="22"/>
            <w:szCs w:val="22"/>
          </w:rPr>
          <w:t xml:space="preserve"> Financing</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_Toc378163851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22</w:t>
        </w:r>
        <w:r w:rsidR="00EF1B17" w:rsidRPr="00EF1B17">
          <w:rPr>
            <w:rFonts w:ascii="Cambria" w:hAnsi="Cambria"/>
            <w:noProof/>
            <w:webHidden/>
            <w:sz w:val="22"/>
            <w:szCs w:val="22"/>
          </w:rPr>
          <w:fldChar w:fldCharType="end"/>
        </w:r>
      </w:hyperlink>
    </w:p>
    <w:p w14:paraId="72C97DC5" w14:textId="77777777" w:rsidR="00EF1B17" w:rsidRDefault="00C646A3">
      <w:pPr>
        <w:pStyle w:val="TableofFigures"/>
        <w:tabs>
          <w:tab w:val="right" w:leader="dot" w:pos="9350"/>
        </w:tabs>
        <w:rPr>
          <w:rFonts w:asciiTheme="minorHAnsi" w:eastAsiaTheme="minorEastAsia" w:hAnsiTheme="minorHAnsi" w:cstheme="minorBidi"/>
          <w:noProof/>
          <w:sz w:val="22"/>
          <w:szCs w:val="22"/>
        </w:rPr>
      </w:pPr>
      <w:hyperlink w:anchor="_Toc378163852" w:history="1">
        <w:r w:rsidR="00EF1B17" w:rsidRPr="00EF1B17">
          <w:rPr>
            <w:rStyle w:val="Hyperlink"/>
            <w:rFonts w:ascii="Cambria" w:eastAsiaTheme="majorEastAsia" w:hAnsi="Cambria"/>
            <w:noProof/>
            <w:sz w:val="22"/>
            <w:szCs w:val="22"/>
          </w:rPr>
          <w:t>Figure 19. Consolidated Public Pension Expenditures</w:t>
        </w:r>
        <w:r w:rsidR="00EF1B17" w:rsidRPr="00EF1B17">
          <w:rPr>
            <w:rFonts w:ascii="Cambria" w:hAnsi="Cambria"/>
            <w:noProof/>
            <w:webHidden/>
            <w:sz w:val="22"/>
            <w:szCs w:val="22"/>
          </w:rPr>
          <w:tab/>
        </w:r>
        <w:r w:rsidR="00EF1B17" w:rsidRPr="00EF1B17">
          <w:rPr>
            <w:rFonts w:ascii="Cambria" w:hAnsi="Cambria"/>
            <w:noProof/>
            <w:webHidden/>
            <w:sz w:val="22"/>
            <w:szCs w:val="22"/>
          </w:rPr>
          <w:fldChar w:fldCharType="begin"/>
        </w:r>
        <w:r w:rsidR="00EF1B17" w:rsidRPr="00EF1B17">
          <w:rPr>
            <w:rFonts w:ascii="Cambria" w:hAnsi="Cambria"/>
            <w:noProof/>
            <w:webHidden/>
            <w:sz w:val="22"/>
            <w:szCs w:val="22"/>
          </w:rPr>
          <w:instrText xml:space="preserve"> PAGEREF _Toc378163852 \h </w:instrText>
        </w:r>
        <w:r w:rsidR="00EF1B17" w:rsidRPr="00EF1B17">
          <w:rPr>
            <w:rFonts w:ascii="Cambria" w:hAnsi="Cambria"/>
            <w:noProof/>
            <w:webHidden/>
            <w:sz w:val="22"/>
            <w:szCs w:val="22"/>
          </w:rPr>
        </w:r>
        <w:r w:rsidR="00EF1B17" w:rsidRPr="00EF1B17">
          <w:rPr>
            <w:rFonts w:ascii="Cambria" w:hAnsi="Cambria"/>
            <w:noProof/>
            <w:webHidden/>
            <w:sz w:val="22"/>
            <w:szCs w:val="22"/>
          </w:rPr>
          <w:fldChar w:fldCharType="separate"/>
        </w:r>
        <w:r>
          <w:rPr>
            <w:rFonts w:ascii="Cambria" w:hAnsi="Cambria"/>
            <w:noProof/>
            <w:webHidden/>
            <w:sz w:val="22"/>
            <w:szCs w:val="22"/>
          </w:rPr>
          <w:t>23</w:t>
        </w:r>
        <w:r w:rsidR="00EF1B17" w:rsidRPr="00EF1B17">
          <w:rPr>
            <w:rFonts w:ascii="Cambria" w:hAnsi="Cambria"/>
            <w:noProof/>
            <w:webHidden/>
            <w:sz w:val="22"/>
            <w:szCs w:val="22"/>
          </w:rPr>
          <w:fldChar w:fldCharType="end"/>
        </w:r>
      </w:hyperlink>
    </w:p>
    <w:p w14:paraId="778B5DE4" w14:textId="6270D5B6" w:rsidR="007B2BCA" w:rsidRDefault="00C11A93" w:rsidP="00C11A93">
      <w:pPr>
        <w:jc w:val="center"/>
        <w:rPr>
          <w:rFonts w:ascii="Cambria" w:hAnsi="Cambria"/>
          <w:b/>
          <w:sz w:val="22"/>
          <w:szCs w:val="22"/>
        </w:rPr>
      </w:pPr>
      <w:r w:rsidRPr="007B0395">
        <w:rPr>
          <w:rFonts w:ascii="Cambria" w:hAnsi="Cambria"/>
          <w:b/>
          <w:sz w:val="22"/>
          <w:szCs w:val="22"/>
        </w:rPr>
        <w:fldChar w:fldCharType="end"/>
      </w:r>
    </w:p>
    <w:p w14:paraId="1DC39C28" w14:textId="77777777" w:rsidR="007B2BCA" w:rsidRDefault="007B2BCA">
      <w:pPr>
        <w:spacing w:before="100" w:beforeAutospacing="1" w:after="100" w:afterAutospacing="1"/>
        <w:rPr>
          <w:rFonts w:ascii="Cambria" w:hAnsi="Cambria"/>
          <w:b/>
          <w:sz w:val="22"/>
          <w:szCs w:val="22"/>
        </w:rPr>
      </w:pPr>
      <w:r>
        <w:rPr>
          <w:rFonts w:ascii="Cambria" w:hAnsi="Cambria"/>
          <w:b/>
          <w:sz w:val="22"/>
          <w:szCs w:val="22"/>
        </w:rPr>
        <w:br w:type="page"/>
      </w:r>
    </w:p>
    <w:p w14:paraId="65675FC2" w14:textId="77777777" w:rsidR="007B2BCA" w:rsidRPr="00A11D79" w:rsidRDefault="007B2BCA" w:rsidP="007B2BCA">
      <w:pPr>
        <w:jc w:val="center"/>
        <w:rPr>
          <w:rFonts w:ascii="Cambria" w:hAnsi="Cambria"/>
          <w:b/>
          <w:sz w:val="22"/>
          <w:szCs w:val="22"/>
        </w:rPr>
      </w:pPr>
      <w:r w:rsidRPr="00A11D79">
        <w:rPr>
          <w:rFonts w:ascii="Cambria" w:hAnsi="Cambria"/>
          <w:b/>
          <w:sz w:val="22"/>
          <w:szCs w:val="22"/>
        </w:rPr>
        <w:lastRenderedPageBreak/>
        <w:t>List of Tables</w:t>
      </w:r>
    </w:p>
    <w:p w14:paraId="49D182A6" w14:textId="77777777" w:rsidR="007B2BCA" w:rsidRDefault="007B2BCA" w:rsidP="007B2BCA">
      <w:pPr>
        <w:rPr>
          <w:rFonts w:ascii="Cambria" w:hAnsi="Cambria"/>
          <w:sz w:val="22"/>
          <w:szCs w:val="22"/>
        </w:rPr>
      </w:pPr>
    </w:p>
    <w:p w14:paraId="058DE6BC" w14:textId="77777777" w:rsidR="007B2BCA" w:rsidRPr="00EF1B17" w:rsidRDefault="007B2BCA" w:rsidP="007B2BCA">
      <w:pPr>
        <w:pStyle w:val="TableofFigures"/>
        <w:tabs>
          <w:tab w:val="right" w:leader="dot" w:pos="9350"/>
        </w:tabs>
        <w:rPr>
          <w:rFonts w:ascii="Cambria" w:eastAsiaTheme="minorEastAsia" w:hAnsi="Cambria" w:cstheme="minorBidi"/>
          <w:noProof/>
          <w:sz w:val="22"/>
          <w:szCs w:val="22"/>
        </w:rPr>
      </w:pPr>
      <w:r w:rsidRPr="00FD5EF1">
        <w:rPr>
          <w:rFonts w:asciiTheme="majorHAnsi" w:hAnsiTheme="majorHAnsi"/>
          <w:sz w:val="22"/>
          <w:szCs w:val="22"/>
        </w:rPr>
        <w:fldChar w:fldCharType="begin"/>
      </w:r>
      <w:r w:rsidRPr="00FD5EF1">
        <w:rPr>
          <w:rFonts w:asciiTheme="majorHAnsi" w:hAnsiTheme="majorHAnsi"/>
          <w:sz w:val="22"/>
          <w:szCs w:val="22"/>
        </w:rPr>
        <w:instrText xml:space="preserve"> TOC \h \z \c "Table" </w:instrText>
      </w:r>
      <w:r w:rsidRPr="00FD5EF1">
        <w:rPr>
          <w:rFonts w:asciiTheme="majorHAnsi" w:hAnsiTheme="majorHAnsi"/>
          <w:sz w:val="22"/>
          <w:szCs w:val="22"/>
        </w:rPr>
        <w:fldChar w:fldCharType="separate"/>
      </w:r>
      <w:hyperlink w:anchor="_Toc378163809" w:history="1">
        <w:r w:rsidRPr="00EF1B17">
          <w:rPr>
            <w:rStyle w:val="Hyperlink"/>
            <w:rFonts w:ascii="Cambria" w:eastAsiaTheme="majorEastAsia" w:hAnsi="Cambria"/>
            <w:noProof/>
            <w:sz w:val="22"/>
            <w:szCs w:val="22"/>
          </w:rPr>
          <w:t>Table 1: Components of the National Pension System</w:t>
        </w:r>
        <w:r w:rsidRPr="00EF1B17">
          <w:rPr>
            <w:rFonts w:ascii="Cambria" w:hAnsi="Cambria"/>
            <w:noProof/>
            <w:webHidden/>
            <w:sz w:val="22"/>
            <w:szCs w:val="22"/>
          </w:rPr>
          <w:tab/>
        </w:r>
        <w:r w:rsidRPr="00EF1B17">
          <w:rPr>
            <w:rFonts w:ascii="Cambria" w:hAnsi="Cambria"/>
            <w:noProof/>
            <w:webHidden/>
            <w:sz w:val="22"/>
            <w:szCs w:val="22"/>
          </w:rPr>
          <w:fldChar w:fldCharType="begin"/>
        </w:r>
        <w:r w:rsidRPr="00EF1B17">
          <w:rPr>
            <w:rFonts w:ascii="Cambria" w:hAnsi="Cambria"/>
            <w:noProof/>
            <w:webHidden/>
            <w:sz w:val="22"/>
            <w:szCs w:val="22"/>
          </w:rPr>
          <w:instrText xml:space="preserve"> PAGEREF _Toc378163809 \h </w:instrText>
        </w:r>
        <w:r w:rsidRPr="00EF1B17">
          <w:rPr>
            <w:rFonts w:ascii="Cambria" w:hAnsi="Cambria"/>
            <w:noProof/>
            <w:webHidden/>
            <w:sz w:val="22"/>
            <w:szCs w:val="22"/>
          </w:rPr>
        </w:r>
        <w:r w:rsidRPr="00EF1B17">
          <w:rPr>
            <w:rFonts w:ascii="Cambria" w:hAnsi="Cambria"/>
            <w:noProof/>
            <w:webHidden/>
            <w:sz w:val="22"/>
            <w:szCs w:val="22"/>
          </w:rPr>
          <w:fldChar w:fldCharType="separate"/>
        </w:r>
        <w:r w:rsidR="00C646A3">
          <w:rPr>
            <w:rFonts w:ascii="Cambria" w:hAnsi="Cambria"/>
            <w:noProof/>
            <w:webHidden/>
            <w:sz w:val="22"/>
            <w:szCs w:val="22"/>
          </w:rPr>
          <w:t>3</w:t>
        </w:r>
        <w:r w:rsidRPr="00EF1B17">
          <w:rPr>
            <w:rFonts w:ascii="Cambria" w:hAnsi="Cambria"/>
            <w:noProof/>
            <w:webHidden/>
            <w:sz w:val="22"/>
            <w:szCs w:val="22"/>
          </w:rPr>
          <w:fldChar w:fldCharType="end"/>
        </w:r>
      </w:hyperlink>
    </w:p>
    <w:p w14:paraId="2FD97844" w14:textId="77777777" w:rsidR="007B2BCA" w:rsidRPr="00EF1B17" w:rsidRDefault="00C646A3" w:rsidP="007B2BCA">
      <w:pPr>
        <w:pStyle w:val="TableofFigures"/>
        <w:tabs>
          <w:tab w:val="right" w:leader="dot" w:pos="9350"/>
        </w:tabs>
        <w:rPr>
          <w:rFonts w:ascii="Cambria" w:eastAsiaTheme="minorEastAsia" w:hAnsi="Cambria" w:cstheme="minorBidi"/>
          <w:noProof/>
          <w:sz w:val="22"/>
          <w:szCs w:val="22"/>
        </w:rPr>
      </w:pPr>
      <w:hyperlink w:anchor="_Toc378163810" w:history="1">
        <w:r w:rsidR="007B2BCA" w:rsidRPr="00EF1B17">
          <w:rPr>
            <w:rStyle w:val="Hyperlink"/>
            <w:rFonts w:ascii="Cambria" w:eastAsiaTheme="majorEastAsia" w:hAnsi="Cambria"/>
            <w:noProof/>
            <w:sz w:val="22"/>
            <w:szCs w:val="22"/>
          </w:rPr>
          <w:t>Table 2. Main Indicators of the National Pension System, 2011</w:t>
        </w:r>
        <w:r w:rsidR="007B2BCA" w:rsidRPr="00EF1B17">
          <w:rPr>
            <w:rFonts w:ascii="Cambria" w:hAnsi="Cambria"/>
            <w:noProof/>
            <w:webHidden/>
            <w:sz w:val="22"/>
            <w:szCs w:val="22"/>
          </w:rPr>
          <w:tab/>
        </w:r>
        <w:r w:rsidR="007B2BCA" w:rsidRPr="00EF1B17">
          <w:rPr>
            <w:rFonts w:ascii="Cambria" w:hAnsi="Cambria"/>
            <w:noProof/>
            <w:webHidden/>
            <w:sz w:val="22"/>
            <w:szCs w:val="22"/>
          </w:rPr>
          <w:fldChar w:fldCharType="begin"/>
        </w:r>
        <w:r w:rsidR="007B2BCA" w:rsidRPr="00EF1B17">
          <w:rPr>
            <w:rFonts w:ascii="Cambria" w:hAnsi="Cambria"/>
            <w:noProof/>
            <w:webHidden/>
            <w:sz w:val="22"/>
            <w:szCs w:val="22"/>
          </w:rPr>
          <w:instrText xml:space="preserve"> PAGEREF _Toc378163810 \h </w:instrText>
        </w:r>
        <w:r w:rsidR="007B2BCA" w:rsidRPr="00EF1B17">
          <w:rPr>
            <w:rFonts w:ascii="Cambria" w:hAnsi="Cambria"/>
            <w:noProof/>
            <w:webHidden/>
            <w:sz w:val="22"/>
            <w:szCs w:val="22"/>
          </w:rPr>
        </w:r>
        <w:r w:rsidR="007B2BCA" w:rsidRPr="00EF1B17">
          <w:rPr>
            <w:rFonts w:ascii="Cambria" w:hAnsi="Cambria"/>
            <w:noProof/>
            <w:webHidden/>
            <w:sz w:val="22"/>
            <w:szCs w:val="22"/>
          </w:rPr>
          <w:fldChar w:fldCharType="separate"/>
        </w:r>
        <w:r>
          <w:rPr>
            <w:rFonts w:ascii="Cambria" w:hAnsi="Cambria"/>
            <w:noProof/>
            <w:webHidden/>
            <w:sz w:val="22"/>
            <w:szCs w:val="22"/>
          </w:rPr>
          <w:t>3</w:t>
        </w:r>
        <w:r w:rsidR="007B2BCA" w:rsidRPr="00EF1B17">
          <w:rPr>
            <w:rFonts w:ascii="Cambria" w:hAnsi="Cambria"/>
            <w:noProof/>
            <w:webHidden/>
            <w:sz w:val="22"/>
            <w:szCs w:val="22"/>
          </w:rPr>
          <w:fldChar w:fldCharType="end"/>
        </w:r>
      </w:hyperlink>
    </w:p>
    <w:p w14:paraId="44E7847F" w14:textId="77777777" w:rsidR="007B2BCA" w:rsidRPr="00EF1B17" w:rsidRDefault="00C646A3" w:rsidP="007B2BCA">
      <w:pPr>
        <w:pStyle w:val="TableofFigures"/>
        <w:tabs>
          <w:tab w:val="right" w:leader="dot" w:pos="9350"/>
        </w:tabs>
        <w:rPr>
          <w:rFonts w:ascii="Cambria" w:eastAsiaTheme="minorEastAsia" w:hAnsi="Cambria" w:cstheme="minorBidi"/>
          <w:noProof/>
          <w:sz w:val="22"/>
          <w:szCs w:val="22"/>
        </w:rPr>
      </w:pPr>
      <w:hyperlink w:anchor="_Toc378163811" w:history="1">
        <w:r w:rsidR="007B2BCA" w:rsidRPr="00EF1B17">
          <w:rPr>
            <w:rStyle w:val="Hyperlink"/>
            <w:rFonts w:ascii="Cambria" w:eastAsiaTheme="majorEastAsia" w:hAnsi="Cambria"/>
            <w:noProof/>
            <w:sz w:val="22"/>
            <w:szCs w:val="22"/>
          </w:rPr>
          <w:t>Table 3. Benefit Indexation by Region</w:t>
        </w:r>
        <w:r w:rsidR="007B2BCA" w:rsidRPr="00EF1B17">
          <w:rPr>
            <w:rFonts w:ascii="Cambria" w:hAnsi="Cambria"/>
            <w:noProof/>
            <w:webHidden/>
            <w:sz w:val="22"/>
            <w:szCs w:val="22"/>
          </w:rPr>
          <w:tab/>
        </w:r>
        <w:r w:rsidR="007B2BCA" w:rsidRPr="00EF1B17">
          <w:rPr>
            <w:rFonts w:ascii="Cambria" w:hAnsi="Cambria"/>
            <w:noProof/>
            <w:webHidden/>
            <w:sz w:val="22"/>
            <w:szCs w:val="22"/>
          </w:rPr>
          <w:fldChar w:fldCharType="begin"/>
        </w:r>
        <w:r w:rsidR="007B2BCA" w:rsidRPr="00EF1B17">
          <w:rPr>
            <w:rFonts w:ascii="Cambria" w:hAnsi="Cambria"/>
            <w:noProof/>
            <w:webHidden/>
            <w:sz w:val="22"/>
            <w:szCs w:val="22"/>
          </w:rPr>
          <w:instrText xml:space="preserve"> PAGEREF _Toc378163811 \h </w:instrText>
        </w:r>
        <w:r w:rsidR="007B2BCA" w:rsidRPr="00EF1B17">
          <w:rPr>
            <w:rFonts w:ascii="Cambria" w:hAnsi="Cambria"/>
            <w:noProof/>
            <w:webHidden/>
            <w:sz w:val="22"/>
            <w:szCs w:val="22"/>
          </w:rPr>
        </w:r>
        <w:r w:rsidR="007B2BCA" w:rsidRPr="00EF1B17">
          <w:rPr>
            <w:rFonts w:ascii="Cambria" w:hAnsi="Cambria"/>
            <w:noProof/>
            <w:webHidden/>
            <w:sz w:val="22"/>
            <w:szCs w:val="22"/>
          </w:rPr>
          <w:fldChar w:fldCharType="separate"/>
        </w:r>
        <w:r>
          <w:rPr>
            <w:rFonts w:ascii="Cambria" w:hAnsi="Cambria"/>
            <w:noProof/>
            <w:webHidden/>
            <w:sz w:val="22"/>
            <w:szCs w:val="22"/>
          </w:rPr>
          <w:t>11</w:t>
        </w:r>
        <w:r w:rsidR="007B2BCA" w:rsidRPr="00EF1B17">
          <w:rPr>
            <w:rFonts w:ascii="Cambria" w:hAnsi="Cambria"/>
            <w:noProof/>
            <w:webHidden/>
            <w:sz w:val="22"/>
            <w:szCs w:val="22"/>
          </w:rPr>
          <w:fldChar w:fldCharType="end"/>
        </w:r>
      </w:hyperlink>
    </w:p>
    <w:p w14:paraId="00D2D408" w14:textId="77777777" w:rsidR="007B2BCA" w:rsidRPr="00EF1B17" w:rsidRDefault="00C646A3" w:rsidP="007B2BCA">
      <w:pPr>
        <w:pStyle w:val="TableofFigures"/>
        <w:tabs>
          <w:tab w:val="right" w:leader="dot" w:pos="9350"/>
        </w:tabs>
        <w:rPr>
          <w:rFonts w:ascii="Cambria" w:eastAsiaTheme="minorEastAsia" w:hAnsi="Cambria" w:cstheme="minorBidi"/>
          <w:noProof/>
          <w:sz w:val="22"/>
          <w:szCs w:val="22"/>
        </w:rPr>
      </w:pPr>
      <w:hyperlink w:anchor="_Toc378163812" w:history="1">
        <w:r w:rsidR="007B2BCA" w:rsidRPr="00EF1B17">
          <w:rPr>
            <w:rStyle w:val="Hyperlink"/>
            <w:rFonts w:ascii="Cambria" w:eastAsiaTheme="majorEastAsia" w:hAnsi="Cambria"/>
            <w:noProof/>
            <w:sz w:val="22"/>
            <w:szCs w:val="22"/>
          </w:rPr>
          <w:t>Table 4. Pay-You-Go System Finances, 2012-2016 projections</w:t>
        </w:r>
        <w:r w:rsidR="007B2BCA" w:rsidRPr="00EF1B17">
          <w:rPr>
            <w:rFonts w:ascii="Cambria" w:hAnsi="Cambria"/>
            <w:noProof/>
            <w:webHidden/>
            <w:sz w:val="22"/>
            <w:szCs w:val="22"/>
          </w:rPr>
          <w:tab/>
        </w:r>
        <w:r w:rsidR="007B2BCA" w:rsidRPr="00EF1B17">
          <w:rPr>
            <w:rFonts w:ascii="Cambria" w:hAnsi="Cambria"/>
            <w:noProof/>
            <w:webHidden/>
            <w:sz w:val="22"/>
            <w:szCs w:val="22"/>
          </w:rPr>
          <w:fldChar w:fldCharType="begin"/>
        </w:r>
        <w:r w:rsidR="007B2BCA" w:rsidRPr="00EF1B17">
          <w:rPr>
            <w:rFonts w:ascii="Cambria" w:hAnsi="Cambria"/>
            <w:noProof/>
            <w:webHidden/>
            <w:sz w:val="22"/>
            <w:szCs w:val="22"/>
          </w:rPr>
          <w:instrText xml:space="preserve"> PAGEREF _Toc378163812 \h </w:instrText>
        </w:r>
        <w:r w:rsidR="007B2BCA" w:rsidRPr="00EF1B17">
          <w:rPr>
            <w:rFonts w:ascii="Cambria" w:hAnsi="Cambria"/>
            <w:noProof/>
            <w:webHidden/>
            <w:sz w:val="22"/>
            <w:szCs w:val="22"/>
          </w:rPr>
        </w:r>
        <w:r w:rsidR="007B2BCA" w:rsidRPr="00EF1B17">
          <w:rPr>
            <w:rFonts w:ascii="Cambria" w:hAnsi="Cambria"/>
            <w:noProof/>
            <w:webHidden/>
            <w:sz w:val="22"/>
            <w:szCs w:val="22"/>
          </w:rPr>
          <w:fldChar w:fldCharType="separate"/>
        </w:r>
        <w:r>
          <w:rPr>
            <w:rFonts w:ascii="Cambria" w:hAnsi="Cambria"/>
            <w:noProof/>
            <w:webHidden/>
            <w:sz w:val="22"/>
            <w:szCs w:val="22"/>
          </w:rPr>
          <w:t>15</w:t>
        </w:r>
        <w:r w:rsidR="007B2BCA" w:rsidRPr="00EF1B17">
          <w:rPr>
            <w:rFonts w:ascii="Cambria" w:hAnsi="Cambria"/>
            <w:noProof/>
            <w:webHidden/>
            <w:sz w:val="22"/>
            <w:szCs w:val="22"/>
          </w:rPr>
          <w:fldChar w:fldCharType="end"/>
        </w:r>
      </w:hyperlink>
    </w:p>
    <w:p w14:paraId="331CECDB" w14:textId="77777777" w:rsidR="007B2BCA" w:rsidRPr="00EF1B17" w:rsidRDefault="00C646A3" w:rsidP="007B2BCA">
      <w:pPr>
        <w:pStyle w:val="TableofFigures"/>
        <w:tabs>
          <w:tab w:val="right" w:leader="dot" w:pos="9350"/>
        </w:tabs>
        <w:rPr>
          <w:rFonts w:ascii="Cambria" w:eastAsiaTheme="minorEastAsia" w:hAnsi="Cambria" w:cstheme="minorBidi"/>
          <w:noProof/>
          <w:sz w:val="22"/>
          <w:szCs w:val="22"/>
        </w:rPr>
      </w:pPr>
      <w:hyperlink w:anchor="_Toc378163813" w:history="1">
        <w:r w:rsidR="007B2BCA" w:rsidRPr="00EF1B17">
          <w:rPr>
            <w:rStyle w:val="Hyperlink"/>
            <w:rFonts w:ascii="Cambria" w:eastAsiaTheme="majorEastAsia" w:hAnsi="Cambria"/>
            <w:noProof/>
            <w:sz w:val="22"/>
            <w:szCs w:val="22"/>
          </w:rPr>
          <w:t>Table 5. Summary of Reform Results</w:t>
        </w:r>
        <w:r w:rsidR="007B2BCA" w:rsidRPr="00EF1B17">
          <w:rPr>
            <w:rFonts w:ascii="Cambria" w:hAnsi="Cambria"/>
            <w:noProof/>
            <w:webHidden/>
            <w:sz w:val="22"/>
            <w:szCs w:val="22"/>
          </w:rPr>
          <w:tab/>
        </w:r>
        <w:r w:rsidR="007B2BCA" w:rsidRPr="00EF1B17">
          <w:rPr>
            <w:rFonts w:ascii="Cambria" w:hAnsi="Cambria"/>
            <w:noProof/>
            <w:webHidden/>
            <w:sz w:val="22"/>
            <w:szCs w:val="22"/>
          </w:rPr>
          <w:fldChar w:fldCharType="begin"/>
        </w:r>
        <w:r w:rsidR="007B2BCA" w:rsidRPr="00EF1B17">
          <w:rPr>
            <w:rFonts w:ascii="Cambria" w:hAnsi="Cambria"/>
            <w:noProof/>
            <w:webHidden/>
            <w:sz w:val="22"/>
            <w:szCs w:val="22"/>
          </w:rPr>
          <w:instrText xml:space="preserve"> PAGEREF _Toc378163813 \h </w:instrText>
        </w:r>
        <w:r w:rsidR="007B2BCA" w:rsidRPr="00EF1B17">
          <w:rPr>
            <w:rFonts w:ascii="Cambria" w:hAnsi="Cambria"/>
            <w:noProof/>
            <w:webHidden/>
            <w:sz w:val="22"/>
            <w:szCs w:val="22"/>
          </w:rPr>
        </w:r>
        <w:r w:rsidR="007B2BCA" w:rsidRPr="00EF1B17">
          <w:rPr>
            <w:rFonts w:ascii="Cambria" w:hAnsi="Cambria"/>
            <w:noProof/>
            <w:webHidden/>
            <w:sz w:val="22"/>
            <w:szCs w:val="22"/>
          </w:rPr>
          <w:fldChar w:fldCharType="separate"/>
        </w:r>
        <w:r>
          <w:rPr>
            <w:rFonts w:ascii="Cambria" w:hAnsi="Cambria"/>
            <w:noProof/>
            <w:webHidden/>
            <w:sz w:val="22"/>
            <w:szCs w:val="22"/>
          </w:rPr>
          <w:t>25</w:t>
        </w:r>
        <w:r w:rsidR="007B2BCA" w:rsidRPr="00EF1B17">
          <w:rPr>
            <w:rFonts w:ascii="Cambria" w:hAnsi="Cambria"/>
            <w:noProof/>
            <w:webHidden/>
            <w:sz w:val="22"/>
            <w:szCs w:val="22"/>
          </w:rPr>
          <w:fldChar w:fldCharType="end"/>
        </w:r>
      </w:hyperlink>
    </w:p>
    <w:p w14:paraId="77B75F01" w14:textId="77777777" w:rsidR="007B2BCA" w:rsidRDefault="00C646A3" w:rsidP="007B2BCA">
      <w:pPr>
        <w:pStyle w:val="TableofFigures"/>
        <w:tabs>
          <w:tab w:val="right" w:leader="dot" w:pos="9350"/>
        </w:tabs>
        <w:rPr>
          <w:rFonts w:asciiTheme="minorHAnsi" w:eastAsiaTheme="minorEastAsia" w:hAnsiTheme="minorHAnsi" w:cstheme="minorBidi"/>
          <w:noProof/>
          <w:sz w:val="22"/>
          <w:szCs w:val="22"/>
        </w:rPr>
      </w:pPr>
      <w:hyperlink w:anchor="_Toc378163814" w:history="1">
        <w:r w:rsidR="007B2BCA" w:rsidRPr="00EF1B17">
          <w:rPr>
            <w:rStyle w:val="Hyperlink"/>
            <w:rFonts w:ascii="Cambria" w:eastAsiaTheme="majorEastAsia" w:hAnsi="Cambria"/>
            <w:noProof/>
            <w:sz w:val="22"/>
            <w:szCs w:val="22"/>
          </w:rPr>
          <w:t>Table 6: Achievement of the reform objectives under various scenarios</w:t>
        </w:r>
        <w:r w:rsidR="007B2BCA" w:rsidRPr="00EF1B17">
          <w:rPr>
            <w:rFonts w:ascii="Cambria" w:hAnsi="Cambria"/>
            <w:noProof/>
            <w:webHidden/>
            <w:sz w:val="22"/>
            <w:szCs w:val="22"/>
          </w:rPr>
          <w:tab/>
        </w:r>
        <w:r w:rsidR="007B2BCA" w:rsidRPr="00EF1B17">
          <w:rPr>
            <w:rFonts w:ascii="Cambria" w:hAnsi="Cambria"/>
            <w:noProof/>
            <w:webHidden/>
            <w:sz w:val="22"/>
            <w:szCs w:val="22"/>
          </w:rPr>
          <w:fldChar w:fldCharType="begin"/>
        </w:r>
        <w:r w:rsidR="007B2BCA" w:rsidRPr="00EF1B17">
          <w:rPr>
            <w:rFonts w:ascii="Cambria" w:hAnsi="Cambria"/>
            <w:noProof/>
            <w:webHidden/>
            <w:sz w:val="22"/>
            <w:szCs w:val="22"/>
          </w:rPr>
          <w:instrText xml:space="preserve"> PAGEREF _Toc378163814 \h </w:instrText>
        </w:r>
        <w:r w:rsidR="007B2BCA" w:rsidRPr="00EF1B17">
          <w:rPr>
            <w:rFonts w:ascii="Cambria" w:hAnsi="Cambria"/>
            <w:noProof/>
            <w:webHidden/>
            <w:sz w:val="22"/>
            <w:szCs w:val="22"/>
          </w:rPr>
        </w:r>
        <w:r w:rsidR="007B2BCA" w:rsidRPr="00EF1B17">
          <w:rPr>
            <w:rFonts w:ascii="Cambria" w:hAnsi="Cambria"/>
            <w:noProof/>
            <w:webHidden/>
            <w:sz w:val="22"/>
            <w:szCs w:val="22"/>
          </w:rPr>
          <w:fldChar w:fldCharType="separate"/>
        </w:r>
        <w:r>
          <w:rPr>
            <w:rFonts w:ascii="Cambria" w:hAnsi="Cambria"/>
            <w:noProof/>
            <w:webHidden/>
            <w:sz w:val="22"/>
            <w:szCs w:val="22"/>
          </w:rPr>
          <w:t>26</w:t>
        </w:r>
        <w:r w:rsidR="007B2BCA" w:rsidRPr="00EF1B17">
          <w:rPr>
            <w:rFonts w:ascii="Cambria" w:hAnsi="Cambria"/>
            <w:noProof/>
            <w:webHidden/>
            <w:sz w:val="22"/>
            <w:szCs w:val="22"/>
          </w:rPr>
          <w:fldChar w:fldCharType="end"/>
        </w:r>
      </w:hyperlink>
    </w:p>
    <w:p w14:paraId="285D3C92" w14:textId="50C49FB6" w:rsidR="007B2BCA" w:rsidRDefault="007B2BCA" w:rsidP="007B2BCA">
      <w:pPr>
        <w:jc w:val="center"/>
        <w:rPr>
          <w:rFonts w:ascii="Cambria" w:hAnsi="Cambria"/>
          <w:b/>
          <w:sz w:val="22"/>
          <w:szCs w:val="22"/>
        </w:rPr>
      </w:pPr>
      <w:r w:rsidRPr="00FD5EF1">
        <w:rPr>
          <w:rFonts w:asciiTheme="majorHAnsi" w:hAnsiTheme="majorHAnsi"/>
          <w:sz w:val="22"/>
          <w:szCs w:val="22"/>
        </w:rPr>
        <w:fldChar w:fldCharType="end"/>
      </w:r>
    </w:p>
    <w:p w14:paraId="1BE96F81" w14:textId="77777777" w:rsidR="007B2BCA" w:rsidRPr="007B0395" w:rsidRDefault="007B2BCA" w:rsidP="00C11A93">
      <w:pPr>
        <w:jc w:val="center"/>
        <w:rPr>
          <w:rFonts w:ascii="Cambria" w:hAnsi="Cambria"/>
          <w:b/>
          <w:sz w:val="22"/>
          <w:szCs w:val="22"/>
        </w:rPr>
      </w:pPr>
    </w:p>
    <w:p w14:paraId="389DDA08" w14:textId="77777777" w:rsidR="00C11A93" w:rsidRPr="00C11A93" w:rsidRDefault="00C11A93" w:rsidP="00C11A93">
      <w:pPr>
        <w:jc w:val="center"/>
        <w:rPr>
          <w:rFonts w:ascii="Cambria" w:hAnsi="Cambria"/>
          <w:b/>
        </w:rPr>
        <w:sectPr w:rsidR="00C11A93" w:rsidRPr="00C11A93" w:rsidSect="009A5654">
          <w:pgSz w:w="12240" w:h="15840" w:code="1"/>
          <w:pgMar w:top="1440" w:right="1440" w:bottom="1440" w:left="1440" w:header="720" w:footer="720" w:gutter="0"/>
          <w:pgNumType w:fmt="lowerRoman"/>
          <w:cols w:space="720"/>
          <w:docGrid w:linePitch="360"/>
        </w:sectPr>
      </w:pPr>
    </w:p>
    <w:p w14:paraId="1AC23575" w14:textId="64BFBB5D" w:rsidR="007D2D84" w:rsidRPr="00C20EC5" w:rsidRDefault="00AE68F2" w:rsidP="009A5654">
      <w:pPr>
        <w:pStyle w:val="Heading1"/>
      </w:pPr>
      <w:bookmarkStart w:id="3" w:name="_Toc387325516"/>
      <w:bookmarkEnd w:id="0"/>
      <w:r>
        <w:lastRenderedPageBreak/>
        <w:t>Executive Summary</w:t>
      </w:r>
      <w:bookmarkEnd w:id="3"/>
    </w:p>
    <w:p w14:paraId="4FD60EC6" w14:textId="0F81451E" w:rsidR="00F778E7" w:rsidRPr="00CA1555" w:rsidRDefault="009A4E6B" w:rsidP="00876F35">
      <w:pPr>
        <w:numPr>
          <w:ilvl w:val="0"/>
          <w:numId w:val="3"/>
        </w:numPr>
        <w:spacing w:before="240" w:after="240"/>
        <w:jc w:val="both"/>
        <w:rPr>
          <w:rFonts w:ascii="Cambria" w:hAnsi="Cambria"/>
          <w:sz w:val="22"/>
          <w:szCs w:val="22"/>
        </w:rPr>
      </w:pPr>
      <w:r>
        <w:rPr>
          <w:rFonts w:ascii="Cambria" w:hAnsi="Cambria"/>
          <w:b/>
          <w:sz w:val="22"/>
          <w:szCs w:val="22"/>
        </w:rPr>
        <w:t>Today, t</w:t>
      </w:r>
      <w:r w:rsidR="00215719" w:rsidRPr="00C20EC5">
        <w:rPr>
          <w:rFonts w:ascii="Cambria" w:hAnsi="Cambria"/>
          <w:b/>
          <w:sz w:val="22"/>
          <w:szCs w:val="22"/>
        </w:rPr>
        <w:t xml:space="preserve">he </w:t>
      </w:r>
      <w:r w:rsidR="00C212E8" w:rsidRPr="00C20EC5">
        <w:rPr>
          <w:rFonts w:ascii="Cambria" w:hAnsi="Cambria"/>
          <w:b/>
          <w:sz w:val="22"/>
          <w:szCs w:val="22"/>
        </w:rPr>
        <w:t>Kyrgyz</w:t>
      </w:r>
      <w:r w:rsidR="00215719" w:rsidRPr="00C20EC5">
        <w:rPr>
          <w:rFonts w:ascii="Cambria" w:hAnsi="Cambria"/>
          <w:b/>
          <w:sz w:val="22"/>
          <w:szCs w:val="22"/>
        </w:rPr>
        <w:t xml:space="preserve"> pension system</w:t>
      </w:r>
      <w:r w:rsidR="00C212E8" w:rsidRPr="00C20EC5">
        <w:rPr>
          <w:rFonts w:ascii="Cambria" w:hAnsi="Cambria"/>
          <w:b/>
          <w:sz w:val="22"/>
          <w:szCs w:val="22"/>
        </w:rPr>
        <w:t xml:space="preserve"> plays a major role in poverty alleviation of the elderly</w:t>
      </w:r>
      <w:r>
        <w:rPr>
          <w:rFonts w:ascii="Cambria" w:hAnsi="Cambria"/>
          <w:b/>
          <w:sz w:val="22"/>
          <w:szCs w:val="22"/>
        </w:rPr>
        <w:t xml:space="preserve"> but this role is diminishing fast due to low coverage</w:t>
      </w:r>
      <w:r w:rsidR="00864299">
        <w:rPr>
          <w:rFonts w:ascii="Cambria" w:hAnsi="Cambria"/>
          <w:b/>
          <w:sz w:val="22"/>
          <w:szCs w:val="22"/>
        </w:rPr>
        <w:t xml:space="preserve"> of working age population</w:t>
      </w:r>
      <w:r w:rsidR="00F778E7">
        <w:rPr>
          <w:rFonts w:ascii="Cambria" w:hAnsi="Cambria"/>
          <w:b/>
          <w:sz w:val="22"/>
          <w:szCs w:val="22"/>
        </w:rPr>
        <w:t xml:space="preserve">. </w:t>
      </w:r>
      <w:r w:rsidR="00DC0D41">
        <w:rPr>
          <w:rFonts w:ascii="Cambria" w:hAnsi="Cambria"/>
          <w:sz w:val="22"/>
          <w:szCs w:val="22"/>
        </w:rPr>
        <w:t>The system</w:t>
      </w:r>
      <w:r w:rsidR="00DC0D41" w:rsidRPr="00CA1555">
        <w:rPr>
          <w:rFonts w:ascii="Cambria" w:hAnsi="Cambria"/>
          <w:sz w:val="22"/>
          <w:szCs w:val="22"/>
        </w:rPr>
        <w:t xml:space="preserve"> </w:t>
      </w:r>
      <w:r w:rsidR="003A7F56">
        <w:rPr>
          <w:rFonts w:ascii="Cambria" w:hAnsi="Cambria"/>
          <w:sz w:val="22"/>
          <w:szCs w:val="22"/>
        </w:rPr>
        <w:t xml:space="preserve">currently </w:t>
      </w:r>
      <w:r w:rsidR="00F778E7">
        <w:rPr>
          <w:rFonts w:ascii="Cambria" w:hAnsi="Cambria"/>
          <w:sz w:val="22"/>
          <w:szCs w:val="22"/>
        </w:rPr>
        <w:t>provides pensions to more than 90</w:t>
      </w:r>
      <w:r w:rsidR="00CA1555">
        <w:rPr>
          <w:rFonts w:ascii="Cambria" w:hAnsi="Cambria"/>
          <w:sz w:val="22"/>
          <w:szCs w:val="22"/>
        </w:rPr>
        <w:t xml:space="preserve"> percent</w:t>
      </w:r>
      <w:r w:rsidR="00F778E7">
        <w:rPr>
          <w:rFonts w:ascii="Cambria" w:hAnsi="Cambria"/>
          <w:sz w:val="22"/>
          <w:szCs w:val="22"/>
        </w:rPr>
        <w:t xml:space="preserve"> of the population over age 65</w:t>
      </w:r>
      <w:r w:rsidR="00CA1555">
        <w:rPr>
          <w:rFonts w:ascii="Cambria" w:hAnsi="Cambria"/>
          <w:sz w:val="22"/>
          <w:szCs w:val="22"/>
        </w:rPr>
        <w:t xml:space="preserve"> </w:t>
      </w:r>
      <w:r w:rsidR="0054524D">
        <w:rPr>
          <w:rFonts w:ascii="Cambria" w:hAnsi="Cambria"/>
          <w:sz w:val="22"/>
          <w:szCs w:val="22"/>
        </w:rPr>
        <w:t>thus being</w:t>
      </w:r>
      <w:r w:rsidR="00CA1555">
        <w:rPr>
          <w:rFonts w:ascii="Cambria" w:hAnsi="Cambria"/>
          <w:sz w:val="22"/>
          <w:szCs w:val="22"/>
        </w:rPr>
        <w:t xml:space="preserve"> a significant buffer against poverty</w:t>
      </w:r>
      <w:r w:rsidR="0047453C">
        <w:rPr>
          <w:rFonts w:ascii="Cambria" w:hAnsi="Cambria"/>
          <w:sz w:val="22"/>
          <w:szCs w:val="22"/>
        </w:rPr>
        <w:t xml:space="preserve">. </w:t>
      </w:r>
      <w:r w:rsidR="00DC0D41">
        <w:rPr>
          <w:rFonts w:ascii="Cambria" w:hAnsi="Cambria"/>
          <w:sz w:val="22"/>
          <w:szCs w:val="22"/>
        </w:rPr>
        <w:t>O</w:t>
      </w:r>
      <w:r w:rsidR="0047453C">
        <w:rPr>
          <w:rFonts w:ascii="Cambria" w:hAnsi="Cambria"/>
          <w:sz w:val="22"/>
          <w:szCs w:val="22"/>
        </w:rPr>
        <w:t>ver time</w:t>
      </w:r>
      <w:r w:rsidR="00DC0D41">
        <w:rPr>
          <w:rFonts w:ascii="Cambria" w:hAnsi="Cambria"/>
          <w:sz w:val="22"/>
          <w:szCs w:val="22"/>
        </w:rPr>
        <w:t>, though,</w:t>
      </w:r>
      <w:r w:rsidR="0047453C">
        <w:rPr>
          <w:rFonts w:ascii="Cambria" w:hAnsi="Cambria"/>
          <w:sz w:val="22"/>
          <w:szCs w:val="22"/>
        </w:rPr>
        <w:t xml:space="preserve"> the poverty reduction effect of the pension system </w:t>
      </w:r>
      <w:r w:rsidR="003A7F56">
        <w:rPr>
          <w:rFonts w:ascii="Cambria" w:hAnsi="Cambria"/>
          <w:sz w:val="22"/>
          <w:szCs w:val="22"/>
        </w:rPr>
        <w:t xml:space="preserve">is expected to </w:t>
      </w:r>
      <w:r w:rsidR="0047453C">
        <w:rPr>
          <w:rFonts w:ascii="Cambria" w:hAnsi="Cambria"/>
          <w:sz w:val="22"/>
          <w:szCs w:val="22"/>
        </w:rPr>
        <w:t xml:space="preserve">weaken </w:t>
      </w:r>
      <w:r w:rsidR="0054524D">
        <w:rPr>
          <w:rFonts w:ascii="Cambria" w:hAnsi="Cambria"/>
          <w:sz w:val="22"/>
          <w:szCs w:val="22"/>
        </w:rPr>
        <w:t xml:space="preserve">substantially </w:t>
      </w:r>
      <w:r w:rsidR="003A7F56">
        <w:rPr>
          <w:rFonts w:ascii="Cambria" w:hAnsi="Cambria"/>
          <w:sz w:val="22"/>
          <w:szCs w:val="22"/>
        </w:rPr>
        <w:t xml:space="preserve">as </w:t>
      </w:r>
      <w:r w:rsidR="0047453C">
        <w:rPr>
          <w:rFonts w:ascii="Cambria" w:hAnsi="Cambria"/>
          <w:sz w:val="22"/>
          <w:szCs w:val="22"/>
        </w:rPr>
        <w:t>the current low coverage rates among the working age population</w:t>
      </w:r>
      <w:r w:rsidR="003A7F56">
        <w:rPr>
          <w:rFonts w:ascii="Cambria" w:hAnsi="Cambria"/>
          <w:sz w:val="22"/>
          <w:szCs w:val="22"/>
        </w:rPr>
        <w:t xml:space="preserve"> translate into </w:t>
      </w:r>
      <w:r w:rsidR="00DC0D41">
        <w:rPr>
          <w:rFonts w:ascii="Cambria" w:hAnsi="Cambria"/>
          <w:sz w:val="22"/>
          <w:szCs w:val="22"/>
        </w:rPr>
        <w:t xml:space="preserve">much </w:t>
      </w:r>
      <w:r w:rsidR="003A7F56">
        <w:rPr>
          <w:rFonts w:ascii="Cambria" w:hAnsi="Cambria"/>
          <w:sz w:val="22"/>
          <w:szCs w:val="22"/>
        </w:rPr>
        <w:t>lower coverage rates</w:t>
      </w:r>
      <w:r w:rsidR="00676C30">
        <w:rPr>
          <w:rFonts w:ascii="Cambria" w:hAnsi="Cambria"/>
          <w:sz w:val="22"/>
          <w:szCs w:val="22"/>
        </w:rPr>
        <w:t xml:space="preserve"> of about only 60</w:t>
      </w:r>
      <w:r w:rsidR="00B276D8">
        <w:rPr>
          <w:rFonts w:ascii="Cambria" w:hAnsi="Cambria"/>
          <w:sz w:val="22"/>
          <w:szCs w:val="22"/>
        </w:rPr>
        <w:t xml:space="preserve"> percent</w:t>
      </w:r>
      <w:r w:rsidR="003A7F56">
        <w:rPr>
          <w:rFonts w:ascii="Cambria" w:hAnsi="Cambria"/>
          <w:sz w:val="22"/>
          <w:szCs w:val="22"/>
        </w:rPr>
        <w:t xml:space="preserve"> for the future old age population</w:t>
      </w:r>
      <w:r w:rsidR="00923588">
        <w:rPr>
          <w:rFonts w:ascii="Cambria" w:hAnsi="Cambria"/>
          <w:sz w:val="22"/>
          <w:szCs w:val="22"/>
        </w:rPr>
        <w:t>.</w:t>
      </w:r>
      <w:r w:rsidR="00F778E7">
        <w:rPr>
          <w:rFonts w:ascii="Cambria" w:hAnsi="Cambria"/>
          <w:b/>
          <w:sz w:val="22"/>
          <w:szCs w:val="22"/>
        </w:rPr>
        <w:t xml:space="preserve"> </w:t>
      </w:r>
      <w:r w:rsidR="00676C30">
        <w:rPr>
          <w:rFonts w:ascii="Cambria" w:hAnsi="Cambria"/>
          <w:sz w:val="22"/>
          <w:szCs w:val="22"/>
        </w:rPr>
        <w:t xml:space="preserve"> </w:t>
      </w:r>
      <w:r w:rsidR="0054524D">
        <w:rPr>
          <w:rFonts w:ascii="Cambria" w:hAnsi="Cambria"/>
          <w:sz w:val="22"/>
          <w:szCs w:val="22"/>
        </w:rPr>
        <w:t>As a</w:t>
      </w:r>
      <w:r w:rsidR="00676C30">
        <w:rPr>
          <w:rFonts w:ascii="Cambria" w:hAnsi="Cambria"/>
          <w:sz w:val="22"/>
          <w:szCs w:val="22"/>
        </w:rPr>
        <w:t xml:space="preserve"> result</w:t>
      </w:r>
      <w:r w:rsidR="0054524D">
        <w:rPr>
          <w:rFonts w:ascii="Cambria" w:hAnsi="Cambria"/>
          <w:sz w:val="22"/>
          <w:szCs w:val="22"/>
        </w:rPr>
        <w:t>,</w:t>
      </w:r>
      <w:r w:rsidR="00676C30">
        <w:rPr>
          <w:rFonts w:ascii="Cambria" w:hAnsi="Cambria"/>
          <w:sz w:val="22"/>
          <w:szCs w:val="22"/>
        </w:rPr>
        <w:t xml:space="preserve"> </w:t>
      </w:r>
      <w:r w:rsidR="00676C30" w:rsidRPr="00C20EC5">
        <w:rPr>
          <w:rFonts w:ascii="Cambria" w:hAnsi="Cambria"/>
          <w:sz w:val="22"/>
          <w:szCs w:val="22"/>
        </w:rPr>
        <w:t xml:space="preserve">poverty rates among the </w:t>
      </w:r>
      <w:r w:rsidR="00676C30">
        <w:rPr>
          <w:rFonts w:ascii="Cambria" w:hAnsi="Cambria"/>
          <w:sz w:val="22"/>
          <w:szCs w:val="22"/>
        </w:rPr>
        <w:t>old-age</w:t>
      </w:r>
      <w:r w:rsidR="00676C30" w:rsidRPr="00C20EC5">
        <w:rPr>
          <w:rFonts w:ascii="Cambria" w:hAnsi="Cambria"/>
          <w:sz w:val="22"/>
          <w:szCs w:val="22"/>
        </w:rPr>
        <w:t xml:space="preserve"> population </w:t>
      </w:r>
      <w:r w:rsidR="0054524D">
        <w:rPr>
          <w:rFonts w:ascii="Cambria" w:hAnsi="Cambria"/>
          <w:sz w:val="22"/>
          <w:szCs w:val="22"/>
        </w:rPr>
        <w:t xml:space="preserve">will </w:t>
      </w:r>
      <w:proofErr w:type="gramStart"/>
      <w:r w:rsidR="0054524D">
        <w:rPr>
          <w:rFonts w:ascii="Cambria" w:hAnsi="Cambria"/>
          <w:sz w:val="22"/>
          <w:szCs w:val="22"/>
        </w:rPr>
        <w:t>grow  and</w:t>
      </w:r>
      <w:proofErr w:type="gramEnd"/>
      <w:r w:rsidR="0054524D">
        <w:rPr>
          <w:rFonts w:ascii="Cambria" w:hAnsi="Cambria"/>
          <w:sz w:val="22"/>
          <w:szCs w:val="22"/>
        </w:rPr>
        <w:t xml:space="preserve"> </w:t>
      </w:r>
      <w:r w:rsidR="00676C30" w:rsidRPr="00C20EC5">
        <w:rPr>
          <w:rFonts w:ascii="Cambria" w:hAnsi="Cambria"/>
          <w:sz w:val="22"/>
          <w:szCs w:val="22"/>
        </w:rPr>
        <w:t>government spending on social pensions</w:t>
      </w:r>
      <w:r w:rsidR="0054524D">
        <w:rPr>
          <w:rFonts w:ascii="Cambria" w:hAnsi="Cambria"/>
          <w:sz w:val="22"/>
          <w:szCs w:val="22"/>
        </w:rPr>
        <w:t xml:space="preserve"> will increase dramatically</w:t>
      </w:r>
      <w:r w:rsidR="00676C30" w:rsidRPr="00C20EC5">
        <w:rPr>
          <w:rFonts w:ascii="Cambria" w:hAnsi="Cambria"/>
          <w:sz w:val="22"/>
          <w:szCs w:val="22"/>
        </w:rPr>
        <w:t>.</w:t>
      </w:r>
    </w:p>
    <w:p w14:paraId="27898719" w14:textId="43DE8CE6" w:rsidR="002B7A9A" w:rsidRPr="00C20EC5" w:rsidRDefault="00B276D8" w:rsidP="00876F35">
      <w:pPr>
        <w:numPr>
          <w:ilvl w:val="0"/>
          <w:numId w:val="3"/>
        </w:numPr>
        <w:spacing w:before="240" w:after="240"/>
        <w:jc w:val="both"/>
        <w:rPr>
          <w:rFonts w:ascii="Cambria" w:hAnsi="Cambria"/>
          <w:sz w:val="22"/>
          <w:szCs w:val="22"/>
        </w:rPr>
      </w:pPr>
      <w:r>
        <w:rPr>
          <w:rFonts w:ascii="Cambria" w:hAnsi="Cambria"/>
          <w:b/>
          <w:sz w:val="22"/>
          <w:szCs w:val="22"/>
        </w:rPr>
        <w:t>T</w:t>
      </w:r>
      <w:r w:rsidR="00F778E7">
        <w:rPr>
          <w:rFonts w:ascii="Cambria" w:hAnsi="Cambria"/>
          <w:b/>
          <w:sz w:val="22"/>
          <w:szCs w:val="22"/>
        </w:rPr>
        <w:t>he cost of the system</w:t>
      </w:r>
      <w:r w:rsidR="00CA1555">
        <w:rPr>
          <w:rFonts w:ascii="Cambria" w:hAnsi="Cambria"/>
          <w:b/>
          <w:sz w:val="22"/>
          <w:szCs w:val="22"/>
        </w:rPr>
        <w:t xml:space="preserve"> </w:t>
      </w:r>
      <w:r w:rsidR="00C212E8" w:rsidRPr="00C20EC5">
        <w:rPr>
          <w:rFonts w:ascii="Cambria" w:hAnsi="Cambria"/>
          <w:b/>
          <w:sz w:val="22"/>
          <w:szCs w:val="22"/>
        </w:rPr>
        <w:t>to the government</w:t>
      </w:r>
      <w:r w:rsidR="002B409D">
        <w:rPr>
          <w:rFonts w:ascii="Cambria" w:hAnsi="Cambria"/>
          <w:b/>
          <w:sz w:val="22"/>
          <w:szCs w:val="22"/>
        </w:rPr>
        <w:t>,</w:t>
      </w:r>
      <w:r w:rsidR="00C212E8" w:rsidRPr="00C20EC5">
        <w:rPr>
          <w:rFonts w:ascii="Cambria" w:hAnsi="Cambria"/>
          <w:b/>
          <w:sz w:val="22"/>
          <w:szCs w:val="22"/>
        </w:rPr>
        <w:t xml:space="preserve"> as well as </w:t>
      </w:r>
      <w:r w:rsidR="00A467D6" w:rsidRPr="00C20EC5">
        <w:rPr>
          <w:rFonts w:ascii="Cambria" w:hAnsi="Cambria"/>
          <w:b/>
          <w:sz w:val="22"/>
          <w:szCs w:val="22"/>
        </w:rPr>
        <w:t xml:space="preserve">to the </w:t>
      </w:r>
      <w:r w:rsidR="00C212E8" w:rsidRPr="00C20EC5">
        <w:rPr>
          <w:rFonts w:ascii="Cambria" w:hAnsi="Cambria"/>
          <w:b/>
          <w:sz w:val="22"/>
          <w:szCs w:val="22"/>
        </w:rPr>
        <w:t>working population</w:t>
      </w:r>
      <w:r w:rsidR="002B409D">
        <w:rPr>
          <w:rFonts w:ascii="Cambria" w:hAnsi="Cambria"/>
          <w:b/>
          <w:sz w:val="22"/>
          <w:szCs w:val="22"/>
        </w:rPr>
        <w:t>,</w:t>
      </w:r>
      <w:r w:rsidR="00C212E8" w:rsidRPr="00C20EC5">
        <w:rPr>
          <w:rFonts w:ascii="Cambria" w:hAnsi="Cambria"/>
          <w:b/>
          <w:sz w:val="22"/>
          <w:szCs w:val="22"/>
        </w:rPr>
        <w:t xml:space="preserve"> is </w:t>
      </w:r>
      <w:r w:rsidR="00A16911">
        <w:rPr>
          <w:rFonts w:ascii="Cambria" w:hAnsi="Cambria"/>
          <w:b/>
          <w:sz w:val="22"/>
          <w:szCs w:val="22"/>
        </w:rPr>
        <w:t>already</w:t>
      </w:r>
      <w:r w:rsidR="00C212E8" w:rsidRPr="00C20EC5">
        <w:rPr>
          <w:rFonts w:ascii="Cambria" w:hAnsi="Cambria"/>
          <w:b/>
          <w:sz w:val="22"/>
          <w:szCs w:val="22"/>
        </w:rPr>
        <w:t xml:space="preserve"> high</w:t>
      </w:r>
      <w:r w:rsidR="00A16911">
        <w:rPr>
          <w:rFonts w:ascii="Cambria" w:hAnsi="Cambria"/>
          <w:b/>
          <w:sz w:val="22"/>
          <w:szCs w:val="22"/>
        </w:rPr>
        <w:t xml:space="preserve"> and </w:t>
      </w:r>
      <w:r w:rsidR="003965D3">
        <w:rPr>
          <w:rFonts w:ascii="Cambria" w:hAnsi="Cambria"/>
          <w:b/>
          <w:sz w:val="22"/>
          <w:szCs w:val="22"/>
        </w:rPr>
        <w:t>continue</w:t>
      </w:r>
      <w:r w:rsidR="00E46A14">
        <w:rPr>
          <w:rFonts w:ascii="Cambria" w:hAnsi="Cambria"/>
          <w:b/>
          <w:sz w:val="22"/>
          <w:szCs w:val="22"/>
        </w:rPr>
        <w:t>s</w:t>
      </w:r>
      <w:r w:rsidR="003965D3">
        <w:rPr>
          <w:rFonts w:ascii="Cambria" w:hAnsi="Cambria"/>
          <w:b/>
          <w:sz w:val="22"/>
          <w:szCs w:val="22"/>
        </w:rPr>
        <w:t xml:space="preserve"> to </w:t>
      </w:r>
      <w:r w:rsidR="00A16911">
        <w:rPr>
          <w:rFonts w:ascii="Cambria" w:hAnsi="Cambria"/>
          <w:b/>
          <w:sz w:val="22"/>
          <w:szCs w:val="22"/>
        </w:rPr>
        <w:t xml:space="preserve">grow </w:t>
      </w:r>
      <w:r>
        <w:rPr>
          <w:rFonts w:ascii="Cambria" w:hAnsi="Cambria"/>
          <w:b/>
          <w:sz w:val="22"/>
          <w:szCs w:val="22"/>
        </w:rPr>
        <w:t>rapidly</w:t>
      </w:r>
      <w:r w:rsidR="00294ABA" w:rsidRPr="00C20EC5">
        <w:rPr>
          <w:rFonts w:ascii="Cambria" w:hAnsi="Cambria"/>
          <w:sz w:val="22"/>
          <w:szCs w:val="22"/>
        </w:rPr>
        <w:t xml:space="preserve">. </w:t>
      </w:r>
      <w:r w:rsidR="00134F5B" w:rsidRPr="00C20EC5">
        <w:rPr>
          <w:rFonts w:ascii="Cambria" w:hAnsi="Cambria"/>
          <w:sz w:val="22"/>
          <w:szCs w:val="22"/>
        </w:rPr>
        <w:t>The consolidated p</w:t>
      </w:r>
      <w:r w:rsidR="00CF14D6" w:rsidRPr="00C20EC5">
        <w:rPr>
          <w:rFonts w:ascii="Cambria" w:hAnsi="Cambria"/>
          <w:sz w:val="22"/>
          <w:szCs w:val="22"/>
        </w:rPr>
        <w:t xml:space="preserve">ublic pension </w:t>
      </w:r>
      <w:r w:rsidR="002F0A7B" w:rsidRPr="00C20EC5">
        <w:rPr>
          <w:rFonts w:ascii="Cambria" w:hAnsi="Cambria"/>
          <w:sz w:val="22"/>
          <w:szCs w:val="22"/>
        </w:rPr>
        <w:t>expenditures financed</w:t>
      </w:r>
      <w:r w:rsidR="00CF14D6" w:rsidRPr="00C20EC5">
        <w:rPr>
          <w:rFonts w:ascii="Cambria" w:hAnsi="Cambria"/>
          <w:sz w:val="22"/>
          <w:szCs w:val="22"/>
        </w:rPr>
        <w:t xml:space="preserve"> </w:t>
      </w:r>
      <w:r w:rsidR="002F0A7B" w:rsidRPr="00C20EC5">
        <w:rPr>
          <w:rFonts w:ascii="Cambria" w:hAnsi="Cambria"/>
          <w:sz w:val="22"/>
          <w:szCs w:val="22"/>
        </w:rPr>
        <w:t>by the Social Fund and the state budget have</w:t>
      </w:r>
      <w:r w:rsidR="00CF14D6" w:rsidRPr="00C20EC5">
        <w:rPr>
          <w:rFonts w:ascii="Cambria" w:hAnsi="Cambria"/>
          <w:sz w:val="22"/>
          <w:szCs w:val="22"/>
        </w:rPr>
        <w:t xml:space="preserve"> increased </w:t>
      </w:r>
      <w:r w:rsidR="00134F5B" w:rsidRPr="00C20EC5">
        <w:rPr>
          <w:rFonts w:ascii="Cambria" w:hAnsi="Cambria"/>
          <w:sz w:val="22"/>
          <w:szCs w:val="22"/>
        </w:rPr>
        <w:t>over the past few years</w:t>
      </w:r>
      <w:r w:rsidR="00CF14D6" w:rsidRPr="00C20EC5">
        <w:rPr>
          <w:rFonts w:ascii="Cambria" w:hAnsi="Cambria"/>
          <w:sz w:val="22"/>
          <w:szCs w:val="22"/>
        </w:rPr>
        <w:t xml:space="preserve"> to </w:t>
      </w:r>
      <w:r w:rsidR="00756881" w:rsidRPr="00C20EC5">
        <w:rPr>
          <w:rFonts w:ascii="Cambria" w:hAnsi="Cambria"/>
          <w:sz w:val="22"/>
          <w:szCs w:val="22"/>
        </w:rPr>
        <w:t xml:space="preserve">a very high level of </w:t>
      </w:r>
      <w:r w:rsidR="00CF14D6" w:rsidRPr="00C20EC5">
        <w:rPr>
          <w:rFonts w:ascii="Cambria" w:hAnsi="Cambria"/>
          <w:sz w:val="22"/>
          <w:szCs w:val="22"/>
        </w:rPr>
        <w:t>8.2</w:t>
      </w:r>
      <w:r w:rsidR="002B409D">
        <w:rPr>
          <w:rFonts w:ascii="Cambria" w:hAnsi="Cambria"/>
          <w:sz w:val="22"/>
          <w:szCs w:val="22"/>
        </w:rPr>
        <w:t xml:space="preserve"> percent</w:t>
      </w:r>
      <w:r w:rsidR="00CF14D6" w:rsidRPr="00C20EC5">
        <w:rPr>
          <w:rFonts w:ascii="Cambria" w:hAnsi="Cambria"/>
          <w:sz w:val="22"/>
          <w:szCs w:val="22"/>
        </w:rPr>
        <w:t xml:space="preserve"> </w:t>
      </w:r>
      <w:r w:rsidR="000E09A6">
        <w:rPr>
          <w:rFonts w:ascii="Cambria" w:hAnsi="Cambria"/>
          <w:sz w:val="22"/>
          <w:szCs w:val="22"/>
        </w:rPr>
        <w:t xml:space="preserve">of GDP </w:t>
      </w:r>
      <w:r w:rsidR="00CF14D6" w:rsidRPr="00C20EC5">
        <w:rPr>
          <w:rFonts w:ascii="Cambria" w:hAnsi="Cambria"/>
          <w:sz w:val="22"/>
          <w:szCs w:val="22"/>
        </w:rPr>
        <w:t>in 2011</w:t>
      </w:r>
      <w:r w:rsidR="007D4E50">
        <w:rPr>
          <w:rFonts w:ascii="Cambria" w:hAnsi="Cambria"/>
          <w:sz w:val="22"/>
          <w:szCs w:val="22"/>
        </w:rPr>
        <w:t>,</w:t>
      </w:r>
      <w:r w:rsidR="00134F5B" w:rsidRPr="00C20EC5">
        <w:rPr>
          <w:rFonts w:ascii="Cambria" w:hAnsi="Cambria"/>
          <w:sz w:val="22"/>
          <w:szCs w:val="22"/>
        </w:rPr>
        <w:t xml:space="preserve"> </w:t>
      </w:r>
      <w:r w:rsidR="007D4E50">
        <w:rPr>
          <w:rFonts w:ascii="Cambria" w:hAnsi="Cambria"/>
          <w:sz w:val="22"/>
          <w:szCs w:val="22"/>
        </w:rPr>
        <w:t xml:space="preserve">with continued growth to </w:t>
      </w:r>
      <w:r w:rsidR="00756881" w:rsidRPr="00C20EC5">
        <w:rPr>
          <w:rFonts w:ascii="Cambria" w:hAnsi="Cambria"/>
          <w:sz w:val="22"/>
          <w:szCs w:val="22"/>
        </w:rPr>
        <w:t>11-12</w:t>
      </w:r>
      <w:r w:rsidR="002B409D">
        <w:rPr>
          <w:rFonts w:ascii="Cambria" w:hAnsi="Cambria"/>
          <w:sz w:val="22"/>
          <w:szCs w:val="22"/>
        </w:rPr>
        <w:t xml:space="preserve"> percent</w:t>
      </w:r>
      <w:r w:rsidR="00756881" w:rsidRPr="00C20EC5">
        <w:rPr>
          <w:rFonts w:ascii="Cambria" w:hAnsi="Cambria"/>
          <w:sz w:val="22"/>
          <w:szCs w:val="22"/>
        </w:rPr>
        <w:t xml:space="preserve"> </w:t>
      </w:r>
      <w:r w:rsidR="000E09A6">
        <w:rPr>
          <w:rFonts w:ascii="Cambria" w:hAnsi="Cambria"/>
          <w:sz w:val="22"/>
          <w:szCs w:val="22"/>
        </w:rPr>
        <w:t xml:space="preserve">projected </w:t>
      </w:r>
      <w:r w:rsidR="00756881" w:rsidRPr="00C20EC5">
        <w:rPr>
          <w:rFonts w:ascii="Cambria" w:hAnsi="Cambria"/>
          <w:sz w:val="22"/>
          <w:szCs w:val="22"/>
        </w:rPr>
        <w:t>over the next several decades</w:t>
      </w:r>
      <w:r w:rsidR="00CF14D6" w:rsidRPr="00C20EC5">
        <w:rPr>
          <w:rFonts w:ascii="Cambria" w:hAnsi="Cambria"/>
          <w:sz w:val="22"/>
          <w:szCs w:val="22"/>
        </w:rPr>
        <w:t xml:space="preserve">. Government’s share </w:t>
      </w:r>
      <w:r w:rsidR="00A16911">
        <w:rPr>
          <w:rFonts w:ascii="Cambria" w:hAnsi="Cambria"/>
          <w:sz w:val="22"/>
          <w:szCs w:val="22"/>
        </w:rPr>
        <w:t xml:space="preserve">in the total public pension expenditures </w:t>
      </w:r>
      <w:r w:rsidR="00CF14D6" w:rsidRPr="00C20EC5">
        <w:rPr>
          <w:rFonts w:ascii="Cambria" w:hAnsi="Cambria"/>
          <w:sz w:val="22"/>
          <w:szCs w:val="22"/>
        </w:rPr>
        <w:t xml:space="preserve">has been </w:t>
      </w:r>
      <w:r w:rsidR="000E6BA0" w:rsidRPr="00C20EC5">
        <w:rPr>
          <w:rFonts w:ascii="Cambria" w:hAnsi="Cambria"/>
          <w:sz w:val="22"/>
          <w:szCs w:val="22"/>
        </w:rPr>
        <w:t>increasing</w:t>
      </w:r>
      <w:r w:rsidR="00CF14D6" w:rsidRPr="00C20EC5">
        <w:rPr>
          <w:rFonts w:ascii="Cambria" w:hAnsi="Cambria"/>
          <w:sz w:val="22"/>
          <w:szCs w:val="22"/>
        </w:rPr>
        <w:t xml:space="preserve"> as well, mostly as a result of the on-going transfer of basic pension financing to the state budget</w:t>
      </w:r>
      <w:r w:rsidR="00756881" w:rsidRPr="00C20EC5">
        <w:rPr>
          <w:rFonts w:ascii="Cambria" w:hAnsi="Cambria"/>
          <w:sz w:val="22"/>
          <w:szCs w:val="22"/>
        </w:rPr>
        <w:t>,</w:t>
      </w:r>
      <w:r w:rsidR="00D545C6" w:rsidRPr="00C20EC5">
        <w:rPr>
          <w:rFonts w:ascii="Cambria" w:hAnsi="Cambria"/>
          <w:sz w:val="22"/>
          <w:szCs w:val="22"/>
        </w:rPr>
        <w:t xml:space="preserve"> and is projected to reach 65-70</w:t>
      </w:r>
      <w:r w:rsidR="002B409D">
        <w:rPr>
          <w:rFonts w:ascii="Cambria" w:hAnsi="Cambria"/>
          <w:sz w:val="22"/>
          <w:szCs w:val="22"/>
        </w:rPr>
        <w:t xml:space="preserve"> percent</w:t>
      </w:r>
      <w:r w:rsidR="00D545C6" w:rsidRPr="00C20EC5">
        <w:rPr>
          <w:rFonts w:ascii="Cambria" w:hAnsi="Cambria"/>
          <w:sz w:val="22"/>
          <w:szCs w:val="22"/>
        </w:rPr>
        <w:t xml:space="preserve"> of total public pension spending in the long run</w:t>
      </w:r>
      <w:r w:rsidR="00CF14D6" w:rsidRPr="00C20EC5">
        <w:rPr>
          <w:rFonts w:ascii="Cambria" w:hAnsi="Cambria"/>
          <w:sz w:val="22"/>
          <w:szCs w:val="22"/>
        </w:rPr>
        <w:t>.</w:t>
      </w:r>
      <w:r w:rsidR="004767AB" w:rsidRPr="00C20EC5">
        <w:rPr>
          <w:rFonts w:ascii="Cambria" w:hAnsi="Cambria"/>
          <w:sz w:val="22"/>
          <w:szCs w:val="22"/>
        </w:rPr>
        <w:t xml:space="preserve"> </w:t>
      </w:r>
    </w:p>
    <w:p w14:paraId="3FEC8169" w14:textId="199F6A2F" w:rsidR="0054524D" w:rsidRPr="00C20EC5" w:rsidRDefault="0054524D" w:rsidP="0054524D">
      <w:pPr>
        <w:numPr>
          <w:ilvl w:val="0"/>
          <w:numId w:val="3"/>
        </w:numPr>
        <w:spacing w:before="240" w:after="240"/>
        <w:jc w:val="both"/>
        <w:rPr>
          <w:rFonts w:ascii="Cambria" w:hAnsi="Cambria"/>
          <w:sz w:val="22"/>
          <w:szCs w:val="22"/>
        </w:rPr>
      </w:pPr>
      <w:r w:rsidRPr="00144012">
        <w:rPr>
          <w:rFonts w:ascii="Cambria" w:hAnsi="Cambria"/>
          <w:b/>
          <w:sz w:val="22"/>
          <w:szCs w:val="22"/>
        </w:rPr>
        <w:t>The grow</w:t>
      </w:r>
      <w:r w:rsidR="00B276D8">
        <w:rPr>
          <w:rFonts w:ascii="Cambria" w:hAnsi="Cambria"/>
          <w:b/>
          <w:sz w:val="22"/>
          <w:szCs w:val="22"/>
        </w:rPr>
        <w:t>ing</w:t>
      </w:r>
      <w:r w:rsidRPr="00144012">
        <w:rPr>
          <w:rFonts w:ascii="Cambria" w:hAnsi="Cambria"/>
          <w:b/>
          <w:sz w:val="22"/>
          <w:szCs w:val="22"/>
        </w:rPr>
        <w:t xml:space="preserve"> burden of pension system financing</w:t>
      </w:r>
      <w:r>
        <w:rPr>
          <w:rFonts w:ascii="Cambria" w:hAnsi="Cambria"/>
          <w:b/>
          <w:sz w:val="22"/>
          <w:szCs w:val="22"/>
        </w:rPr>
        <w:t xml:space="preserve"> </w:t>
      </w:r>
      <w:r w:rsidRPr="00144012">
        <w:rPr>
          <w:rFonts w:ascii="Cambria" w:hAnsi="Cambria"/>
          <w:b/>
          <w:sz w:val="22"/>
          <w:szCs w:val="22"/>
        </w:rPr>
        <w:t>is driven mostly by pension system demographics.</w:t>
      </w:r>
      <w:r w:rsidRPr="00C20EC5">
        <w:rPr>
          <w:rFonts w:ascii="Cambria" w:hAnsi="Cambria"/>
          <w:sz w:val="22"/>
          <w:szCs w:val="22"/>
        </w:rPr>
        <w:t xml:space="preserve"> The system dependency ratio is already quite high (40</w:t>
      </w:r>
      <w:r>
        <w:rPr>
          <w:rFonts w:ascii="Cambria" w:hAnsi="Cambria"/>
          <w:sz w:val="22"/>
          <w:szCs w:val="22"/>
        </w:rPr>
        <w:t xml:space="preserve"> percent</w:t>
      </w:r>
      <w:r w:rsidRPr="00C20EC5">
        <w:rPr>
          <w:rFonts w:ascii="Cambria" w:hAnsi="Cambria"/>
          <w:sz w:val="22"/>
          <w:szCs w:val="22"/>
        </w:rPr>
        <w:t>) due to a combination of low coverage among working age population and almost 100</w:t>
      </w:r>
      <w:r>
        <w:rPr>
          <w:rFonts w:ascii="Cambria" w:hAnsi="Cambria"/>
          <w:sz w:val="22"/>
          <w:szCs w:val="22"/>
        </w:rPr>
        <w:t xml:space="preserve"> percent</w:t>
      </w:r>
      <w:r w:rsidRPr="00C20EC5">
        <w:rPr>
          <w:rFonts w:ascii="Cambria" w:hAnsi="Cambria"/>
          <w:sz w:val="22"/>
          <w:szCs w:val="22"/>
        </w:rPr>
        <w:t xml:space="preserve"> coverage of the elderly. As </w:t>
      </w:r>
      <w:r>
        <w:rPr>
          <w:rFonts w:ascii="Cambria" w:hAnsi="Cambria"/>
          <w:sz w:val="22"/>
          <w:szCs w:val="22"/>
        </w:rPr>
        <w:t xml:space="preserve">the </w:t>
      </w:r>
      <w:r w:rsidRPr="00C20EC5">
        <w:rPr>
          <w:rFonts w:ascii="Cambria" w:hAnsi="Cambria"/>
          <w:sz w:val="22"/>
          <w:szCs w:val="22"/>
        </w:rPr>
        <w:t>population ages, the system dependency ratio will continue to grow reaching 70-80</w:t>
      </w:r>
      <w:r>
        <w:rPr>
          <w:rFonts w:ascii="Cambria" w:hAnsi="Cambria"/>
          <w:sz w:val="22"/>
          <w:szCs w:val="22"/>
        </w:rPr>
        <w:t xml:space="preserve"> percent</w:t>
      </w:r>
      <w:r w:rsidRPr="00C20EC5">
        <w:rPr>
          <w:rFonts w:ascii="Cambria" w:hAnsi="Cambria"/>
          <w:sz w:val="22"/>
          <w:szCs w:val="22"/>
        </w:rPr>
        <w:t xml:space="preserve"> over the next four decades. Significant early retirement exacerbates the problem. </w:t>
      </w:r>
    </w:p>
    <w:p w14:paraId="62108965" w14:textId="13B954EF" w:rsidR="00CF14D6" w:rsidRPr="00C20EC5" w:rsidRDefault="004767AB" w:rsidP="00876F35">
      <w:pPr>
        <w:numPr>
          <w:ilvl w:val="0"/>
          <w:numId w:val="3"/>
        </w:numPr>
        <w:spacing w:before="240" w:after="240"/>
        <w:jc w:val="both"/>
        <w:rPr>
          <w:rFonts w:ascii="Cambria" w:hAnsi="Cambria"/>
          <w:sz w:val="22"/>
          <w:szCs w:val="22"/>
        </w:rPr>
      </w:pPr>
      <w:r w:rsidRPr="009A5654">
        <w:rPr>
          <w:rFonts w:ascii="Cambria" w:hAnsi="Cambria"/>
          <w:b/>
          <w:sz w:val="22"/>
          <w:szCs w:val="22"/>
        </w:rPr>
        <w:t xml:space="preserve">At the same time, </w:t>
      </w:r>
      <w:r w:rsidR="00923588" w:rsidRPr="00C20EC5">
        <w:rPr>
          <w:rFonts w:ascii="Cambria" w:hAnsi="Cambria"/>
          <w:b/>
          <w:sz w:val="22"/>
          <w:szCs w:val="22"/>
        </w:rPr>
        <w:t xml:space="preserve">adequacy of pensions </w:t>
      </w:r>
      <w:r w:rsidR="00923588">
        <w:rPr>
          <w:rFonts w:ascii="Cambria" w:hAnsi="Cambria"/>
          <w:b/>
          <w:sz w:val="22"/>
          <w:szCs w:val="22"/>
        </w:rPr>
        <w:t>is becoming</w:t>
      </w:r>
      <w:r w:rsidR="00923588" w:rsidRPr="00C20EC5">
        <w:rPr>
          <w:rFonts w:ascii="Cambria" w:hAnsi="Cambria"/>
          <w:b/>
          <w:sz w:val="22"/>
          <w:szCs w:val="22"/>
        </w:rPr>
        <w:t xml:space="preserve"> critical</w:t>
      </w:r>
      <w:r w:rsidR="00923588" w:rsidRPr="009A5654">
        <w:rPr>
          <w:rFonts w:ascii="Cambria" w:hAnsi="Cambria"/>
          <w:b/>
          <w:sz w:val="22"/>
          <w:szCs w:val="22"/>
        </w:rPr>
        <w:t xml:space="preserve"> </w:t>
      </w:r>
      <w:r w:rsidR="00923588">
        <w:rPr>
          <w:rFonts w:ascii="Cambria" w:hAnsi="Cambria"/>
          <w:b/>
          <w:sz w:val="22"/>
          <w:szCs w:val="22"/>
        </w:rPr>
        <w:t xml:space="preserve">as </w:t>
      </w:r>
      <w:r w:rsidR="00756881" w:rsidRPr="009A5654">
        <w:rPr>
          <w:rFonts w:ascii="Cambria" w:hAnsi="Cambria"/>
          <w:b/>
          <w:sz w:val="22"/>
          <w:szCs w:val="22"/>
        </w:rPr>
        <w:t xml:space="preserve">relative </w:t>
      </w:r>
      <w:r w:rsidR="00800783" w:rsidRPr="009A5654">
        <w:rPr>
          <w:rFonts w:ascii="Cambria" w:hAnsi="Cambria"/>
          <w:b/>
          <w:sz w:val="22"/>
          <w:szCs w:val="22"/>
        </w:rPr>
        <w:t>pension</w:t>
      </w:r>
      <w:r w:rsidR="00756881" w:rsidRPr="009A5654">
        <w:rPr>
          <w:rFonts w:ascii="Cambria" w:hAnsi="Cambria"/>
          <w:b/>
          <w:sz w:val="22"/>
          <w:szCs w:val="22"/>
        </w:rPr>
        <w:t xml:space="preserve"> levels</w:t>
      </w:r>
      <w:r w:rsidR="00800783" w:rsidRPr="009A5654">
        <w:rPr>
          <w:rFonts w:ascii="Cambria" w:hAnsi="Cambria"/>
          <w:b/>
          <w:sz w:val="22"/>
          <w:szCs w:val="22"/>
        </w:rPr>
        <w:t xml:space="preserve"> </w:t>
      </w:r>
      <w:r w:rsidR="00C474AE" w:rsidRPr="009A5654">
        <w:rPr>
          <w:rFonts w:ascii="Cambria" w:hAnsi="Cambria"/>
          <w:b/>
          <w:sz w:val="22"/>
          <w:szCs w:val="22"/>
        </w:rPr>
        <w:t xml:space="preserve">are </w:t>
      </w:r>
      <w:r w:rsidR="000E6BA0" w:rsidRPr="009A5654">
        <w:rPr>
          <w:rFonts w:ascii="Cambria" w:hAnsi="Cambria"/>
          <w:b/>
          <w:sz w:val="22"/>
          <w:szCs w:val="22"/>
        </w:rPr>
        <w:t>falling</w:t>
      </w:r>
      <w:r w:rsidR="00C474AE" w:rsidRPr="009A5654">
        <w:rPr>
          <w:rFonts w:ascii="Cambria" w:hAnsi="Cambria"/>
          <w:b/>
          <w:sz w:val="22"/>
          <w:szCs w:val="22"/>
        </w:rPr>
        <w:t xml:space="preserve"> due to</w:t>
      </w:r>
      <w:r w:rsidR="00800783" w:rsidRPr="009A5654">
        <w:rPr>
          <w:rFonts w:ascii="Cambria" w:hAnsi="Cambria"/>
          <w:b/>
          <w:sz w:val="22"/>
          <w:szCs w:val="22"/>
        </w:rPr>
        <w:t xml:space="preserve"> insufficient indexation of contributions in the notional defined contribution</w:t>
      </w:r>
      <w:r w:rsidR="0073559D">
        <w:rPr>
          <w:rFonts w:ascii="Cambria" w:hAnsi="Cambria"/>
          <w:b/>
          <w:sz w:val="22"/>
          <w:szCs w:val="22"/>
        </w:rPr>
        <w:t xml:space="preserve"> (NDC)</w:t>
      </w:r>
      <w:r w:rsidR="00800783" w:rsidRPr="009A5654">
        <w:rPr>
          <w:rFonts w:ascii="Cambria" w:hAnsi="Cambria"/>
          <w:b/>
          <w:sz w:val="22"/>
          <w:szCs w:val="22"/>
        </w:rPr>
        <w:t xml:space="preserve"> component</w:t>
      </w:r>
      <w:r w:rsidR="00800783" w:rsidRPr="00C20EC5">
        <w:rPr>
          <w:rFonts w:ascii="Cambria" w:hAnsi="Cambria"/>
          <w:sz w:val="22"/>
          <w:szCs w:val="22"/>
        </w:rPr>
        <w:t>.</w:t>
      </w:r>
      <w:r w:rsidR="0089365E" w:rsidRPr="00C20EC5">
        <w:rPr>
          <w:rFonts w:ascii="Cambria" w:hAnsi="Cambria"/>
          <w:sz w:val="22"/>
          <w:szCs w:val="22"/>
        </w:rPr>
        <w:t xml:space="preserve"> </w:t>
      </w:r>
      <w:r w:rsidR="00B54152">
        <w:rPr>
          <w:rFonts w:ascii="Cambria" w:hAnsi="Cambria"/>
          <w:sz w:val="22"/>
          <w:szCs w:val="22"/>
        </w:rPr>
        <w:t xml:space="preserve">If the indexation formula is not fixed today, new retirees will see their insurance pensions drop by 1/3 relative to their wages in about a decade. </w:t>
      </w:r>
      <w:r w:rsidR="00756881" w:rsidRPr="00C20EC5">
        <w:rPr>
          <w:rFonts w:ascii="Cambria" w:hAnsi="Cambria"/>
          <w:sz w:val="22"/>
          <w:szCs w:val="22"/>
        </w:rPr>
        <w:t>The a</w:t>
      </w:r>
      <w:r w:rsidR="008706AE" w:rsidRPr="00C20EC5">
        <w:rPr>
          <w:rFonts w:ascii="Cambria" w:hAnsi="Cambria"/>
          <w:sz w:val="22"/>
          <w:szCs w:val="22"/>
        </w:rPr>
        <w:t xml:space="preserve">verage pension </w:t>
      </w:r>
      <w:r w:rsidR="00756881" w:rsidRPr="00C20EC5">
        <w:rPr>
          <w:rFonts w:ascii="Cambria" w:hAnsi="Cambria"/>
          <w:sz w:val="22"/>
          <w:szCs w:val="22"/>
        </w:rPr>
        <w:t>as a share of</w:t>
      </w:r>
      <w:r w:rsidR="008706AE" w:rsidRPr="00C20EC5">
        <w:rPr>
          <w:rFonts w:ascii="Cambria" w:hAnsi="Cambria"/>
          <w:sz w:val="22"/>
          <w:szCs w:val="22"/>
        </w:rPr>
        <w:t xml:space="preserve"> the average wage is projected to </w:t>
      </w:r>
      <w:r w:rsidR="000E6BA0" w:rsidRPr="00C20EC5">
        <w:rPr>
          <w:rFonts w:ascii="Cambria" w:hAnsi="Cambria"/>
          <w:sz w:val="22"/>
          <w:szCs w:val="22"/>
        </w:rPr>
        <w:t>decline</w:t>
      </w:r>
      <w:r w:rsidR="008706AE" w:rsidRPr="00C20EC5">
        <w:rPr>
          <w:rFonts w:ascii="Cambria" w:hAnsi="Cambria"/>
          <w:sz w:val="22"/>
          <w:szCs w:val="22"/>
        </w:rPr>
        <w:t xml:space="preserve"> from the current 45</w:t>
      </w:r>
      <w:r w:rsidR="002B409D">
        <w:rPr>
          <w:rFonts w:ascii="Cambria" w:hAnsi="Cambria"/>
          <w:sz w:val="22"/>
          <w:szCs w:val="22"/>
        </w:rPr>
        <w:t xml:space="preserve"> percent</w:t>
      </w:r>
      <w:r w:rsidR="008706AE" w:rsidRPr="00C20EC5">
        <w:rPr>
          <w:rFonts w:ascii="Cambria" w:hAnsi="Cambria"/>
          <w:sz w:val="22"/>
          <w:szCs w:val="22"/>
        </w:rPr>
        <w:t xml:space="preserve"> to </w:t>
      </w:r>
      <w:r w:rsidR="00B54152">
        <w:rPr>
          <w:rFonts w:ascii="Cambria" w:hAnsi="Cambria"/>
          <w:sz w:val="22"/>
          <w:szCs w:val="22"/>
        </w:rPr>
        <w:t xml:space="preserve">inadequate levels of </w:t>
      </w:r>
      <w:r w:rsidR="008706AE" w:rsidRPr="00C20EC5">
        <w:rPr>
          <w:rFonts w:ascii="Cambria" w:hAnsi="Cambria"/>
          <w:sz w:val="22"/>
          <w:szCs w:val="22"/>
        </w:rPr>
        <w:t>25</w:t>
      </w:r>
      <w:r w:rsidR="002B409D">
        <w:rPr>
          <w:rFonts w:ascii="Cambria" w:hAnsi="Cambria"/>
          <w:sz w:val="22"/>
          <w:szCs w:val="22"/>
        </w:rPr>
        <w:t xml:space="preserve"> percent</w:t>
      </w:r>
      <w:r w:rsidR="008706AE" w:rsidRPr="00C20EC5">
        <w:rPr>
          <w:rFonts w:ascii="Cambria" w:hAnsi="Cambria"/>
          <w:sz w:val="22"/>
          <w:szCs w:val="22"/>
        </w:rPr>
        <w:t xml:space="preserve"> </w:t>
      </w:r>
      <w:r w:rsidR="00B54152">
        <w:rPr>
          <w:rFonts w:ascii="Cambria" w:hAnsi="Cambria"/>
          <w:sz w:val="22"/>
          <w:szCs w:val="22"/>
        </w:rPr>
        <w:t>within</w:t>
      </w:r>
      <w:r w:rsidR="00B54152" w:rsidRPr="00C20EC5">
        <w:rPr>
          <w:rFonts w:ascii="Cambria" w:hAnsi="Cambria"/>
          <w:sz w:val="22"/>
          <w:szCs w:val="22"/>
        </w:rPr>
        <w:t xml:space="preserve"> </w:t>
      </w:r>
      <w:r w:rsidR="008706AE" w:rsidRPr="00C20EC5">
        <w:rPr>
          <w:rFonts w:ascii="Cambria" w:hAnsi="Cambria"/>
          <w:sz w:val="22"/>
          <w:szCs w:val="22"/>
        </w:rPr>
        <w:t xml:space="preserve">the next three decades. </w:t>
      </w:r>
      <w:r w:rsidR="002B7A9A" w:rsidRPr="00C20EC5">
        <w:rPr>
          <w:rFonts w:ascii="Cambria" w:hAnsi="Cambria"/>
          <w:sz w:val="22"/>
          <w:szCs w:val="22"/>
        </w:rPr>
        <w:t xml:space="preserve">Farmers and other self-employed are especially affected as they pay very </w:t>
      </w:r>
      <w:r w:rsidR="00ED0C2A" w:rsidRPr="00C20EC5">
        <w:rPr>
          <w:rFonts w:ascii="Cambria" w:hAnsi="Cambria"/>
          <w:sz w:val="22"/>
          <w:szCs w:val="22"/>
        </w:rPr>
        <w:t>small</w:t>
      </w:r>
      <w:r w:rsidR="002B7A9A" w:rsidRPr="00C20EC5">
        <w:rPr>
          <w:rFonts w:ascii="Cambria" w:hAnsi="Cambria"/>
          <w:sz w:val="22"/>
          <w:szCs w:val="22"/>
        </w:rPr>
        <w:t xml:space="preserve"> contributions</w:t>
      </w:r>
      <w:r w:rsidR="0054695C" w:rsidRPr="00C20EC5">
        <w:rPr>
          <w:rFonts w:ascii="Cambria" w:hAnsi="Cambria"/>
          <w:sz w:val="22"/>
          <w:szCs w:val="22"/>
        </w:rPr>
        <w:t xml:space="preserve"> and receive almost nothing from the NDC component. </w:t>
      </w:r>
      <w:r w:rsidR="00BD4DE1">
        <w:rPr>
          <w:rFonts w:ascii="Cambria" w:hAnsi="Cambria"/>
          <w:sz w:val="22"/>
          <w:szCs w:val="22"/>
        </w:rPr>
        <w:t xml:space="preserve">The issue of pension adequacy raises concerns about social sustainability of the system and the risk of pressure on the government to increase pensions with further fiscal implications. </w:t>
      </w:r>
    </w:p>
    <w:p w14:paraId="083372B8" w14:textId="6D45649B" w:rsidR="00B276D8" w:rsidRDefault="00B65DCD" w:rsidP="00B35805">
      <w:pPr>
        <w:numPr>
          <w:ilvl w:val="0"/>
          <w:numId w:val="3"/>
        </w:numPr>
        <w:spacing w:before="240" w:after="240"/>
        <w:jc w:val="both"/>
        <w:rPr>
          <w:rFonts w:ascii="Cambria" w:hAnsi="Cambria"/>
          <w:sz w:val="22"/>
          <w:szCs w:val="22"/>
        </w:rPr>
      </w:pPr>
      <w:r w:rsidRPr="00B35805">
        <w:rPr>
          <w:rFonts w:ascii="Cambria" w:hAnsi="Cambria"/>
          <w:b/>
          <w:sz w:val="22"/>
          <w:szCs w:val="22"/>
        </w:rPr>
        <w:t>In addition, c</w:t>
      </w:r>
      <w:r w:rsidR="004E0500" w:rsidRPr="00B35805">
        <w:rPr>
          <w:rFonts w:ascii="Cambria" w:hAnsi="Cambria"/>
          <w:b/>
          <w:sz w:val="22"/>
          <w:szCs w:val="22"/>
        </w:rPr>
        <w:t xml:space="preserve">ertain design features of the pensions system provide </w:t>
      </w:r>
      <w:r w:rsidR="008A6764" w:rsidRPr="00B35805">
        <w:rPr>
          <w:rFonts w:ascii="Cambria" w:hAnsi="Cambria"/>
          <w:b/>
          <w:sz w:val="22"/>
          <w:szCs w:val="22"/>
        </w:rPr>
        <w:t>dis</w:t>
      </w:r>
      <w:r w:rsidR="004E0500" w:rsidRPr="00B35805">
        <w:rPr>
          <w:rFonts w:ascii="Cambria" w:hAnsi="Cambria"/>
          <w:b/>
          <w:sz w:val="22"/>
          <w:szCs w:val="22"/>
        </w:rPr>
        <w:t xml:space="preserve">incentives </w:t>
      </w:r>
      <w:r w:rsidR="00C1670F" w:rsidRPr="00B35805">
        <w:rPr>
          <w:rFonts w:ascii="Cambria" w:hAnsi="Cambria"/>
          <w:b/>
          <w:sz w:val="22"/>
          <w:szCs w:val="22"/>
        </w:rPr>
        <w:t>to</w:t>
      </w:r>
      <w:r w:rsidR="004E0500" w:rsidRPr="00B35805">
        <w:rPr>
          <w:rFonts w:ascii="Cambria" w:hAnsi="Cambria"/>
          <w:b/>
          <w:sz w:val="22"/>
          <w:szCs w:val="22"/>
        </w:rPr>
        <w:t xml:space="preserve"> </w:t>
      </w:r>
      <w:r w:rsidR="00C1670F" w:rsidRPr="00234F89">
        <w:rPr>
          <w:rFonts w:ascii="Cambria" w:hAnsi="Cambria"/>
          <w:b/>
          <w:sz w:val="22"/>
          <w:szCs w:val="22"/>
        </w:rPr>
        <w:t>contribute to</w:t>
      </w:r>
      <w:r w:rsidR="008A6764" w:rsidRPr="00BA5230">
        <w:rPr>
          <w:rFonts w:ascii="Cambria" w:hAnsi="Cambria"/>
          <w:b/>
          <w:sz w:val="22"/>
          <w:szCs w:val="22"/>
        </w:rPr>
        <w:t xml:space="preserve"> the pension system</w:t>
      </w:r>
      <w:r w:rsidR="004E0500" w:rsidRPr="00F7467E">
        <w:rPr>
          <w:rFonts w:ascii="Cambria" w:hAnsi="Cambria"/>
          <w:b/>
          <w:sz w:val="22"/>
          <w:szCs w:val="22"/>
        </w:rPr>
        <w:t>.</w:t>
      </w:r>
      <w:r w:rsidR="004E0500" w:rsidRPr="00F7467E">
        <w:rPr>
          <w:rFonts w:ascii="Cambria" w:hAnsi="Cambria"/>
          <w:sz w:val="22"/>
          <w:szCs w:val="22"/>
        </w:rPr>
        <w:t xml:space="preserve">  </w:t>
      </w:r>
      <w:r w:rsidR="002F2A8F" w:rsidRPr="00B35805">
        <w:rPr>
          <w:rFonts w:ascii="Cambria" w:hAnsi="Cambria"/>
          <w:sz w:val="22"/>
          <w:szCs w:val="22"/>
        </w:rPr>
        <w:t>Dec</w:t>
      </w:r>
      <w:r w:rsidR="00280A67" w:rsidRPr="00B35805">
        <w:rPr>
          <w:rFonts w:ascii="Cambria" w:hAnsi="Cambria"/>
          <w:sz w:val="22"/>
          <w:szCs w:val="22"/>
        </w:rPr>
        <w:t>lining</w:t>
      </w:r>
      <w:r w:rsidR="002F2A8F" w:rsidRPr="00B35805">
        <w:rPr>
          <w:rFonts w:ascii="Cambria" w:hAnsi="Cambria"/>
          <w:sz w:val="22"/>
          <w:szCs w:val="22"/>
        </w:rPr>
        <w:t xml:space="preserve"> pension levels</w:t>
      </w:r>
      <w:r w:rsidR="00280A67" w:rsidRPr="00B35805">
        <w:rPr>
          <w:rFonts w:ascii="Cambria" w:hAnsi="Cambria"/>
          <w:sz w:val="22"/>
          <w:szCs w:val="22"/>
        </w:rPr>
        <w:t xml:space="preserve"> relative to earnings</w:t>
      </w:r>
      <w:r w:rsidR="002F2A8F" w:rsidRPr="00B35805">
        <w:rPr>
          <w:rFonts w:ascii="Cambria" w:hAnsi="Cambria"/>
          <w:sz w:val="22"/>
          <w:szCs w:val="22"/>
        </w:rPr>
        <w:t xml:space="preserve">, </w:t>
      </w:r>
      <w:r w:rsidR="0073559D" w:rsidRPr="00B35805">
        <w:rPr>
          <w:rFonts w:ascii="Cambria" w:hAnsi="Cambria"/>
          <w:sz w:val="22"/>
          <w:szCs w:val="22"/>
        </w:rPr>
        <w:t xml:space="preserve">the </w:t>
      </w:r>
      <w:r w:rsidR="00280A67" w:rsidRPr="00B35805">
        <w:rPr>
          <w:rFonts w:ascii="Cambria" w:hAnsi="Cambria"/>
          <w:sz w:val="22"/>
          <w:szCs w:val="22"/>
        </w:rPr>
        <w:t>growing</w:t>
      </w:r>
      <w:r w:rsidR="002F2A8F" w:rsidRPr="00B35805">
        <w:rPr>
          <w:rFonts w:ascii="Cambria" w:hAnsi="Cambria"/>
          <w:sz w:val="22"/>
          <w:szCs w:val="22"/>
        </w:rPr>
        <w:t xml:space="preserve"> redistributive nature of the system </w:t>
      </w:r>
      <w:r w:rsidR="00280A67" w:rsidRPr="00B35805">
        <w:rPr>
          <w:rFonts w:ascii="Cambria" w:hAnsi="Cambria"/>
          <w:sz w:val="22"/>
          <w:szCs w:val="22"/>
        </w:rPr>
        <w:t>as</w:t>
      </w:r>
      <w:r w:rsidR="002F2A8F" w:rsidRPr="00B35805">
        <w:rPr>
          <w:rFonts w:ascii="Cambria" w:hAnsi="Cambria"/>
          <w:sz w:val="22"/>
          <w:szCs w:val="22"/>
        </w:rPr>
        <w:t xml:space="preserve"> </w:t>
      </w:r>
      <w:r w:rsidR="00280A67" w:rsidRPr="00B35805">
        <w:rPr>
          <w:rFonts w:ascii="Cambria" w:hAnsi="Cambria"/>
          <w:sz w:val="22"/>
          <w:szCs w:val="22"/>
        </w:rPr>
        <w:t>the</w:t>
      </w:r>
      <w:r w:rsidR="002F2A8F" w:rsidRPr="00B35805">
        <w:rPr>
          <w:rFonts w:ascii="Cambria" w:hAnsi="Cambria"/>
          <w:sz w:val="22"/>
          <w:szCs w:val="22"/>
        </w:rPr>
        <w:t xml:space="preserve"> share of the basic pension in the total labor pension</w:t>
      </w:r>
      <w:r w:rsidR="00280A67" w:rsidRPr="00B35805">
        <w:rPr>
          <w:rFonts w:ascii="Cambria" w:hAnsi="Cambria"/>
          <w:sz w:val="22"/>
          <w:szCs w:val="22"/>
        </w:rPr>
        <w:t xml:space="preserve"> increases</w:t>
      </w:r>
      <w:r w:rsidR="00CA1555" w:rsidRPr="00B35805">
        <w:rPr>
          <w:rFonts w:ascii="Cambria" w:hAnsi="Cambria"/>
          <w:sz w:val="22"/>
          <w:szCs w:val="22"/>
        </w:rPr>
        <w:t xml:space="preserve"> and</w:t>
      </w:r>
      <w:r w:rsidR="002F2A8F" w:rsidRPr="00B35805">
        <w:rPr>
          <w:rFonts w:ascii="Cambria" w:hAnsi="Cambria"/>
          <w:sz w:val="22"/>
          <w:szCs w:val="22"/>
        </w:rPr>
        <w:t xml:space="preserve"> </w:t>
      </w:r>
      <w:r w:rsidR="000005E2" w:rsidRPr="00B35805">
        <w:rPr>
          <w:rFonts w:ascii="Cambria" w:hAnsi="Cambria"/>
          <w:sz w:val="22"/>
          <w:szCs w:val="22"/>
        </w:rPr>
        <w:t xml:space="preserve">the </w:t>
      </w:r>
      <w:r w:rsidR="002F2A8F" w:rsidRPr="00B35805">
        <w:rPr>
          <w:rFonts w:ascii="Cambria" w:hAnsi="Cambria"/>
          <w:sz w:val="22"/>
          <w:szCs w:val="22"/>
        </w:rPr>
        <w:t>high contribution rate</w:t>
      </w:r>
      <w:r w:rsidR="0068724C" w:rsidRPr="00B35805">
        <w:rPr>
          <w:rFonts w:ascii="Cambria" w:hAnsi="Cambria"/>
          <w:sz w:val="22"/>
          <w:szCs w:val="22"/>
        </w:rPr>
        <w:t xml:space="preserve"> </w:t>
      </w:r>
      <w:r w:rsidR="002F2A8F" w:rsidRPr="00B35805">
        <w:rPr>
          <w:rFonts w:ascii="Cambria" w:hAnsi="Cambria"/>
          <w:sz w:val="22"/>
          <w:szCs w:val="22"/>
        </w:rPr>
        <w:t xml:space="preserve">may discourage workers from contributing to the pension system. </w:t>
      </w:r>
      <w:r w:rsidR="0073559D" w:rsidRPr="00B35805">
        <w:rPr>
          <w:rFonts w:ascii="Cambria" w:hAnsi="Cambria"/>
          <w:sz w:val="22"/>
          <w:szCs w:val="22"/>
        </w:rPr>
        <w:t xml:space="preserve">This </w:t>
      </w:r>
      <w:r w:rsidR="00477392" w:rsidRPr="00B35805">
        <w:rPr>
          <w:rFonts w:ascii="Cambria" w:hAnsi="Cambria"/>
          <w:sz w:val="22"/>
          <w:szCs w:val="22"/>
        </w:rPr>
        <w:t>may result in more workers moving to the informal sector or increased underreporting of wages in the formal sector, thus</w:t>
      </w:r>
      <w:r w:rsidR="00F16CA2" w:rsidRPr="00B35805">
        <w:rPr>
          <w:rFonts w:ascii="Cambria" w:hAnsi="Cambria"/>
          <w:sz w:val="22"/>
          <w:szCs w:val="22"/>
        </w:rPr>
        <w:t xml:space="preserve"> </w:t>
      </w:r>
      <w:r w:rsidR="00280A67" w:rsidRPr="00B35805">
        <w:rPr>
          <w:rFonts w:ascii="Cambria" w:hAnsi="Cambria"/>
          <w:sz w:val="22"/>
          <w:szCs w:val="22"/>
        </w:rPr>
        <w:t>increas</w:t>
      </w:r>
      <w:r w:rsidR="00477392" w:rsidRPr="00B35805">
        <w:rPr>
          <w:rFonts w:ascii="Cambria" w:hAnsi="Cambria"/>
          <w:sz w:val="22"/>
          <w:szCs w:val="22"/>
        </w:rPr>
        <w:t>ing</w:t>
      </w:r>
      <w:r w:rsidR="00280A67" w:rsidRPr="00B35805">
        <w:rPr>
          <w:rFonts w:ascii="Cambria" w:hAnsi="Cambria"/>
          <w:sz w:val="22"/>
          <w:szCs w:val="22"/>
        </w:rPr>
        <w:t xml:space="preserve"> the burden </w:t>
      </w:r>
      <w:r w:rsidR="00F3612C" w:rsidRPr="00B35805">
        <w:rPr>
          <w:rFonts w:ascii="Cambria" w:hAnsi="Cambria"/>
          <w:sz w:val="22"/>
          <w:szCs w:val="22"/>
        </w:rPr>
        <w:t xml:space="preserve">of financing labor pensions </w:t>
      </w:r>
      <w:r w:rsidR="00280A67" w:rsidRPr="00B35805">
        <w:rPr>
          <w:rFonts w:ascii="Cambria" w:hAnsi="Cambria"/>
          <w:sz w:val="22"/>
          <w:szCs w:val="22"/>
        </w:rPr>
        <w:t xml:space="preserve">on the remaining contributors </w:t>
      </w:r>
      <w:r w:rsidR="00027FC7" w:rsidRPr="00B35805">
        <w:rPr>
          <w:rFonts w:ascii="Cambria" w:hAnsi="Cambria"/>
          <w:sz w:val="22"/>
          <w:szCs w:val="22"/>
        </w:rPr>
        <w:t>and</w:t>
      </w:r>
      <w:r w:rsidR="00280A67" w:rsidRPr="00B35805">
        <w:rPr>
          <w:rFonts w:ascii="Cambria" w:hAnsi="Cambria"/>
          <w:sz w:val="22"/>
          <w:szCs w:val="22"/>
        </w:rPr>
        <w:t xml:space="preserve"> </w:t>
      </w:r>
      <w:r w:rsidR="00983FA0" w:rsidRPr="00B35805">
        <w:rPr>
          <w:rFonts w:ascii="Cambria" w:hAnsi="Cambria"/>
          <w:sz w:val="22"/>
          <w:szCs w:val="22"/>
        </w:rPr>
        <w:t>the</w:t>
      </w:r>
      <w:r w:rsidR="004E0500" w:rsidRPr="00B35805">
        <w:rPr>
          <w:rFonts w:ascii="Cambria" w:hAnsi="Cambria"/>
          <w:sz w:val="22"/>
          <w:szCs w:val="22"/>
        </w:rPr>
        <w:t xml:space="preserve"> </w:t>
      </w:r>
      <w:r w:rsidR="00280A67" w:rsidRPr="00B35805">
        <w:rPr>
          <w:rFonts w:ascii="Cambria" w:hAnsi="Cambria"/>
          <w:sz w:val="22"/>
          <w:szCs w:val="22"/>
        </w:rPr>
        <w:t>government</w:t>
      </w:r>
      <w:r w:rsidR="00F16CA2" w:rsidRPr="00B35805">
        <w:rPr>
          <w:rFonts w:ascii="Cambria" w:hAnsi="Cambria"/>
          <w:sz w:val="22"/>
          <w:szCs w:val="22"/>
        </w:rPr>
        <w:t xml:space="preserve">. </w:t>
      </w:r>
    </w:p>
    <w:p w14:paraId="5C8DE76E" w14:textId="7430A870" w:rsidR="00E545C7" w:rsidRPr="00B7519A" w:rsidRDefault="00B35805" w:rsidP="00B7519A">
      <w:pPr>
        <w:numPr>
          <w:ilvl w:val="0"/>
          <w:numId w:val="3"/>
        </w:numPr>
        <w:spacing w:before="240" w:after="240"/>
        <w:jc w:val="both"/>
        <w:rPr>
          <w:rFonts w:ascii="Cambria" w:hAnsi="Cambria"/>
          <w:sz w:val="22"/>
          <w:szCs w:val="22"/>
        </w:rPr>
      </w:pPr>
      <w:r w:rsidRPr="00B7519A">
        <w:rPr>
          <w:rFonts w:ascii="Cambria" w:hAnsi="Cambria"/>
          <w:b/>
          <w:sz w:val="22"/>
          <w:szCs w:val="22"/>
        </w:rPr>
        <w:t>Overall, the system needs further reforms to address the key challenges</w:t>
      </w:r>
      <w:r w:rsidR="00B7519A" w:rsidRPr="00B7519A">
        <w:rPr>
          <w:rFonts w:ascii="Cambria" w:hAnsi="Cambria"/>
          <w:b/>
          <w:sz w:val="22"/>
          <w:szCs w:val="22"/>
        </w:rPr>
        <w:t>.</w:t>
      </w:r>
      <w:r w:rsidRPr="005B2C06">
        <w:rPr>
          <w:rFonts w:ascii="Cambria" w:hAnsi="Cambria"/>
          <w:b/>
          <w:sz w:val="22"/>
          <w:szCs w:val="22"/>
        </w:rPr>
        <w:t xml:space="preserve"> </w:t>
      </w:r>
      <w:r w:rsidRPr="00B276D8">
        <w:rPr>
          <w:rFonts w:ascii="Cambria" w:hAnsi="Cambria"/>
          <w:sz w:val="22"/>
          <w:szCs w:val="22"/>
        </w:rPr>
        <w:t>A</w:t>
      </w:r>
      <w:r w:rsidR="008A0EB8" w:rsidRPr="00B276D8">
        <w:rPr>
          <w:rFonts w:ascii="Cambria" w:hAnsi="Cambria"/>
          <w:sz w:val="22"/>
          <w:szCs w:val="22"/>
        </w:rPr>
        <w:t xml:space="preserve"> number of broad reform options </w:t>
      </w:r>
      <w:r w:rsidR="00ED7491" w:rsidRPr="00B276D8">
        <w:rPr>
          <w:rFonts w:ascii="Cambria" w:hAnsi="Cambria"/>
          <w:sz w:val="22"/>
          <w:szCs w:val="22"/>
        </w:rPr>
        <w:t xml:space="preserve">are </w:t>
      </w:r>
      <w:r w:rsidR="008A0EB8" w:rsidRPr="00B276D8">
        <w:rPr>
          <w:rFonts w:ascii="Cambria" w:hAnsi="Cambria"/>
          <w:sz w:val="22"/>
          <w:szCs w:val="22"/>
        </w:rPr>
        <w:t>recommended</w:t>
      </w:r>
      <w:r w:rsidR="00ED7491" w:rsidRPr="00B276D8">
        <w:rPr>
          <w:rFonts w:ascii="Cambria" w:hAnsi="Cambria"/>
          <w:sz w:val="22"/>
          <w:szCs w:val="22"/>
        </w:rPr>
        <w:t xml:space="preserve"> for consideration</w:t>
      </w:r>
      <w:r w:rsidR="00ED7491" w:rsidRPr="00B7519A">
        <w:rPr>
          <w:rFonts w:ascii="Cambria" w:hAnsi="Cambria"/>
          <w:sz w:val="22"/>
          <w:szCs w:val="22"/>
        </w:rPr>
        <w:t xml:space="preserve">. </w:t>
      </w:r>
      <w:r w:rsidR="000D327A" w:rsidRPr="00B7519A">
        <w:rPr>
          <w:rFonts w:ascii="Cambria" w:hAnsi="Cambria"/>
          <w:sz w:val="22"/>
          <w:szCs w:val="22"/>
        </w:rPr>
        <w:t>The main objective o</w:t>
      </w:r>
      <w:r w:rsidR="000D327A" w:rsidRPr="005B2C06">
        <w:rPr>
          <w:rFonts w:ascii="Cambria" w:hAnsi="Cambria"/>
          <w:sz w:val="22"/>
          <w:szCs w:val="22"/>
        </w:rPr>
        <w:t xml:space="preserve">f the proposed reforms is </w:t>
      </w:r>
      <w:r w:rsidR="00F16CA2" w:rsidRPr="00234F89">
        <w:rPr>
          <w:rFonts w:ascii="Cambria" w:hAnsi="Cambria"/>
          <w:sz w:val="22"/>
          <w:szCs w:val="22"/>
        </w:rPr>
        <w:t xml:space="preserve">to ensure </w:t>
      </w:r>
      <w:r w:rsidR="000D327A" w:rsidRPr="00234F89">
        <w:rPr>
          <w:rFonts w:ascii="Cambria" w:hAnsi="Cambria"/>
          <w:sz w:val="22"/>
          <w:szCs w:val="22"/>
        </w:rPr>
        <w:t xml:space="preserve">adequacy of benefits, </w:t>
      </w:r>
      <w:r w:rsidR="00F16CA2" w:rsidRPr="00234F89">
        <w:rPr>
          <w:rFonts w:ascii="Cambria" w:hAnsi="Cambria"/>
          <w:sz w:val="22"/>
          <w:szCs w:val="22"/>
        </w:rPr>
        <w:t xml:space="preserve">provide </w:t>
      </w:r>
      <w:r w:rsidR="000D327A" w:rsidRPr="00BA5230">
        <w:rPr>
          <w:rFonts w:ascii="Cambria" w:hAnsi="Cambria"/>
          <w:sz w:val="22"/>
          <w:szCs w:val="22"/>
        </w:rPr>
        <w:t xml:space="preserve">better incentives to contribute, maintain financial sustainability of the </w:t>
      </w:r>
      <w:r w:rsidR="004E0500" w:rsidRPr="00BA5230">
        <w:rPr>
          <w:rFonts w:ascii="Cambria" w:hAnsi="Cambria"/>
          <w:sz w:val="22"/>
          <w:szCs w:val="22"/>
        </w:rPr>
        <w:t>pay-as-you-go (</w:t>
      </w:r>
      <w:r w:rsidR="000D327A" w:rsidRPr="001E22C1">
        <w:rPr>
          <w:rFonts w:ascii="Cambria" w:hAnsi="Cambria"/>
          <w:sz w:val="22"/>
          <w:szCs w:val="22"/>
        </w:rPr>
        <w:t>PAYG</w:t>
      </w:r>
      <w:r w:rsidR="004E0500" w:rsidRPr="001E22C1">
        <w:rPr>
          <w:rFonts w:ascii="Cambria" w:hAnsi="Cambria"/>
          <w:sz w:val="22"/>
          <w:szCs w:val="22"/>
        </w:rPr>
        <w:t>)</w:t>
      </w:r>
      <w:r w:rsidR="000D327A" w:rsidRPr="00F7467E">
        <w:rPr>
          <w:rFonts w:ascii="Cambria" w:hAnsi="Cambria"/>
          <w:sz w:val="22"/>
          <w:szCs w:val="22"/>
        </w:rPr>
        <w:t xml:space="preserve"> component</w:t>
      </w:r>
      <w:r w:rsidR="00F16CA2" w:rsidRPr="00F7467E">
        <w:rPr>
          <w:rFonts w:ascii="Cambria" w:hAnsi="Cambria"/>
          <w:sz w:val="22"/>
          <w:szCs w:val="22"/>
        </w:rPr>
        <w:t>,</w:t>
      </w:r>
      <w:r w:rsidR="000D327A" w:rsidRPr="00B7519A">
        <w:rPr>
          <w:rFonts w:ascii="Cambria" w:hAnsi="Cambria"/>
          <w:sz w:val="22"/>
          <w:szCs w:val="22"/>
        </w:rPr>
        <w:t xml:space="preserve"> and contain the cost of the system to the government.</w:t>
      </w:r>
      <w:r w:rsidR="0043359A" w:rsidRPr="00B7519A">
        <w:rPr>
          <w:rFonts w:ascii="Cambria" w:hAnsi="Cambria"/>
          <w:sz w:val="22"/>
          <w:szCs w:val="22"/>
        </w:rPr>
        <w:t xml:space="preserve"> </w:t>
      </w:r>
      <w:r w:rsidR="0015709A" w:rsidRPr="00B7519A">
        <w:rPr>
          <w:rFonts w:ascii="Cambria" w:hAnsi="Cambria"/>
          <w:sz w:val="22"/>
          <w:szCs w:val="22"/>
        </w:rPr>
        <w:t>The following options are considered:</w:t>
      </w:r>
    </w:p>
    <w:p w14:paraId="4AF445BF" w14:textId="77777777" w:rsidR="0015709A" w:rsidRPr="00C20EC5" w:rsidRDefault="0015709A" w:rsidP="00876F35">
      <w:pPr>
        <w:pStyle w:val="ListParagraph"/>
        <w:numPr>
          <w:ilvl w:val="0"/>
          <w:numId w:val="28"/>
        </w:numPr>
        <w:spacing w:after="120"/>
        <w:contextualSpacing w:val="0"/>
        <w:jc w:val="both"/>
        <w:rPr>
          <w:rFonts w:ascii="Cambria" w:hAnsi="Cambria"/>
          <w:sz w:val="22"/>
          <w:szCs w:val="22"/>
        </w:rPr>
      </w:pPr>
      <w:r w:rsidRPr="00C20EC5">
        <w:rPr>
          <w:rFonts w:ascii="Cambria" w:hAnsi="Cambria"/>
          <w:sz w:val="22"/>
          <w:szCs w:val="22"/>
        </w:rPr>
        <w:lastRenderedPageBreak/>
        <w:t xml:space="preserve">Fixing the contribution indexation mechanism by moving to indexation of the entire balance and linking </w:t>
      </w:r>
      <w:r w:rsidR="00222A9C" w:rsidRPr="00C20EC5">
        <w:rPr>
          <w:rFonts w:ascii="Cambria" w:hAnsi="Cambria"/>
          <w:sz w:val="22"/>
          <w:szCs w:val="22"/>
        </w:rPr>
        <w:t>the indexation parameter</w:t>
      </w:r>
      <w:r w:rsidRPr="00C20EC5">
        <w:rPr>
          <w:rFonts w:ascii="Cambria" w:hAnsi="Cambria"/>
          <w:sz w:val="22"/>
          <w:szCs w:val="22"/>
        </w:rPr>
        <w:t xml:space="preserve"> to the average wage growth rate.</w:t>
      </w:r>
    </w:p>
    <w:p w14:paraId="1824819D" w14:textId="32AE070E" w:rsidR="0015709A" w:rsidRPr="00C20EC5" w:rsidRDefault="0015709A" w:rsidP="00876F35">
      <w:pPr>
        <w:pStyle w:val="ListParagraph"/>
        <w:numPr>
          <w:ilvl w:val="0"/>
          <w:numId w:val="28"/>
        </w:numPr>
        <w:spacing w:after="120"/>
        <w:contextualSpacing w:val="0"/>
        <w:jc w:val="both"/>
        <w:rPr>
          <w:rFonts w:ascii="Cambria" w:hAnsi="Cambria"/>
          <w:sz w:val="22"/>
          <w:szCs w:val="22"/>
        </w:rPr>
      </w:pPr>
      <w:r w:rsidRPr="00C20EC5">
        <w:rPr>
          <w:rFonts w:ascii="Cambria" w:hAnsi="Cambria"/>
          <w:sz w:val="22"/>
          <w:szCs w:val="22"/>
        </w:rPr>
        <w:t xml:space="preserve">Moving from </w:t>
      </w:r>
      <w:r w:rsidR="00D01564">
        <w:rPr>
          <w:rFonts w:ascii="Cambria" w:hAnsi="Cambria"/>
          <w:sz w:val="22"/>
          <w:szCs w:val="22"/>
        </w:rPr>
        <w:t>the current discretionary policy</w:t>
      </w:r>
      <w:r w:rsidR="00C5486B">
        <w:rPr>
          <w:rFonts w:ascii="Cambria" w:hAnsi="Cambria"/>
          <w:sz w:val="22"/>
          <w:szCs w:val="22"/>
        </w:rPr>
        <w:t xml:space="preserve"> of pension adjustment </w:t>
      </w:r>
      <w:r w:rsidR="00C5486B" w:rsidRPr="00C20EC5">
        <w:rPr>
          <w:rFonts w:ascii="Cambria" w:hAnsi="Cambria"/>
          <w:sz w:val="22"/>
          <w:szCs w:val="22"/>
        </w:rPr>
        <w:t>to price indexation of post-retirement pensions.</w:t>
      </w:r>
      <w:r w:rsidR="00D01564">
        <w:rPr>
          <w:rStyle w:val="FootnoteReference"/>
          <w:rFonts w:ascii="Cambria" w:hAnsi="Cambria"/>
          <w:sz w:val="22"/>
          <w:szCs w:val="22"/>
        </w:rPr>
        <w:footnoteReference w:id="1"/>
      </w:r>
      <w:r w:rsidR="00D01564">
        <w:rPr>
          <w:rFonts w:ascii="Cambria" w:hAnsi="Cambria"/>
          <w:sz w:val="22"/>
          <w:szCs w:val="22"/>
        </w:rPr>
        <w:t xml:space="preserve"> </w:t>
      </w:r>
    </w:p>
    <w:p w14:paraId="4B8D139D" w14:textId="3210EE1C" w:rsidR="0015709A" w:rsidRPr="00C20EC5" w:rsidRDefault="0042360A" w:rsidP="00876F35">
      <w:pPr>
        <w:pStyle w:val="ListParagraph"/>
        <w:numPr>
          <w:ilvl w:val="0"/>
          <w:numId w:val="28"/>
        </w:numPr>
        <w:spacing w:after="120"/>
        <w:contextualSpacing w:val="0"/>
        <w:jc w:val="both"/>
        <w:rPr>
          <w:rFonts w:ascii="Cambria" w:hAnsi="Cambria"/>
          <w:sz w:val="22"/>
          <w:szCs w:val="22"/>
        </w:rPr>
      </w:pPr>
      <w:r w:rsidRPr="00C20EC5">
        <w:rPr>
          <w:rFonts w:ascii="Cambria" w:hAnsi="Cambria"/>
          <w:sz w:val="22"/>
          <w:szCs w:val="22"/>
        </w:rPr>
        <w:t>Introducing an automatic link of the s</w:t>
      </w:r>
      <w:r w:rsidR="0015709A" w:rsidRPr="00C20EC5">
        <w:rPr>
          <w:rFonts w:ascii="Cambria" w:hAnsi="Cambria"/>
          <w:sz w:val="22"/>
          <w:szCs w:val="22"/>
        </w:rPr>
        <w:t xml:space="preserve">tatutory retirement age </w:t>
      </w:r>
      <w:r w:rsidRPr="00C20EC5">
        <w:rPr>
          <w:rFonts w:ascii="Cambria" w:hAnsi="Cambria"/>
          <w:sz w:val="22"/>
          <w:szCs w:val="22"/>
        </w:rPr>
        <w:t>to</w:t>
      </w:r>
      <w:r w:rsidR="0015709A" w:rsidRPr="00C20EC5">
        <w:rPr>
          <w:rFonts w:ascii="Cambria" w:hAnsi="Cambria"/>
          <w:sz w:val="22"/>
          <w:szCs w:val="22"/>
        </w:rPr>
        <w:t xml:space="preserve"> life expectancy changes </w:t>
      </w:r>
      <w:r w:rsidRPr="00C20EC5">
        <w:rPr>
          <w:rFonts w:ascii="Cambria" w:hAnsi="Cambria"/>
          <w:sz w:val="22"/>
          <w:szCs w:val="22"/>
        </w:rPr>
        <w:t>so that life expectancy at retirement is maintained constant.</w:t>
      </w:r>
    </w:p>
    <w:p w14:paraId="7E3654FC" w14:textId="69A7836A" w:rsidR="0015709A" w:rsidRPr="00C20EC5" w:rsidRDefault="00680FE4" w:rsidP="00876F35">
      <w:pPr>
        <w:pStyle w:val="ListParagraph"/>
        <w:numPr>
          <w:ilvl w:val="0"/>
          <w:numId w:val="28"/>
        </w:numPr>
        <w:spacing w:after="120"/>
        <w:contextualSpacing w:val="0"/>
        <w:jc w:val="both"/>
        <w:rPr>
          <w:rFonts w:ascii="Cambria" w:hAnsi="Cambria"/>
          <w:sz w:val="22"/>
          <w:szCs w:val="22"/>
        </w:rPr>
      </w:pPr>
      <w:r>
        <w:rPr>
          <w:rFonts w:ascii="Cambria" w:hAnsi="Cambria"/>
          <w:sz w:val="22"/>
          <w:szCs w:val="22"/>
        </w:rPr>
        <w:t>Re-design of the</w:t>
      </w:r>
      <w:r w:rsidRPr="00C20EC5">
        <w:rPr>
          <w:rFonts w:ascii="Cambria" w:hAnsi="Cambria"/>
          <w:sz w:val="22"/>
          <w:szCs w:val="22"/>
        </w:rPr>
        <w:t xml:space="preserve"> </w:t>
      </w:r>
      <w:r w:rsidR="00CC69B8" w:rsidRPr="00C20EC5">
        <w:rPr>
          <w:rFonts w:ascii="Cambria" w:hAnsi="Cambria"/>
          <w:sz w:val="22"/>
          <w:szCs w:val="22"/>
        </w:rPr>
        <w:t>b</w:t>
      </w:r>
      <w:r w:rsidR="0015709A" w:rsidRPr="00C20EC5">
        <w:rPr>
          <w:rFonts w:ascii="Cambria" w:hAnsi="Cambria"/>
          <w:sz w:val="22"/>
          <w:szCs w:val="22"/>
        </w:rPr>
        <w:t xml:space="preserve">asic and social pensions </w:t>
      </w:r>
      <w:r>
        <w:rPr>
          <w:rFonts w:ascii="Cambria" w:hAnsi="Cambria"/>
          <w:sz w:val="22"/>
          <w:szCs w:val="22"/>
        </w:rPr>
        <w:t>by</w:t>
      </w:r>
      <w:r w:rsidRPr="00C20EC5">
        <w:rPr>
          <w:rFonts w:ascii="Cambria" w:hAnsi="Cambria"/>
          <w:sz w:val="22"/>
          <w:szCs w:val="22"/>
        </w:rPr>
        <w:t xml:space="preserve"> </w:t>
      </w:r>
      <w:r w:rsidR="00CC69B8" w:rsidRPr="00C20EC5">
        <w:rPr>
          <w:rFonts w:ascii="Cambria" w:hAnsi="Cambria"/>
          <w:sz w:val="22"/>
          <w:szCs w:val="22"/>
        </w:rPr>
        <w:t>replacing them</w:t>
      </w:r>
      <w:r w:rsidR="0015709A" w:rsidRPr="00C20EC5">
        <w:rPr>
          <w:rFonts w:ascii="Cambria" w:hAnsi="Cambria"/>
          <w:sz w:val="22"/>
          <w:szCs w:val="22"/>
        </w:rPr>
        <w:t xml:space="preserve"> with a </w:t>
      </w:r>
      <w:proofErr w:type="spellStart"/>
      <w:r w:rsidR="0015709A" w:rsidRPr="00C20EC5">
        <w:rPr>
          <w:rFonts w:ascii="Cambria" w:hAnsi="Cambria"/>
          <w:sz w:val="22"/>
          <w:szCs w:val="22"/>
        </w:rPr>
        <w:t>demogrant</w:t>
      </w:r>
      <w:proofErr w:type="spellEnd"/>
      <w:r w:rsidR="0015709A" w:rsidRPr="00C20EC5">
        <w:rPr>
          <w:rFonts w:ascii="Cambria" w:hAnsi="Cambria"/>
          <w:sz w:val="22"/>
          <w:szCs w:val="22"/>
        </w:rPr>
        <w:t xml:space="preserve">, a universal flat benefit with eligibility based solely on age </w:t>
      </w:r>
      <w:r w:rsidR="00CC69B8" w:rsidRPr="00C20EC5">
        <w:rPr>
          <w:rFonts w:ascii="Cambria" w:hAnsi="Cambria"/>
          <w:sz w:val="22"/>
          <w:szCs w:val="22"/>
        </w:rPr>
        <w:t xml:space="preserve">(suggested </w:t>
      </w:r>
      <w:r w:rsidR="00EF330A" w:rsidRPr="00C20EC5">
        <w:rPr>
          <w:rFonts w:ascii="Cambria" w:hAnsi="Cambria"/>
          <w:sz w:val="22"/>
          <w:szCs w:val="22"/>
        </w:rPr>
        <w:t>at 65</w:t>
      </w:r>
      <w:r w:rsidR="00CC69B8" w:rsidRPr="00C20EC5">
        <w:rPr>
          <w:rFonts w:ascii="Cambria" w:hAnsi="Cambria"/>
          <w:sz w:val="22"/>
          <w:szCs w:val="22"/>
        </w:rPr>
        <w:t>)</w:t>
      </w:r>
      <w:r w:rsidR="00EF330A" w:rsidRPr="00C20EC5">
        <w:rPr>
          <w:rFonts w:ascii="Cambria" w:hAnsi="Cambria"/>
          <w:sz w:val="22"/>
          <w:szCs w:val="22"/>
        </w:rPr>
        <w:t xml:space="preserve"> </w:t>
      </w:r>
      <w:r w:rsidR="0015709A" w:rsidRPr="00C20EC5">
        <w:rPr>
          <w:rFonts w:ascii="Cambria" w:hAnsi="Cambria"/>
          <w:sz w:val="22"/>
          <w:szCs w:val="22"/>
        </w:rPr>
        <w:t>and residency</w:t>
      </w:r>
      <w:r w:rsidR="00EF330A" w:rsidRPr="00C20EC5">
        <w:rPr>
          <w:rFonts w:ascii="Cambria" w:hAnsi="Cambria"/>
          <w:sz w:val="22"/>
          <w:szCs w:val="22"/>
        </w:rPr>
        <w:t>.</w:t>
      </w:r>
    </w:p>
    <w:p w14:paraId="0567376B" w14:textId="741715DE" w:rsidR="00CC69B8" w:rsidRPr="00C20EC5" w:rsidRDefault="00022B2C" w:rsidP="00876F35">
      <w:pPr>
        <w:pStyle w:val="ListParagraph"/>
        <w:numPr>
          <w:ilvl w:val="0"/>
          <w:numId w:val="28"/>
        </w:numPr>
        <w:spacing w:after="120"/>
        <w:contextualSpacing w:val="0"/>
        <w:jc w:val="both"/>
        <w:rPr>
          <w:rFonts w:ascii="Cambria" w:hAnsi="Cambria"/>
          <w:sz w:val="22"/>
          <w:szCs w:val="22"/>
        </w:rPr>
      </w:pPr>
      <w:r>
        <w:rPr>
          <w:rFonts w:ascii="Cambria" w:hAnsi="Cambria"/>
          <w:sz w:val="22"/>
          <w:szCs w:val="22"/>
        </w:rPr>
        <w:t>As a fundamentally different approach</w:t>
      </w:r>
      <w:r w:rsidR="00CA1555">
        <w:rPr>
          <w:rFonts w:ascii="Cambria" w:hAnsi="Cambria"/>
          <w:sz w:val="22"/>
          <w:szCs w:val="22"/>
        </w:rPr>
        <w:t>,</w:t>
      </w:r>
      <w:r>
        <w:rPr>
          <w:rFonts w:ascii="Cambria" w:hAnsi="Cambria"/>
          <w:sz w:val="22"/>
          <w:szCs w:val="22"/>
        </w:rPr>
        <w:t xml:space="preserve"> </w:t>
      </w:r>
      <w:r w:rsidR="00CA1555">
        <w:rPr>
          <w:rFonts w:ascii="Cambria" w:hAnsi="Cambria"/>
          <w:sz w:val="22"/>
          <w:szCs w:val="22"/>
        </w:rPr>
        <w:t xml:space="preserve">consider </w:t>
      </w:r>
      <w:r>
        <w:rPr>
          <w:rFonts w:ascii="Cambria" w:hAnsi="Cambria"/>
          <w:sz w:val="22"/>
          <w:szCs w:val="22"/>
        </w:rPr>
        <w:t>m</w:t>
      </w:r>
      <w:r w:rsidR="00CC69B8" w:rsidRPr="00C20EC5">
        <w:rPr>
          <w:rFonts w:ascii="Cambria" w:hAnsi="Cambria"/>
          <w:sz w:val="22"/>
          <w:szCs w:val="22"/>
        </w:rPr>
        <w:t>oving to a noncontributory system focus</w:t>
      </w:r>
      <w:r w:rsidR="00FB7C16" w:rsidRPr="00C20EC5">
        <w:rPr>
          <w:rFonts w:ascii="Cambria" w:hAnsi="Cambria"/>
          <w:sz w:val="22"/>
          <w:szCs w:val="22"/>
        </w:rPr>
        <w:t>ed</w:t>
      </w:r>
      <w:r w:rsidR="00CC69B8" w:rsidRPr="00C20EC5">
        <w:rPr>
          <w:rFonts w:ascii="Cambria" w:hAnsi="Cambria"/>
          <w:sz w:val="22"/>
          <w:szCs w:val="22"/>
        </w:rPr>
        <w:t xml:space="preserve"> on basic income support for the elderly and leaving room for voluntary arrangements</w:t>
      </w:r>
      <w:r w:rsidR="005B3494" w:rsidRPr="00C20EC5">
        <w:rPr>
          <w:rFonts w:ascii="Cambria" w:hAnsi="Cambria"/>
          <w:sz w:val="22"/>
          <w:szCs w:val="22"/>
        </w:rPr>
        <w:t>.</w:t>
      </w:r>
    </w:p>
    <w:p w14:paraId="63C5BEB0" w14:textId="58226015" w:rsidR="008A0EB8" w:rsidRPr="00C20EC5" w:rsidRDefault="00DF60D4" w:rsidP="00876F35">
      <w:pPr>
        <w:numPr>
          <w:ilvl w:val="0"/>
          <w:numId w:val="3"/>
        </w:numPr>
        <w:spacing w:before="240" w:after="240"/>
        <w:jc w:val="both"/>
        <w:rPr>
          <w:rFonts w:ascii="Cambria" w:hAnsi="Cambria"/>
          <w:sz w:val="22"/>
          <w:szCs w:val="22"/>
        </w:rPr>
      </w:pPr>
      <w:r w:rsidRPr="00C20EC5">
        <w:rPr>
          <w:rFonts w:ascii="Cambria" w:hAnsi="Cambria"/>
          <w:b/>
          <w:sz w:val="22"/>
          <w:szCs w:val="22"/>
        </w:rPr>
        <w:t xml:space="preserve">The structure of this chapter is as follows. </w:t>
      </w:r>
      <w:r w:rsidR="00B00E76" w:rsidRPr="00C20EC5">
        <w:rPr>
          <w:rFonts w:ascii="Cambria" w:hAnsi="Cambria"/>
          <w:sz w:val="22"/>
          <w:szCs w:val="22"/>
        </w:rPr>
        <w:t>The next section provides an overview of the current pension system and the main issues</w:t>
      </w:r>
      <w:r w:rsidR="000E6BA0" w:rsidRPr="00C20EC5">
        <w:rPr>
          <w:rFonts w:ascii="Cambria" w:hAnsi="Cambria"/>
          <w:sz w:val="22"/>
          <w:szCs w:val="22"/>
        </w:rPr>
        <w:t xml:space="preserve"> facing it</w:t>
      </w:r>
      <w:r w:rsidR="00B00E76" w:rsidRPr="00C20EC5">
        <w:rPr>
          <w:rFonts w:ascii="Cambria" w:hAnsi="Cambria"/>
          <w:sz w:val="22"/>
          <w:szCs w:val="22"/>
        </w:rPr>
        <w:t xml:space="preserve">. Section </w:t>
      </w:r>
      <w:r w:rsidR="00377E64">
        <w:rPr>
          <w:rFonts w:ascii="Cambria" w:hAnsi="Cambria"/>
          <w:sz w:val="22"/>
          <w:szCs w:val="22"/>
        </w:rPr>
        <w:t>3</w:t>
      </w:r>
      <w:r w:rsidR="00377E64" w:rsidRPr="00C20EC5">
        <w:rPr>
          <w:rFonts w:ascii="Cambria" w:hAnsi="Cambria"/>
          <w:sz w:val="22"/>
          <w:szCs w:val="22"/>
        </w:rPr>
        <w:t xml:space="preserve"> </w:t>
      </w:r>
      <w:r w:rsidR="00B00E76" w:rsidRPr="00C20EC5">
        <w:rPr>
          <w:rFonts w:ascii="Cambria" w:hAnsi="Cambria"/>
          <w:sz w:val="22"/>
          <w:szCs w:val="22"/>
        </w:rPr>
        <w:t>presents the results of the financial projections for the current system assuming a no-reform scenario and the implications of doing nothing on the financ</w:t>
      </w:r>
      <w:r w:rsidR="00B02CA2" w:rsidRPr="00C20EC5">
        <w:rPr>
          <w:rFonts w:ascii="Cambria" w:hAnsi="Cambria"/>
          <w:sz w:val="22"/>
          <w:szCs w:val="22"/>
        </w:rPr>
        <w:t>es of the Social Fund</w:t>
      </w:r>
      <w:r w:rsidR="00B00E76" w:rsidRPr="00C20EC5">
        <w:rPr>
          <w:rFonts w:ascii="Cambria" w:hAnsi="Cambria"/>
          <w:sz w:val="22"/>
          <w:szCs w:val="22"/>
        </w:rPr>
        <w:t xml:space="preserve">, the cost to the government and </w:t>
      </w:r>
      <w:r w:rsidR="00B02CA2" w:rsidRPr="00C20EC5">
        <w:rPr>
          <w:rFonts w:ascii="Cambria" w:hAnsi="Cambria"/>
          <w:sz w:val="22"/>
          <w:szCs w:val="22"/>
        </w:rPr>
        <w:t xml:space="preserve">the </w:t>
      </w:r>
      <w:r w:rsidR="00B00E76" w:rsidRPr="00C20EC5">
        <w:rPr>
          <w:rFonts w:ascii="Cambria" w:hAnsi="Cambria"/>
          <w:sz w:val="22"/>
          <w:szCs w:val="22"/>
        </w:rPr>
        <w:t xml:space="preserve">expected benefits (baseline projections). </w:t>
      </w:r>
      <w:r w:rsidR="00F81279" w:rsidRPr="00C20EC5">
        <w:rPr>
          <w:rFonts w:ascii="Cambria" w:hAnsi="Cambria"/>
          <w:sz w:val="22"/>
          <w:szCs w:val="22"/>
        </w:rPr>
        <w:t xml:space="preserve">Section </w:t>
      </w:r>
      <w:r w:rsidR="00377E64">
        <w:rPr>
          <w:rFonts w:ascii="Cambria" w:hAnsi="Cambria"/>
          <w:sz w:val="22"/>
          <w:szCs w:val="22"/>
        </w:rPr>
        <w:t>4</w:t>
      </w:r>
      <w:r w:rsidR="00377E64" w:rsidRPr="00C20EC5">
        <w:rPr>
          <w:rFonts w:ascii="Cambria" w:hAnsi="Cambria"/>
          <w:sz w:val="22"/>
          <w:szCs w:val="22"/>
        </w:rPr>
        <w:t xml:space="preserve"> </w:t>
      </w:r>
      <w:r w:rsidR="00F81279" w:rsidRPr="00C20EC5">
        <w:rPr>
          <w:rFonts w:ascii="Cambria" w:hAnsi="Cambria"/>
          <w:sz w:val="22"/>
          <w:szCs w:val="22"/>
        </w:rPr>
        <w:t xml:space="preserve">considers several broad reform options and their impact with respect </w:t>
      </w:r>
      <w:r w:rsidR="00B02CA2" w:rsidRPr="00C20EC5">
        <w:rPr>
          <w:rFonts w:ascii="Cambria" w:hAnsi="Cambria"/>
          <w:sz w:val="22"/>
          <w:szCs w:val="22"/>
        </w:rPr>
        <w:t>to the financial sustainability and</w:t>
      </w:r>
      <w:r w:rsidR="00F81279" w:rsidRPr="00C20EC5">
        <w:rPr>
          <w:rFonts w:ascii="Cambria" w:hAnsi="Cambria"/>
          <w:sz w:val="22"/>
          <w:szCs w:val="22"/>
        </w:rPr>
        <w:t xml:space="preserve"> affordability </w:t>
      </w:r>
      <w:r w:rsidR="00142CFD" w:rsidRPr="00C20EC5">
        <w:rPr>
          <w:rFonts w:ascii="Cambria" w:hAnsi="Cambria"/>
          <w:sz w:val="22"/>
          <w:szCs w:val="22"/>
        </w:rPr>
        <w:t xml:space="preserve">of the system </w:t>
      </w:r>
      <w:r w:rsidR="00B02CA2" w:rsidRPr="00C20EC5">
        <w:rPr>
          <w:rFonts w:ascii="Cambria" w:hAnsi="Cambria"/>
          <w:sz w:val="22"/>
          <w:szCs w:val="22"/>
        </w:rPr>
        <w:t>as well as adequacy of</w:t>
      </w:r>
      <w:r w:rsidR="00142CFD" w:rsidRPr="00C20EC5">
        <w:rPr>
          <w:rFonts w:ascii="Cambria" w:hAnsi="Cambria"/>
          <w:sz w:val="22"/>
          <w:szCs w:val="22"/>
        </w:rPr>
        <w:t xml:space="preserve"> benefit</w:t>
      </w:r>
      <w:r w:rsidR="00B02CA2" w:rsidRPr="00C20EC5">
        <w:rPr>
          <w:rFonts w:ascii="Cambria" w:hAnsi="Cambria"/>
          <w:sz w:val="22"/>
          <w:szCs w:val="22"/>
        </w:rPr>
        <w:t>s</w:t>
      </w:r>
      <w:r w:rsidR="00142CFD" w:rsidRPr="00C20EC5">
        <w:rPr>
          <w:rFonts w:ascii="Cambria" w:hAnsi="Cambria"/>
          <w:sz w:val="22"/>
          <w:szCs w:val="22"/>
        </w:rPr>
        <w:t xml:space="preserve">. </w:t>
      </w:r>
      <w:r w:rsidR="00237929" w:rsidRPr="00C20EC5">
        <w:rPr>
          <w:rFonts w:ascii="Cambria" w:hAnsi="Cambria"/>
          <w:sz w:val="22"/>
          <w:szCs w:val="22"/>
        </w:rPr>
        <w:t xml:space="preserve">Section </w:t>
      </w:r>
      <w:r w:rsidR="00377E64">
        <w:rPr>
          <w:rFonts w:ascii="Cambria" w:hAnsi="Cambria"/>
          <w:sz w:val="22"/>
          <w:szCs w:val="22"/>
        </w:rPr>
        <w:t>5</w:t>
      </w:r>
      <w:r w:rsidR="00377E64" w:rsidRPr="00C20EC5">
        <w:rPr>
          <w:rFonts w:ascii="Cambria" w:hAnsi="Cambria"/>
          <w:sz w:val="22"/>
          <w:szCs w:val="22"/>
        </w:rPr>
        <w:t xml:space="preserve"> </w:t>
      </w:r>
      <w:r w:rsidR="00237929" w:rsidRPr="00C20EC5">
        <w:rPr>
          <w:rFonts w:ascii="Cambria" w:hAnsi="Cambria"/>
          <w:sz w:val="22"/>
          <w:szCs w:val="22"/>
        </w:rPr>
        <w:t>outlines the issues</w:t>
      </w:r>
      <w:r w:rsidR="00EB5390" w:rsidRPr="00C20EC5">
        <w:rPr>
          <w:rFonts w:ascii="Cambria" w:hAnsi="Cambria"/>
          <w:sz w:val="22"/>
          <w:szCs w:val="22"/>
        </w:rPr>
        <w:t xml:space="preserve"> remaining beyond the scope of this study which require further analysis. Annex 1 summarizes the main parameters of the current pension system and Annex 2 provides a brief description of the main assumptions used in the projections and the projection methodology</w:t>
      </w:r>
      <w:r w:rsidR="00361018" w:rsidRPr="00C20EC5">
        <w:rPr>
          <w:rFonts w:ascii="Cambria" w:hAnsi="Cambria"/>
          <w:sz w:val="22"/>
          <w:szCs w:val="22"/>
        </w:rPr>
        <w:t xml:space="preserve">. </w:t>
      </w:r>
      <w:r w:rsidR="008A0EB8" w:rsidRPr="00C20EC5">
        <w:rPr>
          <w:rFonts w:ascii="Cambria" w:hAnsi="Cambria"/>
          <w:sz w:val="22"/>
          <w:szCs w:val="22"/>
        </w:rPr>
        <w:t xml:space="preserve">The diagnosis of the current system and </w:t>
      </w:r>
      <w:r w:rsidR="00361018" w:rsidRPr="00C20EC5">
        <w:rPr>
          <w:rFonts w:ascii="Cambria" w:hAnsi="Cambria"/>
          <w:sz w:val="22"/>
          <w:szCs w:val="22"/>
        </w:rPr>
        <w:t xml:space="preserve">the </w:t>
      </w:r>
      <w:r w:rsidR="008A0EB8" w:rsidRPr="00C20EC5">
        <w:rPr>
          <w:rFonts w:ascii="Cambria" w:hAnsi="Cambria"/>
          <w:sz w:val="22"/>
          <w:szCs w:val="22"/>
        </w:rPr>
        <w:t xml:space="preserve">evaluation of </w:t>
      </w:r>
      <w:r w:rsidR="00361018" w:rsidRPr="00C20EC5">
        <w:rPr>
          <w:rFonts w:ascii="Cambria" w:hAnsi="Cambria"/>
          <w:sz w:val="22"/>
          <w:szCs w:val="22"/>
        </w:rPr>
        <w:t xml:space="preserve">the </w:t>
      </w:r>
      <w:r w:rsidR="008A0EB8" w:rsidRPr="00C20EC5">
        <w:rPr>
          <w:rFonts w:ascii="Cambria" w:hAnsi="Cambria"/>
          <w:sz w:val="22"/>
          <w:szCs w:val="22"/>
        </w:rPr>
        <w:t xml:space="preserve">reform options presented </w:t>
      </w:r>
      <w:r w:rsidR="00CD4DD5" w:rsidRPr="00C20EC5">
        <w:rPr>
          <w:rFonts w:ascii="Cambria" w:hAnsi="Cambria"/>
          <w:sz w:val="22"/>
          <w:szCs w:val="22"/>
        </w:rPr>
        <w:t>i</w:t>
      </w:r>
      <w:r w:rsidR="008A0EB8" w:rsidRPr="00C20EC5">
        <w:rPr>
          <w:rFonts w:ascii="Cambria" w:hAnsi="Cambria"/>
          <w:sz w:val="22"/>
          <w:szCs w:val="22"/>
        </w:rPr>
        <w:t xml:space="preserve">n this chapter </w:t>
      </w:r>
      <w:r w:rsidR="00CD4DD5" w:rsidRPr="00C20EC5">
        <w:rPr>
          <w:rFonts w:ascii="Cambria" w:hAnsi="Cambria"/>
          <w:sz w:val="22"/>
          <w:szCs w:val="22"/>
        </w:rPr>
        <w:t>are</w:t>
      </w:r>
      <w:r w:rsidR="008A0EB8" w:rsidRPr="00C20EC5">
        <w:rPr>
          <w:rFonts w:ascii="Cambria" w:hAnsi="Cambria"/>
          <w:sz w:val="22"/>
          <w:szCs w:val="22"/>
        </w:rPr>
        <w:t xml:space="preserve"> based on the </w:t>
      </w:r>
      <w:r w:rsidR="000E6BA0" w:rsidRPr="00C20EC5">
        <w:rPr>
          <w:rFonts w:ascii="Cambria" w:hAnsi="Cambria"/>
          <w:sz w:val="22"/>
          <w:szCs w:val="22"/>
        </w:rPr>
        <w:t xml:space="preserve">simulations </w:t>
      </w:r>
      <w:r w:rsidR="008A0EB8" w:rsidRPr="00C20EC5">
        <w:rPr>
          <w:rFonts w:ascii="Cambria" w:hAnsi="Cambria"/>
          <w:sz w:val="22"/>
          <w:szCs w:val="22"/>
        </w:rPr>
        <w:t xml:space="preserve">produced with the World Bank </w:t>
      </w:r>
      <w:r w:rsidR="00377E64" w:rsidRPr="00C20EC5">
        <w:rPr>
          <w:rFonts w:ascii="Cambria" w:hAnsi="Cambria"/>
          <w:sz w:val="22"/>
          <w:szCs w:val="22"/>
        </w:rPr>
        <w:t xml:space="preserve">Pension Reform Options Simulation Toolkit </w:t>
      </w:r>
      <w:r w:rsidR="008A0EB8" w:rsidRPr="00C20EC5">
        <w:rPr>
          <w:rFonts w:ascii="Cambria" w:hAnsi="Cambria"/>
          <w:sz w:val="22"/>
          <w:szCs w:val="22"/>
        </w:rPr>
        <w:t>(</w:t>
      </w:r>
      <w:r w:rsidR="00377E64" w:rsidRPr="00C20EC5">
        <w:rPr>
          <w:rFonts w:ascii="Cambria" w:hAnsi="Cambria"/>
          <w:sz w:val="22"/>
          <w:szCs w:val="22"/>
        </w:rPr>
        <w:t>PROST</w:t>
      </w:r>
      <w:r w:rsidR="008A0EB8" w:rsidRPr="00C20EC5">
        <w:rPr>
          <w:rFonts w:ascii="Cambria" w:hAnsi="Cambria"/>
          <w:sz w:val="22"/>
          <w:szCs w:val="22"/>
        </w:rPr>
        <w:t>) model.</w:t>
      </w:r>
    </w:p>
    <w:p w14:paraId="34315655" w14:textId="77777777" w:rsidR="001E3E0B" w:rsidRPr="00C20EC5" w:rsidRDefault="002D362E" w:rsidP="00876F35">
      <w:pPr>
        <w:pStyle w:val="Heading1"/>
      </w:pPr>
      <w:bookmarkStart w:id="4" w:name="_Toc387325517"/>
      <w:r w:rsidRPr="00C20EC5">
        <w:t xml:space="preserve">Overview of the </w:t>
      </w:r>
      <w:r w:rsidR="00EA4628" w:rsidRPr="00C20EC5">
        <w:t xml:space="preserve">Current </w:t>
      </w:r>
      <w:r w:rsidR="001E3E0B" w:rsidRPr="00C20EC5">
        <w:t>Pension System</w:t>
      </w:r>
      <w:bookmarkEnd w:id="4"/>
    </w:p>
    <w:p w14:paraId="63C9C009" w14:textId="0F0E863C" w:rsidR="00E8420B" w:rsidRPr="00C20EC5" w:rsidRDefault="00CE7839" w:rsidP="00876F35">
      <w:pPr>
        <w:numPr>
          <w:ilvl w:val="0"/>
          <w:numId w:val="3"/>
        </w:numPr>
        <w:spacing w:before="240" w:after="240"/>
        <w:jc w:val="both"/>
        <w:rPr>
          <w:rFonts w:ascii="Cambria" w:hAnsi="Cambria"/>
          <w:sz w:val="22"/>
          <w:szCs w:val="22"/>
        </w:rPr>
      </w:pPr>
      <w:r w:rsidRPr="00CE7839">
        <w:rPr>
          <w:rFonts w:ascii="Cambria" w:hAnsi="Cambria"/>
          <w:b/>
          <w:sz w:val="22"/>
          <w:szCs w:val="22"/>
        </w:rPr>
        <w:t>The Kyrgyz Republic manages a complex pension system.</w:t>
      </w:r>
      <w:r>
        <w:rPr>
          <w:rFonts w:ascii="Cambria" w:hAnsi="Cambria"/>
          <w:sz w:val="22"/>
          <w:szCs w:val="22"/>
        </w:rPr>
        <w:t xml:space="preserve">  </w:t>
      </w:r>
      <w:r w:rsidR="00662349" w:rsidRPr="00C20EC5">
        <w:rPr>
          <w:rFonts w:ascii="Cambria" w:hAnsi="Cambria"/>
          <w:sz w:val="22"/>
          <w:szCs w:val="22"/>
        </w:rPr>
        <w:t xml:space="preserve">The national </w:t>
      </w:r>
      <w:r w:rsidR="00C032DA">
        <w:rPr>
          <w:rFonts w:ascii="Cambria" w:hAnsi="Cambria"/>
          <w:sz w:val="22"/>
          <w:szCs w:val="22"/>
        </w:rPr>
        <w:t xml:space="preserve">contributory </w:t>
      </w:r>
      <w:r w:rsidR="00662349" w:rsidRPr="00C20EC5">
        <w:rPr>
          <w:rFonts w:ascii="Cambria" w:hAnsi="Cambria"/>
          <w:sz w:val="22"/>
          <w:szCs w:val="22"/>
        </w:rPr>
        <w:t xml:space="preserve">pension system in </w:t>
      </w:r>
      <w:r w:rsidR="00475B2F">
        <w:rPr>
          <w:rFonts w:ascii="Cambria" w:hAnsi="Cambria"/>
          <w:sz w:val="22"/>
          <w:szCs w:val="22"/>
        </w:rPr>
        <w:t xml:space="preserve">the </w:t>
      </w:r>
      <w:r w:rsidR="00662349" w:rsidRPr="00C20EC5">
        <w:rPr>
          <w:rFonts w:ascii="Cambria" w:hAnsi="Cambria"/>
          <w:sz w:val="22"/>
          <w:szCs w:val="22"/>
        </w:rPr>
        <w:t>Kyrgyz</w:t>
      </w:r>
      <w:r w:rsidR="00475B2F">
        <w:rPr>
          <w:rFonts w:ascii="Cambria" w:hAnsi="Cambria"/>
          <w:sz w:val="22"/>
          <w:szCs w:val="22"/>
        </w:rPr>
        <w:t xml:space="preserve"> Republic</w:t>
      </w:r>
      <w:r w:rsidR="00662349" w:rsidRPr="00C20EC5">
        <w:rPr>
          <w:rFonts w:ascii="Cambria" w:hAnsi="Cambria"/>
          <w:sz w:val="22"/>
          <w:szCs w:val="22"/>
        </w:rPr>
        <w:t xml:space="preserve"> is a </w:t>
      </w:r>
      <w:r w:rsidR="00B914EA" w:rsidRPr="00C20EC5">
        <w:rPr>
          <w:rFonts w:ascii="Cambria" w:hAnsi="Cambria"/>
          <w:sz w:val="22"/>
          <w:szCs w:val="22"/>
        </w:rPr>
        <w:t>multi-component</w:t>
      </w:r>
      <w:r w:rsidR="00662349" w:rsidRPr="00C20EC5">
        <w:rPr>
          <w:rFonts w:ascii="Cambria" w:hAnsi="Cambria"/>
          <w:sz w:val="22"/>
          <w:szCs w:val="22"/>
        </w:rPr>
        <w:t xml:space="preserve"> scheme which covers all </w:t>
      </w:r>
      <w:r w:rsidR="00676FC6" w:rsidRPr="00C20EC5">
        <w:rPr>
          <w:rFonts w:ascii="Cambria" w:hAnsi="Cambria"/>
          <w:sz w:val="22"/>
          <w:szCs w:val="22"/>
        </w:rPr>
        <w:t xml:space="preserve">salaried </w:t>
      </w:r>
      <w:r w:rsidR="00662349" w:rsidRPr="00C20EC5">
        <w:rPr>
          <w:rFonts w:ascii="Cambria" w:hAnsi="Cambria"/>
          <w:sz w:val="22"/>
          <w:szCs w:val="22"/>
        </w:rPr>
        <w:t>workers employed in the formal sector</w:t>
      </w:r>
      <w:r w:rsidR="005C0249" w:rsidRPr="00C20EC5">
        <w:rPr>
          <w:rFonts w:ascii="Cambria" w:hAnsi="Cambria"/>
          <w:sz w:val="22"/>
          <w:szCs w:val="22"/>
        </w:rPr>
        <w:t>,</w:t>
      </w:r>
      <w:r w:rsidR="00662349" w:rsidRPr="00C20EC5">
        <w:rPr>
          <w:rFonts w:ascii="Cambria" w:hAnsi="Cambria"/>
          <w:sz w:val="22"/>
          <w:szCs w:val="22"/>
        </w:rPr>
        <w:t xml:space="preserve"> </w:t>
      </w:r>
      <w:r w:rsidR="000E4A61">
        <w:rPr>
          <w:rFonts w:ascii="Cambria" w:hAnsi="Cambria"/>
          <w:sz w:val="22"/>
          <w:szCs w:val="22"/>
        </w:rPr>
        <w:t xml:space="preserve">along with </w:t>
      </w:r>
      <w:r w:rsidR="00662349" w:rsidRPr="00C20EC5">
        <w:rPr>
          <w:rFonts w:ascii="Cambria" w:hAnsi="Cambria"/>
          <w:sz w:val="22"/>
          <w:szCs w:val="22"/>
        </w:rPr>
        <w:t>individual farmers and other self-employed</w:t>
      </w:r>
      <w:r w:rsidR="00B94775" w:rsidRPr="00C20EC5">
        <w:rPr>
          <w:rFonts w:ascii="Cambria" w:hAnsi="Cambria"/>
          <w:sz w:val="22"/>
          <w:szCs w:val="22"/>
        </w:rPr>
        <w:t xml:space="preserve"> workers</w:t>
      </w:r>
      <w:r w:rsidR="00662349" w:rsidRPr="00C20EC5">
        <w:rPr>
          <w:rFonts w:ascii="Cambria" w:hAnsi="Cambria"/>
          <w:sz w:val="22"/>
          <w:szCs w:val="22"/>
        </w:rPr>
        <w:t xml:space="preserve">. There is also a separate non-contributory pension scheme for the military </w:t>
      </w:r>
      <w:r w:rsidR="0029770B" w:rsidRPr="00C20EC5">
        <w:rPr>
          <w:rFonts w:ascii="Cambria" w:hAnsi="Cambria"/>
          <w:sz w:val="22"/>
          <w:szCs w:val="22"/>
        </w:rPr>
        <w:t xml:space="preserve">which is </w:t>
      </w:r>
      <w:r w:rsidR="00662349" w:rsidRPr="00C20EC5">
        <w:rPr>
          <w:rFonts w:ascii="Cambria" w:hAnsi="Cambria"/>
          <w:sz w:val="22"/>
          <w:szCs w:val="22"/>
        </w:rPr>
        <w:t xml:space="preserve">fully financed from the state budget. Those who </w:t>
      </w:r>
      <w:r w:rsidR="005C0249" w:rsidRPr="00C20EC5">
        <w:rPr>
          <w:rFonts w:ascii="Cambria" w:hAnsi="Cambria"/>
          <w:sz w:val="22"/>
          <w:szCs w:val="22"/>
        </w:rPr>
        <w:t>do not qualify for a pension from</w:t>
      </w:r>
      <w:r w:rsidR="00662349" w:rsidRPr="00C20EC5">
        <w:rPr>
          <w:rFonts w:ascii="Cambria" w:hAnsi="Cambria"/>
          <w:sz w:val="22"/>
          <w:szCs w:val="22"/>
        </w:rPr>
        <w:t xml:space="preserve"> either of these schemes </w:t>
      </w:r>
      <w:r w:rsidR="005C0249" w:rsidRPr="00C20EC5">
        <w:rPr>
          <w:rFonts w:ascii="Cambria" w:hAnsi="Cambria"/>
          <w:sz w:val="22"/>
          <w:szCs w:val="22"/>
        </w:rPr>
        <w:t xml:space="preserve">upon reaching the statutory retirement age </w:t>
      </w:r>
      <w:r w:rsidR="00662349" w:rsidRPr="00C20EC5">
        <w:rPr>
          <w:rFonts w:ascii="Cambria" w:hAnsi="Cambria"/>
          <w:sz w:val="22"/>
          <w:szCs w:val="22"/>
        </w:rPr>
        <w:t xml:space="preserve">receive </w:t>
      </w:r>
      <w:r w:rsidR="00B94775" w:rsidRPr="00C20EC5">
        <w:rPr>
          <w:rFonts w:ascii="Cambria" w:hAnsi="Cambria"/>
          <w:sz w:val="22"/>
          <w:szCs w:val="22"/>
        </w:rPr>
        <w:t xml:space="preserve">a </w:t>
      </w:r>
      <w:r w:rsidR="00662349" w:rsidRPr="00C20EC5">
        <w:rPr>
          <w:rFonts w:ascii="Cambria" w:hAnsi="Cambria"/>
          <w:sz w:val="22"/>
          <w:szCs w:val="22"/>
        </w:rPr>
        <w:t xml:space="preserve">social pension. </w:t>
      </w:r>
      <w:r w:rsidR="00873A69" w:rsidRPr="00C20EC5">
        <w:rPr>
          <w:rFonts w:ascii="Cambria" w:hAnsi="Cambria"/>
          <w:sz w:val="22"/>
          <w:szCs w:val="22"/>
        </w:rPr>
        <w:t>This chapter focuses on the analysis of the national</w:t>
      </w:r>
      <w:r w:rsidR="00C032DA">
        <w:rPr>
          <w:rFonts w:ascii="Cambria" w:hAnsi="Cambria"/>
          <w:sz w:val="22"/>
          <w:szCs w:val="22"/>
        </w:rPr>
        <w:t xml:space="preserve"> contributory</w:t>
      </w:r>
      <w:r w:rsidR="00873A69" w:rsidRPr="00C20EC5">
        <w:rPr>
          <w:rFonts w:ascii="Cambria" w:hAnsi="Cambria"/>
          <w:sz w:val="22"/>
          <w:szCs w:val="22"/>
        </w:rPr>
        <w:t xml:space="preserve"> pension system</w:t>
      </w:r>
      <w:r w:rsidR="009A6947">
        <w:rPr>
          <w:rFonts w:ascii="Cambria" w:hAnsi="Cambria"/>
          <w:sz w:val="22"/>
          <w:szCs w:val="22"/>
        </w:rPr>
        <w:t xml:space="preserve"> which accounts for about 80</w:t>
      </w:r>
      <w:r w:rsidR="00CA1555">
        <w:rPr>
          <w:rFonts w:ascii="Cambria" w:hAnsi="Cambria"/>
          <w:sz w:val="22"/>
          <w:szCs w:val="22"/>
        </w:rPr>
        <w:t xml:space="preserve"> percent</w:t>
      </w:r>
      <w:r w:rsidR="009A6947">
        <w:rPr>
          <w:rFonts w:ascii="Cambria" w:hAnsi="Cambria"/>
          <w:sz w:val="22"/>
          <w:szCs w:val="22"/>
        </w:rPr>
        <w:t xml:space="preserve"> of the total public pension expenditures</w:t>
      </w:r>
      <w:r w:rsidR="00873A69" w:rsidRPr="00C20EC5">
        <w:rPr>
          <w:rFonts w:ascii="Cambria" w:hAnsi="Cambria"/>
          <w:sz w:val="22"/>
          <w:szCs w:val="22"/>
        </w:rPr>
        <w:t>.</w:t>
      </w:r>
    </w:p>
    <w:p w14:paraId="4DD90C36" w14:textId="32DDF3D2" w:rsidR="005D5B35" w:rsidRDefault="00EA7122" w:rsidP="00876F35">
      <w:pPr>
        <w:numPr>
          <w:ilvl w:val="0"/>
          <w:numId w:val="3"/>
        </w:numPr>
        <w:spacing w:before="240" w:after="240"/>
        <w:jc w:val="both"/>
        <w:rPr>
          <w:rFonts w:ascii="Cambria" w:hAnsi="Cambria"/>
          <w:sz w:val="22"/>
          <w:szCs w:val="22"/>
        </w:rPr>
      </w:pPr>
      <w:r w:rsidRPr="00CE7839">
        <w:rPr>
          <w:rFonts w:ascii="Cambria" w:hAnsi="Cambria"/>
          <w:b/>
          <w:sz w:val="22"/>
          <w:szCs w:val="22"/>
        </w:rPr>
        <w:t xml:space="preserve">The </w:t>
      </w:r>
      <w:r w:rsidR="003D654B" w:rsidRPr="00CE7839">
        <w:rPr>
          <w:rFonts w:ascii="Cambria" w:hAnsi="Cambria"/>
          <w:b/>
          <w:sz w:val="22"/>
          <w:szCs w:val="22"/>
        </w:rPr>
        <w:t xml:space="preserve">national </w:t>
      </w:r>
      <w:r w:rsidR="00C032DA">
        <w:rPr>
          <w:rFonts w:ascii="Cambria" w:hAnsi="Cambria"/>
          <w:b/>
          <w:sz w:val="22"/>
          <w:szCs w:val="22"/>
        </w:rPr>
        <w:t xml:space="preserve">contributory </w:t>
      </w:r>
      <w:r w:rsidR="003D654B" w:rsidRPr="00CE7839">
        <w:rPr>
          <w:rFonts w:ascii="Cambria" w:hAnsi="Cambria"/>
          <w:b/>
          <w:sz w:val="22"/>
          <w:szCs w:val="22"/>
        </w:rPr>
        <w:t xml:space="preserve">pension </w:t>
      </w:r>
      <w:r w:rsidR="00D20711" w:rsidRPr="00CE7839">
        <w:rPr>
          <w:rFonts w:ascii="Cambria" w:hAnsi="Cambria"/>
          <w:b/>
          <w:sz w:val="22"/>
          <w:szCs w:val="22"/>
        </w:rPr>
        <w:t>system</w:t>
      </w:r>
      <w:r w:rsidRPr="00CE7839">
        <w:rPr>
          <w:rFonts w:ascii="Cambria" w:hAnsi="Cambria"/>
          <w:b/>
          <w:sz w:val="22"/>
          <w:szCs w:val="22"/>
        </w:rPr>
        <w:t xml:space="preserve"> </w:t>
      </w:r>
      <w:r w:rsidR="00EA4628" w:rsidRPr="00CE7839">
        <w:rPr>
          <w:rFonts w:ascii="Cambria" w:hAnsi="Cambria"/>
          <w:b/>
          <w:sz w:val="22"/>
          <w:szCs w:val="22"/>
        </w:rPr>
        <w:t>underwent systemic reforms in 1997-1998</w:t>
      </w:r>
      <w:r w:rsidR="00CE7839">
        <w:rPr>
          <w:rFonts w:ascii="Cambria" w:hAnsi="Cambria"/>
          <w:sz w:val="22"/>
          <w:szCs w:val="22"/>
        </w:rPr>
        <w:t>.</w:t>
      </w:r>
      <w:r w:rsidR="00EA4628" w:rsidRPr="00C20EC5">
        <w:rPr>
          <w:rFonts w:ascii="Cambria" w:hAnsi="Cambria"/>
          <w:sz w:val="22"/>
          <w:szCs w:val="22"/>
        </w:rPr>
        <w:t xml:space="preserve"> </w:t>
      </w:r>
      <w:r w:rsidR="00CE7839">
        <w:rPr>
          <w:rFonts w:ascii="Cambria" w:hAnsi="Cambria"/>
          <w:sz w:val="22"/>
          <w:szCs w:val="22"/>
        </w:rPr>
        <w:t>At that time</w:t>
      </w:r>
      <w:r w:rsidR="00CE7839" w:rsidRPr="00C20EC5">
        <w:rPr>
          <w:rFonts w:ascii="Cambria" w:hAnsi="Cambria"/>
          <w:sz w:val="22"/>
          <w:szCs w:val="22"/>
        </w:rPr>
        <w:t xml:space="preserve"> </w:t>
      </w:r>
      <w:r w:rsidR="00EA4628" w:rsidRPr="00C20EC5">
        <w:rPr>
          <w:rFonts w:ascii="Cambria" w:hAnsi="Cambria"/>
          <w:sz w:val="22"/>
          <w:szCs w:val="22"/>
        </w:rPr>
        <w:t xml:space="preserve">it was converted from a pay-as-you-go defined benefit to a notional defined contribution </w:t>
      </w:r>
      <w:r w:rsidR="00E02578" w:rsidRPr="00C20EC5">
        <w:rPr>
          <w:rFonts w:ascii="Cambria" w:hAnsi="Cambria"/>
          <w:sz w:val="22"/>
          <w:szCs w:val="22"/>
        </w:rPr>
        <w:t xml:space="preserve">(NDC) </w:t>
      </w:r>
      <w:r w:rsidR="003940A8" w:rsidRPr="00C20EC5">
        <w:rPr>
          <w:rFonts w:ascii="Cambria" w:hAnsi="Cambria"/>
          <w:sz w:val="22"/>
          <w:szCs w:val="22"/>
        </w:rPr>
        <w:t>system.</w:t>
      </w:r>
      <w:r w:rsidR="0050727B" w:rsidRPr="00C20EC5">
        <w:rPr>
          <w:rFonts w:ascii="Cambria" w:hAnsi="Cambria"/>
          <w:sz w:val="22"/>
          <w:szCs w:val="22"/>
        </w:rPr>
        <w:t xml:space="preserve"> </w:t>
      </w:r>
      <w:r w:rsidR="00EA4628" w:rsidRPr="00C20EC5">
        <w:rPr>
          <w:rFonts w:ascii="Cambria" w:hAnsi="Cambria"/>
          <w:sz w:val="22"/>
          <w:szCs w:val="22"/>
        </w:rPr>
        <w:t xml:space="preserve">It was further </w:t>
      </w:r>
      <w:r w:rsidR="005D5B35" w:rsidRPr="00C20EC5">
        <w:rPr>
          <w:rFonts w:ascii="Cambria" w:hAnsi="Cambria"/>
          <w:sz w:val="22"/>
          <w:szCs w:val="22"/>
        </w:rPr>
        <w:t xml:space="preserve">substantially </w:t>
      </w:r>
      <w:r w:rsidR="00EA4628" w:rsidRPr="00C20EC5">
        <w:rPr>
          <w:rFonts w:ascii="Cambria" w:hAnsi="Cambria"/>
          <w:sz w:val="22"/>
          <w:szCs w:val="22"/>
        </w:rPr>
        <w:t xml:space="preserve">amended in 2010 with the introduction of a fully funded defined contribution </w:t>
      </w:r>
      <w:r w:rsidR="00E02578" w:rsidRPr="00C20EC5">
        <w:rPr>
          <w:rFonts w:ascii="Cambria" w:hAnsi="Cambria"/>
          <w:sz w:val="22"/>
          <w:szCs w:val="22"/>
        </w:rPr>
        <w:t xml:space="preserve">(FFDC) </w:t>
      </w:r>
      <w:r w:rsidR="00EA4628" w:rsidRPr="00C20EC5">
        <w:rPr>
          <w:rFonts w:ascii="Cambria" w:hAnsi="Cambria"/>
          <w:sz w:val="22"/>
          <w:szCs w:val="22"/>
        </w:rPr>
        <w:t>component.</w:t>
      </w:r>
      <w:r w:rsidR="00DD08A1" w:rsidRPr="00C20EC5">
        <w:rPr>
          <w:rFonts w:ascii="Cambria" w:hAnsi="Cambria"/>
          <w:sz w:val="22"/>
          <w:szCs w:val="22"/>
        </w:rPr>
        <w:t xml:space="preserve"> </w:t>
      </w:r>
      <w:r w:rsidR="005D5B35" w:rsidRPr="00C20EC5">
        <w:rPr>
          <w:rFonts w:ascii="Cambria" w:hAnsi="Cambria"/>
          <w:sz w:val="22"/>
          <w:szCs w:val="22"/>
        </w:rPr>
        <w:t>As a result of these reforms, the</w:t>
      </w:r>
      <w:r w:rsidR="005C0249" w:rsidRPr="00C20EC5">
        <w:rPr>
          <w:rFonts w:ascii="Cambria" w:hAnsi="Cambria"/>
          <w:sz w:val="22"/>
          <w:szCs w:val="22"/>
        </w:rPr>
        <w:t xml:space="preserve"> current scheme comprises</w:t>
      </w:r>
      <w:r w:rsidR="005D5B35" w:rsidRPr="00C20EC5">
        <w:rPr>
          <w:rFonts w:ascii="Cambria" w:hAnsi="Cambria"/>
          <w:sz w:val="22"/>
          <w:szCs w:val="22"/>
        </w:rPr>
        <w:t xml:space="preserve"> </w:t>
      </w:r>
      <w:r w:rsidR="002E2930" w:rsidRPr="00C20EC5">
        <w:rPr>
          <w:rFonts w:ascii="Cambria" w:hAnsi="Cambria"/>
          <w:sz w:val="22"/>
          <w:szCs w:val="22"/>
        </w:rPr>
        <w:t>four components: basic pension, transitio</w:t>
      </w:r>
      <w:r w:rsidR="005D5B35" w:rsidRPr="00C20EC5">
        <w:rPr>
          <w:rFonts w:ascii="Cambria" w:hAnsi="Cambria"/>
          <w:sz w:val="22"/>
          <w:szCs w:val="22"/>
        </w:rPr>
        <w:t>n compon</w:t>
      </w:r>
      <w:r w:rsidR="00375A93" w:rsidRPr="00C20EC5">
        <w:rPr>
          <w:rFonts w:ascii="Cambria" w:hAnsi="Cambria"/>
          <w:sz w:val="22"/>
          <w:szCs w:val="22"/>
        </w:rPr>
        <w:t>ent</w:t>
      </w:r>
      <w:r w:rsidR="00853963" w:rsidRPr="00C20EC5">
        <w:rPr>
          <w:rFonts w:ascii="Cambria" w:hAnsi="Cambria"/>
          <w:sz w:val="22"/>
          <w:szCs w:val="22"/>
        </w:rPr>
        <w:t xml:space="preserve"> (SP1 pension)</w:t>
      </w:r>
      <w:r w:rsidR="003940A8" w:rsidRPr="00C20EC5">
        <w:rPr>
          <w:rFonts w:ascii="Cambria" w:hAnsi="Cambria"/>
          <w:sz w:val="22"/>
          <w:szCs w:val="22"/>
        </w:rPr>
        <w:t xml:space="preserve">, NDC </w:t>
      </w:r>
      <w:r w:rsidR="00853963" w:rsidRPr="00C20EC5">
        <w:rPr>
          <w:rFonts w:ascii="Cambria" w:hAnsi="Cambria"/>
          <w:sz w:val="22"/>
          <w:szCs w:val="22"/>
        </w:rPr>
        <w:t xml:space="preserve">(SP2 pension) </w:t>
      </w:r>
      <w:r w:rsidR="003940A8" w:rsidRPr="00C20EC5">
        <w:rPr>
          <w:rFonts w:ascii="Cambria" w:hAnsi="Cambria"/>
          <w:sz w:val="22"/>
          <w:szCs w:val="22"/>
        </w:rPr>
        <w:t>and FFDC components.</w:t>
      </w:r>
      <w:r w:rsidR="00EE7144" w:rsidRPr="00C20EC5">
        <w:rPr>
          <w:rFonts w:ascii="Cambria" w:hAnsi="Cambria"/>
          <w:sz w:val="22"/>
          <w:szCs w:val="22"/>
        </w:rPr>
        <w:t xml:space="preserve"> The key parameters of the current </w:t>
      </w:r>
      <w:r w:rsidR="005743B4">
        <w:rPr>
          <w:rFonts w:ascii="Cambria" w:hAnsi="Cambria"/>
          <w:sz w:val="22"/>
          <w:szCs w:val="22"/>
        </w:rPr>
        <w:t xml:space="preserve">contributory </w:t>
      </w:r>
      <w:r w:rsidR="00EE7144" w:rsidRPr="00C20EC5">
        <w:rPr>
          <w:rFonts w:ascii="Cambria" w:hAnsi="Cambria"/>
          <w:sz w:val="22"/>
          <w:szCs w:val="22"/>
        </w:rPr>
        <w:t xml:space="preserve">pension system </w:t>
      </w:r>
      <w:r w:rsidR="005743B4">
        <w:rPr>
          <w:rFonts w:ascii="Cambria" w:hAnsi="Cambria"/>
          <w:sz w:val="22"/>
          <w:szCs w:val="22"/>
        </w:rPr>
        <w:t xml:space="preserve">are </w:t>
      </w:r>
      <w:r w:rsidR="00EE7144" w:rsidRPr="00C20EC5">
        <w:rPr>
          <w:rFonts w:ascii="Cambria" w:hAnsi="Cambria"/>
          <w:sz w:val="22"/>
          <w:szCs w:val="22"/>
        </w:rPr>
        <w:t xml:space="preserve">summarized </w:t>
      </w:r>
      <w:r w:rsidR="005743B4">
        <w:rPr>
          <w:rFonts w:ascii="Cambria" w:hAnsi="Cambria"/>
          <w:sz w:val="22"/>
          <w:szCs w:val="22"/>
        </w:rPr>
        <w:t>in</w:t>
      </w:r>
      <w:r w:rsidR="00EE7144" w:rsidRPr="00C20EC5">
        <w:rPr>
          <w:rFonts w:ascii="Cambria" w:hAnsi="Cambria"/>
          <w:sz w:val="22"/>
          <w:szCs w:val="22"/>
        </w:rPr>
        <w:t xml:space="preserve"> Annex 1.</w:t>
      </w:r>
      <w:r w:rsidR="005743B4">
        <w:rPr>
          <w:rFonts w:ascii="Cambria" w:hAnsi="Cambria"/>
          <w:sz w:val="22"/>
          <w:szCs w:val="22"/>
        </w:rPr>
        <w:t xml:space="preserve"> The general structure of the overall national pension system – contributory and non-contributor</w:t>
      </w:r>
      <w:r w:rsidR="00CF3F64">
        <w:rPr>
          <w:rFonts w:ascii="Cambria" w:hAnsi="Cambria"/>
          <w:sz w:val="22"/>
          <w:szCs w:val="22"/>
        </w:rPr>
        <w:t>y – is shown in the table below.</w:t>
      </w:r>
    </w:p>
    <w:p w14:paraId="6022B9D7" w14:textId="485397B3" w:rsidR="00946C9F" w:rsidRDefault="00300E34" w:rsidP="00300E34">
      <w:pPr>
        <w:numPr>
          <w:ilvl w:val="0"/>
          <w:numId w:val="3"/>
        </w:numPr>
        <w:spacing w:before="240" w:after="240"/>
        <w:jc w:val="both"/>
        <w:rPr>
          <w:rFonts w:ascii="Cambria" w:hAnsi="Cambria"/>
          <w:sz w:val="22"/>
          <w:szCs w:val="22"/>
        </w:rPr>
      </w:pPr>
      <w:r w:rsidRPr="00CE7839">
        <w:rPr>
          <w:rFonts w:ascii="Cambria" w:hAnsi="Cambria"/>
          <w:b/>
          <w:sz w:val="22"/>
          <w:szCs w:val="22"/>
        </w:rPr>
        <w:lastRenderedPageBreak/>
        <w:t>The system, managed by the Social Fund, covers old-age, disability, and survivorship programs</w:t>
      </w:r>
      <w:r>
        <w:rPr>
          <w:rFonts w:ascii="Cambria" w:hAnsi="Cambria"/>
          <w:sz w:val="22"/>
          <w:szCs w:val="22"/>
        </w:rPr>
        <w:t>.</w:t>
      </w:r>
      <w:r w:rsidRPr="00C20EC5">
        <w:rPr>
          <w:rStyle w:val="FootnoteReference"/>
          <w:rFonts w:ascii="Cambria" w:hAnsi="Cambria"/>
          <w:sz w:val="22"/>
          <w:szCs w:val="22"/>
        </w:rPr>
        <w:footnoteReference w:id="2"/>
      </w:r>
      <w:r w:rsidRPr="00C20EC5">
        <w:rPr>
          <w:rFonts w:ascii="Cambria" w:hAnsi="Cambria"/>
          <w:sz w:val="22"/>
          <w:szCs w:val="22"/>
        </w:rPr>
        <w:t xml:space="preserve"> It is financed by member contributions as well as budget transfers earmarked for certain types of benefits. </w:t>
      </w:r>
      <w:r>
        <w:rPr>
          <w:rFonts w:ascii="Cambria" w:hAnsi="Cambria"/>
          <w:sz w:val="22"/>
          <w:szCs w:val="22"/>
        </w:rPr>
        <w:t>Since</w:t>
      </w:r>
      <w:r w:rsidRPr="00C20EC5">
        <w:rPr>
          <w:rFonts w:ascii="Cambria" w:hAnsi="Cambria"/>
          <w:sz w:val="22"/>
          <w:szCs w:val="22"/>
        </w:rPr>
        <w:t xml:space="preserve"> 2010, the state budget finances an increasing share of basic pension payments</w:t>
      </w:r>
      <w:r>
        <w:rPr>
          <w:rFonts w:ascii="Cambria" w:hAnsi="Cambria"/>
          <w:sz w:val="22"/>
          <w:szCs w:val="22"/>
        </w:rPr>
        <w:t>,</w:t>
      </w:r>
      <w:r w:rsidRPr="00C20EC5">
        <w:rPr>
          <w:rFonts w:ascii="Cambria" w:hAnsi="Cambria"/>
          <w:sz w:val="22"/>
          <w:szCs w:val="22"/>
        </w:rPr>
        <w:t xml:space="preserve"> which </w:t>
      </w:r>
      <w:r>
        <w:rPr>
          <w:rFonts w:ascii="Cambria" w:hAnsi="Cambria"/>
          <w:sz w:val="22"/>
          <w:szCs w:val="22"/>
        </w:rPr>
        <w:t xml:space="preserve">is expected to </w:t>
      </w:r>
      <w:r w:rsidRPr="00C20EC5">
        <w:rPr>
          <w:rFonts w:ascii="Cambria" w:hAnsi="Cambria"/>
          <w:sz w:val="22"/>
          <w:szCs w:val="22"/>
        </w:rPr>
        <w:t>reach 100</w:t>
      </w:r>
      <w:r>
        <w:rPr>
          <w:rFonts w:ascii="Cambria" w:hAnsi="Cambria"/>
          <w:sz w:val="22"/>
          <w:szCs w:val="22"/>
        </w:rPr>
        <w:t xml:space="preserve"> percent</w:t>
      </w:r>
      <w:r w:rsidRPr="00C20EC5">
        <w:rPr>
          <w:rFonts w:ascii="Cambria" w:hAnsi="Cambria"/>
          <w:sz w:val="22"/>
          <w:szCs w:val="22"/>
        </w:rPr>
        <w:t xml:space="preserve"> by 2014. </w:t>
      </w:r>
      <w:r>
        <w:rPr>
          <w:rFonts w:ascii="Cambria" w:hAnsi="Cambria"/>
          <w:sz w:val="22"/>
          <w:szCs w:val="22"/>
        </w:rPr>
        <w:t>In addition</w:t>
      </w:r>
      <w:r w:rsidRPr="00C20EC5">
        <w:rPr>
          <w:rFonts w:ascii="Cambria" w:hAnsi="Cambria"/>
          <w:sz w:val="22"/>
          <w:szCs w:val="22"/>
        </w:rPr>
        <w:t>, the Social Fund functions as a payment agency for other benefits financed from the state budget, such as military pensions, energy compensation for pensioners and benefits for privileged pensioner groups</w:t>
      </w:r>
      <w:r>
        <w:rPr>
          <w:rFonts w:ascii="Cambria" w:hAnsi="Cambria"/>
          <w:sz w:val="22"/>
          <w:szCs w:val="22"/>
        </w:rPr>
        <w:t>.</w:t>
      </w:r>
      <w:r w:rsidRPr="00C20EC5">
        <w:rPr>
          <w:rStyle w:val="FootnoteReference"/>
          <w:rFonts w:ascii="Cambria" w:hAnsi="Cambria"/>
          <w:sz w:val="22"/>
          <w:szCs w:val="22"/>
        </w:rPr>
        <w:footnoteReference w:id="3"/>
      </w:r>
      <w:r w:rsidRPr="00C20EC5">
        <w:rPr>
          <w:rFonts w:ascii="Cambria" w:hAnsi="Cambria"/>
          <w:sz w:val="22"/>
          <w:szCs w:val="22"/>
        </w:rPr>
        <w:t xml:space="preserve"> Table 1 presents the main performance indicators of the Kyrgyz national pension system in 2011.</w:t>
      </w:r>
    </w:p>
    <w:p w14:paraId="691F27B9" w14:textId="7C5E8286" w:rsidR="00CA1555" w:rsidRDefault="00CA1555" w:rsidP="00CA1555">
      <w:pPr>
        <w:pStyle w:val="Caption"/>
        <w:rPr>
          <w:sz w:val="22"/>
          <w:szCs w:val="22"/>
        </w:rPr>
      </w:pPr>
      <w:bookmarkStart w:id="5" w:name="_Toc378163809"/>
      <w:proofErr w:type="gramStart"/>
      <w:r>
        <w:t xml:space="preserve">Table </w:t>
      </w:r>
      <w:proofErr w:type="gramEnd"/>
      <w:r w:rsidR="00C646A3">
        <w:fldChar w:fldCharType="begin"/>
      </w:r>
      <w:r w:rsidR="00C646A3">
        <w:instrText xml:space="preserve"> SEQ Table \* ARABIC </w:instrText>
      </w:r>
      <w:r w:rsidR="00C646A3">
        <w:fldChar w:fldCharType="separate"/>
      </w:r>
      <w:r w:rsidR="00C646A3">
        <w:rPr>
          <w:noProof/>
        </w:rPr>
        <w:t>1</w:t>
      </w:r>
      <w:r w:rsidR="00C646A3">
        <w:rPr>
          <w:noProof/>
        </w:rPr>
        <w:fldChar w:fldCharType="end"/>
      </w:r>
      <w:proofErr w:type="gramStart"/>
      <w:r w:rsidR="0007155C">
        <w:t>.</w:t>
      </w:r>
      <w:proofErr w:type="gramEnd"/>
      <w:r>
        <w:t xml:space="preserve"> </w:t>
      </w:r>
      <w:r w:rsidR="005766D4">
        <w:t>Components</w:t>
      </w:r>
      <w:r>
        <w:t xml:space="preserve"> of the </w:t>
      </w:r>
      <w:r w:rsidR="005766D4">
        <w:t>National P</w:t>
      </w:r>
      <w:r>
        <w:t xml:space="preserve">ension </w:t>
      </w:r>
      <w:r w:rsidR="005766D4">
        <w:t>S</w:t>
      </w:r>
      <w:r>
        <w:t>ystem</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620"/>
        <w:gridCol w:w="1596"/>
        <w:gridCol w:w="1596"/>
        <w:gridCol w:w="1668"/>
        <w:gridCol w:w="1524"/>
      </w:tblGrid>
      <w:tr w:rsidR="00967460" w:rsidRPr="00CA1555" w14:paraId="48F73D9E" w14:textId="77777777" w:rsidTr="00A60B08">
        <w:tc>
          <w:tcPr>
            <w:tcW w:w="1368" w:type="dxa"/>
            <w:vMerge w:val="restart"/>
            <w:tcBorders>
              <w:top w:val="single" w:sz="4" w:space="0" w:color="auto"/>
              <w:right w:val="single" w:sz="4" w:space="0" w:color="auto"/>
            </w:tcBorders>
          </w:tcPr>
          <w:p w14:paraId="3799DD1E" w14:textId="77777777" w:rsidR="00967460" w:rsidRPr="00CA1555" w:rsidRDefault="00967460" w:rsidP="00CA1555">
            <w:pPr>
              <w:jc w:val="center"/>
              <w:rPr>
                <w:rFonts w:ascii="Cambria" w:hAnsi="Cambria"/>
              </w:rPr>
            </w:pPr>
          </w:p>
        </w:tc>
        <w:tc>
          <w:tcPr>
            <w:tcW w:w="6480" w:type="dxa"/>
            <w:gridSpan w:val="4"/>
            <w:tcBorders>
              <w:top w:val="single" w:sz="4" w:space="0" w:color="auto"/>
              <w:left w:val="single" w:sz="4" w:space="0" w:color="auto"/>
              <w:bottom w:val="single" w:sz="4" w:space="0" w:color="auto"/>
              <w:right w:val="single" w:sz="4" w:space="0" w:color="auto"/>
            </w:tcBorders>
          </w:tcPr>
          <w:p w14:paraId="39033B39" w14:textId="59CE1FC9" w:rsidR="00967460" w:rsidRPr="00A60B08" w:rsidRDefault="00967460" w:rsidP="00CA1555">
            <w:pPr>
              <w:jc w:val="center"/>
              <w:rPr>
                <w:rFonts w:ascii="Cambria" w:hAnsi="Cambria"/>
                <w:b/>
              </w:rPr>
            </w:pPr>
            <w:r w:rsidRPr="00A60B08">
              <w:rPr>
                <w:rFonts w:ascii="Cambria" w:hAnsi="Cambria"/>
                <w:b/>
              </w:rPr>
              <w:t>Contributory</w:t>
            </w:r>
          </w:p>
        </w:tc>
        <w:tc>
          <w:tcPr>
            <w:tcW w:w="1524" w:type="dxa"/>
            <w:tcBorders>
              <w:top w:val="single" w:sz="4" w:space="0" w:color="auto"/>
              <w:left w:val="single" w:sz="4" w:space="0" w:color="auto"/>
              <w:bottom w:val="single" w:sz="4" w:space="0" w:color="auto"/>
            </w:tcBorders>
          </w:tcPr>
          <w:p w14:paraId="4C03CDB4" w14:textId="4855CD37" w:rsidR="00967460" w:rsidRPr="00A60B08" w:rsidRDefault="00967460" w:rsidP="00CA1555">
            <w:pPr>
              <w:jc w:val="center"/>
              <w:rPr>
                <w:rFonts w:ascii="Cambria" w:hAnsi="Cambria"/>
                <w:b/>
              </w:rPr>
            </w:pPr>
            <w:r w:rsidRPr="00A60B08">
              <w:rPr>
                <w:rFonts w:ascii="Cambria" w:hAnsi="Cambria"/>
                <w:b/>
              </w:rPr>
              <w:t xml:space="preserve">Non-contributory </w:t>
            </w:r>
          </w:p>
        </w:tc>
      </w:tr>
      <w:tr w:rsidR="00967460" w:rsidRPr="00CA1555" w14:paraId="4DC515CE" w14:textId="77777777" w:rsidTr="004441D2">
        <w:tc>
          <w:tcPr>
            <w:tcW w:w="1368" w:type="dxa"/>
            <w:vMerge/>
            <w:tcBorders>
              <w:bottom w:val="single" w:sz="4" w:space="0" w:color="auto"/>
              <w:right w:val="single" w:sz="4" w:space="0" w:color="auto"/>
            </w:tcBorders>
          </w:tcPr>
          <w:p w14:paraId="69240C21" w14:textId="77777777" w:rsidR="00967460" w:rsidRPr="00CA1555" w:rsidRDefault="00967460" w:rsidP="00CA1555">
            <w:pPr>
              <w:jc w:val="center"/>
              <w:rPr>
                <w:rFonts w:ascii="Cambria" w:hAnsi="Cambria"/>
              </w:rPr>
            </w:pPr>
          </w:p>
        </w:tc>
        <w:tc>
          <w:tcPr>
            <w:tcW w:w="1620" w:type="dxa"/>
            <w:tcBorders>
              <w:top w:val="single" w:sz="4" w:space="0" w:color="auto"/>
              <w:left w:val="single" w:sz="4" w:space="0" w:color="auto"/>
              <w:bottom w:val="single" w:sz="4" w:space="0" w:color="auto"/>
              <w:right w:val="single" w:sz="4" w:space="0" w:color="auto"/>
            </w:tcBorders>
          </w:tcPr>
          <w:p w14:paraId="26F24606" w14:textId="77777777" w:rsidR="00967460" w:rsidRPr="00CA1555" w:rsidRDefault="00967460" w:rsidP="00CA1555">
            <w:pPr>
              <w:jc w:val="center"/>
              <w:rPr>
                <w:rFonts w:ascii="Cambria" w:hAnsi="Cambria"/>
              </w:rPr>
            </w:pPr>
            <w:r w:rsidRPr="00CA1555">
              <w:rPr>
                <w:rFonts w:ascii="Cambria" w:hAnsi="Cambria"/>
              </w:rPr>
              <w:t>Basic pension</w:t>
            </w:r>
          </w:p>
          <w:p w14:paraId="37752D92" w14:textId="77777777" w:rsidR="00967460" w:rsidRPr="00CA1555" w:rsidRDefault="00967460" w:rsidP="00CA1555">
            <w:pPr>
              <w:jc w:val="center"/>
              <w:rPr>
                <w:rFonts w:ascii="Cambria" w:hAnsi="Cambria"/>
              </w:rPr>
            </w:pPr>
            <w:r w:rsidRPr="00CA1555">
              <w:rPr>
                <w:rFonts w:ascii="Cambria" w:hAnsi="Cambria"/>
              </w:rPr>
              <w:t>(contributory)</w:t>
            </w:r>
          </w:p>
        </w:tc>
        <w:tc>
          <w:tcPr>
            <w:tcW w:w="1596" w:type="dxa"/>
            <w:tcBorders>
              <w:top w:val="single" w:sz="4" w:space="0" w:color="auto"/>
              <w:left w:val="single" w:sz="4" w:space="0" w:color="auto"/>
              <w:bottom w:val="single" w:sz="4" w:space="0" w:color="auto"/>
              <w:right w:val="single" w:sz="4" w:space="0" w:color="auto"/>
            </w:tcBorders>
          </w:tcPr>
          <w:p w14:paraId="25620844" w14:textId="77777777" w:rsidR="00967460" w:rsidRPr="00CA1555" w:rsidRDefault="00967460" w:rsidP="00CA1555">
            <w:pPr>
              <w:jc w:val="center"/>
              <w:rPr>
                <w:rFonts w:ascii="Cambria" w:hAnsi="Cambria"/>
              </w:rPr>
            </w:pPr>
            <w:r w:rsidRPr="00CA1555">
              <w:rPr>
                <w:rFonts w:ascii="Cambria" w:hAnsi="Cambria"/>
              </w:rPr>
              <w:t>SP1 pension</w:t>
            </w:r>
          </w:p>
        </w:tc>
        <w:tc>
          <w:tcPr>
            <w:tcW w:w="1596" w:type="dxa"/>
            <w:tcBorders>
              <w:top w:val="single" w:sz="4" w:space="0" w:color="auto"/>
              <w:left w:val="single" w:sz="4" w:space="0" w:color="auto"/>
              <w:bottom w:val="single" w:sz="4" w:space="0" w:color="auto"/>
              <w:right w:val="single" w:sz="4" w:space="0" w:color="auto"/>
            </w:tcBorders>
          </w:tcPr>
          <w:p w14:paraId="3CE3E475" w14:textId="77777777" w:rsidR="00967460" w:rsidRPr="00CA1555" w:rsidRDefault="00967460" w:rsidP="00CA1555">
            <w:pPr>
              <w:jc w:val="center"/>
              <w:rPr>
                <w:rFonts w:ascii="Cambria" w:hAnsi="Cambria"/>
              </w:rPr>
            </w:pPr>
            <w:r w:rsidRPr="00CA1555">
              <w:rPr>
                <w:rFonts w:ascii="Cambria" w:hAnsi="Cambria"/>
              </w:rPr>
              <w:t>SP2 pension</w:t>
            </w:r>
          </w:p>
        </w:tc>
        <w:tc>
          <w:tcPr>
            <w:tcW w:w="1668" w:type="dxa"/>
            <w:tcBorders>
              <w:top w:val="single" w:sz="4" w:space="0" w:color="auto"/>
              <w:left w:val="single" w:sz="4" w:space="0" w:color="auto"/>
              <w:bottom w:val="single" w:sz="4" w:space="0" w:color="auto"/>
              <w:right w:val="single" w:sz="4" w:space="0" w:color="auto"/>
            </w:tcBorders>
          </w:tcPr>
          <w:p w14:paraId="0DC0287C" w14:textId="77777777" w:rsidR="00967460" w:rsidRPr="00CA1555" w:rsidRDefault="00967460" w:rsidP="00CA1555">
            <w:pPr>
              <w:jc w:val="center"/>
              <w:rPr>
                <w:rFonts w:ascii="Cambria" w:hAnsi="Cambria"/>
              </w:rPr>
            </w:pPr>
            <w:r w:rsidRPr="00CA1555">
              <w:rPr>
                <w:rFonts w:ascii="Cambria" w:hAnsi="Cambria"/>
              </w:rPr>
              <w:t>Funded defined contribution</w:t>
            </w:r>
          </w:p>
        </w:tc>
        <w:tc>
          <w:tcPr>
            <w:tcW w:w="1524" w:type="dxa"/>
            <w:tcBorders>
              <w:top w:val="single" w:sz="4" w:space="0" w:color="auto"/>
              <w:left w:val="single" w:sz="4" w:space="0" w:color="auto"/>
              <w:bottom w:val="single" w:sz="4" w:space="0" w:color="auto"/>
            </w:tcBorders>
          </w:tcPr>
          <w:p w14:paraId="1FDDD791" w14:textId="77777777" w:rsidR="00967460" w:rsidRPr="00CA1555" w:rsidRDefault="00967460" w:rsidP="00CA1555">
            <w:pPr>
              <w:jc w:val="center"/>
              <w:rPr>
                <w:rFonts w:ascii="Cambria" w:hAnsi="Cambria"/>
              </w:rPr>
            </w:pPr>
            <w:r w:rsidRPr="00CA1555">
              <w:rPr>
                <w:rFonts w:ascii="Cambria" w:hAnsi="Cambria"/>
              </w:rPr>
              <w:t>Social pension</w:t>
            </w:r>
          </w:p>
          <w:p w14:paraId="1CA3AA33" w14:textId="2E8F1359" w:rsidR="00967460" w:rsidRPr="00CA1555" w:rsidRDefault="00967460" w:rsidP="00CA1555">
            <w:pPr>
              <w:jc w:val="center"/>
              <w:rPr>
                <w:rFonts w:ascii="Cambria" w:hAnsi="Cambria"/>
              </w:rPr>
            </w:pPr>
          </w:p>
        </w:tc>
      </w:tr>
      <w:tr w:rsidR="0027648F" w:rsidRPr="00CA1555" w14:paraId="0A4EEB3E" w14:textId="77777777" w:rsidTr="004441D2">
        <w:tc>
          <w:tcPr>
            <w:tcW w:w="1368" w:type="dxa"/>
            <w:tcBorders>
              <w:top w:val="single" w:sz="4" w:space="0" w:color="auto"/>
              <w:bottom w:val="single" w:sz="4" w:space="0" w:color="auto"/>
              <w:right w:val="single" w:sz="4" w:space="0" w:color="auto"/>
            </w:tcBorders>
          </w:tcPr>
          <w:p w14:paraId="5003BE53" w14:textId="0912E1FF" w:rsidR="0027648F" w:rsidRPr="00CA1555" w:rsidRDefault="0027648F" w:rsidP="00CA1555">
            <w:pPr>
              <w:rPr>
                <w:rFonts w:ascii="Cambria" w:hAnsi="Cambria"/>
              </w:rPr>
            </w:pPr>
            <w:r w:rsidRPr="00CA1555">
              <w:rPr>
                <w:rFonts w:ascii="Cambria" w:hAnsi="Cambria"/>
              </w:rPr>
              <w:t>Source of financing</w:t>
            </w:r>
          </w:p>
        </w:tc>
        <w:tc>
          <w:tcPr>
            <w:tcW w:w="1620" w:type="dxa"/>
            <w:tcBorders>
              <w:top w:val="single" w:sz="4" w:space="0" w:color="auto"/>
              <w:left w:val="single" w:sz="4" w:space="0" w:color="auto"/>
              <w:bottom w:val="single" w:sz="4" w:space="0" w:color="auto"/>
              <w:right w:val="single" w:sz="4" w:space="0" w:color="auto"/>
            </w:tcBorders>
          </w:tcPr>
          <w:p w14:paraId="3AA94D85" w14:textId="2F380FFA" w:rsidR="0027648F" w:rsidRPr="00CA1555" w:rsidRDefault="0027648F" w:rsidP="00CA1555">
            <w:pPr>
              <w:jc w:val="center"/>
              <w:rPr>
                <w:rFonts w:ascii="Cambria" w:hAnsi="Cambria"/>
              </w:rPr>
            </w:pPr>
            <w:r w:rsidRPr="00CA1555">
              <w:rPr>
                <w:rFonts w:ascii="Cambria" w:hAnsi="Cambria"/>
              </w:rPr>
              <w:t>State budget</w:t>
            </w:r>
          </w:p>
        </w:tc>
        <w:tc>
          <w:tcPr>
            <w:tcW w:w="3192" w:type="dxa"/>
            <w:gridSpan w:val="2"/>
            <w:tcBorders>
              <w:top w:val="single" w:sz="4" w:space="0" w:color="auto"/>
              <w:left w:val="single" w:sz="4" w:space="0" w:color="auto"/>
              <w:bottom w:val="single" w:sz="4" w:space="0" w:color="auto"/>
              <w:right w:val="single" w:sz="4" w:space="0" w:color="auto"/>
            </w:tcBorders>
          </w:tcPr>
          <w:p w14:paraId="52413AE9" w14:textId="3B071698" w:rsidR="0027648F" w:rsidRPr="00CA1555" w:rsidRDefault="0027648F" w:rsidP="00CA1555">
            <w:pPr>
              <w:jc w:val="center"/>
              <w:rPr>
                <w:rFonts w:ascii="Cambria" w:hAnsi="Cambria"/>
              </w:rPr>
            </w:pPr>
            <w:r w:rsidRPr="00CA1555">
              <w:rPr>
                <w:rFonts w:ascii="Cambria" w:hAnsi="Cambria"/>
              </w:rPr>
              <w:t>23% contribution rate</w:t>
            </w:r>
          </w:p>
        </w:tc>
        <w:tc>
          <w:tcPr>
            <w:tcW w:w="1668" w:type="dxa"/>
            <w:tcBorders>
              <w:top w:val="single" w:sz="4" w:space="0" w:color="auto"/>
              <w:left w:val="single" w:sz="4" w:space="0" w:color="auto"/>
              <w:bottom w:val="single" w:sz="4" w:space="0" w:color="auto"/>
              <w:right w:val="single" w:sz="4" w:space="0" w:color="auto"/>
            </w:tcBorders>
          </w:tcPr>
          <w:p w14:paraId="2B7DE4DF" w14:textId="19FAA43B" w:rsidR="0027648F" w:rsidRPr="00CA1555" w:rsidRDefault="0027648F" w:rsidP="00CA1555">
            <w:pPr>
              <w:jc w:val="center"/>
              <w:rPr>
                <w:rFonts w:ascii="Cambria" w:hAnsi="Cambria"/>
              </w:rPr>
            </w:pPr>
            <w:r w:rsidRPr="00CA1555">
              <w:rPr>
                <w:rFonts w:ascii="Cambria" w:hAnsi="Cambria"/>
              </w:rPr>
              <w:t>2% contribution rate</w:t>
            </w:r>
          </w:p>
        </w:tc>
        <w:tc>
          <w:tcPr>
            <w:tcW w:w="1524" w:type="dxa"/>
            <w:tcBorders>
              <w:top w:val="single" w:sz="4" w:space="0" w:color="auto"/>
              <w:left w:val="single" w:sz="4" w:space="0" w:color="auto"/>
              <w:bottom w:val="single" w:sz="4" w:space="0" w:color="auto"/>
            </w:tcBorders>
          </w:tcPr>
          <w:p w14:paraId="17C20BE4" w14:textId="167846CA" w:rsidR="0027648F" w:rsidRPr="00CA1555" w:rsidRDefault="0027648F" w:rsidP="005766D4">
            <w:pPr>
              <w:jc w:val="center"/>
              <w:rPr>
                <w:rFonts w:ascii="Cambria" w:hAnsi="Cambria"/>
              </w:rPr>
            </w:pPr>
            <w:r w:rsidRPr="00CA1555">
              <w:rPr>
                <w:rFonts w:ascii="Cambria" w:hAnsi="Cambria"/>
              </w:rPr>
              <w:t>State budget</w:t>
            </w:r>
          </w:p>
        </w:tc>
      </w:tr>
      <w:tr w:rsidR="0027648F" w:rsidRPr="00CA1555" w14:paraId="37170A81" w14:textId="77777777" w:rsidTr="0007155C">
        <w:tc>
          <w:tcPr>
            <w:tcW w:w="1368" w:type="dxa"/>
            <w:tcBorders>
              <w:top w:val="single" w:sz="4" w:space="0" w:color="auto"/>
              <w:bottom w:val="single" w:sz="4" w:space="0" w:color="auto"/>
              <w:right w:val="single" w:sz="4" w:space="0" w:color="auto"/>
            </w:tcBorders>
          </w:tcPr>
          <w:p w14:paraId="10A372F5" w14:textId="7652EDC0" w:rsidR="0027648F" w:rsidRPr="00CA1555" w:rsidRDefault="0027648F" w:rsidP="00CA1555">
            <w:pPr>
              <w:rPr>
                <w:rFonts w:ascii="Cambria" w:hAnsi="Cambria"/>
              </w:rPr>
            </w:pPr>
            <w:r w:rsidRPr="00CA1555">
              <w:rPr>
                <w:rFonts w:ascii="Cambria" w:hAnsi="Cambria"/>
              </w:rPr>
              <w:t>Benefit type</w:t>
            </w:r>
          </w:p>
        </w:tc>
        <w:tc>
          <w:tcPr>
            <w:tcW w:w="1620" w:type="dxa"/>
            <w:tcBorders>
              <w:top w:val="single" w:sz="4" w:space="0" w:color="auto"/>
              <w:left w:val="single" w:sz="4" w:space="0" w:color="auto"/>
              <w:bottom w:val="single" w:sz="4" w:space="0" w:color="auto"/>
              <w:right w:val="single" w:sz="4" w:space="0" w:color="auto"/>
            </w:tcBorders>
          </w:tcPr>
          <w:p w14:paraId="306275EA" w14:textId="77777777" w:rsidR="0027648F" w:rsidRPr="00CA1555" w:rsidRDefault="0027648F" w:rsidP="00CA1555">
            <w:pPr>
              <w:jc w:val="center"/>
              <w:rPr>
                <w:rFonts w:ascii="Cambria" w:hAnsi="Cambria"/>
              </w:rPr>
            </w:pPr>
            <w:r w:rsidRPr="00CA1555">
              <w:rPr>
                <w:rFonts w:ascii="Cambria" w:hAnsi="Cambria"/>
              </w:rPr>
              <w:t>Flat benefit</w:t>
            </w:r>
          </w:p>
          <w:p w14:paraId="697DD4C7" w14:textId="4C5261CE" w:rsidR="00163944" w:rsidRPr="00CA1555" w:rsidRDefault="00163944" w:rsidP="00CA1555">
            <w:pPr>
              <w:jc w:val="center"/>
              <w:rPr>
                <w:rFonts w:ascii="Cambria" w:hAnsi="Cambria"/>
              </w:rPr>
            </w:pPr>
            <w:r w:rsidRPr="00CA1555">
              <w:rPr>
                <w:rFonts w:ascii="Cambria" w:hAnsi="Cambria"/>
              </w:rPr>
              <w:t>(12% of economy-wide average wage)</w:t>
            </w:r>
          </w:p>
        </w:tc>
        <w:tc>
          <w:tcPr>
            <w:tcW w:w="1596" w:type="dxa"/>
            <w:tcBorders>
              <w:top w:val="single" w:sz="4" w:space="0" w:color="auto"/>
              <w:left w:val="single" w:sz="4" w:space="0" w:color="auto"/>
              <w:bottom w:val="single" w:sz="4" w:space="0" w:color="auto"/>
              <w:right w:val="single" w:sz="4" w:space="0" w:color="auto"/>
            </w:tcBorders>
          </w:tcPr>
          <w:p w14:paraId="1B58C3D7" w14:textId="79478C94" w:rsidR="0027648F" w:rsidRPr="00CA1555" w:rsidRDefault="0027648F" w:rsidP="00CA1555">
            <w:pPr>
              <w:jc w:val="center"/>
              <w:rPr>
                <w:rFonts w:ascii="Cambria" w:hAnsi="Cambria"/>
              </w:rPr>
            </w:pPr>
            <w:r w:rsidRPr="00CA1555">
              <w:rPr>
                <w:rFonts w:ascii="Cambria" w:hAnsi="Cambria"/>
              </w:rPr>
              <w:t>Earnings-related (defined benefit</w:t>
            </w:r>
            <w:r w:rsidR="00130AAB" w:rsidRPr="00CA1555">
              <w:rPr>
                <w:rFonts w:ascii="Cambria" w:hAnsi="Cambria"/>
              </w:rPr>
              <w:t>)</w:t>
            </w:r>
          </w:p>
        </w:tc>
        <w:tc>
          <w:tcPr>
            <w:tcW w:w="1596" w:type="dxa"/>
            <w:tcBorders>
              <w:top w:val="single" w:sz="4" w:space="0" w:color="auto"/>
              <w:left w:val="single" w:sz="4" w:space="0" w:color="auto"/>
              <w:bottom w:val="single" w:sz="4" w:space="0" w:color="auto"/>
              <w:right w:val="single" w:sz="4" w:space="0" w:color="auto"/>
            </w:tcBorders>
          </w:tcPr>
          <w:p w14:paraId="375DD803" w14:textId="75E1961A" w:rsidR="0027648F" w:rsidRPr="00CA1555" w:rsidRDefault="0027648F" w:rsidP="00CA1555">
            <w:pPr>
              <w:jc w:val="center"/>
              <w:rPr>
                <w:rFonts w:ascii="Cambria" w:hAnsi="Cambria"/>
              </w:rPr>
            </w:pPr>
            <w:r w:rsidRPr="00CA1555">
              <w:rPr>
                <w:rFonts w:ascii="Cambria" w:hAnsi="Cambria"/>
              </w:rPr>
              <w:t>Notional defined contributions</w:t>
            </w:r>
          </w:p>
        </w:tc>
        <w:tc>
          <w:tcPr>
            <w:tcW w:w="1668" w:type="dxa"/>
            <w:tcBorders>
              <w:top w:val="single" w:sz="4" w:space="0" w:color="auto"/>
              <w:left w:val="single" w:sz="4" w:space="0" w:color="auto"/>
              <w:bottom w:val="single" w:sz="4" w:space="0" w:color="auto"/>
              <w:right w:val="single" w:sz="4" w:space="0" w:color="auto"/>
            </w:tcBorders>
          </w:tcPr>
          <w:p w14:paraId="2634BAD1" w14:textId="4DC7E461" w:rsidR="0027648F" w:rsidRPr="00CA1555" w:rsidRDefault="0027648F" w:rsidP="00CA1555">
            <w:pPr>
              <w:jc w:val="center"/>
              <w:rPr>
                <w:rFonts w:ascii="Cambria" w:hAnsi="Cambria"/>
              </w:rPr>
            </w:pPr>
            <w:r w:rsidRPr="00CA1555">
              <w:rPr>
                <w:rFonts w:ascii="Cambria" w:hAnsi="Cambria"/>
              </w:rPr>
              <w:t>Fully funded defined contributions</w:t>
            </w:r>
          </w:p>
        </w:tc>
        <w:tc>
          <w:tcPr>
            <w:tcW w:w="1524" w:type="dxa"/>
            <w:tcBorders>
              <w:top w:val="single" w:sz="4" w:space="0" w:color="auto"/>
              <w:left w:val="single" w:sz="4" w:space="0" w:color="auto"/>
              <w:bottom w:val="single" w:sz="4" w:space="0" w:color="auto"/>
            </w:tcBorders>
          </w:tcPr>
          <w:p w14:paraId="0CC13525" w14:textId="77777777" w:rsidR="0027648F" w:rsidRPr="00CA1555" w:rsidRDefault="0027648F" w:rsidP="005766D4">
            <w:pPr>
              <w:jc w:val="center"/>
              <w:rPr>
                <w:rFonts w:ascii="Cambria" w:hAnsi="Cambria"/>
              </w:rPr>
            </w:pPr>
            <w:r w:rsidRPr="00CA1555">
              <w:rPr>
                <w:rFonts w:ascii="Cambria" w:hAnsi="Cambria"/>
              </w:rPr>
              <w:t>Flat benefit</w:t>
            </w:r>
          </w:p>
          <w:p w14:paraId="4FEFA197" w14:textId="6B207606" w:rsidR="009624CC" w:rsidRPr="00CA1555" w:rsidRDefault="009624CC" w:rsidP="005766D4">
            <w:pPr>
              <w:jc w:val="center"/>
              <w:rPr>
                <w:rFonts w:ascii="Cambria" w:hAnsi="Cambria"/>
              </w:rPr>
            </w:pPr>
            <w:r w:rsidRPr="00CA1555">
              <w:rPr>
                <w:rFonts w:ascii="Cambria" w:hAnsi="Cambria"/>
              </w:rPr>
              <w:t>(about 2/3 of basic pension)</w:t>
            </w:r>
          </w:p>
        </w:tc>
      </w:tr>
      <w:tr w:rsidR="0007155C" w:rsidRPr="00CA1555" w14:paraId="1AD4554A" w14:textId="77777777" w:rsidTr="0007155C">
        <w:tc>
          <w:tcPr>
            <w:tcW w:w="9372" w:type="dxa"/>
            <w:gridSpan w:val="6"/>
            <w:tcBorders>
              <w:top w:val="single" w:sz="4" w:space="0" w:color="auto"/>
            </w:tcBorders>
          </w:tcPr>
          <w:p w14:paraId="5F109942" w14:textId="5618BF86" w:rsidR="0007155C" w:rsidRPr="0007155C" w:rsidRDefault="0007155C" w:rsidP="0007155C">
            <w:pPr>
              <w:rPr>
                <w:rFonts w:ascii="Cambria" w:hAnsi="Cambria"/>
                <w:sz w:val="18"/>
                <w:szCs w:val="18"/>
              </w:rPr>
            </w:pPr>
            <w:r w:rsidRPr="00AE68F2">
              <w:rPr>
                <w:rFonts w:ascii="Cambria" w:hAnsi="Cambria"/>
                <w:i/>
                <w:sz w:val="18"/>
                <w:szCs w:val="18"/>
              </w:rPr>
              <w:t>Source</w:t>
            </w:r>
            <w:r w:rsidRPr="0007155C">
              <w:rPr>
                <w:rFonts w:ascii="Cambria" w:hAnsi="Cambria"/>
                <w:sz w:val="18"/>
                <w:szCs w:val="18"/>
              </w:rPr>
              <w:t>:</w:t>
            </w:r>
            <w:r w:rsidR="00AE68F2">
              <w:rPr>
                <w:rFonts w:ascii="Cambria" w:hAnsi="Cambria"/>
                <w:sz w:val="18"/>
                <w:szCs w:val="18"/>
              </w:rPr>
              <w:t xml:space="preserve"> Authors.</w:t>
            </w:r>
          </w:p>
        </w:tc>
      </w:tr>
    </w:tbl>
    <w:p w14:paraId="1AB63F86" w14:textId="37C98081" w:rsidR="00B47162" w:rsidRPr="00EF1B17" w:rsidRDefault="00B47162" w:rsidP="0007155C">
      <w:pPr>
        <w:spacing w:before="120" w:after="120"/>
        <w:jc w:val="both"/>
        <w:rPr>
          <w:rFonts w:ascii="Cambria" w:hAnsi="Cambria"/>
          <w:sz w:val="18"/>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610"/>
      </w:tblGrid>
      <w:tr w:rsidR="00876F35" w:rsidRPr="00876F35" w14:paraId="5A48CF13" w14:textId="77777777" w:rsidTr="00300E34">
        <w:trPr>
          <w:tblHeader/>
        </w:trPr>
        <w:tc>
          <w:tcPr>
            <w:tcW w:w="9468" w:type="dxa"/>
            <w:gridSpan w:val="2"/>
            <w:tcBorders>
              <w:bottom w:val="single" w:sz="4" w:space="0" w:color="auto"/>
            </w:tcBorders>
          </w:tcPr>
          <w:p w14:paraId="5CAFAB3B" w14:textId="7256302E" w:rsidR="00876F35" w:rsidRPr="00876F35" w:rsidRDefault="00155587" w:rsidP="005766D4">
            <w:pPr>
              <w:pStyle w:val="Caption"/>
            </w:pPr>
            <w:bookmarkStart w:id="6" w:name="_Toc378163810"/>
            <w:r>
              <w:t xml:space="preserve">Table </w:t>
            </w:r>
            <w:r w:rsidR="00C646A3">
              <w:fldChar w:fldCharType="begin"/>
            </w:r>
            <w:r w:rsidR="00C646A3">
              <w:instrText xml:space="preserve"> SEQ Table \* ARABIC </w:instrText>
            </w:r>
            <w:r w:rsidR="00C646A3">
              <w:fldChar w:fldCharType="separate"/>
            </w:r>
            <w:r w:rsidR="00C646A3">
              <w:rPr>
                <w:noProof/>
              </w:rPr>
              <w:t>2</w:t>
            </w:r>
            <w:r w:rsidR="00C646A3">
              <w:rPr>
                <w:noProof/>
              </w:rPr>
              <w:fldChar w:fldCharType="end"/>
            </w:r>
            <w:r>
              <w:t xml:space="preserve">. </w:t>
            </w:r>
            <w:r w:rsidRPr="00876F35">
              <w:t>Main Indicators of the National Pension System, 2011</w:t>
            </w:r>
            <w:bookmarkEnd w:id="6"/>
          </w:p>
        </w:tc>
      </w:tr>
      <w:tr w:rsidR="00B47162" w:rsidRPr="00876F35" w14:paraId="05B92F66" w14:textId="77777777" w:rsidTr="00155587">
        <w:trPr>
          <w:trHeight w:val="1052"/>
        </w:trPr>
        <w:tc>
          <w:tcPr>
            <w:tcW w:w="6858" w:type="dxa"/>
            <w:tcBorders>
              <w:top w:val="single" w:sz="4" w:space="0" w:color="auto"/>
            </w:tcBorders>
          </w:tcPr>
          <w:p w14:paraId="363CE12C" w14:textId="77777777" w:rsidR="00B47162" w:rsidRPr="00876F35" w:rsidRDefault="00B47162" w:rsidP="006D70DF">
            <w:pPr>
              <w:jc w:val="both"/>
              <w:rPr>
                <w:rFonts w:ascii="Cambria" w:hAnsi="Cambria"/>
              </w:rPr>
            </w:pPr>
            <w:r w:rsidRPr="00876F35">
              <w:rPr>
                <w:rFonts w:ascii="Cambria" w:hAnsi="Cambria"/>
              </w:rPr>
              <w:t>Number of contributors, thous</w:t>
            </w:r>
            <w:r w:rsidR="00155587">
              <w:rPr>
                <w:rFonts w:ascii="Cambria" w:hAnsi="Cambria"/>
              </w:rPr>
              <w:t>and</w:t>
            </w:r>
          </w:p>
          <w:p w14:paraId="58972395"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Salaried workers</w:t>
            </w:r>
          </w:p>
          <w:p w14:paraId="393CF9B9"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Farmers</w:t>
            </w:r>
          </w:p>
          <w:p w14:paraId="73450BF1" w14:textId="77777777" w:rsidR="00B47162" w:rsidRPr="00876F35" w:rsidRDefault="00155587" w:rsidP="006D70DF">
            <w:pPr>
              <w:jc w:val="both"/>
              <w:rPr>
                <w:rFonts w:ascii="Cambria" w:hAnsi="Cambria"/>
              </w:rPr>
            </w:pPr>
            <w:r>
              <w:rPr>
                <w:rFonts w:ascii="Cambria" w:hAnsi="Cambria"/>
                <w:i/>
              </w:rPr>
              <w:t xml:space="preserve">  </w:t>
            </w:r>
            <w:r w:rsidR="00B47162" w:rsidRPr="00876F35">
              <w:rPr>
                <w:rFonts w:ascii="Cambria" w:hAnsi="Cambria"/>
                <w:i/>
              </w:rPr>
              <w:t>Self-employed</w:t>
            </w:r>
          </w:p>
        </w:tc>
        <w:tc>
          <w:tcPr>
            <w:tcW w:w="2610" w:type="dxa"/>
            <w:tcBorders>
              <w:top w:val="single" w:sz="4" w:space="0" w:color="auto"/>
            </w:tcBorders>
          </w:tcPr>
          <w:p w14:paraId="3AE7FF4F" w14:textId="77777777" w:rsidR="00B47162" w:rsidRPr="00876F35" w:rsidRDefault="00B47162" w:rsidP="00155587">
            <w:pPr>
              <w:jc w:val="right"/>
              <w:rPr>
                <w:rFonts w:ascii="Cambria" w:hAnsi="Cambria"/>
              </w:rPr>
            </w:pPr>
            <w:r w:rsidRPr="00876F35">
              <w:rPr>
                <w:rFonts w:ascii="Cambria" w:hAnsi="Cambria"/>
              </w:rPr>
              <w:t>1,184</w:t>
            </w:r>
          </w:p>
          <w:p w14:paraId="713A3CC2" w14:textId="77777777" w:rsidR="00B47162" w:rsidRPr="00876F35" w:rsidRDefault="00B47162" w:rsidP="00155587">
            <w:pPr>
              <w:jc w:val="right"/>
              <w:rPr>
                <w:rFonts w:ascii="Cambria" w:hAnsi="Cambria"/>
                <w:i/>
              </w:rPr>
            </w:pPr>
            <w:r w:rsidRPr="00876F35">
              <w:rPr>
                <w:rFonts w:ascii="Cambria" w:hAnsi="Cambria"/>
                <w:i/>
              </w:rPr>
              <w:t>708</w:t>
            </w:r>
          </w:p>
          <w:p w14:paraId="6239CE1E" w14:textId="77777777" w:rsidR="00B47162" w:rsidRPr="00876F35" w:rsidRDefault="00B47162" w:rsidP="00155587">
            <w:pPr>
              <w:jc w:val="right"/>
              <w:rPr>
                <w:rFonts w:ascii="Cambria" w:hAnsi="Cambria"/>
                <w:i/>
              </w:rPr>
            </w:pPr>
            <w:r w:rsidRPr="00876F35">
              <w:rPr>
                <w:rFonts w:ascii="Cambria" w:hAnsi="Cambria"/>
                <w:i/>
              </w:rPr>
              <w:t>413</w:t>
            </w:r>
          </w:p>
          <w:p w14:paraId="5EA5479D" w14:textId="77777777" w:rsidR="00B47162" w:rsidRPr="00876F35" w:rsidRDefault="00B47162" w:rsidP="00155587">
            <w:pPr>
              <w:jc w:val="right"/>
              <w:rPr>
                <w:rFonts w:ascii="Cambria" w:hAnsi="Cambria"/>
              </w:rPr>
            </w:pPr>
            <w:r w:rsidRPr="00876F35">
              <w:rPr>
                <w:rFonts w:ascii="Cambria" w:hAnsi="Cambria"/>
                <w:i/>
              </w:rPr>
              <w:t>63</w:t>
            </w:r>
          </w:p>
        </w:tc>
      </w:tr>
      <w:tr w:rsidR="00B47162" w:rsidRPr="00876F35" w14:paraId="2EDC9B99" w14:textId="77777777" w:rsidTr="00155587">
        <w:trPr>
          <w:trHeight w:val="1070"/>
        </w:trPr>
        <w:tc>
          <w:tcPr>
            <w:tcW w:w="6858" w:type="dxa"/>
          </w:tcPr>
          <w:p w14:paraId="2C5C1BF8" w14:textId="77777777" w:rsidR="00B47162" w:rsidRPr="00876F35" w:rsidRDefault="00B47162" w:rsidP="006D70DF">
            <w:pPr>
              <w:jc w:val="both"/>
              <w:rPr>
                <w:rFonts w:ascii="Cambria" w:hAnsi="Cambria"/>
              </w:rPr>
            </w:pPr>
            <w:r w:rsidRPr="00876F35">
              <w:rPr>
                <w:rFonts w:ascii="Cambria" w:hAnsi="Cambria"/>
              </w:rPr>
              <w:t>Number of beneficiaries, thous</w:t>
            </w:r>
            <w:r w:rsidR="00155587">
              <w:rPr>
                <w:rFonts w:ascii="Cambria" w:hAnsi="Cambria"/>
              </w:rPr>
              <w:t>and</w:t>
            </w:r>
          </w:p>
          <w:p w14:paraId="64A9D09C" w14:textId="4637D9B0" w:rsidR="00B47162" w:rsidRPr="00876F35" w:rsidRDefault="00155587" w:rsidP="006D70DF">
            <w:pPr>
              <w:jc w:val="both"/>
              <w:rPr>
                <w:rFonts w:ascii="Cambria" w:hAnsi="Cambria"/>
                <w:i/>
              </w:rPr>
            </w:pPr>
            <w:r>
              <w:rPr>
                <w:rFonts w:ascii="Cambria" w:hAnsi="Cambria"/>
                <w:i/>
              </w:rPr>
              <w:t xml:space="preserve">  </w:t>
            </w:r>
            <w:r w:rsidR="00A47C53">
              <w:rPr>
                <w:rFonts w:ascii="Cambria" w:hAnsi="Cambria"/>
                <w:i/>
              </w:rPr>
              <w:t>Old-age</w:t>
            </w:r>
          </w:p>
          <w:p w14:paraId="61B4D081"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Disability</w:t>
            </w:r>
          </w:p>
          <w:p w14:paraId="70AFCAEA" w14:textId="77777777" w:rsidR="00B47162" w:rsidRPr="00876F35" w:rsidRDefault="00155587" w:rsidP="006D70DF">
            <w:pPr>
              <w:jc w:val="both"/>
              <w:rPr>
                <w:rFonts w:ascii="Cambria" w:hAnsi="Cambria"/>
              </w:rPr>
            </w:pPr>
            <w:r>
              <w:rPr>
                <w:rFonts w:ascii="Cambria" w:hAnsi="Cambria"/>
                <w:i/>
              </w:rPr>
              <w:t xml:space="preserve">  </w:t>
            </w:r>
            <w:r w:rsidR="00B47162" w:rsidRPr="00876F35">
              <w:rPr>
                <w:rFonts w:ascii="Cambria" w:hAnsi="Cambria"/>
                <w:i/>
              </w:rPr>
              <w:t>Survivors*</w:t>
            </w:r>
          </w:p>
        </w:tc>
        <w:tc>
          <w:tcPr>
            <w:tcW w:w="2610" w:type="dxa"/>
          </w:tcPr>
          <w:p w14:paraId="23085BFC" w14:textId="77777777" w:rsidR="00B47162" w:rsidRPr="00876F35" w:rsidRDefault="00B47162" w:rsidP="00155587">
            <w:pPr>
              <w:jc w:val="right"/>
              <w:rPr>
                <w:rFonts w:ascii="Cambria" w:hAnsi="Cambria"/>
              </w:rPr>
            </w:pPr>
            <w:r w:rsidRPr="00876F35">
              <w:rPr>
                <w:rFonts w:ascii="Cambria" w:hAnsi="Cambria"/>
              </w:rPr>
              <w:t>46</w:t>
            </w:r>
            <w:r w:rsidR="00145ED3" w:rsidRPr="00876F35">
              <w:rPr>
                <w:rFonts w:ascii="Cambria" w:hAnsi="Cambria"/>
              </w:rPr>
              <w:t>6</w:t>
            </w:r>
          </w:p>
          <w:p w14:paraId="12BD9875" w14:textId="77777777" w:rsidR="00B47162" w:rsidRPr="00876F35" w:rsidRDefault="00B47162" w:rsidP="00155587">
            <w:pPr>
              <w:jc w:val="right"/>
              <w:rPr>
                <w:rFonts w:ascii="Cambria" w:hAnsi="Cambria"/>
                <w:i/>
              </w:rPr>
            </w:pPr>
            <w:r w:rsidRPr="00876F35">
              <w:rPr>
                <w:rFonts w:ascii="Cambria" w:hAnsi="Cambria"/>
                <w:i/>
              </w:rPr>
              <w:t>3</w:t>
            </w:r>
            <w:r w:rsidR="00145ED3" w:rsidRPr="00876F35">
              <w:rPr>
                <w:rFonts w:ascii="Cambria" w:hAnsi="Cambria"/>
                <w:i/>
              </w:rPr>
              <w:t>31</w:t>
            </w:r>
          </w:p>
          <w:p w14:paraId="0E8E860A" w14:textId="77777777" w:rsidR="00B47162" w:rsidRPr="00876F35" w:rsidRDefault="00B47162" w:rsidP="00155587">
            <w:pPr>
              <w:jc w:val="right"/>
              <w:rPr>
                <w:rFonts w:ascii="Cambria" w:hAnsi="Cambria"/>
                <w:i/>
              </w:rPr>
            </w:pPr>
            <w:r w:rsidRPr="00876F35">
              <w:rPr>
                <w:rFonts w:ascii="Cambria" w:hAnsi="Cambria"/>
                <w:i/>
              </w:rPr>
              <w:t>87</w:t>
            </w:r>
          </w:p>
          <w:p w14:paraId="0CB8F6B1" w14:textId="77777777" w:rsidR="00B47162" w:rsidRPr="00876F35" w:rsidRDefault="00B47162" w:rsidP="00155587">
            <w:pPr>
              <w:jc w:val="right"/>
              <w:rPr>
                <w:rFonts w:ascii="Cambria" w:hAnsi="Cambria"/>
              </w:rPr>
            </w:pPr>
            <w:r w:rsidRPr="00876F35">
              <w:rPr>
                <w:rFonts w:ascii="Cambria" w:hAnsi="Cambria"/>
                <w:i/>
              </w:rPr>
              <w:t>48</w:t>
            </w:r>
          </w:p>
        </w:tc>
      </w:tr>
      <w:tr w:rsidR="00B47162" w:rsidRPr="00876F35" w14:paraId="5BD5A55E" w14:textId="77777777" w:rsidTr="00300E34">
        <w:trPr>
          <w:trHeight w:val="1070"/>
        </w:trPr>
        <w:tc>
          <w:tcPr>
            <w:tcW w:w="6858" w:type="dxa"/>
          </w:tcPr>
          <w:p w14:paraId="604A185E" w14:textId="77777777" w:rsidR="00B47162" w:rsidRPr="00876F35" w:rsidRDefault="00B47162" w:rsidP="006D70DF">
            <w:pPr>
              <w:jc w:val="both"/>
              <w:rPr>
                <w:rFonts w:ascii="Cambria" w:hAnsi="Cambria"/>
              </w:rPr>
            </w:pPr>
            <w:r w:rsidRPr="00876F35">
              <w:rPr>
                <w:rFonts w:ascii="Cambria" w:hAnsi="Cambria"/>
              </w:rPr>
              <w:t>System dependency rate: all beneficiaries/contributors</w:t>
            </w:r>
          </w:p>
          <w:p w14:paraId="1595BB8C" w14:textId="67A71D16" w:rsidR="00B47162" w:rsidRPr="00876F35" w:rsidRDefault="00B47162" w:rsidP="006D70DF">
            <w:pPr>
              <w:jc w:val="both"/>
              <w:rPr>
                <w:rFonts w:ascii="Cambria" w:hAnsi="Cambria"/>
              </w:rPr>
            </w:pPr>
            <w:r w:rsidRPr="00876F35">
              <w:rPr>
                <w:rFonts w:ascii="Cambria" w:hAnsi="Cambria"/>
              </w:rPr>
              <w:t xml:space="preserve">System dependency rate: </w:t>
            </w:r>
            <w:r w:rsidR="00A47C53">
              <w:rPr>
                <w:rFonts w:ascii="Cambria" w:hAnsi="Cambria"/>
              </w:rPr>
              <w:t>old-age</w:t>
            </w:r>
            <w:r w:rsidRPr="00876F35">
              <w:rPr>
                <w:rFonts w:ascii="Cambria" w:hAnsi="Cambria"/>
              </w:rPr>
              <w:t xml:space="preserve"> pensioners/contributors</w:t>
            </w:r>
          </w:p>
          <w:p w14:paraId="2C48A4D4" w14:textId="1113C144" w:rsidR="00B47162" w:rsidRPr="00876F35" w:rsidRDefault="00A47C53" w:rsidP="006D70DF">
            <w:pPr>
              <w:jc w:val="both"/>
              <w:rPr>
                <w:rFonts w:ascii="Cambria" w:hAnsi="Cambria"/>
              </w:rPr>
            </w:pPr>
            <w:r>
              <w:rPr>
                <w:rFonts w:ascii="Cambria" w:hAnsi="Cambria"/>
              </w:rPr>
              <w:t>Old-age</w:t>
            </w:r>
            <w:r w:rsidR="00B47162" w:rsidRPr="00876F35">
              <w:rPr>
                <w:rFonts w:ascii="Cambria" w:hAnsi="Cambria"/>
              </w:rPr>
              <w:t xml:space="preserve"> population dependency rate:</w:t>
            </w:r>
          </w:p>
          <w:p w14:paraId="79E830FA" w14:textId="77777777" w:rsidR="00B47162" w:rsidRPr="00876F35" w:rsidRDefault="00B47162" w:rsidP="006D70DF">
            <w:pPr>
              <w:jc w:val="both"/>
              <w:rPr>
                <w:rFonts w:ascii="Cambria" w:hAnsi="Cambria"/>
              </w:rPr>
            </w:pPr>
            <w:r w:rsidRPr="00876F35">
              <w:rPr>
                <w:rFonts w:ascii="Cambria" w:hAnsi="Cambria"/>
              </w:rPr>
              <w:t>population at retirement age+/population age 15 to retirement age</w:t>
            </w:r>
          </w:p>
        </w:tc>
        <w:tc>
          <w:tcPr>
            <w:tcW w:w="2610" w:type="dxa"/>
          </w:tcPr>
          <w:p w14:paraId="5BABF076" w14:textId="77777777" w:rsidR="00B47162" w:rsidRPr="00876F35" w:rsidRDefault="00B47162" w:rsidP="00155587">
            <w:pPr>
              <w:jc w:val="right"/>
              <w:rPr>
                <w:rFonts w:ascii="Cambria" w:hAnsi="Cambria"/>
              </w:rPr>
            </w:pPr>
            <w:r w:rsidRPr="00876F35">
              <w:rPr>
                <w:rFonts w:ascii="Cambria" w:hAnsi="Cambria"/>
              </w:rPr>
              <w:t>39%</w:t>
            </w:r>
          </w:p>
          <w:p w14:paraId="6E34D2A1" w14:textId="77777777" w:rsidR="00B47162" w:rsidRPr="00876F35" w:rsidRDefault="00B47162" w:rsidP="00155587">
            <w:pPr>
              <w:jc w:val="right"/>
              <w:rPr>
                <w:rFonts w:ascii="Cambria" w:hAnsi="Cambria"/>
              </w:rPr>
            </w:pPr>
            <w:r w:rsidRPr="00876F35">
              <w:rPr>
                <w:rFonts w:ascii="Cambria" w:hAnsi="Cambria"/>
              </w:rPr>
              <w:t>28%</w:t>
            </w:r>
          </w:p>
          <w:p w14:paraId="7B815CAD" w14:textId="77777777" w:rsidR="00B47162" w:rsidRPr="00876F35" w:rsidRDefault="00B47162" w:rsidP="00155587">
            <w:pPr>
              <w:jc w:val="right"/>
              <w:rPr>
                <w:rFonts w:ascii="Cambria" w:hAnsi="Cambria"/>
              </w:rPr>
            </w:pPr>
          </w:p>
          <w:p w14:paraId="2CCD5228" w14:textId="77777777" w:rsidR="00B47162" w:rsidRPr="00876F35" w:rsidRDefault="00B47162" w:rsidP="00155587">
            <w:pPr>
              <w:jc w:val="right"/>
              <w:rPr>
                <w:rFonts w:ascii="Cambria" w:hAnsi="Cambria"/>
              </w:rPr>
            </w:pPr>
            <w:r w:rsidRPr="00876F35">
              <w:rPr>
                <w:rFonts w:ascii="Cambria" w:hAnsi="Cambria"/>
              </w:rPr>
              <w:t>10%</w:t>
            </w:r>
          </w:p>
        </w:tc>
      </w:tr>
      <w:tr w:rsidR="00B47162" w:rsidRPr="00876F35" w14:paraId="708A94DD" w14:textId="77777777" w:rsidTr="00300E34">
        <w:trPr>
          <w:trHeight w:val="800"/>
        </w:trPr>
        <w:tc>
          <w:tcPr>
            <w:tcW w:w="6858" w:type="dxa"/>
            <w:tcBorders>
              <w:bottom w:val="single" w:sz="4" w:space="0" w:color="auto"/>
            </w:tcBorders>
          </w:tcPr>
          <w:p w14:paraId="2E35E303" w14:textId="77777777" w:rsidR="00B47162" w:rsidRPr="00876F35" w:rsidRDefault="00B47162" w:rsidP="006D70DF">
            <w:pPr>
              <w:jc w:val="both"/>
              <w:rPr>
                <w:rFonts w:ascii="Cambria" w:hAnsi="Cambria"/>
              </w:rPr>
            </w:pPr>
            <w:r w:rsidRPr="00876F35">
              <w:rPr>
                <w:rFonts w:ascii="Cambria" w:hAnsi="Cambria"/>
              </w:rPr>
              <w:t>Coverage rates:</w:t>
            </w:r>
          </w:p>
          <w:p w14:paraId="6452B817" w14:textId="77777777" w:rsidR="00B47162" w:rsidRPr="00876F35" w:rsidRDefault="00155587" w:rsidP="006D70DF">
            <w:pPr>
              <w:jc w:val="both"/>
              <w:rPr>
                <w:rFonts w:ascii="Cambria" w:hAnsi="Cambria"/>
              </w:rPr>
            </w:pPr>
            <w:r>
              <w:rPr>
                <w:rFonts w:ascii="Cambria" w:hAnsi="Cambria"/>
              </w:rPr>
              <w:t xml:space="preserve">  </w:t>
            </w:r>
            <w:r w:rsidR="00B47162" w:rsidRPr="00876F35">
              <w:rPr>
                <w:rFonts w:ascii="Cambria" w:hAnsi="Cambria"/>
              </w:rPr>
              <w:t xml:space="preserve">Contributors, </w:t>
            </w:r>
            <w:r>
              <w:rPr>
                <w:rFonts w:ascii="Cambria" w:hAnsi="Cambria"/>
              </w:rPr>
              <w:t>percent</w:t>
            </w:r>
            <w:r w:rsidR="00B47162" w:rsidRPr="00876F35">
              <w:rPr>
                <w:rFonts w:ascii="Cambria" w:hAnsi="Cambria"/>
              </w:rPr>
              <w:t xml:space="preserve"> of working age population</w:t>
            </w:r>
          </w:p>
          <w:p w14:paraId="546D2791" w14:textId="77777777" w:rsidR="00B47162" w:rsidRPr="00876F35" w:rsidRDefault="00155587" w:rsidP="00A10E07">
            <w:pPr>
              <w:jc w:val="both"/>
              <w:rPr>
                <w:rFonts w:ascii="Cambria" w:hAnsi="Cambria"/>
              </w:rPr>
            </w:pPr>
            <w:r>
              <w:rPr>
                <w:rFonts w:ascii="Cambria" w:hAnsi="Cambria"/>
              </w:rPr>
              <w:t xml:space="preserve">  </w:t>
            </w:r>
            <w:r w:rsidR="00A10E07" w:rsidRPr="00876F35">
              <w:rPr>
                <w:rFonts w:ascii="Cambria" w:hAnsi="Cambria"/>
              </w:rPr>
              <w:t>P</w:t>
            </w:r>
            <w:r w:rsidR="00B47162" w:rsidRPr="00876F35">
              <w:rPr>
                <w:rFonts w:ascii="Cambria" w:hAnsi="Cambria"/>
              </w:rPr>
              <w:t>ensioners age</w:t>
            </w:r>
            <w:r w:rsidR="00A10E07" w:rsidRPr="00876F35">
              <w:rPr>
                <w:rFonts w:ascii="Cambria" w:hAnsi="Cambria"/>
              </w:rPr>
              <w:t xml:space="preserve"> 65</w:t>
            </w:r>
            <w:r w:rsidR="00B47162" w:rsidRPr="00876F35">
              <w:rPr>
                <w:rFonts w:ascii="Cambria" w:hAnsi="Cambria"/>
              </w:rPr>
              <w:t>+,</w:t>
            </w:r>
            <w:r>
              <w:rPr>
                <w:rFonts w:ascii="Cambria" w:hAnsi="Cambria"/>
              </w:rPr>
              <w:t xml:space="preserve"> percent</w:t>
            </w:r>
            <w:r w:rsidR="00D43053" w:rsidRPr="00876F35">
              <w:rPr>
                <w:rFonts w:ascii="Cambria" w:hAnsi="Cambria"/>
              </w:rPr>
              <w:t xml:space="preserve"> of population at age 65+</w:t>
            </w:r>
          </w:p>
        </w:tc>
        <w:tc>
          <w:tcPr>
            <w:tcW w:w="2610" w:type="dxa"/>
            <w:tcBorders>
              <w:bottom w:val="single" w:sz="4" w:space="0" w:color="auto"/>
            </w:tcBorders>
          </w:tcPr>
          <w:p w14:paraId="7A93BE03" w14:textId="77777777" w:rsidR="00B47162" w:rsidRPr="00876F35" w:rsidRDefault="00B47162" w:rsidP="00155587">
            <w:pPr>
              <w:jc w:val="right"/>
              <w:rPr>
                <w:rFonts w:ascii="Cambria" w:hAnsi="Cambria"/>
              </w:rPr>
            </w:pPr>
          </w:p>
          <w:p w14:paraId="10ED7F37" w14:textId="77777777" w:rsidR="00B47162" w:rsidRPr="00876F35" w:rsidRDefault="006B6895" w:rsidP="00155587">
            <w:pPr>
              <w:jc w:val="right"/>
              <w:rPr>
                <w:rFonts w:ascii="Cambria" w:hAnsi="Cambria"/>
              </w:rPr>
            </w:pPr>
            <w:r w:rsidRPr="00876F35">
              <w:rPr>
                <w:rFonts w:ascii="Cambria" w:hAnsi="Cambria"/>
              </w:rPr>
              <w:t>34</w:t>
            </w:r>
            <w:r w:rsidR="00B47162" w:rsidRPr="00876F35">
              <w:rPr>
                <w:rFonts w:ascii="Cambria" w:hAnsi="Cambria"/>
              </w:rPr>
              <w:t>%</w:t>
            </w:r>
          </w:p>
          <w:p w14:paraId="023619DB" w14:textId="77777777" w:rsidR="00B47162" w:rsidRPr="00876F35" w:rsidRDefault="00D43053" w:rsidP="00155587">
            <w:pPr>
              <w:jc w:val="right"/>
              <w:rPr>
                <w:rFonts w:ascii="Cambria" w:hAnsi="Cambria"/>
              </w:rPr>
            </w:pPr>
            <w:r w:rsidRPr="00876F35">
              <w:rPr>
                <w:rFonts w:ascii="Cambria" w:hAnsi="Cambria"/>
              </w:rPr>
              <w:t>91%</w:t>
            </w:r>
          </w:p>
        </w:tc>
      </w:tr>
      <w:tr w:rsidR="00B47162" w:rsidRPr="00876F35" w14:paraId="42DD510B" w14:textId="77777777" w:rsidTr="00300E34">
        <w:trPr>
          <w:trHeight w:val="620"/>
        </w:trPr>
        <w:tc>
          <w:tcPr>
            <w:tcW w:w="6858" w:type="dxa"/>
            <w:tcBorders>
              <w:top w:val="single" w:sz="4" w:space="0" w:color="auto"/>
            </w:tcBorders>
          </w:tcPr>
          <w:p w14:paraId="0F7DC5DF" w14:textId="77777777" w:rsidR="00B47162" w:rsidRPr="00876F35" w:rsidRDefault="00B47162" w:rsidP="006D70DF">
            <w:pPr>
              <w:jc w:val="both"/>
              <w:rPr>
                <w:rFonts w:ascii="Cambria" w:hAnsi="Cambria"/>
              </w:rPr>
            </w:pPr>
            <w:r w:rsidRPr="00876F35">
              <w:rPr>
                <w:rFonts w:ascii="Cambria" w:hAnsi="Cambria"/>
              </w:rPr>
              <w:lastRenderedPageBreak/>
              <w:t xml:space="preserve">Average monthly wage of contributors, </w:t>
            </w:r>
            <w:proofErr w:type="spellStart"/>
            <w:r w:rsidRPr="00876F35">
              <w:rPr>
                <w:rFonts w:ascii="Cambria" w:hAnsi="Cambria"/>
              </w:rPr>
              <w:t>soms</w:t>
            </w:r>
            <w:proofErr w:type="spellEnd"/>
          </w:p>
          <w:p w14:paraId="671CAF7C" w14:textId="56FA31B5" w:rsidR="00B47162" w:rsidRPr="00876F35" w:rsidRDefault="00B47162" w:rsidP="00300E34">
            <w:pPr>
              <w:jc w:val="both"/>
              <w:rPr>
                <w:rFonts w:ascii="Cambria" w:hAnsi="Cambria"/>
              </w:rPr>
            </w:pPr>
            <w:r w:rsidRPr="00876F35">
              <w:rPr>
                <w:rFonts w:ascii="Cambria" w:hAnsi="Cambria"/>
              </w:rPr>
              <w:t xml:space="preserve">Economy wide average monthly wage, </w:t>
            </w:r>
            <w:proofErr w:type="spellStart"/>
            <w:r w:rsidRPr="00876F35">
              <w:rPr>
                <w:rFonts w:ascii="Cambria" w:hAnsi="Cambria"/>
              </w:rPr>
              <w:t>soms</w:t>
            </w:r>
            <w:proofErr w:type="spellEnd"/>
            <w:r w:rsidR="00300E34">
              <w:rPr>
                <w:rFonts w:ascii="Cambria" w:hAnsi="Cambria"/>
              </w:rPr>
              <w:t>**</w:t>
            </w:r>
          </w:p>
        </w:tc>
        <w:tc>
          <w:tcPr>
            <w:tcW w:w="2610" w:type="dxa"/>
            <w:tcBorders>
              <w:top w:val="single" w:sz="4" w:space="0" w:color="auto"/>
            </w:tcBorders>
          </w:tcPr>
          <w:p w14:paraId="52852015" w14:textId="77777777" w:rsidR="00B47162" w:rsidRPr="00876F35" w:rsidRDefault="00B47162" w:rsidP="00155587">
            <w:pPr>
              <w:jc w:val="right"/>
              <w:rPr>
                <w:rFonts w:ascii="Cambria" w:hAnsi="Cambria"/>
              </w:rPr>
            </w:pPr>
            <w:r w:rsidRPr="00876F35">
              <w:rPr>
                <w:rFonts w:ascii="Cambria" w:hAnsi="Cambria"/>
              </w:rPr>
              <w:t>6,980</w:t>
            </w:r>
          </w:p>
          <w:p w14:paraId="582C9F04" w14:textId="77777777" w:rsidR="00B47162" w:rsidRPr="00876F35" w:rsidRDefault="00B47162" w:rsidP="00155587">
            <w:pPr>
              <w:jc w:val="right"/>
              <w:rPr>
                <w:rFonts w:ascii="Cambria" w:hAnsi="Cambria"/>
              </w:rPr>
            </w:pPr>
            <w:r w:rsidRPr="00876F35">
              <w:rPr>
                <w:rFonts w:ascii="Cambria" w:hAnsi="Cambria"/>
              </w:rPr>
              <w:t>9,221</w:t>
            </w:r>
          </w:p>
        </w:tc>
      </w:tr>
      <w:tr w:rsidR="00B47162" w:rsidRPr="00876F35" w14:paraId="5426BB74" w14:textId="77777777" w:rsidTr="00155587">
        <w:trPr>
          <w:trHeight w:val="350"/>
        </w:trPr>
        <w:tc>
          <w:tcPr>
            <w:tcW w:w="6858" w:type="dxa"/>
          </w:tcPr>
          <w:p w14:paraId="3F7ADEC0" w14:textId="3DEA133D" w:rsidR="00B47162" w:rsidRPr="00876F35" w:rsidRDefault="00B47162" w:rsidP="006D70DF">
            <w:pPr>
              <w:jc w:val="both"/>
              <w:rPr>
                <w:rFonts w:ascii="Cambria" w:hAnsi="Cambria"/>
              </w:rPr>
            </w:pPr>
            <w:r w:rsidRPr="00876F35">
              <w:rPr>
                <w:rFonts w:ascii="Cambria" w:hAnsi="Cambria"/>
              </w:rPr>
              <w:t xml:space="preserve">Average monthly </w:t>
            </w:r>
            <w:r w:rsidR="00A47C53">
              <w:rPr>
                <w:rFonts w:ascii="Cambria" w:hAnsi="Cambria"/>
              </w:rPr>
              <w:t>old-age</w:t>
            </w:r>
            <w:r w:rsidRPr="00876F35">
              <w:rPr>
                <w:rFonts w:ascii="Cambria" w:hAnsi="Cambria"/>
              </w:rPr>
              <w:t xml:space="preserve"> pension, </w:t>
            </w:r>
            <w:proofErr w:type="spellStart"/>
            <w:r w:rsidRPr="00876F35">
              <w:rPr>
                <w:rFonts w:ascii="Cambria" w:hAnsi="Cambria"/>
              </w:rPr>
              <w:t>soms</w:t>
            </w:r>
            <w:proofErr w:type="spellEnd"/>
          </w:p>
        </w:tc>
        <w:tc>
          <w:tcPr>
            <w:tcW w:w="2610" w:type="dxa"/>
          </w:tcPr>
          <w:p w14:paraId="67C037BA" w14:textId="77777777" w:rsidR="00B47162" w:rsidRPr="00876F35" w:rsidRDefault="00145ED3" w:rsidP="00155587">
            <w:pPr>
              <w:jc w:val="right"/>
              <w:rPr>
                <w:rFonts w:ascii="Cambria" w:hAnsi="Cambria"/>
              </w:rPr>
            </w:pPr>
            <w:r w:rsidRPr="00876F35">
              <w:rPr>
                <w:rFonts w:ascii="Cambria" w:hAnsi="Cambria"/>
              </w:rPr>
              <w:t>3,000</w:t>
            </w:r>
          </w:p>
        </w:tc>
      </w:tr>
      <w:tr w:rsidR="00B47162" w:rsidRPr="00876F35" w14:paraId="7DDF114E" w14:textId="77777777" w:rsidTr="00155587">
        <w:trPr>
          <w:trHeight w:val="620"/>
        </w:trPr>
        <w:tc>
          <w:tcPr>
            <w:tcW w:w="6858" w:type="dxa"/>
          </w:tcPr>
          <w:p w14:paraId="6CF225A8" w14:textId="57F0D437" w:rsidR="00B47162" w:rsidRPr="00876F35" w:rsidRDefault="00B47162" w:rsidP="006D70DF">
            <w:pPr>
              <w:jc w:val="both"/>
              <w:rPr>
                <w:rFonts w:ascii="Cambria" w:hAnsi="Cambria"/>
              </w:rPr>
            </w:pPr>
            <w:r w:rsidRPr="00876F35">
              <w:rPr>
                <w:rFonts w:ascii="Cambria" w:hAnsi="Cambria"/>
              </w:rPr>
              <w:t xml:space="preserve">Average </w:t>
            </w:r>
            <w:r w:rsidR="00A47C53">
              <w:rPr>
                <w:rFonts w:ascii="Cambria" w:hAnsi="Cambria"/>
              </w:rPr>
              <w:t>old-age</w:t>
            </w:r>
            <w:r w:rsidRPr="00876F35">
              <w:rPr>
                <w:rFonts w:ascii="Cambria" w:hAnsi="Cambria"/>
              </w:rPr>
              <w:t xml:space="preserve"> pension as </w:t>
            </w:r>
            <w:r w:rsidR="00155587">
              <w:rPr>
                <w:rFonts w:ascii="Cambria" w:hAnsi="Cambria"/>
              </w:rPr>
              <w:t>percent</w:t>
            </w:r>
            <w:r w:rsidRPr="00876F35">
              <w:rPr>
                <w:rFonts w:ascii="Cambria" w:hAnsi="Cambria"/>
              </w:rPr>
              <w:t xml:space="preserve"> of average contributor wage</w:t>
            </w:r>
          </w:p>
          <w:p w14:paraId="209B9A0A" w14:textId="4D0A1FA4" w:rsidR="00B47162" w:rsidRPr="00876F35" w:rsidRDefault="00155587" w:rsidP="006D70DF">
            <w:pPr>
              <w:jc w:val="both"/>
              <w:rPr>
                <w:rFonts w:ascii="Cambria" w:hAnsi="Cambria"/>
              </w:rPr>
            </w:pPr>
            <w:r>
              <w:rPr>
                <w:rFonts w:ascii="Cambria" w:hAnsi="Cambria"/>
              </w:rPr>
              <w:t xml:space="preserve">Average </w:t>
            </w:r>
            <w:r w:rsidR="00A47C53">
              <w:rPr>
                <w:rFonts w:ascii="Cambria" w:hAnsi="Cambria"/>
              </w:rPr>
              <w:t>old-age</w:t>
            </w:r>
            <w:r>
              <w:rPr>
                <w:rFonts w:ascii="Cambria" w:hAnsi="Cambria"/>
              </w:rPr>
              <w:t xml:space="preserve"> pension as percent</w:t>
            </w:r>
            <w:r w:rsidR="00B47162" w:rsidRPr="00876F35">
              <w:rPr>
                <w:rFonts w:ascii="Cambria" w:hAnsi="Cambria"/>
              </w:rPr>
              <w:t xml:space="preserve"> of average economy wide wage</w:t>
            </w:r>
          </w:p>
        </w:tc>
        <w:tc>
          <w:tcPr>
            <w:tcW w:w="2610" w:type="dxa"/>
          </w:tcPr>
          <w:p w14:paraId="0C713CCA" w14:textId="77777777" w:rsidR="00B47162" w:rsidRPr="00876F35" w:rsidRDefault="00B47162" w:rsidP="00155587">
            <w:pPr>
              <w:jc w:val="right"/>
              <w:rPr>
                <w:rFonts w:ascii="Cambria" w:hAnsi="Cambria"/>
              </w:rPr>
            </w:pPr>
            <w:r w:rsidRPr="00876F35">
              <w:rPr>
                <w:rFonts w:ascii="Cambria" w:hAnsi="Cambria"/>
              </w:rPr>
              <w:t>43%</w:t>
            </w:r>
          </w:p>
          <w:p w14:paraId="6F35CBF9" w14:textId="77777777" w:rsidR="00B47162" w:rsidRPr="00876F35" w:rsidRDefault="00B47162" w:rsidP="00155587">
            <w:pPr>
              <w:jc w:val="right"/>
              <w:rPr>
                <w:rFonts w:ascii="Cambria" w:hAnsi="Cambria"/>
              </w:rPr>
            </w:pPr>
            <w:r w:rsidRPr="00876F35">
              <w:rPr>
                <w:rFonts w:ascii="Cambria" w:hAnsi="Cambria"/>
              </w:rPr>
              <w:t>3</w:t>
            </w:r>
            <w:r w:rsidR="00CF6D49" w:rsidRPr="00876F35">
              <w:rPr>
                <w:rFonts w:ascii="Cambria" w:hAnsi="Cambria"/>
              </w:rPr>
              <w:t>3</w:t>
            </w:r>
            <w:r w:rsidRPr="00876F35">
              <w:rPr>
                <w:rFonts w:ascii="Cambria" w:hAnsi="Cambria"/>
              </w:rPr>
              <w:t>%</w:t>
            </w:r>
          </w:p>
        </w:tc>
      </w:tr>
      <w:tr w:rsidR="00B47162" w:rsidRPr="00876F35" w14:paraId="26065429" w14:textId="77777777" w:rsidTr="00155587">
        <w:trPr>
          <w:trHeight w:val="899"/>
        </w:trPr>
        <w:tc>
          <w:tcPr>
            <w:tcW w:w="6858" w:type="dxa"/>
          </w:tcPr>
          <w:p w14:paraId="71A7D54B" w14:textId="77777777" w:rsidR="00B47162" w:rsidRPr="00876F35" w:rsidRDefault="00B47162" w:rsidP="006D70DF">
            <w:pPr>
              <w:jc w:val="both"/>
              <w:rPr>
                <w:rFonts w:ascii="Cambria" w:hAnsi="Cambria"/>
              </w:rPr>
            </w:pPr>
            <w:r w:rsidRPr="00876F35">
              <w:rPr>
                <w:rFonts w:ascii="Cambria" w:hAnsi="Cambria"/>
              </w:rPr>
              <w:t xml:space="preserve">Contributions paid, </w:t>
            </w:r>
            <w:proofErr w:type="spellStart"/>
            <w:r w:rsidRPr="00876F35">
              <w:rPr>
                <w:rFonts w:ascii="Cambria" w:hAnsi="Cambria"/>
              </w:rPr>
              <w:t>mln</w:t>
            </w:r>
            <w:proofErr w:type="spellEnd"/>
            <w:r w:rsidRPr="00876F35">
              <w:rPr>
                <w:rFonts w:ascii="Cambria" w:hAnsi="Cambria"/>
              </w:rPr>
              <w:t xml:space="preserve"> </w:t>
            </w:r>
            <w:proofErr w:type="spellStart"/>
            <w:r w:rsidRPr="00876F35">
              <w:rPr>
                <w:rFonts w:ascii="Cambria" w:hAnsi="Cambria"/>
              </w:rPr>
              <w:t>soms</w:t>
            </w:r>
            <w:proofErr w:type="spellEnd"/>
            <w:r w:rsidRPr="00876F35">
              <w:rPr>
                <w:rFonts w:ascii="Cambria" w:hAnsi="Cambria"/>
              </w:rPr>
              <w:t xml:space="preserve"> (</w:t>
            </w:r>
            <w:r w:rsidR="00155587">
              <w:rPr>
                <w:rFonts w:ascii="Cambria" w:hAnsi="Cambria"/>
              </w:rPr>
              <w:t>percent</w:t>
            </w:r>
            <w:r w:rsidRPr="00876F35">
              <w:rPr>
                <w:rFonts w:ascii="Cambria" w:hAnsi="Cambria"/>
              </w:rPr>
              <w:t xml:space="preserve"> of GDP)</w:t>
            </w:r>
          </w:p>
          <w:p w14:paraId="4EAE971B"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PAYG component</w:t>
            </w:r>
          </w:p>
          <w:p w14:paraId="1AE7C033"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FFDC component</w:t>
            </w:r>
          </w:p>
        </w:tc>
        <w:tc>
          <w:tcPr>
            <w:tcW w:w="2610" w:type="dxa"/>
          </w:tcPr>
          <w:p w14:paraId="47C532C1" w14:textId="77777777" w:rsidR="00B47162" w:rsidRPr="00876F35" w:rsidRDefault="00B47162" w:rsidP="00155587">
            <w:pPr>
              <w:jc w:val="right"/>
              <w:rPr>
                <w:rFonts w:ascii="Cambria" w:hAnsi="Cambria"/>
              </w:rPr>
            </w:pPr>
            <w:r w:rsidRPr="00876F35">
              <w:rPr>
                <w:rFonts w:ascii="Cambria" w:hAnsi="Cambria"/>
              </w:rPr>
              <w:t>15,036 (5.5%)</w:t>
            </w:r>
          </w:p>
          <w:p w14:paraId="7338E1DD" w14:textId="77777777" w:rsidR="00B47162" w:rsidRPr="00876F35" w:rsidRDefault="00B47162" w:rsidP="00155587">
            <w:pPr>
              <w:jc w:val="right"/>
              <w:rPr>
                <w:rFonts w:ascii="Cambria" w:hAnsi="Cambria"/>
                <w:i/>
              </w:rPr>
            </w:pPr>
            <w:r w:rsidRPr="00876F35">
              <w:rPr>
                <w:rFonts w:ascii="Cambria" w:hAnsi="Cambria"/>
                <w:i/>
              </w:rPr>
              <w:t>13,886 (5.1%)</w:t>
            </w:r>
          </w:p>
          <w:p w14:paraId="683DCDA0" w14:textId="77777777" w:rsidR="00B47162" w:rsidRPr="00876F35" w:rsidRDefault="00B47162" w:rsidP="00155587">
            <w:pPr>
              <w:jc w:val="right"/>
              <w:rPr>
                <w:rFonts w:ascii="Cambria" w:hAnsi="Cambria"/>
                <w:i/>
              </w:rPr>
            </w:pPr>
            <w:r w:rsidRPr="00876F35">
              <w:rPr>
                <w:rFonts w:ascii="Cambria" w:hAnsi="Cambria"/>
                <w:i/>
              </w:rPr>
              <w:t>1,150 (0.4%)</w:t>
            </w:r>
          </w:p>
        </w:tc>
      </w:tr>
      <w:tr w:rsidR="00B47162" w:rsidRPr="00876F35" w14:paraId="1A9B4F08" w14:textId="77777777" w:rsidTr="00155587">
        <w:trPr>
          <w:trHeight w:val="881"/>
        </w:trPr>
        <w:tc>
          <w:tcPr>
            <w:tcW w:w="6858" w:type="dxa"/>
          </w:tcPr>
          <w:p w14:paraId="5BD764FC" w14:textId="77777777" w:rsidR="00B47162" w:rsidRPr="00876F35" w:rsidRDefault="00B47162" w:rsidP="006D70DF">
            <w:pPr>
              <w:jc w:val="both"/>
              <w:rPr>
                <w:rFonts w:ascii="Cambria" w:hAnsi="Cambria"/>
              </w:rPr>
            </w:pPr>
            <w:r w:rsidRPr="00876F35">
              <w:rPr>
                <w:rFonts w:ascii="Cambria" w:hAnsi="Cambria"/>
              </w:rPr>
              <w:t xml:space="preserve">Benefit payments, </w:t>
            </w:r>
            <w:proofErr w:type="spellStart"/>
            <w:r w:rsidRPr="00876F35">
              <w:rPr>
                <w:rFonts w:ascii="Cambria" w:hAnsi="Cambria"/>
              </w:rPr>
              <w:t>mln</w:t>
            </w:r>
            <w:proofErr w:type="spellEnd"/>
            <w:r w:rsidRPr="00876F35">
              <w:rPr>
                <w:rFonts w:ascii="Cambria" w:hAnsi="Cambria"/>
              </w:rPr>
              <w:t xml:space="preserve"> </w:t>
            </w:r>
            <w:proofErr w:type="spellStart"/>
            <w:r w:rsidRPr="00876F35">
              <w:rPr>
                <w:rFonts w:ascii="Cambria" w:hAnsi="Cambria"/>
              </w:rPr>
              <w:t>soms</w:t>
            </w:r>
            <w:proofErr w:type="spellEnd"/>
            <w:r w:rsidRPr="00876F35">
              <w:rPr>
                <w:rFonts w:ascii="Cambria" w:hAnsi="Cambria"/>
              </w:rPr>
              <w:t xml:space="preserve"> (</w:t>
            </w:r>
            <w:r w:rsidR="00155587">
              <w:rPr>
                <w:rFonts w:ascii="Cambria" w:hAnsi="Cambria"/>
              </w:rPr>
              <w:t>percent</w:t>
            </w:r>
            <w:r w:rsidRPr="00876F35">
              <w:rPr>
                <w:rFonts w:ascii="Cambria" w:hAnsi="Cambria"/>
              </w:rPr>
              <w:t xml:space="preserve"> of GDP)</w:t>
            </w:r>
          </w:p>
          <w:p w14:paraId="714A0B4F"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Financed by the Social Fund</w:t>
            </w:r>
          </w:p>
          <w:p w14:paraId="40A0C7E4" w14:textId="77777777" w:rsidR="00B47162" w:rsidRPr="00876F35" w:rsidRDefault="00155587" w:rsidP="006D70DF">
            <w:pPr>
              <w:jc w:val="both"/>
              <w:rPr>
                <w:rFonts w:ascii="Cambria" w:hAnsi="Cambria"/>
                <w:i/>
              </w:rPr>
            </w:pPr>
            <w:r>
              <w:rPr>
                <w:rFonts w:ascii="Cambria" w:hAnsi="Cambria"/>
                <w:i/>
              </w:rPr>
              <w:t xml:space="preserve">  </w:t>
            </w:r>
            <w:r w:rsidR="00B47162" w:rsidRPr="00876F35">
              <w:rPr>
                <w:rFonts w:ascii="Cambria" w:hAnsi="Cambria"/>
                <w:i/>
              </w:rPr>
              <w:t>Financed from the state budget</w:t>
            </w:r>
          </w:p>
        </w:tc>
        <w:tc>
          <w:tcPr>
            <w:tcW w:w="2610" w:type="dxa"/>
          </w:tcPr>
          <w:p w14:paraId="732148C5" w14:textId="77777777" w:rsidR="00B47162" w:rsidRPr="00876F35" w:rsidRDefault="00B47162" w:rsidP="00155587">
            <w:pPr>
              <w:jc w:val="right"/>
              <w:rPr>
                <w:rFonts w:ascii="Cambria" w:hAnsi="Cambria"/>
              </w:rPr>
            </w:pPr>
            <w:r w:rsidRPr="00876F35">
              <w:rPr>
                <w:rFonts w:ascii="Cambria" w:hAnsi="Cambria"/>
              </w:rPr>
              <w:t>16,395 (6.0%)</w:t>
            </w:r>
          </w:p>
          <w:p w14:paraId="5EF1B0B0" w14:textId="77777777" w:rsidR="00B47162" w:rsidRPr="00876F35" w:rsidRDefault="00B47162" w:rsidP="00155587">
            <w:pPr>
              <w:jc w:val="right"/>
              <w:rPr>
                <w:rFonts w:ascii="Cambria" w:hAnsi="Cambria"/>
                <w:i/>
              </w:rPr>
            </w:pPr>
            <w:r w:rsidRPr="00876F35">
              <w:rPr>
                <w:rFonts w:ascii="Cambria" w:hAnsi="Cambria"/>
                <w:i/>
              </w:rPr>
              <w:t>13,582 (5.0%)</w:t>
            </w:r>
          </w:p>
          <w:p w14:paraId="79144B57" w14:textId="77777777" w:rsidR="00B47162" w:rsidRPr="00876F35" w:rsidRDefault="00B47162" w:rsidP="00155587">
            <w:pPr>
              <w:jc w:val="right"/>
              <w:rPr>
                <w:rFonts w:ascii="Cambria" w:hAnsi="Cambria"/>
                <w:i/>
              </w:rPr>
            </w:pPr>
            <w:r w:rsidRPr="00876F35">
              <w:rPr>
                <w:rFonts w:ascii="Cambria" w:hAnsi="Cambria"/>
                <w:i/>
              </w:rPr>
              <w:t>2,812 (1.0%)</w:t>
            </w:r>
          </w:p>
        </w:tc>
      </w:tr>
      <w:tr w:rsidR="00B47162" w:rsidRPr="00876F35" w14:paraId="1AB4A07D" w14:textId="77777777" w:rsidTr="00155587">
        <w:trPr>
          <w:trHeight w:val="620"/>
        </w:trPr>
        <w:tc>
          <w:tcPr>
            <w:tcW w:w="6858" w:type="dxa"/>
          </w:tcPr>
          <w:p w14:paraId="53339449" w14:textId="77777777" w:rsidR="00B47162" w:rsidRPr="00876F35" w:rsidRDefault="00B47162" w:rsidP="006D70DF">
            <w:pPr>
              <w:jc w:val="both"/>
              <w:rPr>
                <w:rFonts w:ascii="Cambria" w:hAnsi="Cambria"/>
              </w:rPr>
            </w:pPr>
            <w:r w:rsidRPr="00876F35">
              <w:rPr>
                <w:rFonts w:ascii="Cambria" w:hAnsi="Cambria"/>
              </w:rPr>
              <w:t xml:space="preserve">Administrative and other expenses, </w:t>
            </w:r>
            <w:proofErr w:type="spellStart"/>
            <w:r w:rsidRPr="00876F35">
              <w:rPr>
                <w:rFonts w:ascii="Cambria" w:hAnsi="Cambria"/>
              </w:rPr>
              <w:t>mln</w:t>
            </w:r>
            <w:proofErr w:type="spellEnd"/>
            <w:r w:rsidRPr="00876F35">
              <w:rPr>
                <w:rFonts w:ascii="Cambria" w:hAnsi="Cambria"/>
              </w:rPr>
              <w:t xml:space="preserve"> </w:t>
            </w:r>
            <w:proofErr w:type="spellStart"/>
            <w:r w:rsidRPr="00876F35">
              <w:rPr>
                <w:rFonts w:ascii="Cambria" w:hAnsi="Cambria"/>
              </w:rPr>
              <w:t>soms</w:t>
            </w:r>
            <w:proofErr w:type="spellEnd"/>
            <w:r w:rsidRPr="00876F35">
              <w:rPr>
                <w:rFonts w:ascii="Cambria" w:hAnsi="Cambria"/>
              </w:rPr>
              <w:t xml:space="preserve"> </w:t>
            </w:r>
            <w:r w:rsidR="00C47261" w:rsidRPr="00876F35">
              <w:rPr>
                <w:rFonts w:ascii="Cambria" w:hAnsi="Cambria"/>
              </w:rPr>
              <w:t xml:space="preserve"> </w:t>
            </w:r>
            <w:r w:rsidRPr="00876F35">
              <w:rPr>
                <w:rFonts w:ascii="Cambria" w:hAnsi="Cambria"/>
              </w:rPr>
              <w:t>(</w:t>
            </w:r>
            <w:r w:rsidR="00155587">
              <w:rPr>
                <w:rFonts w:ascii="Cambria" w:hAnsi="Cambria"/>
              </w:rPr>
              <w:t>percent</w:t>
            </w:r>
            <w:r w:rsidRPr="00876F35">
              <w:rPr>
                <w:rFonts w:ascii="Cambria" w:hAnsi="Cambria"/>
              </w:rPr>
              <w:t xml:space="preserve"> of GDP)</w:t>
            </w:r>
          </w:p>
          <w:p w14:paraId="7CCC9F10" w14:textId="57B1CDC5" w:rsidR="00B47162" w:rsidRPr="00876F35" w:rsidRDefault="00320C6C" w:rsidP="00155587">
            <w:pPr>
              <w:jc w:val="both"/>
              <w:rPr>
                <w:rFonts w:ascii="Cambria" w:hAnsi="Cambria"/>
              </w:rPr>
            </w:pPr>
            <w:proofErr w:type="gramStart"/>
            <w:r>
              <w:rPr>
                <w:rFonts w:ascii="Cambria" w:hAnsi="Cambria"/>
              </w:rPr>
              <w:t>of</w:t>
            </w:r>
            <w:proofErr w:type="gramEnd"/>
            <w:r>
              <w:rPr>
                <w:rFonts w:ascii="Cambria" w:hAnsi="Cambria"/>
              </w:rPr>
              <w:t xml:space="preserve"> which</w:t>
            </w:r>
            <w:r w:rsidR="00B47162" w:rsidRPr="00876F35">
              <w:rPr>
                <w:rFonts w:ascii="Cambria" w:hAnsi="Cambria"/>
              </w:rPr>
              <w:t>. administrative costs (</w:t>
            </w:r>
            <w:r w:rsidR="00155587">
              <w:rPr>
                <w:rFonts w:ascii="Cambria" w:hAnsi="Cambria"/>
              </w:rPr>
              <w:t>percent</w:t>
            </w:r>
            <w:r w:rsidR="00B47162" w:rsidRPr="00876F35">
              <w:rPr>
                <w:rFonts w:ascii="Cambria" w:hAnsi="Cambria"/>
              </w:rPr>
              <w:t xml:space="preserve"> of Social Fund expenditures)</w:t>
            </w:r>
          </w:p>
        </w:tc>
        <w:tc>
          <w:tcPr>
            <w:tcW w:w="2610" w:type="dxa"/>
          </w:tcPr>
          <w:p w14:paraId="50FF3441" w14:textId="77777777" w:rsidR="00B47162" w:rsidRPr="00876F35" w:rsidRDefault="00B47162" w:rsidP="00155587">
            <w:pPr>
              <w:jc w:val="right"/>
              <w:rPr>
                <w:rFonts w:ascii="Cambria" w:hAnsi="Cambria"/>
              </w:rPr>
            </w:pPr>
            <w:r w:rsidRPr="00876F35">
              <w:rPr>
                <w:rFonts w:ascii="Cambria" w:hAnsi="Cambria"/>
              </w:rPr>
              <w:t>1,201 (0.4%)</w:t>
            </w:r>
          </w:p>
          <w:p w14:paraId="69847CCC" w14:textId="77777777" w:rsidR="00B47162" w:rsidRPr="00876F35" w:rsidRDefault="00B47162" w:rsidP="00155587">
            <w:pPr>
              <w:jc w:val="right"/>
              <w:rPr>
                <w:rFonts w:ascii="Cambria" w:hAnsi="Cambria"/>
              </w:rPr>
            </w:pPr>
            <w:r w:rsidRPr="00876F35">
              <w:rPr>
                <w:rFonts w:ascii="Cambria" w:hAnsi="Cambria"/>
              </w:rPr>
              <w:t>784 (5.3%)</w:t>
            </w:r>
          </w:p>
        </w:tc>
      </w:tr>
      <w:tr w:rsidR="00B47162" w:rsidRPr="00876F35" w14:paraId="406270BD" w14:textId="77777777" w:rsidTr="00155587">
        <w:trPr>
          <w:trHeight w:val="809"/>
        </w:trPr>
        <w:tc>
          <w:tcPr>
            <w:tcW w:w="6858" w:type="dxa"/>
            <w:tcBorders>
              <w:bottom w:val="single" w:sz="4" w:space="0" w:color="auto"/>
            </w:tcBorders>
          </w:tcPr>
          <w:p w14:paraId="1E7D90FC" w14:textId="77777777" w:rsidR="00B47162" w:rsidRPr="00876F35" w:rsidRDefault="00B47162" w:rsidP="006D70DF">
            <w:pPr>
              <w:jc w:val="both"/>
              <w:rPr>
                <w:rFonts w:ascii="Cambria" w:hAnsi="Cambria"/>
              </w:rPr>
            </w:pPr>
            <w:r w:rsidRPr="00876F35">
              <w:rPr>
                <w:rFonts w:ascii="Cambria" w:hAnsi="Cambria"/>
              </w:rPr>
              <w:t xml:space="preserve">Accumulated assets, beginning of the year, </w:t>
            </w:r>
            <w:proofErr w:type="spellStart"/>
            <w:r w:rsidRPr="00876F35">
              <w:rPr>
                <w:rFonts w:ascii="Cambria" w:hAnsi="Cambria"/>
              </w:rPr>
              <w:t>mln</w:t>
            </w:r>
            <w:proofErr w:type="spellEnd"/>
            <w:r w:rsidRPr="00876F35">
              <w:rPr>
                <w:rFonts w:ascii="Cambria" w:hAnsi="Cambria"/>
              </w:rPr>
              <w:t xml:space="preserve"> </w:t>
            </w:r>
            <w:proofErr w:type="spellStart"/>
            <w:r w:rsidRPr="00876F35">
              <w:rPr>
                <w:rFonts w:ascii="Cambria" w:hAnsi="Cambria"/>
              </w:rPr>
              <w:t>soms</w:t>
            </w:r>
            <w:proofErr w:type="spellEnd"/>
            <w:r w:rsidRPr="00876F35">
              <w:rPr>
                <w:rFonts w:ascii="Cambria" w:hAnsi="Cambria"/>
              </w:rPr>
              <w:t xml:space="preserve"> (</w:t>
            </w:r>
            <w:r w:rsidR="00155587">
              <w:rPr>
                <w:rFonts w:ascii="Cambria" w:hAnsi="Cambria"/>
              </w:rPr>
              <w:t>percent</w:t>
            </w:r>
            <w:r w:rsidRPr="00876F35">
              <w:rPr>
                <w:rFonts w:ascii="Cambria" w:hAnsi="Cambria"/>
              </w:rPr>
              <w:t xml:space="preserve"> of GDP)</w:t>
            </w:r>
          </w:p>
          <w:p w14:paraId="522FE884" w14:textId="77777777" w:rsidR="00EB3732" w:rsidRPr="00876F35" w:rsidRDefault="00155587" w:rsidP="006D70DF">
            <w:pPr>
              <w:jc w:val="both"/>
              <w:rPr>
                <w:rFonts w:ascii="Cambria" w:hAnsi="Cambria"/>
                <w:i/>
              </w:rPr>
            </w:pPr>
            <w:r>
              <w:rPr>
                <w:rFonts w:ascii="Cambria" w:hAnsi="Cambria"/>
                <w:i/>
              </w:rPr>
              <w:t xml:space="preserve">  </w:t>
            </w:r>
            <w:r w:rsidR="00EB3732" w:rsidRPr="00876F35">
              <w:rPr>
                <w:rFonts w:ascii="Cambria" w:hAnsi="Cambria"/>
                <w:i/>
              </w:rPr>
              <w:t>PAYG component</w:t>
            </w:r>
          </w:p>
          <w:p w14:paraId="12F7E90C" w14:textId="77777777" w:rsidR="00B47162" w:rsidRPr="00876F35" w:rsidRDefault="00155587" w:rsidP="006D70DF">
            <w:pPr>
              <w:jc w:val="both"/>
              <w:rPr>
                <w:rFonts w:ascii="Cambria" w:hAnsi="Cambria"/>
                <w:i/>
              </w:rPr>
            </w:pPr>
            <w:r>
              <w:rPr>
                <w:rFonts w:ascii="Cambria" w:hAnsi="Cambria"/>
                <w:i/>
              </w:rPr>
              <w:t xml:space="preserve">  </w:t>
            </w:r>
            <w:r w:rsidR="00EB3732" w:rsidRPr="00876F35">
              <w:rPr>
                <w:rFonts w:ascii="Cambria" w:hAnsi="Cambria"/>
                <w:i/>
              </w:rPr>
              <w:t>FFDC component</w:t>
            </w:r>
          </w:p>
        </w:tc>
        <w:tc>
          <w:tcPr>
            <w:tcW w:w="2610" w:type="dxa"/>
            <w:tcBorders>
              <w:bottom w:val="single" w:sz="4" w:space="0" w:color="auto"/>
            </w:tcBorders>
          </w:tcPr>
          <w:p w14:paraId="4BB423B6" w14:textId="77777777" w:rsidR="00B47162" w:rsidRPr="00876F35" w:rsidRDefault="00B47162" w:rsidP="00155587">
            <w:pPr>
              <w:jc w:val="right"/>
              <w:rPr>
                <w:rFonts w:ascii="Cambria" w:hAnsi="Cambria"/>
              </w:rPr>
            </w:pPr>
            <w:r w:rsidRPr="00876F35">
              <w:rPr>
                <w:rFonts w:ascii="Cambria" w:hAnsi="Cambria"/>
              </w:rPr>
              <w:t>2,457 (0.9%)</w:t>
            </w:r>
          </w:p>
          <w:p w14:paraId="58CAD95A" w14:textId="77777777" w:rsidR="00B47162" w:rsidRPr="00876F35" w:rsidRDefault="00B47162" w:rsidP="00155587">
            <w:pPr>
              <w:jc w:val="right"/>
              <w:rPr>
                <w:rFonts w:ascii="Cambria" w:hAnsi="Cambria"/>
                <w:i/>
              </w:rPr>
            </w:pPr>
            <w:r w:rsidRPr="00876F35">
              <w:rPr>
                <w:rFonts w:ascii="Cambria" w:hAnsi="Cambria"/>
                <w:i/>
              </w:rPr>
              <w:t>1,639 (0.6%)</w:t>
            </w:r>
          </w:p>
          <w:p w14:paraId="79014289" w14:textId="77777777" w:rsidR="00B47162" w:rsidRPr="00876F35" w:rsidRDefault="00B47162" w:rsidP="00155587">
            <w:pPr>
              <w:jc w:val="right"/>
              <w:rPr>
                <w:rFonts w:ascii="Cambria" w:hAnsi="Cambria"/>
                <w:i/>
              </w:rPr>
            </w:pPr>
            <w:r w:rsidRPr="00876F35">
              <w:rPr>
                <w:rFonts w:ascii="Cambria" w:hAnsi="Cambria"/>
                <w:i/>
              </w:rPr>
              <w:t>818 (0.3%)</w:t>
            </w:r>
          </w:p>
        </w:tc>
      </w:tr>
      <w:tr w:rsidR="00155587" w:rsidRPr="00876F35" w14:paraId="5195A8B8" w14:textId="77777777" w:rsidTr="00155587">
        <w:tc>
          <w:tcPr>
            <w:tcW w:w="9468" w:type="dxa"/>
            <w:gridSpan w:val="2"/>
            <w:tcBorders>
              <w:top w:val="single" w:sz="4" w:space="0" w:color="auto"/>
            </w:tcBorders>
          </w:tcPr>
          <w:p w14:paraId="40260D60" w14:textId="1C00CC68" w:rsidR="00155587" w:rsidRDefault="00155587" w:rsidP="00300E34">
            <w:pPr>
              <w:spacing w:before="40"/>
              <w:jc w:val="both"/>
              <w:rPr>
                <w:rFonts w:ascii="Cambria" w:hAnsi="Cambria"/>
                <w:sz w:val="18"/>
                <w:szCs w:val="18"/>
              </w:rPr>
            </w:pPr>
            <w:r w:rsidRPr="00B36818">
              <w:rPr>
                <w:rFonts w:ascii="Cambria" w:hAnsi="Cambria"/>
                <w:i/>
                <w:sz w:val="18"/>
                <w:szCs w:val="18"/>
              </w:rPr>
              <w:t>Source</w:t>
            </w:r>
            <w:r w:rsidRPr="00B36818">
              <w:rPr>
                <w:rFonts w:ascii="Cambria" w:hAnsi="Cambria"/>
                <w:sz w:val="18"/>
                <w:szCs w:val="18"/>
              </w:rPr>
              <w:t>:</w:t>
            </w:r>
            <w:r w:rsidRPr="00155587">
              <w:rPr>
                <w:rFonts w:ascii="Cambria" w:hAnsi="Cambria"/>
                <w:sz w:val="18"/>
                <w:szCs w:val="18"/>
              </w:rPr>
              <w:t xml:space="preserve"> </w:t>
            </w:r>
            <w:r w:rsidR="00657C10">
              <w:rPr>
                <w:rFonts w:ascii="Cambria" w:hAnsi="Cambria"/>
                <w:sz w:val="18"/>
                <w:szCs w:val="18"/>
              </w:rPr>
              <w:t>Social Fund</w:t>
            </w:r>
            <w:r w:rsidR="00975EB7">
              <w:rPr>
                <w:rFonts w:ascii="Cambria" w:hAnsi="Cambria"/>
                <w:sz w:val="18"/>
                <w:szCs w:val="18"/>
              </w:rPr>
              <w:t xml:space="preserve"> data</w:t>
            </w:r>
            <w:r w:rsidR="00EF1B17">
              <w:rPr>
                <w:rFonts w:ascii="Cambria" w:hAnsi="Cambria"/>
                <w:sz w:val="18"/>
                <w:szCs w:val="18"/>
              </w:rPr>
              <w:t>.</w:t>
            </w:r>
          </w:p>
          <w:p w14:paraId="57A07CC9" w14:textId="6BCA4BAC" w:rsidR="00300E34" w:rsidRPr="00300E34" w:rsidRDefault="009F3A11" w:rsidP="00300E34">
            <w:pPr>
              <w:jc w:val="both"/>
              <w:rPr>
                <w:rFonts w:ascii="Cambria" w:hAnsi="Cambria"/>
                <w:sz w:val="18"/>
                <w:szCs w:val="18"/>
              </w:rPr>
            </w:pPr>
            <w:r w:rsidRPr="0004305A">
              <w:rPr>
                <w:rFonts w:ascii="Cambria" w:hAnsi="Cambria"/>
                <w:i/>
                <w:sz w:val="18"/>
                <w:szCs w:val="18"/>
              </w:rPr>
              <w:t>Note</w:t>
            </w:r>
            <w:r w:rsidR="00300E34">
              <w:rPr>
                <w:rFonts w:ascii="Cambria" w:hAnsi="Cambria"/>
                <w:i/>
                <w:sz w:val="18"/>
                <w:szCs w:val="18"/>
              </w:rPr>
              <w:t>s</w:t>
            </w:r>
            <w:r>
              <w:rPr>
                <w:rFonts w:ascii="Cambria" w:hAnsi="Cambria"/>
                <w:sz w:val="18"/>
                <w:szCs w:val="18"/>
              </w:rPr>
              <w:t xml:space="preserve">: </w:t>
            </w:r>
            <w:r w:rsidRPr="00155587">
              <w:rPr>
                <w:rFonts w:ascii="Cambria" w:hAnsi="Cambria"/>
                <w:sz w:val="18"/>
                <w:szCs w:val="18"/>
              </w:rPr>
              <w:t>*Number of families</w:t>
            </w:r>
            <w:r>
              <w:rPr>
                <w:rFonts w:ascii="Cambria" w:hAnsi="Cambria"/>
                <w:sz w:val="18"/>
                <w:szCs w:val="18"/>
              </w:rPr>
              <w:t>.</w:t>
            </w:r>
            <w:r w:rsidR="00300E34">
              <w:rPr>
                <w:rFonts w:ascii="Cambria" w:hAnsi="Cambria"/>
                <w:sz w:val="18"/>
                <w:szCs w:val="18"/>
              </w:rPr>
              <w:t xml:space="preserve">   ** </w:t>
            </w:r>
            <w:r w:rsidR="00300E34" w:rsidRPr="00300E34">
              <w:rPr>
                <w:rFonts w:ascii="Cambria" w:hAnsi="Cambria"/>
                <w:sz w:val="18"/>
                <w:szCs w:val="18"/>
              </w:rPr>
              <w:t>The difference between the average wage of contributors and the economy wide average wage stem from different data sources and methodology. The average wage of contributors is derived directly from the administrative data of the Social Fund on about 700,000 contributors. The economy wide average wage is estimated by the National Committee for Statistics using wage bill and employment data from about 400,000 employers (mostly larger companies). The differences in the methodology include, for example, taking into account sick leave and other. In the fiscal projections presented in this chapter wages of contributors are used whereas the basic pension by law is linked to the economy wide average wage.</w:t>
            </w:r>
          </w:p>
          <w:p w14:paraId="5FA82B65" w14:textId="5E8962CF" w:rsidR="00300E34" w:rsidRPr="00155587" w:rsidRDefault="00300E34" w:rsidP="006D70DF">
            <w:pPr>
              <w:jc w:val="both"/>
              <w:rPr>
                <w:rFonts w:ascii="Cambria" w:hAnsi="Cambria"/>
                <w:sz w:val="18"/>
                <w:szCs w:val="18"/>
              </w:rPr>
            </w:pPr>
          </w:p>
        </w:tc>
      </w:tr>
    </w:tbl>
    <w:p w14:paraId="75766B50" w14:textId="77777777" w:rsidR="006F4DE2" w:rsidRPr="00C20EC5" w:rsidRDefault="006F4DE2" w:rsidP="00155587">
      <w:pPr>
        <w:pStyle w:val="Heading2"/>
      </w:pPr>
      <w:bookmarkStart w:id="7" w:name="_Toc387325518"/>
      <w:r w:rsidRPr="00C20EC5">
        <w:t>Summary of the Key Issues</w:t>
      </w:r>
      <w:r w:rsidR="00AC0D52" w:rsidRPr="00C20EC5">
        <w:t xml:space="preserve"> with the National Pension System</w:t>
      </w:r>
      <w:bookmarkEnd w:id="7"/>
    </w:p>
    <w:p w14:paraId="5AFFDF69" w14:textId="5805D43C" w:rsidR="006F4DE2" w:rsidRPr="00CA1555" w:rsidRDefault="00CA1555" w:rsidP="00CA1555">
      <w:pPr>
        <w:numPr>
          <w:ilvl w:val="0"/>
          <w:numId w:val="3"/>
        </w:numPr>
        <w:spacing w:before="240" w:after="240"/>
        <w:jc w:val="both"/>
        <w:rPr>
          <w:rFonts w:ascii="Cambria" w:hAnsi="Cambria"/>
          <w:sz w:val="22"/>
          <w:szCs w:val="22"/>
        </w:rPr>
      </w:pPr>
      <w:r w:rsidRPr="00CA1555">
        <w:rPr>
          <w:rFonts w:ascii="Cambria" w:hAnsi="Cambria"/>
          <w:b/>
          <w:sz w:val="22"/>
          <w:szCs w:val="22"/>
        </w:rPr>
        <w:t>The pension system of the Kyrgyz Republic faces a number of challenges going forward</w:t>
      </w:r>
      <w:r>
        <w:rPr>
          <w:rFonts w:ascii="Cambria" w:hAnsi="Cambria"/>
          <w:sz w:val="22"/>
          <w:szCs w:val="22"/>
        </w:rPr>
        <w:t xml:space="preserve">. </w:t>
      </w:r>
      <w:r w:rsidR="00AD3A17" w:rsidRPr="00C20EC5">
        <w:rPr>
          <w:rFonts w:ascii="Cambria" w:hAnsi="Cambria"/>
          <w:sz w:val="22"/>
          <w:szCs w:val="22"/>
        </w:rPr>
        <w:t xml:space="preserve">Overall, as a result of the 1997 systemic reform and efforts to improve pension system administration, the financial position of the Social Fund has improved significantly. However, the current system still faces some serious issues and </w:t>
      </w:r>
      <w:r w:rsidR="007A64E1">
        <w:rPr>
          <w:rFonts w:ascii="Cambria" w:hAnsi="Cambria"/>
          <w:sz w:val="22"/>
          <w:szCs w:val="22"/>
        </w:rPr>
        <w:t>require</w:t>
      </w:r>
      <w:r w:rsidR="00237213">
        <w:rPr>
          <w:rFonts w:ascii="Cambria" w:hAnsi="Cambria"/>
          <w:sz w:val="22"/>
          <w:szCs w:val="22"/>
        </w:rPr>
        <w:t>s</w:t>
      </w:r>
      <w:r w:rsidR="00AD3A17" w:rsidRPr="00C20EC5">
        <w:rPr>
          <w:rFonts w:ascii="Cambria" w:hAnsi="Cambria"/>
          <w:sz w:val="22"/>
          <w:szCs w:val="22"/>
        </w:rPr>
        <w:t xml:space="preserve"> further reforms</w:t>
      </w:r>
      <w:r>
        <w:rPr>
          <w:rFonts w:ascii="Cambria" w:hAnsi="Cambria"/>
          <w:sz w:val="22"/>
          <w:szCs w:val="22"/>
        </w:rPr>
        <w:t xml:space="preserve">. </w:t>
      </w:r>
      <w:r w:rsidR="00237213">
        <w:rPr>
          <w:rFonts w:ascii="Cambria" w:hAnsi="Cambria"/>
          <w:sz w:val="22"/>
          <w:szCs w:val="22"/>
        </w:rPr>
        <w:t xml:space="preserve"> </w:t>
      </w:r>
      <w:r w:rsidR="006F4DE2" w:rsidRPr="00CA1555">
        <w:rPr>
          <w:rFonts w:ascii="Cambria" w:hAnsi="Cambria"/>
          <w:sz w:val="22"/>
          <w:szCs w:val="22"/>
        </w:rPr>
        <w:t xml:space="preserve">Based on the analysis of the current status </w:t>
      </w:r>
      <w:r w:rsidR="001F126D" w:rsidRPr="00CA1555">
        <w:rPr>
          <w:rFonts w:ascii="Cambria" w:hAnsi="Cambria"/>
          <w:sz w:val="22"/>
          <w:szCs w:val="22"/>
        </w:rPr>
        <w:t>of the Kyrgyz nation</w:t>
      </w:r>
      <w:r w:rsidR="00E9586C" w:rsidRPr="00CA1555">
        <w:rPr>
          <w:rFonts w:ascii="Cambria" w:hAnsi="Cambria"/>
          <w:sz w:val="22"/>
          <w:szCs w:val="22"/>
        </w:rPr>
        <w:t>al</w:t>
      </w:r>
      <w:r w:rsidR="001F126D" w:rsidRPr="00CA1555">
        <w:rPr>
          <w:rFonts w:ascii="Cambria" w:hAnsi="Cambria"/>
          <w:sz w:val="22"/>
          <w:szCs w:val="22"/>
        </w:rPr>
        <w:t xml:space="preserve"> pension systems, and on</w:t>
      </w:r>
      <w:r w:rsidR="006F4DE2" w:rsidRPr="00CA1555">
        <w:rPr>
          <w:rFonts w:ascii="Cambria" w:hAnsi="Cambria"/>
          <w:sz w:val="22"/>
          <w:szCs w:val="22"/>
        </w:rPr>
        <w:t xml:space="preserve"> future trends </w:t>
      </w:r>
      <w:r w:rsidR="001F126D" w:rsidRPr="00CA1555">
        <w:rPr>
          <w:rFonts w:ascii="Cambria" w:hAnsi="Cambria"/>
          <w:sz w:val="22"/>
          <w:szCs w:val="22"/>
        </w:rPr>
        <w:t>if no changes are made</w:t>
      </w:r>
      <w:r w:rsidR="006F4DE2" w:rsidRPr="00CA1555">
        <w:rPr>
          <w:rFonts w:ascii="Cambria" w:hAnsi="Cambria"/>
          <w:sz w:val="22"/>
          <w:szCs w:val="22"/>
        </w:rPr>
        <w:t>, the most important issues can be summarized as follows:</w:t>
      </w:r>
    </w:p>
    <w:p w14:paraId="252AA905" w14:textId="5D3E19D2" w:rsidR="006F4DE2" w:rsidRPr="00C20EC5" w:rsidRDefault="006F4DE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Low coverage of working age population today will result in low coverage of the elderly</w:t>
      </w:r>
      <w:r w:rsidR="001F126D">
        <w:rPr>
          <w:rFonts w:ascii="Cambria" w:hAnsi="Cambria"/>
          <w:sz w:val="22"/>
          <w:szCs w:val="22"/>
        </w:rPr>
        <w:t xml:space="preserve"> in the future</w:t>
      </w:r>
      <w:r w:rsidRPr="00C20EC5">
        <w:rPr>
          <w:rFonts w:ascii="Cambria" w:hAnsi="Cambria"/>
          <w:sz w:val="22"/>
          <w:szCs w:val="22"/>
        </w:rPr>
        <w:t xml:space="preserve">, contributing to higher poverty rates among the elderly </w:t>
      </w:r>
      <w:r w:rsidR="001F126D">
        <w:rPr>
          <w:rFonts w:ascii="Cambria" w:hAnsi="Cambria"/>
          <w:sz w:val="22"/>
          <w:szCs w:val="22"/>
        </w:rPr>
        <w:t xml:space="preserve">along with </w:t>
      </w:r>
      <w:r w:rsidRPr="00C20EC5">
        <w:rPr>
          <w:rFonts w:ascii="Cambria" w:hAnsi="Cambria"/>
          <w:sz w:val="22"/>
          <w:szCs w:val="22"/>
        </w:rPr>
        <w:t>high cost of social pensions for the government.</w:t>
      </w:r>
    </w:p>
    <w:p w14:paraId="70A2F18A" w14:textId="59B1541E" w:rsidR="006F4DE2" w:rsidRPr="00C20EC5" w:rsidRDefault="001F126D" w:rsidP="00237213">
      <w:pPr>
        <w:numPr>
          <w:ilvl w:val="1"/>
          <w:numId w:val="3"/>
        </w:numPr>
        <w:tabs>
          <w:tab w:val="clear" w:pos="1440"/>
        </w:tabs>
        <w:spacing w:after="120"/>
        <w:ind w:left="1080"/>
        <w:jc w:val="both"/>
        <w:rPr>
          <w:rFonts w:ascii="Cambria" w:hAnsi="Cambria"/>
          <w:sz w:val="22"/>
          <w:szCs w:val="22"/>
        </w:rPr>
      </w:pPr>
      <w:r>
        <w:rPr>
          <w:rFonts w:ascii="Cambria" w:hAnsi="Cambria"/>
          <w:sz w:val="22"/>
          <w:szCs w:val="22"/>
        </w:rPr>
        <w:t>The c</w:t>
      </w:r>
      <w:r w:rsidR="006F4DE2" w:rsidRPr="00C20EC5">
        <w:rPr>
          <w:rFonts w:ascii="Cambria" w:hAnsi="Cambria"/>
          <w:sz w:val="22"/>
          <w:szCs w:val="22"/>
        </w:rPr>
        <w:t>urrent system dependency ratio</w:t>
      </w:r>
      <w:r>
        <w:rPr>
          <w:rFonts w:ascii="Cambria" w:hAnsi="Cambria"/>
          <w:sz w:val="22"/>
          <w:szCs w:val="22"/>
        </w:rPr>
        <w:t>,</w:t>
      </w:r>
      <w:r w:rsidR="006F4DE2" w:rsidRPr="00C20EC5">
        <w:rPr>
          <w:rFonts w:ascii="Cambria" w:hAnsi="Cambria"/>
          <w:sz w:val="22"/>
          <w:szCs w:val="22"/>
        </w:rPr>
        <w:t xml:space="preserve"> which is already relatively high</w:t>
      </w:r>
      <w:r>
        <w:rPr>
          <w:rFonts w:ascii="Cambria" w:hAnsi="Cambria"/>
          <w:sz w:val="22"/>
          <w:szCs w:val="22"/>
        </w:rPr>
        <w:t>,</w:t>
      </w:r>
      <w:r w:rsidR="006F4DE2" w:rsidRPr="00C20EC5">
        <w:rPr>
          <w:rFonts w:ascii="Cambria" w:hAnsi="Cambria"/>
          <w:sz w:val="22"/>
          <w:szCs w:val="22"/>
        </w:rPr>
        <w:t xml:space="preserve"> is expected to continue grow</w:t>
      </w:r>
      <w:r w:rsidR="00E9586C">
        <w:rPr>
          <w:rFonts w:ascii="Cambria" w:hAnsi="Cambria"/>
          <w:sz w:val="22"/>
          <w:szCs w:val="22"/>
        </w:rPr>
        <w:t>ing</w:t>
      </w:r>
      <w:r w:rsidR="006F4DE2" w:rsidRPr="00C20EC5">
        <w:rPr>
          <w:rFonts w:ascii="Cambria" w:hAnsi="Cambria"/>
          <w:sz w:val="22"/>
          <w:szCs w:val="22"/>
        </w:rPr>
        <w:t xml:space="preserve"> due to </w:t>
      </w:r>
      <w:r>
        <w:rPr>
          <w:rFonts w:ascii="Cambria" w:hAnsi="Cambria"/>
          <w:sz w:val="22"/>
          <w:szCs w:val="22"/>
        </w:rPr>
        <w:t xml:space="preserve">aging of the </w:t>
      </w:r>
      <w:r w:rsidR="006F4DE2" w:rsidRPr="00C20EC5">
        <w:rPr>
          <w:rFonts w:ascii="Cambria" w:hAnsi="Cambria"/>
          <w:sz w:val="22"/>
          <w:szCs w:val="22"/>
        </w:rPr>
        <w:t xml:space="preserve">population </w:t>
      </w:r>
      <w:r>
        <w:rPr>
          <w:rFonts w:ascii="Cambria" w:hAnsi="Cambria"/>
          <w:sz w:val="22"/>
          <w:szCs w:val="22"/>
        </w:rPr>
        <w:t xml:space="preserve">thereby </w:t>
      </w:r>
      <w:r w:rsidR="006F4DE2" w:rsidRPr="00C20EC5">
        <w:rPr>
          <w:rFonts w:ascii="Cambria" w:hAnsi="Cambria"/>
          <w:sz w:val="22"/>
          <w:szCs w:val="22"/>
        </w:rPr>
        <w:t>increasing the burden on pension system finances.</w:t>
      </w:r>
    </w:p>
    <w:p w14:paraId="36193B56" w14:textId="77777777" w:rsidR="006F4DE2" w:rsidRPr="00C20EC5" w:rsidRDefault="006F4DE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Significant early retirement contributes to high levels of the system dependency rate.</w:t>
      </w:r>
    </w:p>
    <w:p w14:paraId="010623FE" w14:textId="0A410E78" w:rsidR="006F4DE2" w:rsidRPr="00C20EC5" w:rsidRDefault="006F4DE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Inadequate contributions indexation mechanism generates low SP2 pensions</w:t>
      </w:r>
      <w:r w:rsidR="000934B3">
        <w:rPr>
          <w:rFonts w:ascii="Cambria" w:hAnsi="Cambria"/>
          <w:sz w:val="22"/>
          <w:szCs w:val="22"/>
        </w:rPr>
        <w:t>,</w:t>
      </w:r>
      <w:r w:rsidRPr="00C20EC5">
        <w:rPr>
          <w:rFonts w:ascii="Cambria" w:hAnsi="Cambria"/>
          <w:sz w:val="22"/>
          <w:szCs w:val="22"/>
        </w:rPr>
        <w:t xml:space="preserve"> which will reduce insurance pensions relative to wage levels once SP1 pensions fade away. </w:t>
      </w:r>
      <w:r w:rsidR="000934B3">
        <w:rPr>
          <w:rFonts w:ascii="Cambria" w:hAnsi="Cambria"/>
          <w:sz w:val="22"/>
          <w:szCs w:val="22"/>
        </w:rPr>
        <w:t>The b</w:t>
      </w:r>
      <w:r w:rsidRPr="00C20EC5">
        <w:rPr>
          <w:rFonts w:ascii="Cambria" w:hAnsi="Cambria"/>
          <w:sz w:val="22"/>
          <w:szCs w:val="22"/>
        </w:rPr>
        <w:t>asic pension fails to ensure adequate benefit levels.</w:t>
      </w:r>
    </w:p>
    <w:p w14:paraId="639F8144" w14:textId="2CE94FFD" w:rsidR="006F4DE2" w:rsidRPr="00C20EC5" w:rsidRDefault="000934B3" w:rsidP="00237213">
      <w:pPr>
        <w:numPr>
          <w:ilvl w:val="1"/>
          <w:numId w:val="3"/>
        </w:numPr>
        <w:tabs>
          <w:tab w:val="clear" w:pos="1440"/>
        </w:tabs>
        <w:spacing w:after="120"/>
        <w:ind w:left="1080"/>
        <w:jc w:val="both"/>
        <w:rPr>
          <w:rFonts w:ascii="Cambria" w:hAnsi="Cambria"/>
          <w:sz w:val="22"/>
          <w:szCs w:val="22"/>
        </w:rPr>
      </w:pPr>
      <w:r>
        <w:rPr>
          <w:rFonts w:ascii="Cambria" w:hAnsi="Cambria"/>
          <w:sz w:val="22"/>
          <w:szCs w:val="22"/>
        </w:rPr>
        <w:lastRenderedPageBreak/>
        <w:t>A h</w:t>
      </w:r>
      <w:r w:rsidR="006F4DE2" w:rsidRPr="00C20EC5">
        <w:rPr>
          <w:rFonts w:ascii="Cambria" w:hAnsi="Cambria"/>
          <w:sz w:val="22"/>
          <w:szCs w:val="22"/>
        </w:rPr>
        <w:t>igh share of basic pension in the total labor pension makes the system highly redistributive and undermines the link between contributions and benefits</w:t>
      </w:r>
      <w:r>
        <w:rPr>
          <w:rFonts w:ascii="Cambria" w:hAnsi="Cambria"/>
          <w:sz w:val="22"/>
          <w:szCs w:val="22"/>
        </w:rPr>
        <w:t>,</w:t>
      </w:r>
      <w:r w:rsidR="006F4DE2" w:rsidRPr="00C20EC5">
        <w:rPr>
          <w:rFonts w:ascii="Cambria" w:hAnsi="Cambria"/>
          <w:sz w:val="22"/>
          <w:szCs w:val="22"/>
        </w:rPr>
        <w:t xml:space="preserve"> which may discourage workers from contributing to the system.</w:t>
      </w:r>
    </w:p>
    <w:p w14:paraId="792EFE2B" w14:textId="6BFC17A3" w:rsidR="006F4DE2" w:rsidRPr="00C20EC5" w:rsidRDefault="00F61BE1" w:rsidP="00237213">
      <w:pPr>
        <w:numPr>
          <w:ilvl w:val="1"/>
          <w:numId w:val="3"/>
        </w:numPr>
        <w:tabs>
          <w:tab w:val="clear" w:pos="1440"/>
        </w:tabs>
        <w:spacing w:after="120"/>
        <w:ind w:left="1080"/>
        <w:jc w:val="both"/>
        <w:rPr>
          <w:rFonts w:ascii="Cambria" w:hAnsi="Cambria"/>
          <w:sz w:val="22"/>
          <w:szCs w:val="22"/>
        </w:rPr>
      </w:pPr>
      <w:r>
        <w:rPr>
          <w:rFonts w:ascii="Cambria" w:hAnsi="Cambria"/>
          <w:sz w:val="22"/>
          <w:szCs w:val="22"/>
        </w:rPr>
        <w:t>The h</w:t>
      </w:r>
      <w:r w:rsidR="006F4DE2" w:rsidRPr="00C20EC5">
        <w:rPr>
          <w:rFonts w:ascii="Cambria" w:hAnsi="Cambria"/>
          <w:sz w:val="22"/>
          <w:szCs w:val="22"/>
        </w:rPr>
        <w:t xml:space="preserve">igh contribution rate may also encourage evasion and underreporting of wages as well as have </w:t>
      </w:r>
      <w:r w:rsidR="00D7060A" w:rsidRPr="00C20EC5">
        <w:rPr>
          <w:rFonts w:ascii="Cambria" w:hAnsi="Cambria"/>
          <w:sz w:val="22"/>
          <w:szCs w:val="22"/>
        </w:rPr>
        <w:t xml:space="preserve">a </w:t>
      </w:r>
      <w:r w:rsidR="006F4DE2" w:rsidRPr="00C20EC5">
        <w:rPr>
          <w:rFonts w:ascii="Cambria" w:hAnsi="Cambria"/>
          <w:sz w:val="22"/>
          <w:szCs w:val="22"/>
        </w:rPr>
        <w:t xml:space="preserve">negative impact on </w:t>
      </w:r>
      <w:r w:rsidR="00A1596A" w:rsidRPr="00C20EC5">
        <w:rPr>
          <w:rFonts w:ascii="Cambria" w:hAnsi="Cambria"/>
          <w:sz w:val="22"/>
          <w:szCs w:val="22"/>
        </w:rPr>
        <w:t>the labor market</w:t>
      </w:r>
      <w:r w:rsidR="006F4DE2" w:rsidRPr="00C20EC5">
        <w:rPr>
          <w:rFonts w:ascii="Cambria" w:hAnsi="Cambria"/>
          <w:sz w:val="22"/>
          <w:szCs w:val="22"/>
        </w:rPr>
        <w:t xml:space="preserve"> and broader economy.</w:t>
      </w:r>
    </w:p>
    <w:p w14:paraId="1AD9B594" w14:textId="77777777" w:rsidR="006F4DE2" w:rsidRPr="00C20EC5" w:rsidRDefault="006F4DE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 xml:space="preserve">Basic pension financing becomes a huge burden on the government, in addition to the growing cost of social pensions. </w:t>
      </w:r>
    </w:p>
    <w:p w14:paraId="2D17AF48" w14:textId="67198757" w:rsidR="008B7C52" w:rsidRPr="00C20EC5" w:rsidRDefault="008B7C5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 xml:space="preserve">Financing the basic pension from the </w:t>
      </w:r>
      <w:r w:rsidR="0026572E" w:rsidRPr="00C20EC5">
        <w:rPr>
          <w:rFonts w:ascii="Cambria" w:hAnsi="Cambria"/>
          <w:sz w:val="22"/>
          <w:szCs w:val="22"/>
        </w:rPr>
        <w:t>state budget</w:t>
      </w:r>
      <w:r w:rsidRPr="00C20EC5">
        <w:rPr>
          <w:rFonts w:ascii="Cambria" w:hAnsi="Cambria"/>
          <w:sz w:val="22"/>
          <w:szCs w:val="22"/>
        </w:rPr>
        <w:t xml:space="preserve"> </w:t>
      </w:r>
      <w:r w:rsidR="0026572E" w:rsidRPr="00C20EC5">
        <w:rPr>
          <w:rFonts w:ascii="Cambria" w:hAnsi="Cambria"/>
          <w:sz w:val="22"/>
          <w:szCs w:val="22"/>
        </w:rPr>
        <w:t xml:space="preserve">may </w:t>
      </w:r>
      <w:r w:rsidRPr="00C20EC5">
        <w:rPr>
          <w:rFonts w:ascii="Cambria" w:hAnsi="Cambria"/>
          <w:sz w:val="22"/>
          <w:szCs w:val="22"/>
        </w:rPr>
        <w:t>also raise</w:t>
      </w:r>
      <w:r w:rsidR="0026572E" w:rsidRPr="00C20EC5">
        <w:rPr>
          <w:rFonts w:ascii="Cambria" w:hAnsi="Cambria"/>
          <w:sz w:val="22"/>
          <w:szCs w:val="22"/>
        </w:rPr>
        <w:t xml:space="preserve"> some</w:t>
      </w:r>
      <w:r w:rsidRPr="00C20EC5">
        <w:rPr>
          <w:rFonts w:ascii="Cambria" w:hAnsi="Cambria"/>
          <w:sz w:val="22"/>
          <w:szCs w:val="22"/>
        </w:rPr>
        <w:t xml:space="preserve"> equity issues. Since </w:t>
      </w:r>
      <w:r w:rsidR="000934B3">
        <w:rPr>
          <w:rFonts w:ascii="Cambria" w:hAnsi="Cambria"/>
          <w:sz w:val="22"/>
          <w:szCs w:val="22"/>
        </w:rPr>
        <w:t xml:space="preserve">the basic pension is </w:t>
      </w:r>
      <w:r w:rsidRPr="00C20EC5">
        <w:rPr>
          <w:rFonts w:ascii="Cambria" w:hAnsi="Cambria"/>
          <w:sz w:val="22"/>
          <w:szCs w:val="22"/>
        </w:rPr>
        <w:t>paid only to the covered population</w:t>
      </w:r>
      <w:r w:rsidR="000934B3">
        <w:rPr>
          <w:rFonts w:ascii="Cambria" w:hAnsi="Cambria"/>
          <w:sz w:val="22"/>
          <w:szCs w:val="22"/>
        </w:rPr>
        <w:t>,</w:t>
      </w:r>
      <w:r w:rsidRPr="00C20EC5">
        <w:rPr>
          <w:rFonts w:ascii="Cambria" w:hAnsi="Cambria"/>
          <w:sz w:val="22"/>
          <w:szCs w:val="22"/>
        </w:rPr>
        <w:t xml:space="preserve"> as coverage decreases the basic pension becomes more and more redistributive through using general revenues to pay benefits for </w:t>
      </w:r>
      <w:r w:rsidR="005B1D3C">
        <w:rPr>
          <w:rFonts w:ascii="Cambria" w:hAnsi="Cambria"/>
          <w:sz w:val="22"/>
          <w:szCs w:val="22"/>
        </w:rPr>
        <w:t xml:space="preserve">a </w:t>
      </w:r>
      <w:r w:rsidRPr="00C20EC5">
        <w:rPr>
          <w:rFonts w:ascii="Cambria" w:hAnsi="Cambria"/>
          <w:sz w:val="22"/>
          <w:szCs w:val="22"/>
        </w:rPr>
        <w:t>smaller and smaller population group.</w:t>
      </w:r>
    </w:p>
    <w:p w14:paraId="00AC1FB2" w14:textId="77777777" w:rsidR="006F4DE2" w:rsidRPr="00C20EC5" w:rsidRDefault="006F4DE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 xml:space="preserve">At the same time, in the future the </w:t>
      </w:r>
      <w:r w:rsidR="00CD5681" w:rsidRPr="00C20EC5">
        <w:rPr>
          <w:rFonts w:ascii="Cambria" w:hAnsi="Cambria"/>
          <w:sz w:val="22"/>
          <w:szCs w:val="22"/>
        </w:rPr>
        <w:t>Social Fund</w:t>
      </w:r>
      <w:r w:rsidRPr="00C20EC5">
        <w:rPr>
          <w:rFonts w:ascii="Cambria" w:hAnsi="Cambria"/>
          <w:sz w:val="22"/>
          <w:szCs w:val="22"/>
        </w:rPr>
        <w:t xml:space="preserve"> is expected to generate substantial surpluses as a result of high contribution rates and low insurance pensions.</w:t>
      </w:r>
    </w:p>
    <w:p w14:paraId="6648AE87" w14:textId="77777777" w:rsidR="006F4DE2" w:rsidRPr="00237213" w:rsidRDefault="006F4DE2" w:rsidP="00237213">
      <w:pPr>
        <w:numPr>
          <w:ilvl w:val="1"/>
          <w:numId w:val="3"/>
        </w:numPr>
        <w:tabs>
          <w:tab w:val="clear" w:pos="1440"/>
        </w:tabs>
        <w:spacing w:after="120"/>
        <w:ind w:left="1080"/>
        <w:jc w:val="both"/>
        <w:rPr>
          <w:rFonts w:ascii="Cambria" w:hAnsi="Cambria"/>
          <w:sz w:val="22"/>
          <w:szCs w:val="22"/>
        </w:rPr>
      </w:pPr>
      <w:r w:rsidRPr="00C20EC5">
        <w:rPr>
          <w:rFonts w:ascii="Cambria" w:hAnsi="Cambria"/>
          <w:sz w:val="22"/>
          <w:szCs w:val="22"/>
        </w:rPr>
        <w:t xml:space="preserve">Farmers and other self-employed pay very small contributions which, when they retire, will generate negligibly small SP2 pensions, so these groups will have to rely on the basic </w:t>
      </w:r>
      <w:r w:rsidRPr="00237213">
        <w:rPr>
          <w:rFonts w:ascii="Cambria" w:hAnsi="Cambria"/>
          <w:sz w:val="22"/>
          <w:szCs w:val="22"/>
        </w:rPr>
        <w:t>pension.</w:t>
      </w:r>
    </w:p>
    <w:p w14:paraId="64069EB9" w14:textId="713EA9E4" w:rsidR="00125E37" w:rsidRPr="0007155C" w:rsidRDefault="00125E37" w:rsidP="00B276D8">
      <w:pPr>
        <w:pStyle w:val="ListParagraph"/>
        <w:numPr>
          <w:ilvl w:val="0"/>
          <w:numId w:val="3"/>
        </w:numPr>
        <w:jc w:val="both"/>
        <w:rPr>
          <w:rFonts w:asciiTheme="majorHAnsi" w:hAnsiTheme="majorHAnsi"/>
          <w:sz w:val="22"/>
          <w:szCs w:val="22"/>
        </w:rPr>
      </w:pPr>
      <w:r w:rsidRPr="0007155C">
        <w:rPr>
          <w:rFonts w:asciiTheme="majorHAnsi" w:hAnsiTheme="majorHAnsi"/>
          <w:b/>
          <w:sz w:val="22"/>
          <w:szCs w:val="22"/>
        </w:rPr>
        <w:t>The rapidly growing government expenditures on basic pensions and falling pension levels</w:t>
      </w:r>
      <w:r w:rsidR="00B276D8" w:rsidRPr="0007155C">
        <w:rPr>
          <w:rFonts w:asciiTheme="majorHAnsi" w:hAnsiTheme="majorHAnsi"/>
          <w:b/>
          <w:sz w:val="22"/>
          <w:szCs w:val="22"/>
        </w:rPr>
        <w:t xml:space="preserve"> are the most pressing issues calling for urgent reforms</w:t>
      </w:r>
      <w:r w:rsidRPr="0007155C">
        <w:rPr>
          <w:rFonts w:asciiTheme="majorHAnsi" w:hAnsiTheme="majorHAnsi"/>
          <w:b/>
          <w:sz w:val="22"/>
          <w:szCs w:val="22"/>
        </w:rPr>
        <w:t xml:space="preserve">. </w:t>
      </w:r>
      <w:r w:rsidRPr="0007155C">
        <w:rPr>
          <w:rFonts w:asciiTheme="majorHAnsi" w:hAnsiTheme="majorHAnsi"/>
          <w:sz w:val="22"/>
          <w:szCs w:val="22"/>
        </w:rPr>
        <w:t>Though the Social Fund appears to be fiscally sustainable, its financial health is achieved at the expense of the shift of basic pension financing to the state budget as well as shrinking insurance pensions due to improper indexation of contributions. These troubling trends raise concerns about both fiscal and social sustainability of the system already in the near future. In addition, the high contribution rate and the weakening link between contributions and pensions may adversely affect the labor market and the economy at large.</w:t>
      </w:r>
    </w:p>
    <w:p w14:paraId="2AF922FC" w14:textId="77777777" w:rsidR="00B67A55" w:rsidRPr="00155587" w:rsidRDefault="00216BD1" w:rsidP="00155587">
      <w:pPr>
        <w:pStyle w:val="Heading3"/>
      </w:pPr>
      <w:bookmarkStart w:id="8" w:name="_Toc387325519"/>
      <w:r w:rsidRPr="00155587">
        <w:t>Current Status of the National Pension System</w:t>
      </w:r>
      <w:bookmarkEnd w:id="8"/>
    </w:p>
    <w:tbl>
      <w:tblPr>
        <w:tblStyle w:val="TableGrid"/>
        <w:tblpPr w:leftFromText="180" w:rightFromText="180" w:vertAnchor="text" w:horzAnchor="margin" w:tblpXSpec="right" w:tblpY="10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tblGrid>
      <w:tr w:rsidR="00F22830" w14:paraId="77C3BC94" w14:textId="77777777" w:rsidTr="00D25461">
        <w:trPr>
          <w:trHeight w:val="276"/>
        </w:trPr>
        <w:tc>
          <w:tcPr>
            <w:tcW w:w="5868" w:type="dxa"/>
          </w:tcPr>
          <w:p w14:paraId="0A831E92" w14:textId="77777777" w:rsidR="00F22830" w:rsidRDefault="00F22830" w:rsidP="00F22830">
            <w:pPr>
              <w:pStyle w:val="Caption"/>
            </w:pPr>
            <w:bookmarkStart w:id="9" w:name="_Toc378163834"/>
            <w:r>
              <w:t xml:space="preserve">Figure </w:t>
            </w:r>
            <w:r w:rsidR="00C646A3">
              <w:fldChar w:fldCharType="begin"/>
            </w:r>
            <w:r w:rsidR="00C646A3">
              <w:instrText xml:space="preserve"> SEQ Figure_ \* ARABIC </w:instrText>
            </w:r>
            <w:r w:rsidR="00C646A3">
              <w:fldChar w:fldCharType="separate"/>
            </w:r>
            <w:r w:rsidR="00C646A3">
              <w:rPr>
                <w:noProof/>
              </w:rPr>
              <w:t>1</w:t>
            </w:r>
            <w:r w:rsidR="00C646A3">
              <w:rPr>
                <w:noProof/>
              </w:rPr>
              <w:fldChar w:fldCharType="end"/>
            </w:r>
            <w:r>
              <w:t>.</w:t>
            </w:r>
            <w:r w:rsidRPr="00C20EC5">
              <w:t xml:space="preserve"> </w:t>
            </w:r>
            <w:r>
              <w:t>Central Government Budget</w:t>
            </w:r>
            <w:r w:rsidRPr="00155587">
              <w:t xml:space="preserve"> Pension Spending</w:t>
            </w:r>
            <w:bookmarkEnd w:id="9"/>
          </w:p>
          <w:p w14:paraId="6C3CE901" w14:textId="6A0F62E2" w:rsidR="00D25461" w:rsidRPr="00D25461" w:rsidRDefault="00D25461" w:rsidP="00A32033">
            <w:pPr>
              <w:spacing w:after="40"/>
              <w:jc w:val="center"/>
              <w:rPr>
                <w:rFonts w:ascii="Cambria" w:hAnsi="Cambria"/>
              </w:rPr>
            </w:pPr>
            <w:r w:rsidRPr="00AE68F2">
              <w:rPr>
                <w:rFonts w:ascii="Cambria" w:hAnsi="Cambria"/>
              </w:rPr>
              <w:t>(</w:t>
            </w:r>
            <w:r w:rsidR="00A32033">
              <w:rPr>
                <w:rFonts w:ascii="Cambria" w:hAnsi="Cambria"/>
              </w:rPr>
              <w:t>P</w:t>
            </w:r>
            <w:r w:rsidR="00AE68F2" w:rsidRPr="00AE68F2">
              <w:rPr>
                <w:rFonts w:ascii="Cambria" w:hAnsi="Cambria"/>
              </w:rPr>
              <w:t>ercent of GDP</w:t>
            </w:r>
            <w:r w:rsidRPr="00AE68F2">
              <w:rPr>
                <w:rFonts w:ascii="Cambria" w:hAnsi="Cambria"/>
              </w:rPr>
              <w:t>)</w:t>
            </w:r>
          </w:p>
        </w:tc>
      </w:tr>
      <w:tr w:rsidR="00F22830" w14:paraId="7B089488" w14:textId="77777777" w:rsidTr="00D25461">
        <w:trPr>
          <w:trHeight w:val="2917"/>
        </w:trPr>
        <w:tc>
          <w:tcPr>
            <w:tcW w:w="5868" w:type="dxa"/>
          </w:tcPr>
          <w:p w14:paraId="2B26654A" w14:textId="77777777" w:rsidR="00F22830" w:rsidRDefault="00F22830" w:rsidP="00F22830">
            <w:pPr>
              <w:jc w:val="both"/>
              <w:rPr>
                <w:rFonts w:ascii="Cambria" w:hAnsi="Cambria"/>
                <w:b/>
              </w:rPr>
            </w:pPr>
            <w:r>
              <w:rPr>
                <w:noProof/>
              </w:rPr>
              <w:drawing>
                <wp:inline distT="0" distB="0" distL="0" distR="0" wp14:anchorId="2EB4C887" wp14:editId="1C697CC3">
                  <wp:extent cx="3530600" cy="1949450"/>
                  <wp:effectExtent l="0" t="0" r="1270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F22830" w14:paraId="449F4F5F" w14:textId="77777777" w:rsidTr="00D25461">
        <w:trPr>
          <w:trHeight w:val="214"/>
        </w:trPr>
        <w:tc>
          <w:tcPr>
            <w:tcW w:w="5868" w:type="dxa"/>
          </w:tcPr>
          <w:p w14:paraId="13371EA5" w14:textId="77777777" w:rsidR="00F22830" w:rsidRDefault="00F22830" w:rsidP="00F22830">
            <w:pPr>
              <w:spacing w:before="40" w:after="120"/>
              <w:jc w:val="both"/>
              <w:rPr>
                <w:rFonts w:ascii="Cambria" w:hAnsi="Cambria"/>
                <w:b/>
              </w:rPr>
            </w:pPr>
            <w:r w:rsidRPr="001B1BC4">
              <w:rPr>
                <w:rFonts w:ascii="Cambria" w:hAnsi="Cambria"/>
                <w:i/>
                <w:sz w:val="18"/>
                <w:szCs w:val="18"/>
              </w:rPr>
              <w:t>Source</w:t>
            </w:r>
            <w:r w:rsidRPr="001B1BC4">
              <w:rPr>
                <w:rFonts w:ascii="Cambria" w:hAnsi="Cambria"/>
                <w:sz w:val="18"/>
                <w:szCs w:val="18"/>
              </w:rPr>
              <w:t>: Social Fund data.</w:t>
            </w:r>
          </w:p>
        </w:tc>
      </w:tr>
    </w:tbl>
    <w:p w14:paraId="32BFF657" w14:textId="1E0E5E44" w:rsidR="00FA1C4D" w:rsidRPr="00C20EC5" w:rsidRDefault="00D3300E" w:rsidP="00F22830">
      <w:pPr>
        <w:numPr>
          <w:ilvl w:val="0"/>
          <w:numId w:val="3"/>
        </w:numPr>
        <w:spacing w:before="120" w:after="240"/>
        <w:jc w:val="both"/>
        <w:rPr>
          <w:rFonts w:ascii="Cambria" w:hAnsi="Cambria"/>
          <w:sz w:val="22"/>
          <w:szCs w:val="22"/>
        </w:rPr>
      </w:pPr>
      <w:r w:rsidRPr="00D3300E">
        <w:rPr>
          <w:rFonts w:ascii="Cambria" w:hAnsi="Cambria"/>
          <w:b/>
          <w:sz w:val="22"/>
          <w:szCs w:val="22"/>
        </w:rPr>
        <w:t>Pensions account for more than half of all social spending in the Kyrgyz Republic.</w:t>
      </w:r>
      <w:r>
        <w:rPr>
          <w:rFonts w:ascii="Cambria" w:hAnsi="Cambria"/>
          <w:sz w:val="22"/>
          <w:szCs w:val="22"/>
        </w:rPr>
        <w:t xml:space="preserve"> </w:t>
      </w:r>
      <w:r w:rsidR="0084189C" w:rsidRPr="00C20EC5">
        <w:rPr>
          <w:rFonts w:ascii="Cambria" w:hAnsi="Cambria"/>
          <w:sz w:val="22"/>
          <w:szCs w:val="22"/>
        </w:rPr>
        <w:t>The n</w:t>
      </w:r>
      <w:r w:rsidR="006E60D7" w:rsidRPr="00C20EC5">
        <w:rPr>
          <w:rFonts w:ascii="Cambria" w:hAnsi="Cambria"/>
          <w:sz w:val="22"/>
          <w:szCs w:val="22"/>
        </w:rPr>
        <w:t xml:space="preserve">ational </w:t>
      </w:r>
      <w:r w:rsidR="008A5EC4" w:rsidRPr="00C20EC5">
        <w:rPr>
          <w:rFonts w:ascii="Cambria" w:hAnsi="Cambria"/>
          <w:sz w:val="22"/>
          <w:szCs w:val="22"/>
        </w:rPr>
        <w:t xml:space="preserve">pension system expenditures </w:t>
      </w:r>
      <w:r w:rsidR="00762604" w:rsidRPr="00C20EC5">
        <w:rPr>
          <w:rFonts w:ascii="Cambria" w:hAnsi="Cambria"/>
          <w:sz w:val="22"/>
          <w:szCs w:val="22"/>
        </w:rPr>
        <w:t xml:space="preserve">in 2011 stood at </w:t>
      </w:r>
      <w:r w:rsidR="003237AA" w:rsidRPr="00C20EC5">
        <w:rPr>
          <w:rFonts w:ascii="Cambria" w:hAnsi="Cambria"/>
          <w:sz w:val="22"/>
          <w:szCs w:val="22"/>
        </w:rPr>
        <w:t>6.4</w:t>
      </w:r>
      <w:r w:rsidR="002B409D">
        <w:rPr>
          <w:rFonts w:ascii="Cambria" w:hAnsi="Cambria"/>
          <w:sz w:val="22"/>
          <w:szCs w:val="22"/>
        </w:rPr>
        <w:t xml:space="preserve"> percent</w:t>
      </w:r>
      <w:r w:rsidR="003237AA" w:rsidRPr="00C20EC5">
        <w:rPr>
          <w:rFonts w:ascii="Cambria" w:hAnsi="Cambria"/>
          <w:sz w:val="22"/>
          <w:szCs w:val="22"/>
        </w:rPr>
        <w:t xml:space="preserve"> of GDP of which </w:t>
      </w:r>
      <w:r>
        <w:rPr>
          <w:rFonts w:ascii="Cambria" w:hAnsi="Cambria"/>
          <w:sz w:val="22"/>
          <w:szCs w:val="22"/>
        </w:rPr>
        <w:t xml:space="preserve">central </w:t>
      </w:r>
      <w:r w:rsidR="003237AA" w:rsidRPr="00C20EC5">
        <w:rPr>
          <w:rFonts w:ascii="Cambria" w:hAnsi="Cambria"/>
          <w:sz w:val="22"/>
          <w:szCs w:val="22"/>
        </w:rPr>
        <w:t xml:space="preserve">government </w:t>
      </w:r>
      <w:r w:rsidR="006E60D7" w:rsidRPr="00C20EC5">
        <w:rPr>
          <w:rFonts w:ascii="Cambria" w:hAnsi="Cambria"/>
          <w:sz w:val="22"/>
          <w:szCs w:val="22"/>
        </w:rPr>
        <w:t>covered</w:t>
      </w:r>
      <w:r w:rsidR="003237AA" w:rsidRPr="00C20EC5">
        <w:rPr>
          <w:rFonts w:ascii="Cambria" w:hAnsi="Cambria"/>
          <w:sz w:val="22"/>
          <w:szCs w:val="22"/>
        </w:rPr>
        <w:t xml:space="preserve"> </w:t>
      </w:r>
      <w:r w:rsidR="006E60D7" w:rsidRPr="00C20EC5">
        <w:rPr>
          <w:rFonts w:ascii="Cambria" w:hAnsi="Cambria"/>
          <w:sz w:val="22"/>
          <w:szCs w:val="22"/>
        </w:rPr>
        <w:t>16</w:t>
      </w:r>
      <w:r w:rsidR="002B409D">
        <w:rPr>
          <w:rFonts w:ascii="Cambria" w:hAnsi="Cambria"/>
          <w:sz w:val="22"/>
          <w:szCs w:val="22"/>
        </w:rPr>
        <w:t xml:space="preserve"> percent</w:t>
      </w:r>
      <w:r w:rsidR="006E60D7" w:rsidRPr="00C20EC5">
        <w:rPr>
          <w:rFonts w:ascii="Cambria" w:hAnsi="Cambria"/>
          <w:sz w:val="22"/>
          <w:szCs w:val="22"/>
        </w:rPr>
        <w:t xml:space="preserve"> through basic pension financing. In addition, </w:t>
      </w:r>
      <w:r w:rsidR="000934B3">
        <w:rPr>
          <w:rFonts w:ascii="Cambria" w:hAnsi="Cambria"/>
          <w:sz w:val="22"/>
          <w:szCs w:val="22"/>
        </w:rPr>
        <w:t xml:space="preserve">the </w:t>
      </w:r>
      <w:r w:rsidR="006E60D7" w:rsidRPr="00C20EC5">
        <w:rPr>
          <w:rFonts w:ascii="Cambria" w:hAnsi="Cambria"/>
          <w:sz w:val="22"/>
          <w:szCs w:val="22"/>
        </w:rPr>
        <w:t>government spent 1.</w:t>
      </w:r>
      <w:r w:rsidR="00DB182D" w:rsidRPr="00C20EC5">
        <w:rPr>
          <w:rFonts w:ascii="Cambria" w:hAnsi="Cambria"/>
          <w:sz w:val="22"/>
          <w:szCs w:val="22"/>
        </w:rPr>
        <w:t>8</w:t>
      </w:r>
      <w:r w:rsidR="002B409D">
        <w:rPr>
          <w:rFonts w:ascii="Cambria" w:hAnsi="Cambria"/>
          <w:sz w:val="22"/>
          <w:szCs w:val="22"/>
        </w:rPr>
        <w:t xml:space="preserve"> percent</w:t>
      </w:r>
      <w:r w:rsidR="006E60D7" w:rsidRPr="00C20EC5">
        <w:rPr>
          <w:rFonts w:ascii="Cambria" w:hAnsi="Cambria"/>
          <w:sz w:val="22"/>
          <w:szCs w:val="22"/>
        </w:rPr>
        <w:t xml:space="preserve"> of GDP </w:t>
      </w:r>
      <w:r w:rsidR="00D24726" w:rsidRPr="00C20EC5">
        <w:rPr>
          <w:rFonts w:ascii="Cambria" w:hAnsi="Cambria"/>
          <w:sz w:val="22"/>
          <w:szCs w:val="22"/>
        </w:rPr>
        <w:t xml:space="preserve">outside the national pension system: </w:t>
      </w:r>
      <w:r w:rsidR="006E60D7" w:rsidRPr="00C20EC5">
        <w:rPr>
          <w:rFonts w:ascii="Cambria" w:hAnsi="Cambria"/>
          <w:sz w:val="22"/>
          <w:szCs w:val="22"/>
        </w:rPr>
        <w:t xml:space="preserve">on </w:t>
      </w:r>
      <w:r w:rsidR="007E6F6C" w:rsidRPr="00C20EC5">
        <w:rPr>
          <w:rFonts w:ascii="Cambria" w:hAnsi="Cambria"/>
          <w:sz w:val="22"/>
          <w:szCs w:val="22"/>
        </w:rPr>
        <w:t xml:space="preserve">military </w:t>
      </w:r>
      <w:r w:rsidR="006E60D7" w:rsidRPr="00C20EC5">
        <w:rPr>
          <w:rFonts w:ascii="Cambria" w:hAnsi="Cambria"/>
          <w:sz w:val="22"/>
          <w:szCs w:val="22"/>
        </w:rPr>
        <w:t>pensions</w:t>
      </w:r>
      <w:r w:rsidR="007E6F6C" w:rsidRPr="00C20EC5">
        <w:rPr>
          <w:rFonts w:ascii="Cambria" w:hAnsi="Cambria"/>
          <w:sz w:val="22"/>
          <w:szCs w:val="22"/>
        </w:rPr>
        <w:t>, benefits</w:t>
      </w:r>
      <w:r w:rsidR="006E60D7" w:rsidRPr="00C20EC5">
        <w:rPr>
          <w:rFonts w:ascii="Cambria" w:hAnsi="Cambria"/>
          <w:sz w:val="22"/>
          <w:szCs w:val="22"/>
        </w:rPr>
        <w:t xml:space="preserve"> </w:t>
      </w:r>
      <w:r w:rsidR="007E6F6C" w:rsidRPr="00C20EC5">
        <w:rPr>
          <w:rFonts w:ascii="Cambria" w:hAnsi="Cambria"/>
          <w:sz w:val="22"/>
          <w:szCs w:val="22"/>
        </w:rPr>
        <w:t>for</w:t>
      </w:r>
      <w:r w:rsidR="006E60D7" w:rsidRPr="00C20EC5">
        <w:rPr>
          <w:rFonts w:ascii="Cambria" w:hAnsi="Cambria"/>
          <w:sz w:val="22"/>
          <w:szCs w:val="22"/>
        </w:rPr>
        <w:t xml:space="preserve"> privileged </w:t>
      </w:r>
      <w:r w:rsidR="007E6F6C" w:rsidRPr="00C20EC5">
        <w:rPr>
          <w:rFonts w:ascii="Cambria" w:hAnsi="Cambria"/>
          <w:sz w:val="22"/>
          <w:szCs w:val="22"/>
        </w:rPr>
        <w:t xml:space="preserve">pensioner </w:t>
      </w:r>
      <w:r w:rsidR="006E60D7" w:rsidRPr="00C20EC5">
        <w:rPr>
          <w:rFonts w:ascii="Cambria" w:hAnsi="Cambria"/>
          <w:sz w:val="22"/>
          <w:szCs w:val="22"/>
        </w:rPr>
        <w:t>groups</w:t>
      </w:r>
      <w:r w:rsidR="00DB182D" w:rsidRPr="00C20EC5">
        <w:rPr>
          <w:rFonts w:ascii="Cambria" w:hAnsi="Cambria"/>
          <w:sz w:val="22"/>
          <w:szCs w:val="22"/>
        </w:rPr>
        <w:t xml:space="preserve"> and energy compensation for pensioners</w:t>
      </w:r>
      <w:r w:rsidR="006E60D7" w:rsidRPr="00C20EC5">
        <w:rPr>
          <w:rFonts w:ascii="Cambria" w:hAnsi="Cambria"/>
          <w:sz w:val="22"/>
          <w:szCs w:val="22"/>
        </w:rPr>
        <w:t xml:space="preserve">. </w:t>
      </w:r>
      <w:r w:rsidR="0084189C" w:rsidRPr="00C20EC5">
        <w:rPr>
          <w:rFonts w:ascii="Cambria" w:hAnsi="Cambria"/>
          <w:sz w:val="22"/>
          <w:szCs w:val="22"/>
        </w:rPr>
        <w:t>Thus</w:t>
      </w:r>
      <w:r w:rsidR="006E60D7" w:rsidRPr="00C20EC5">
        <w:rPr>
          <w:rFonts w:ascii="Cambria" w:hAnsi="Cambria"/>
          <w:sz w:val="22"/>
          <w:szCs w:val="22"/>
        </w:rPr>
        <w:t xml:space="preserve">, the overall public pension expenditures amounted to </w:t>
      </w:r>
      <w:r w:rsidR="00627486" w:rsidRPr="00C20EC5">
        <w:rPr>
          <w:rFonts w:ascii="Cambria" w:hAnsi="Cambria"/>
          <w:sz w:val="22"/>
          <w:szCs w:val="22"/>
        </w:rPr>
        <w:t xml:space="preserve">about </w:t>
      </w:r>
      <w:r w:rsidR="00DB7202" w:rsidRPr="00C20EC5">
        <w:rPr>
          <w:rFonts w:ascii="Cambria" w:hAnsi="Cambria"/>
          <w:sz w:val="22"/>
          <w:szCs w:val="22"/>
        </w:rPr>
        <w:t>22.5</w:t>
      </w:r>
      <w:r w:rsidR="00627486" w:rsidRPr="00C20EC5">
        <w:rPr>
          <w:rFonts w:ascii="Cambria" w:hAnsi="Cambria"/>
          <w:sz w:val="22"/>
          <w:szCs w:val="22"/>
        </w:rPr>
        <w:t xml:space="preserve"> billion </w:t>
      </w:r>
      <w:proofErr w:type="spellStart"/>
      <w:r w:rsidR="00627486" w:rsidRPr="00C20EC5">
        <w:rPr>
          <w:rFonts w:ascii="Cambria" w:hAnsi="Cambria"/>
          <w:sz w:val="22"/>
          <w:szCs w:val="22"/>
        </w:rPr>
        <w:t>soms</w:t>
      </w:r>
      <w:proofErr w:type="spellEnd"/>
      <w:r w:rsidR="00627486" w:rsidRPr="00C20EC5">
        <w:rPr>
          <w:rFonts w:ascii="Cambria" w:hAnsi="Cambria"/>
          <w:sz w:val="22"/>
          <w:szCs w:val="22"/>
        </w:rPr>
        <w:t xml:space="preserve">, or </w:t>
      </w:r>
      <w:r w:rsidR="00DB7202" w:rsidRPr="00C20EC5">
        <w:rPr>
          <w:rFonts w:ascii="Cambria" w:hAnsi="Cambria"/>
          <w:sz w:val="22"/>
          <w:szCs w:val="22"/>
        </w:rPr>
        <w:t>8.2</w:t>
      </w:r>
      <w:r w:rsidR="002B409D">
        <w:rPr>
          <w:rFonts w:ascii="Cambria" w:hAnsi="Cambria"/>
          <w:sz w:val="22"/>
          <w:szCs w:val="22"/>
        </w:rPr>
        <w:t xml:space="preserve"> percent</w:t>
      </w:r>
      <w:r w:rsidR="006E60D7" w:rsidRPr="00C20EC5">
        <w:rPr>
          <w:rFonts w:ascii="Cambria" w:hAnsi="Cambria"/>
          <w:sz w:val="22"/>
          <w:szCs w:val="22"/>
        </w:rPr>
        <w:t xml:space="preserve"> of GDP</w:t>
      </w:r>
      <w:r w:rsidR="0084189C" w:rsidRPr="00C20EC5">
        <w:rPr>
          <w:rFonts w:ascii="Cambria" w:hAnsi="Cambria"/>
          <w:sz w:val="22"/>
          <w:szCs w:val="22"/>
        </w:rPr>
        <w:t>,</w:t>
      </w:r>
      <w:r w:rsidR="00627486" w:rsidRPr="00C20EC5">
        <w:rPr>
          <w:rFonts w:ascii="Cambria" w:hAnsi="Cambria"/>
          <w:sz w:val="22"/>
          <w:szCs w:val="22"/>
        </w:rPr>
        <w:t xml:space="preserve"> with </w:t>
      </w:r>
      <w:r>
        <w:rPr>
          <w:rFonts w:ascii="Cambria" w:hAnsi="Cambria"/>
          <w:sz w:val="22"/>
          <w:szCs w:val="22"/>
        </w:rPr>
        <w:t xml:space="preserve">the </w:t>
      </w:r>
      <w:r w:rsidR="00627486" w:rsidRPr="00C20EC5">
        <w:rPr>
          <w:rFonts w:ascii="Cambria" w:hAnsi="Cambria"/>
          <w:sz w:val="22"/>
          <w:szCs w:val="22"/>
        </w:rPr>
        <w:t>government</w:t>
      </w:r>
      <w:r>
        <w:rPr>
          <w:rFonts w:ascii="Cambria" w:hAnsi="Cambria"/>
          <w:sz w:val="22"/>
          <w:szCs w:val="22"/>
        </w:rPr>
        <w:t xml:space="preserve"> financing</w:t>
      </w:r>
      <w:r w:rsidR="0084189C" w:rsidRPr="00C20EC5">
        <w:rPr>
          <w:rFonts w:ascii="Cambria" w:hAnsi="Cambria"/>
          <w:sz w:val="22"/>
          <w:szCs w:val="22"/>
        </w:rPr>
        <w:t xml:space="preserve"> </w:t>
      </w:r>
      <w:r w:rsidR="00DB7202" w:rsidRPr="00C20EC5">
        <w:rPr>
          <w:rFonts w:ascii="Cambria" w:hAnsi="Cambria"/>
          <w:sz w:val="22"/>
          <w:szCs w:val="22"/>
        </w:rPr>
        <w:t>almost</w:t>
      </w:r>
      <w:r w:rsidR="00627486" w:rsidRPr="00C20EC5">
        <w:rPr>
          <w:rFonts w:ascii="Cambria" w:hAnsi="Cambria"/>
          <w:sz w:val="22"/>
          <w:szCs w:val="22"/>
        </w:rPr>
        <w:t xml:space="preserve"> 3</w:t>
      </w:r>
      <w:r w:rsidR="00DB7202" w:rsidRPr="00C20EC5">
        <w:rPr>
          <w:rFonts w:ascii="Cambria" w:hAnsi="Cambria"/>
          <w:sz w:val="22"/>
          <w:szCs w:val="22"/>
        </w:rPr>
        <w:t>5</w:t>
      </w:r>
      <w:r w:rsidR="002B409D">
        <w:rPr>
          <w:rFonts w:ascii="Cambria" w:hAnsi="Cambria"/>
          <w:sz w:val="22"/>
          <w:szCs w:val="22"/>
        </w:rPr>
        <w:t xml:space="preserve"> percent</w:t>
      </w:r>
      <w:r w:rsidR="001A19DC">
        <w:rPr>
          <w:rFonts w:ascii="Cambria" w:hAnsi="Cambria"/>
          <w:sz w:val="22"/>
          <w:szCs w:val="22"/>
        </w:rPr>
        <w:t xml:space="preserve"> of the expenditures</w:t>
      </w:r>
      <w:r w:rsidR="006E60D7" w:rsidRPr="00C20EC5">
        <w:rPr>
          <w:rFonts w:ascii="Cambria" w:hAnsi="Cambria"/>
          <w:sz w:val="22"/>
          <w:szCs w:val="22"/>
        </w:rPr>
        <w:t>.</w:t>
      </w:r>
      <w:r w:rsidR="00FA1C4D" w:rsidRPr="00C20EC5">
        <w:rPr>
          <w:rFonts w:ascii="Cambria" w:hAnsi="Cambria"/>
          <w:sz w:val="22"/>
          <w:szCs w:val="22"/>
        </w:rPr>
        <w:t xml:space="preserve"> </w:t>
      </w:r>
      <w:r w:rsidR="008C176C" w:rsidRPr="00C20EC5">
        <w:rPr>
          <w:rFonts w:ascii="Cambria" w:hAnsi="Cambria"/>
          <w:sz w:val="22"/>
          <w:szCs w:val="22"/>
        </w:rPr>
        <w:t>Public pension spending</w:t>
      </w:r>
      <w:r w:rsidR="006E60D7" w:rsidRPr="00C20EC5">
        <w:rPr>
          <w:rFonts w:ascii="Cambria" w:hAnsi="Cambria"/>
          <w:sz w:val="22"/>
          <w:szCs w:val="22"/>
        </w:rPr>
        <w:t xml:space="preserve"> </w:t>
      </w:r>
      <w:r w:rsidR="008C176C" w:rsidRPr="00C20EC5">
        <w:rPr>
          <w:rFonts w:ascii="Cambria" w:hAnsi="Cambria"/>
          <w:sz w:val="22"/>
          <w:szCs w:val="22"/>
        </w:rPr>
        <w:t xml:space="preserve">levels </w:t>
      </w:r>
      <w:r w:rsidR="00B10D1C" w:rsidRPr="00C20EC5">
        <w:rPr>
          <w:rFonts w:ascii="Cambria" w:hAnsi="Cambria"/>
          <w:sz w:val="22"/>
          <w:szCs w:val="22"/>
        </w:rPr>
        <w:t xml:space="preserve">have increased </w:t>
      </w:r>
      <w:r w:rsidR="008C176C" w:rsidRPr="00C20EC5">
        <w:rPr>
          <w:rFonts w:ascii="Cambria" w:hAnsi="Cambria"/>
          <w:sz w:val="22"/>
          <w:szCs w:val="22"/>
        </w:rPr>
        <w:t xml:space="preserve">over the past few years: </w:t>
      </w:r>
      <w:r w:rsidR="00B10D1C" w:rsidRPr="00C20EC5">
        <w:rPr>
          <w:rFonts w:ascii="Cambria" w:hAnsi="Cambria"/>
          <w:sz w:val="22"/>
          <w:szCs w:val="22"/>
        </w:rPr>
        <w:t>from below 5</w:t>
      </w:r>
      <w:r w:rsidR="002B409D">
        <w:rPr>
          <w:rFonts w:ascii="Cambria" w:hAnsi="Cambria"/>
          <w:sz w:val="22"/>
          <w:szCs w:val="22"/>
        </w:rPr>
        <w:t xml:space="preserve"> percent</w:t>
      </w:r>
      <w:r w:rsidR="00B10D1C" w:rsidRPr="00C20EC5">
        <w:rPr>
          <w:rFonts w:ascii="Cambria" w:hAnsi="Cambria"/>
          <w:sz w:val="22"/>
          <w:szCs w:val="22"/>
        </w:rPr>
        <w:t xml:space="preserve"> in 2007-2008 to a higher plateau of 8.6</w:t>
      </w:r>
      <w:r w:rsidR="002B409D">
        <w:rPr>
          <w:rFonts w:ascii="Cambria" w:hAnsi="Cambria"/>
          <w:sz w:val="22"/>
          <w:szCs w:val="22"/>
        </w:rPr>
        <w:t xml:space="preserve"> percent</w:t>
      </w:r>
      <w:r w:rsidR="00B10D1C" w:rsidRPr="00C20EC5">
        <w:rPr>
          <w:rFonts w:ascii="Cambria" w:hAnsi="Cambria"/>
          <w:sz w:val="22"/>
          <w:szCs w:val="22"/>
        </w:rPr>
        <w:t xml:space="preserve"> in 2010 and 8.2</w:t>
      </w:r>
      <w:r w:rsidR="002B409D">
        <w:rPr>
          <w:rFonts w:ascii="Cambria" w:hAnsi="Cambria"/>
          <w:sz w:val="22"/>
          <w:szCs w:val="22"/>
        </w:rPr>
        <w:t xml:space="preserve"> percent</w:t>
      </w:r>
      <w:r w:rsidR="00B10D1C" w:rsidRPr="00C20EC5">
        <w:rPr>
          <w:rFonts w:ascii="Cambria" w:hAnsi="Cambria"/>
          <w:sz w:val="22"/>
          <w:szCs w:val="22"/>
        </w:rPr>
        <w:t xml:space="preserve"> in 2011. </w:t>
      </w:r>
      <w:r w:rsidR="00FA1C4D" w:rsidRPr="00C20EC5">
        <w:rPr>
          <w:rFonts w:ascii="Cambria" w:hAnsi="Cambria"/>
          <w:sz w:val="22"/>
          <w:szCs w:val="22"/>
        </w:rPr>
        <w:lastRenderedPageBreak/>
        <w:t xml:space="preserve">Government’s share </w:t>
      </w:r>
      <w:r w:rsidR="00B10D1C" w:rsidRPr="00C20EC5">
        <w:rPr>
          <w:rFonts w:ascii="Cambria" w:hAnsi="Cambria"/>
          <w:sz w:val="22"/>
          <w:szCs w:val="22"/>
        </w:rPr>
        <w:t>has been</w:t>
      </w:r>
      <w:r w:rsidR="00FA1C4D" w:rsidRPr="00C20EC5">
        <w:rPr>
          <w:rFonts w:ascii="Cambria" w:hAnsi="Cambria"/>
          <w:sz w:val="22"/>
          <w:szCs w:val="22"/>
        </w:rPr>
        <w:t xml:space="preserve"> growing as well, mostly as a result of the on-going transfer of basic pension financing to the state budget</w:t>
      </w:r>
      <w:r w:rsidR="00A57221">
        <w:rPr>
          <w:rFonts w:ascii="Cambria" w:hAnsi="Cambria"/>
          <w:sz w:val="22"/>
          <w:szCs w:val="22"/>
        </w:rPr>
        <w:t>.</w:t>
      </w:r>
      <w:r w:rsidR="00FA1C4D" w:rsidRPr="00C20EC5">
        <w:rPr>
          <w:rFonts w:ascii="Cambria" w:hAnsi="Cambria"/>
          <w:sz w:val="22"/>
          <w:szCs w:val="22"/>
        </w:rPr>
        <w:t xml:space="preserve"> </w:t>
      </w:r>
      <w:r w:rsidR="00A57221">
        <w:rPr>
          <w:rFonts w:ascii="Cambria" w:hAnsi="Cambria"/>
          <w:sz w:val="22"/>
          <w:szCs w:val="22"/>
        </w:rPr>
        <w:t>P</w:t>
      </w:r>
      <w:r w:rsidR="00FA1C4D" w:rsidRPr="00C20EC5">
        <w:rPr>
          <w:rFonts w:ascii="Cambria" w:hAnsi="Cambria"/>
          <w:sz w:val="22"/>
          <w:szCs w:val="22"/>
        </w:rPr>
        <w:t>rior to 2010</w:t>
      </w:r>
      <w:r w:rsidR="00A57221">
        <w:rPr>
          <w:rFonts w:ascii="Cambria" w:hAnsi="Cambria"/>
          <w:sz w:val="22"/>
          <w:szCs w:val="22"/>
        </w:rPr>
        <w:t xml:space="preserve"> the entire cost for basic pensions was covered by contributions to the Social Fund; however</w:t>
      </w:r>
      <w:r w:rsidR="00FA1C4D" w:rsidRPr="00C20EC5">
        <w:rPr>
          <w:rFonts w:ascii="Cambria" w:hAnsi="Cambria"/>
          <w:sz w:val="22"/>
          <w:szCs w:val="22"/>
        </w:rPr>
        <w:t xml:space="preserve">, </w:t>
      </w:r>
      <w:r w:rsidR="00D12129">
        <w:rPr>
          <w:rFonts w:ascii="Cambria" w:hAnsi="Cambria"/>
          <w:sz w:val="22"/>
          <w:szCs w:val="22"/>
        </w:rPr>
        <w:t xml:space="preserve">starting from </w:t>
      </w:r>
      <w:r w:rsidR="00A57221">
        <w:rPr>
          <w:rFonts w:ascii="Cambria" w:hAnsi="Cambria"/>
          <w:sz w:val="22"/>
          <w:szCs w:val="22"/>
        </w:rPr>
        <w:t xml:space="preserve">2010 the share of central government budget in financing basic pensions has been increasing </w:t>
      </w:r>
      <w:r w:rsidR="00D12129">
        <w:rPr>
          <w:rFonts w:ascii="Cambria" w:hAnsi="Cambria"/>
          <w:sz w:val="22"/>
          <w:szCs w:val="22"/>
        </w:rPr>
        <w:t xml:space="preserve">by </w:t>
      </w:r>
      <w:r w:rsidR="00FA1C4D" w:rsidRPr="00C20EC5">
        <w:rPr>
          <w:rFonts w:ascii="Cambria" w:hAnsi="Cambria"/>
          <w:sz w:val="22"/>
          <w:szCs w:val="22"/>
        </w:rPr>
        <w:t>20</w:t>
      </w:r>
      <w:r w:rsidR="002B409D">
        <w:rPr>
          <w:rFonts w:ascii="Cambria" w:hAnsi="Cambria"/>
          <w:sz w:val="22"/>
          <w:szCs w:val="22"/>
        </w:rPr>
        <w:t xml:space="preserve"> percent</w:t>
      </w:r>
      <w:r w:rsidR="00FA1C4D" w:rsidRPr="00C20EC5">
        <w:rPr>
          <w:rFonts w:ascii="Cambria" w:hAnsi="Cambria"/>
          <w:sz w:val="22"/>
          <w:szCs w:val="22"/>
        </w:rPr>
        <w:t xml:space="preserve"> </w:t>
      </w:r>
      <w:r w:rsidR="00D12129">
        <w:rPr>
          <w:rFonts w:ascii="Cambria" w:hAnsi="Cambria"/>
          <w:sz w:val="22"/>
          <w:szCs w:val="22"/>
        </w:rPr>
        <w:t>per year</w:t>
      </w:r>
      <w:r w:rsidR="00FA1C4D" w:rsidRPr="00C20EC5">
        <w:rPr>
          <w:rFonts w:ascii="Cambria" w:hAnsi="Cambria"/>
          <w:sz w:val="22"/>
          <w:szCs w:val="22"/>
        </w:rPr>
        <w:t xml:space="preserve">,  and </w:t>
      </w:r>
      <w:r w:rsidR="00A57221">
        <w:rPr>
          <w:rFonts w:ascii="Cambria" w:hAnsi="Cambria"/>
          <w:sz w:val="22"/>
          <w:szCs w:val="22"/>
        </w:rPr>
        <w:t>it is expected</w:t>
      </w:r>
      <w:r w:rsidR="00FA1C4D" w:rsidRPr="00C20EC5">
        <w:rPr>
          <w:rFonts w:ascii="Cambria" w:hAnsi="Cambria"/>
          <w:sz w:val="22"/>
          <w:szCs w:val="22"/>
        </w:rPr>
        <w:t xml:space="preserve"> to reach 100</w:t>
      </w:r>
      <w:r w:rsidR="002B409D">
        <w:rPr>
          <w:rFonts w:ascii="Cambria" w:hAnsi="Cambria"/>
          <w:sz w:val="22"/>
          <w:szCs w:val="22"/>
        </w:rPr>
        <w:t xml:space="preserve"> percent</w:t>
      </w:r>
      <w:r w:rsidR="00FA1C4D" w:rsidRPr="00C20EC5">
        <w:rPr>
          <w:rFonts w:ascii="Cambria" w:hAnsi="Cambria"/>
          <w:sz w:val="22"/>
          <w:szCs w:val="22"/>
        </w:rPr>
        <w:t xml:space="preserve"> by 2014. Figure </w:t>
      </w:r>
      <w:r w:rsidR="008C176C" w:rsidRPr="00C20EC5">
        <w:rPr>
          <w:rFonts w:ascii="Cambria" w:hAnsi="Cambria"/>
          <w:sz w:val="22"/>
          <w:szCs w:val="22"/>
        </w:rPr>
        <w:t>1</w:t>
      </w:r>
      <w:r w:rsidR="00FA1C4D" w:rsidRPr="00C20EC5">
        <w:rPr>
          <w:rFonts w:ascii="Cambria" w:hAnsi="Cambria"/>
          <w:sz w:val="22"/>
          <w:szCs w:val="22"/>
        </w:rPr>
        <w:t xml:space="preserve"> shows recent trends in </w:t>
      </w:r>
      <w:r w:rsidR="004626E2" w:rsidRPr="00C20EC5">
        <w:rPr>
          <w:rFonts w:ascii="Cambria" w:hAnsi="Cambria"/>
          <w:sz w:val="22"/>
          <w:szCs w:val="22"/>
        </w:rPr>
        <w:t>the G</w:t>
      </w:r>
      <w:r w:rsidR="00FA1C4D" w:rsidRPr="00C20EC5">
        <w:rPr>
          <w:rFonts w:ascii="Cambria" w:hAnsi="Cambria"/>
          <w:sz w:val="22"/>
          <w:szCs w:val="22"/>
        </w:rPr>
        <w:t>overnment’s pension-related spending.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
        <w:gridCol w:w="8610"/>
      </w:tblGrid>
      <w:tr w:rsidR="003B16E9" w14:paraId="3138B95C" w14:textId="77777777" w:rsidTr="0007155C">
        <w:trPr>
          <w:gridBefore w:val="1"/>
          <w:wBefore w:w="138" w:type="dxa"/>
          <w:jc w:val="center"/>
        </w:trPr>
        <w:tc>
          <w:tcPr>
            <w:tcW w:w="8411" w:type="dxa"/>
          </w:tcPr>
          <w:p w14:paraId="7AD75083" w14:textId="77777777" w:rsidR="003B16E9" w:rsidRDefault="003B16E9" w:rsidP="00D25461">
            <w:pPr>
              <w:pStyle w:val="Caption"/>
            </w:pPr>
            <w:bookmarkStart w:id="10" w:name="_Toc378163835"/>
            <w:r>
              <w:t xml:space="preserve">Figure </w:t>
            </w:r>
            <w:r w:rsidR="00C646A3">
              <w:fldChar w:fldCharType="begin"/>
            </w:r>
            <w:r w:rsidR="00C646A3">
              <w:instrText xml:space="preserve"> SEQ Figure_ \* ARABIC </w:instrText>
            </w:r>
            <w:r w:rsidR="00C646A3">
              <w:fldChar w:fldCharType="separate"/>
            </w:r>
            <w:r w:rsidR="00C646A3">
              <w:rPr>
                <w:noProof/>
              </w:rPr>
              <w:t>2</w:t>
            </w:r>
            <w:r w:rsidR="00C646A3">
              <w:rPr>
                <w:noProof/>
              </w:rPr>
              <w:fldChar w:fldCharType="end"/>
            </w:r>
            <w:r>
              <w:t xml:space="preserve">. </w:t>
            </w:r>
            <w:r w:rsidRPr="001B1BC4">
              <w:rPr>
                <w:noProof/>
              </w:rPr>
              <w:t>Average Public Pension Expenditure by Region</w:t>
            </w:r>
            <w:bookmarkEnd w:id="10"/>
          </w:p>
        </w:tc>
      </w:tr>
      <w:tr w:rsidR="003B16E9" w14:paraId="75D7CB37" w14:textId="77777777" w:rsidTr="0007155C">
        <w:trPr>
          <w:jc w:val="center"/>
        </w:trPr>
        <w:tc>
          <w:tcPr>
            <w:tcW w:w="8549" w:type="dxa"/>
            <w:gridSpan w:val="2"/>
          </w:tcPr>
          <w:p w14:paraId="682BDD5B" w14:textId="50CC01BE" w:rsidR="003B16E9" w:rsidRPr="00D25461" w:rsidRDefault="00AE68F2" w:rsidP="00A32033">
            <w:pPr>
              <w:spacing w:after="40"/>
              <w:jc w:val="center"/>
              <w:rPr>
                <w:rFonts w:ascii="Cambria" w:hAnsi="Cambria"/>
              </w:rPr>
            </w:pPr>
            <w:r>
              <w:rPr>
                <w:rFonts w:ascii="Cambria" w:hAnsi="Cambria"/>
              </w:rPr>
              <w:t>(</w:t>
            </w:r>
            <w:r w:rsidR="00A32033">
              <w:rPr>
                <w:rFonts w:ascii="Cambria" w:hAnsi="Cambria"/>
              </w:rPr>
              <w:t>P</w:t>
            </w:r>
            <w:r>
              <w:rPr>
                <w:rFonts w:ascii="Cambria" w:hAnsi="Cambria"/>
              </w:rPr>
              <w:t>ercent of GDP)</w:t>
            </w:r>
          </w:p>
        </w:tc>
      </w:tr>
      <w:tr w:rsidR="00536577" w14:paraId="36FC9BB6" w14:textId="77777777" w:rsidTr="0007155C">
        <w:trPr>
          <w:jc w:val="center"/>
        </w:trPr>
        <w:tc>
          <w:tcPr>
            <w:tcW w:w="8549" w:type="dxa"/>
            <w:gridSpan w:val="2"/>
          </w:tcPr>
          <w:p w14:paraId="582FA5E8" w14:textId="77C9B98D" w:rsidR="00536577" w:rsidRPr="00C20EC5" w:rsidRDefault="00A60B08" w:rsidP="00536577">
            <w:pPr>
              <w:jc w:val="center"/>
              <w:rPr>
                <w:rFonts w:ascii="Cambria" w:hAnsi="Cambria"/>
                <w:noProof/>
                <w:szCs w:val="22"/>
              </w:rPr>
            </w:pPr>
            <w:r>
              <w:rPr>
                <w:noProof/>
              </w:rPr>
              <w:drawing>
                <wp:inline distT="0" distB="0" distL="0" distR="0" wp14:anchorId="10E03B9B" wp14:editId="42D32E0C">
                  <wp:extent cx="5384800" cy="2279650"/>
                  <wp:effectExtent l="0" t="0" r="254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3B16E9" w14:paraId="637B1AC5" w14:textId="77777777" w:rsidTr="0007155C">
        <w:trPr>
          <w:gridBefore w:val="1"/>
          <w:wBefore w:w="138" w:type="dxa"/>
          <w:jc w:val="center"/>
        </w:trPr>
        <w:tc>
          <w:tcPr>
            <w:tcW w:w="8411" w:type="dxa"/>
          </w:tcPr>
          <w:p w14:paraId="729BF10B" w14:textId="77777777" w:rsidR="003B16E9" w:rsidRPr="001B1BC4" w:rsidRDefault="003B16E9" w:rsidP="00F22830">
            <w:pPr>
              <w:spacing w:before="40" w:after="120"/>
              <w:jc w:val="both"/>
              <w:rPr>
                <w:rFonts w:ascii="Cambria" w:hAnsi="Cambria"/>
                <w:sz w:val="18"/>
                <w:szCs w:val="18"/>
              </w:rPr>
            </w:pPr>
            <w:r w:rsidRPr="001B1BC4">
              <w:rPr>
                <w:rFonts w:ascii="Cambria" w:hAnsi="Cambria"/>
                <w:i/>
                <w:sz w:val="18"/>
                <w:szCs w:val="18"/>
              </w:rPr>
              <w:t>Source</w:t>
            </w:r>
            <w:r w:rsidRPr="001B1BC4">
              <w:rPr>
                <w:rFonts w:ascii="Cambria" w:hAnsi="Cambria"/>
                <w:sz w:val="18"/>
                <w:szCs w:val="18"/>
              </w:rPr>
              <w:t>: World Bank Pension Database.</w:t>
            </w:r>
          </w:p>
        </w:tc>
      </w:tr>
    </w:tbl>
    <w:tbl>
      <w:tblPr>
        <w:tblStyle w:val="TableGrid"/>
        <w:tblpPr w:leftFromText="180" w:rightFromText="180" w:vertAnchor="text" w:horzAnchor="margin" w:tblpXSpec="right" w:tblpY="314"/>
        <w:tblW w:w="0" w:type="auto"/>
        <w:tblBorders>
          <w:insideH w:val="none" w:sz="0" w:space="0" w:color="auto"/>
          <w:insideV w:val="none" w:sz="0" w:space="0" w:color="auto"/>
        </w:tblBorders>
        <w:tblLayout w:type="fixed"/>
        <w:tblLook w:val="04A0" w:firstRow="1" w:lastRow="0" w:firstColumn="1" w:lastColumn="0" w:noHBand="0" w:noVBand="1"/>
      </w:tblPr>
      <w:tblGrid>
        <w:gridCol w:w="4842"/>
      </w:tblGrid>
      <w:tr w:rsidR="00F419D2" w14:paraId="51D174BF" w14:textId="77777777" w:rsidTr="00F419D2">
        <w:trPr>
          <w:trHeight w:val="259"/>
        </w:trPr>
        <w:tc>
          <w:tcPr>
            <w:tcW w:w="4842" w:type="dxa"/>
            <w:tcBorders>
              <w:top w:val="nil"/>
              <w:left w:val="nil"/>
              <w:bottom w:val="single" w:sz="4" w:space="0" w:color="auto"/>
              <w:right w:val="nil"/>
            </w:tcBorders>
          </w:tcPr>
          <w:p w14:paraId="2D2DD1AC" w14:textId="5FCEF31D" w:rsidR="00F419D2" w:rsidRPr="004F0479" w:rsidRDefault="00F419D2" w:rsidP="00AE68F2">
            <w:pPr>
              <w:pStyle w:val="Caption"/>
              <w:spacing w:after="0"/>
              <w:ind w:left="158"/>
              <w:rPr>
                <w:rFonts w:asciiTheme="majorHAnsi" w:hAnsiTheme="majorHAnsi"/>
              </w:rPr>
            </w:pPr>
            <w:bookmarkStart w:id="11" w:name="_Toc378163836"/>
            <w:r>
              <w:t xml:space="preserve">Figure </w:t>
            </w:r>
            <w:r w:rsidR="00C646A3">
              <w:fldChar w:fldCharType="begin"/>
            </w:r>
            <w:r w:rsidR="00C646A3">
              <w:instrText xml:space="preserve"> SEQ Figure_ \* ARABIC </w:instrText>
            </w:r>
            <w:r w:rsidR="00C646A3">
              <w:fldChar w:fldCharType="separate"/>
            </w:r>
            <w:r w:rsidR="00C646A3">
              <w:rPr>
                <w:noProof/>
              </w:rPr>
              <w:t>3</w:t>
            </w:r>
            <w:r w:rsidR="00C646A3">
              <w:rPr>
                <w:noProof/>
              </w:rPr>
              <w:fldChar w:fldCharType="end"/>
            </w:r>
            <w:r>
              <w:t>.</w:t>
            </w:r>
            <w:r w:rsidRPr="00C20EC5">
              <w:rPr>
                <w:b w:val="0"/>
              </w:rPr>
              <w:t xml:space="preserve"> </w:t>
            </w:r>
            <w:r w:rsidRPr="003B16E9">
              <w:rPr>
                <w:noProof/>
              </w:rPr>
              <w:t>Public Pension Spending versus Percentage of Population over 65</w:t>
            </w:r>
            <w:bookmarkEnd w:id="11"/>
          </w:p>
        </w:tc>
      </w:tr>
      <w:tr w:rsidR="00F419D2" w14:paraId="0E681DE8" w14:textId="77777777" w:rsidTr="00F419D2">
        <w:trPr>
          <w:trHeight w:val="3164"/>
        </w:trPr>
        <w:tc>
          <w:tcPr>
            <w:tcW w:w="4842" w:type="dxa"/>
            <w:tcBorders>
              <w:top w:val="single" w:sz="4" w:space="0" w:color="auto"/>
              <w:bottom w:val="single" w:sz="4" w:space="0" w:color="auto"/>
            </w:tcBorders>
          </w:tcPr>
          <w:p w14:paraId="6B78A53E" w14:textId="77777777" w:rsidR="00F419D2" w:rsidRDefault="00F419D2" w:rsidP="00F419D2">
            <w:pPr>
              <w:ind w:left="90"/>
              <w:jc w:val="both"/>
              <w:rPr>
                <w:rFonts w:ascii="Cambria" w:hAnsi="Cambria"/>
                <w:sz w:val="22"/>
                <w:szCs w:val="22"/>
              </w:rPr>
            </w:pPr>
            <w:r w:rsidRPr="00C20EC5">
              <w:rPr>
                <w:rFonts w:ascii="Cambria" w:hAnsi="Cambria"/>
                <w:noProof/>
                <w:sz w:val="22"/>
                <w:szCs w:val="22"/>
              </w:rPr>
              <w:drawing>
                <wp:inline distT="0" distB="0" distL="0" distR="0" wp14:anchorId="4CCF6F6C" wp14:editId="4CF262E4">
                  <wp:extent cx="3009900" cy="1955800"/>
                  <wp:effectExtent l="0" t="0" r="0" b="635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1541" cy="1956866"/>
                          </a:xfrm>
                          <a:prstGeom prst="rect">
                            <a:avLst/>
                          </a:prstGeom>
                          <a:noFill/>
                        </pic:spPr>
                      </pic:pic>
                    </a:graphicData>
                  </a:graphic>
                </wp:inline>
              </w:drawing>
            </w:r>
          </w:p>
        </w:tc>
      </w:tr>
      <w:tr w:rsidR="00F419D2" w14:paraId="5A14034C" w14:textId="77777777" w:rsidTr="00F419D2">
        <w:trPr>
          <w:trHeight w:val="259"/>
        </w:trPr>
        <w:tc>
          <w:tcPr>
            <w:tcW w:w="4842" w:type="dxa"/>
            <w:tcBorders>
              <w:top w:val="single" w:sz="4" w:space="0" w:color="auto"/>
              <w:left w:val="nil"/>
              <w:bottom w:val="nil"/>
              <w:right w:val="nil"/>
            </w:tcBorders>
          </w:tcPr>
          <w:p w14:paraId="4B5013CA" w14:textId="77777777" w:rsidR="00F419D2" w:rsidRPr="003B16E9" w:rsidRDefault="00F419D2" w:rsidP="00F419D2">
            <w:pPr>
              <w:spacing w:after="240"/>
              <w:jc w:val="both"/>
              <w:rPr>
                <w:rFonts w:ascii="Cambria" w:hAnsi="Cambria"/>
                <w:sz w:val="18"/>
                <w:szCs w:val="18"/>
              </w:rPr>
            </w:pPr>
            <w:r w:rsidRPr="003B16E9">
              <w:rPr>
                <w:rFonts w:ascii="Cambria" w:hAnsi="Cambria"/>
                <w:i/>
                <w:sz w:val="18"/>
                <w:szCs w:val="18"/>
              </w:rPr>
              <w:t>Source</w:t>
            </w:r>
            <w:r w:rsidRPr="003B16E9">
              <w:rPr>
                <w:rFonts w:ascii="Cambria" w:hAnsi="Cambria"/>
                <w:sz w:val="18"/>
                <w:szCs w:val="18"/>
              </w:rPr>
              <w:t>: World Bank Pension Database.</w:t>
            </w:r>
          </w:p>
        </w:tc>
      </w:tr>
    </w:tbl>
    <w:p w14:paraId="04BEE770" w14:textId="58675986" w:rsidR="001B1BC4" w:rsidRPr="00C20EC5" w:rsidRDefault="001B1BC4" w:rsidP="001B1BC4">
      <w:pPr>
        <w:numPr>
          <w:ilvl w:val="0"/>
          <w:numId w:val="3"/>
        </w:numPr>
        <w:spacing w:before="240" w:after="240"/>
        <w:jc w:val="both"/>
        <w:rPr>
          <w:rFonts w:ascii="Cambria" w:hAnsi="Cambria"/>
          <w:sz w:val="22"/>
          <w:szCs w:val="22"/>
        </w:rPr>
      </w:pPr>
      <w:r w:rsidRPr="009656CE">
        <w:rPr>
          <w:rFonts w:ascii="Cambria" w:hAnsi="Cambria"/>
          <w:b/>
          <w:sz w:val="22"/>
          <w:szCs w:val="22"/>
        </w:rPr>
        <w:t xml:space="preserve">By international standards, pension spending in </w:t>
      </w:r>
      <w:r w:rsidR="00A57221">
        <w:rPr>
          <w:rFonts w:ascii="Cambria" w:hAnsi="Cambria"/>
          <w:b/>
          <w:sz w:val="22"/>
          <w:szCs w:val="22"/>
        </w:rPr>
        <w:t xml:space="preserve">the </w:t>
      </w:r>
      <w:r w:rsidRPr="009656CE">
        <w:rPr>
          <w:rFonts w:ascii="Cambria" w:hAnsi="Cambria"/>
          <w:b/>
          <w:sz w:val="22"/>
          <w:szCs w:val="22"/>
        </w:rPr>
        <w:t>Kyrgyz</w:t>
      </w:r>
      <w:r w:rsidR="00A57221">
        <w:rPr>
          <w:rFonts w:ascii="Cambria" w:hAnsi="Cambria"/>
          <w:b/>
          <w:sz w:val="22"/>
          <w:szCs w:val="22"/>
        </w:rPr>
        <w:t xml:space="preserve"> Republic</w:t>
      </w:r>
      <w:r w:rsidRPr="009656CE">
        <w:rPr>
          <w:rFonts w:ascii="Cambria" w:hAnsi="Cambria"/>
          <w:b/>
          <w:sz w:val="22"/>
          <w:szCs w:val="22"/>
        </w:rPr>
        <w:t xml:space="preserve"> is high, particularly for a young country.</w:t>
      </w:r>
      <w:r w:rsidRPr="00C20EC5">
        <w:rPr>
          <w:rFonts w:ascii="Cambria" w:hAnsi="Cambria"/>
          <w:sz w:val="22"/>
          <w:szCs w:val="22"/>
        </w:rPr>
        <w:t xml:space="preserve"> Though in general countries with younger population tend to spend less on pensions, </w:t>
      </w:r>
      <w:r w:rsidR="00475B2F">
        <w:rPr>
          <w:rFonts w:ascii="Cambria" w:hAnsi="Cambria"/>
          <w:sz w:val="22"/>
          <w:szCs w:val="22"/>
        </w:rPr>
        <w:t xml:space="preserve">the </w:t>
      </w:r>
      <w:r w:rsidRPr="00C20EC5">
        <w:rPr>
          <w:rFonts w:ascii="Cambria" w:hAnsi="Cambria"/>
          <w:sz w:val="22"/>
          <w:szCs w:val="22"/>
        </w:rPr>
        <w:t>Kyrgyz</w:t>
      </w:r>
      <w:r w:rsidR="00475B2F">
        <w:rPr>
          <w:rFonts w:ascii="Cambria" w:hAnsi="Cambria"/>
          <w:sz w:val="22"/>
          <w:szCs w:val="22"/>
        </w:rPr>
        <w:t xml:space="preserve"> Republic</w:t>
      </w:r>
      <w:r w:rsidRPr="00C20EC5">
        <w:rPr>
          <w:rFonts w:ascii="Cambria" w:hAnsi="Cambria"/>
          <w:sz w:val="22"/>
          <w:szCs w:val="22"/>
        </w:rPr>
        <w:t xml:space="preserve"> stands out with its spending level at 8.2</w:t>
      </w:r>
      <w:r w:rsidR="002B409D">
        <w:rPr>
          <w:rFonts w:ascii="Cambria" w:hAnsi="Cambria"/>
          <w:sz w:val="22"/>
          <w:szCs w:val="22"/>
        </w:rPr>
        <w:t xml:space="preserve"> percent</w:t>
      </w:r>
      <w:r w:rsidRPr="00C20EC5">
        <w:rPr>
          <w:rFonts w:ascii="Cambria" w:hAnsi="Cambria"/>
          <w:sz w:val="22"/>
          <w:szCs w:val="22"/>
        </w:rPr>
        <w:t xml:space="preserve"> of GDP and only 4.3</w:t>
      </w:r>
      <w:r w:rsidR="002B409D">
        <w:rPr>
          <w:rFonts w:ascii="Cambria" w:hAnsi="Cambria"/>
          <w:sz w:val="22"/>
          <w:szCs w:val="22"/>
        </w:rPr>
        <w:t xml:space="preserve"> percent</w:t>
      </w:r>
      <w:r w:rsidRPr="00C20EC5">
        <w:rPr>
          <w:rFonts w:ascii="Cambria" w:hAnsi="Cambria"/>
          <w:sz w:val="22"/>
          <w:szCs w:val="22"/>
        </w:rPr>
        <w:t xml:space="preserve"> of population over 65 (Figure 3). Since pensions in</w:t>
      </w:r>
      <w:r w:rsidR="002831BD">
        <w:rPr>
          <w:rFonts w:ascii="Cambria" w:hAnsi="Cambria"/>
          <w:sz w:val="22"/>
          <w:szCs w:val="22"/>
        </w:rPr>
        <w:t xml:space="preserve"> the</w:t>
      </w:r>
      <w:r w:rsidRPr="00C20EC5">
        <w:rPr>
          <w:rFonts w:ascii="Cambria" w:hAnsi="Cambria"/>
          <w:sz w:val="22"/>
          <w:szCs w:val="22"/>
        </w:rPr>
        <w:t xml:space="preserve"> Kyrgyz</w:t>
      </w:r>
      <w:r w:rsidR="002831BD">
        <w:rPr>
          <w:rFonts w:ascii="Cambria" w:hAnsi="Cambria"/>
          <w:sz w:val="22"/>
          <w:szCs w:val="22"/>
        </w:rPr>
        <w:t xml:space="preserve"> Republic</w:t>
      </w:r>
      <w:r w:rsidRPr="00C20EC5">
        <w:rPr>
          <w:rFonts w:ascii="Cambria" w:hAnsi="Cambria"/>
          <w:sz w:val="22"/>
          <w:szCs w:val="22"/>
        </w:rPr>
        <w:t xml:space="preserve"> are not generous, the main factor driving up pension costs is high coverage of the </w:t>
      </w:r>
      <w:r w:rsidR="00A47C53">
        <w:rPr>
          <w:rFonts w:ascii="Cambria" w:hAnsi="Cambria"/>
          <w:sz w:val="22"/>
          <w:szCs w:val="22"/>
        </w:rPr>
        <w:t>old-age</w:t>
      </w:r>
      <w:r w:rsidRPr="00C20EC5">
        <w:rPr>
          <w:rFonts w:ascii="Cambria" w:hAnsi="Cambria"/>
          <w:sz w:val="22"/>
          <w:szCs w:val="22"/>
        </w:rPr>
        <w:t xml:space="preserve"> population inherited from the soviet pension system</w:t>
      </w:r>
      <w:r w:rsidR="00DB17A9">
        <w:rPr>
          <w:rFonts w:ascii="Cambria" w:hAnsi="Cambria"/>
          <w:sz w:val="22"/>
          <w:szCs w:val="22"/>
        </w:rPr>
        <w:t>,</w:t>
      </w:r>
      <w:r w:rsidRPr="00C20EC5">
        <w:rPr>
          <w:rFonts w:ascii="Cambria" w:hAnsi="Cambria"/>
          <w:sz w:val="22"/>
          <w:szCs w:val="22"/>
        </w:rPr>
        <w:t xml:space="preserve"> which covered almost 100</w:t>
      </w:r>
      <w:r w:rsidR="002B409D">
        <w:rPr>
          <w:rFonts w:ascii="Cambria" w:hAnsi="Cambria"/>
          <w:sz w:val="22"/>
          <w:szCs w:val="22"/>
        </w:rPr>
        <w:t xml:space="preserve"> percent</w:t>
      </w:r>
      <w:r w:rsidRPr="00C20EC5">
        <w:rPr>
          <w:rFonts w:ascii="Cambria" w:hAnsi="Cambria"/>
          <w:sz w:val="22"/>
          <w:szCs w:val="22"/>
        </w:rPr>
        <w:t xml:space="preserve"> of the working age population.</w:t>
      </w:r>
    </w:p>
    <w:p w14:paraId="30370A55" w14:textId="1DE68A8C" w:rsidR="000F1F57" w:rsidRDefault="00A57221" w:rsidP="00F22830">
      <w:pPr>
        <w:numPr>
          <w:ilvl w:val="0"/>
          <w:numId w:val="3"/>
        </w:numPr>
        <w:spacing w:before="120" w:after="240"/>
        <w:jc w:val="both"/>
        <w:rPr>
          <w:rFonts w:ascii="Cambria" w:hAnsi="Cambria"/>
          <w:sz w:val="22"/>
          <w:szCs w:val="22"/>
        </w:rPr>
      </w:pPr>
      <w:r>
        <w:rPr>
          <w:rFonts w:ascii="Cambria" w:hAnsi="Cambria"/>
          <w:b/>
          <w:sz w:val="22"/>
          <w:szCs w:val="22"/>
        </w:rPr>
        <w:t>A significantly higher share of the population in the Kyrgyz Republic receives pensions</w:t>
      </w:r>
      <w:r w:rsidR="00191321">
        <w:rPr>
          <w:rFonts w:ascii="Cambria" w:hAnsi="Cambria"/>
          <w:b/>
          <w:sz w:val="22"/>
          <w:szCs w:val="22"/>
        </w:rPr>
        <w:t xml:space="preserve"> compared to countr</w:t>
      </w:r>
      <w:r w:rsidR="002339EA">
        <w:rPr>
          <w:rFonts w:ascii="Cambria" w:hAnsi="Cambria"/>
          <w:b/>
          <w:sz w:val="22"/>
          <w:szCs w:val="22"/>
        </w:rPr>
        <w:t>ie</w:t>
      </w:r>
      <w:r w:rsidR="00191321">
        <w:rPr>
          <w:rFonts w:ascii="Cambria" w:hAnsi="Cambria"/>
          <w:b/>
          <w:sz w:val="22"/>
          <w:szCs w:val="22"/>
        </w:rPr>
        <w:t>s with similar demographics</w:t>
      </w:r>
      <w:r>
        <w:rPr>
          <w:rFonts w:ascii="Cambria" w:hAnsi="Cambria"/>
          <w:sz w:val="22"/>
          <w:szCs w:val="22"/>
        </w:rPr>
        <w:t xml:space="preserve">. </w:t>
      </w:r>
      <w:r w:rsidR="000F1F57" w:rsidRPr="00C20EC5">
        <w:rPr>
          <w:rFonts w:ascii="Cambria" w:hAnsi="Cambria"/>
          <w:sz w:val="22"/>
          <w:szCs w:val="22"/>
        </w:rPr>
        <w:t>The total number of pensioners is 466 thousand, of which 71</w:t>
      </w:r>
      <w:r w:rsidR="002B409D">
        <w:rPr>
          <w:rFonts w:ascii="Cambria" w:hAnsi="Cambria"/>
          <w:sz w:val="22"/>
          <w:szCs w:val="22"/>
        </w:rPr>
        <w:t xml:space="preserve"> percent</w:t>
      </w:r>
      <w:r w:rsidR="000F1F57" w:rsidRPr="00C20EC5">
        <w:rPr>
          <w:rFonts w:ascii="Cambria" w:hAnsi="Cambria"/>
          <w:sz w:val="22"/>
          <w:szCs w:val="22"/>
        </w:rPr>
        <w:t xml:space="preserve"> receive </w:t>
      </w:r>
      <w:r w:rsidR="00A47C53">
        <w:rPr>
          <w:rFonts w:ascii="Cambria" w:hAnsi="Cambria"/>
          <w:sz w:val="22"/>
          <w:szCs w:val="22"/>
        </w:rPr>
        <w:t>old-age</w:t>
      </w:r>
      <w:r w:rsidR="000F1F57" w:rsidRPr="00C20EC5">
        <w:rPr>
          <w:rFonts w:ascii="Cambria" w:hAnsi="Cambria"/>
          <w:sz w:val="22"/>
          <w:szCs w:val="22"/>
        </w:rPr>
        <w:t>, 19</w:t>
      </w:r>
      <w:r w:rsidR="002B409D">
        <w:rPr>
          <w:rFonts w:ascii="Cambria" w:hAnsi="Cambria"/>
          <w:sz w:val="22"/>
          <w:szCs w:val="22"/>
        </w:rPr>
        <w:t xml:space="preserve"> percent</w:t>
      </w:r>
      <w:r w:rsidR="000F1F57" w:rsidRPr="00C20EC5">
        <w:rPr>
          <w:rFonts w:ascii="Cambria" w:hAnsi="Cambria"/>
          <w:sz w:val="22"/>
          <w:szCs w:val="22"/>
        </w:rPr>
        <w:t xml:space="preserve"> </w:t>
      </w:r>
      <w:r w:rsidR="00DB17A9">
        <w:rPr>
          <w:rFonts w:ascii="Cambria" w:hAnsi="Cambria"/>
          <w:sz w:val="22"/>
          <w:szCs w:val="22"/>
        </w:rPr>
        <w:t>receive</w:t>
      </w:r>
      <w:r w:rsidR="00DB17A9" w:rsidRPr="00C20EC5">
        <w:rPr>
          <w:rFonts w:ascii="Cambria" w:hAnsi="Cambria"/>
          <w:sz w:val="22"/>
          <w:szCs w:val="22"/>
        </w:rPr>
        <w:t xml:space="preserve"> </w:t>
      </w:r>
      <w:r w:rsidR="000F1F57" w:rsidRPr="00C20EC5">
        <w:rPr>
          <w:rFonts w:ascii="Cambria" w:hAnsi="Cambria"/>
          <w:sz w:val="22"/>
          <w:szCs w:val="22"/>
        </w:rPr>
        <w:t>disability and 10</w:t>
      </w:r>
      <w:r w:rsidR="002B409D">
        <w:rPr>
          <w:rFonts w:ascii="Cambria" w:hAnsi="Cambria"/>
          <w:sz w:val="22"/>
          <w:szCs w:val="22"/>
        </w:rPr>
        <w:t xml:space="preserve"> percent</w:t>
      </w:r>
      <w:r w:rsidR="000F1F57" w:rsidRPr="00C20EC5">
        <w:rPr>
          <w:rFonts w:ascii="Cambria" w:hAnsi="Cambria"/>
          <w:sz w:val="22"/>
          <w:szCs w:val="22"/>
        </w:rPr>
        <w:t xml:space="preserve"> </w:t>
      </w:r>
      <w:r w:rsidR="00DB17A9">
        <w:rPr>
          <w:rFonts w:ascii="Cambria" w:hAnsi="Cambria"/>
          <w:sz w:val="22"/>
          <w:szCs w:val="22"/>
        </w:rPr>
        <w:t>receive</w:t>
      </w:r>
      <w:r w:rsidR="00DB17A9" w:rsidRPr="00C20EC5">
        <w:rPr>
          <w:rFonts w:ascii="Cambria" w:hAnsi="Cambria"/>
          <w:sz w:val="22"/>
          <w:szCs w:val="22"/>
        </w:rPr>
        <w:t xml:space="preserve"> </w:t>
      </w:r>
      <w:r w:rsidR="000F1F57" w:rsidRPr="00C20EC5">
        <w:rPr>
          <w:rFonts w:ascii="Cambria" w:hAnsi="Cambria"/>
          <w:sz w:val="22"/>
          <w:szCs w:val="22"/>
        </w:rPr>
        <w:t xml:space="preserve">survivorship pensions. The ratio of the total number of </w:t>
      </w:r>
      <w:r w:rsidR="00A47C53">
        <w:rPr>
          <w:rFonts w:ascii="Cambria" w:hAnsi="Cambria"/>
          <w:sz w:val="22"/>
          <w:szCs w:val="22"/>
        </w:rPr>
        <w:t>old-age</w:t>
      </w:r>
      <w:r w:rsidR="000F1F57" w:rsidRPr="00C20EC5">
        <w:rPr>
          <w:rFonts w:ascii="Cambria" w:hAnsi="Cambria"/>
          <w:sz w:val="22"/>
          <w:szCs w:val="22"/>
        </w:rPr>
        <w:t xml:space="preserve"> pensioners to the population over 65 in </w:t>
      </w:r>
      <w:r w:rsidR="0072556E">
        <w:rPr>
          <w:rFonts w:ascii="Cambria" w:hAnsi="Cambria"/>
          <w:sz w:val="22"/>
          <w:szCs w:val="22"/>
        </w:rPr>
        <w:t xml:space="preserve">the </w:t>
      </w:r>
      <w:r w:rsidR="0072556E" w:rsidRPr="00C20EC5">
        <w:rPr>
          <w:rFonts w:ascii="Cambria" w:hAnsi="Cambria"/>
          <w:sz w:val="22"/>
          <w:szCs w:val="22"/>
        </w:rPr>
        <w:t>Kyrgyz</w:t>
      </w:r>
      <w:r w:rsidR="0072556E">
        <w:rPr>
          <w:rFonts w:ascii="Cambria" w:hAnsi="Cambria"/>
          <w:sz w:val="22"/>
          <w:szCs w:val="22"/>
        </w:rPr>
        <w:t xml:space="preserve"> Republic</w:t>
      </w:r>
      <w:r w:rsidR="0072556E" w:rsidRPr="00C20EC5">
        <w:rPr>
          <w:rFonts w:ascii="Cambria" w:hAnsi="Cambria"/>
          <w:sz w:val="22"/>
          <w:szCs w:val="22"/>
        </w:rPr>
        <w:t xml:space="preserve"> </w:t>
      </w:r>
      <w:r w:rsidR="000F1F57" w:rsidRPr="00C20EC5">
        <w:rPr>
          <w:rFonts w:ascii="Cambria" w:hAnsi="Cambria"/>
          <w:sz w:val="22"/>
          <w:szCs w:val="22"/>
        </w:rPr>
        <w:t>is 142</w:t>
      </w:r>
      <w:r w:rsidR="002B409D">
        <w:rPr>
          <w:rFonts w:ascii="Cambria" w:hAnsi="Cambria"/>
          <w:sz w:val="22"/>
          <w:szCs w:val="22"/>
        </w:rPr>
        <w:t xml:space="preserve"> percent</w:t>
      </w:r>
      <w:r w:rsidR="000F1F57" w:rsidRPr="00C20EC5">
        <w:rPr>
          <w:rFonts w:ascii="Cambria" w:hAnsi="Cambria"/>
          <w:sz w:val="22"/>
          <w:szCs w:val="22"/>
        </w:rPr>
        <w:t xml:space="preserve"> – much higher compared with the averages for regions dominated by countries with young population like Asia, Latin America, Middle East, Africa (Figure 4). In </w:t>
      </w:r>
      <w:r w:rsidR="00321739">
        <w:rPr>
          <w:rFonts w:ascii="Cambria" w:hAnsi="Cambria"/>
          <w:sz w:val="22"/>
          <w:szCs w:val="22"/>
        </w:rPr>
        <w:t xml:space="preserve">the </w:t>
      </w:r>
      <w:r w:rsidR="000F1F57" w:rsidRPr="00C20EC5">
        <w:rPr>
          <w:rFonts w:ascii="Cambria" w:hAnsi="Cambria"/>
          <w:sz w:val="22"/>
          <w:szCs w:val="22"/>
        </w:rPr>
        <w:t>Kyrgyz</w:t>
      </w:r>
      <w:r w:rsidR="00321739">
        <w:rPr>
          <w:rFonts w:ascii="Cambria" w:hAnsi="Cambria"/>
          <w:sz w:val="22"/>
          <w:szCs w:val="22"/>
        </w:rPr>
        <w:t xml:space="preserve"> Republic</w:t>
      </w:r>
      <w:r w:rsidR="000F1F57" w:rsidRPr="00C20EC5">
        <w:rPr>
          <w:rFonts w:ascii="Cambria" w:hAnsi="Cambria"/>
          <w:sz w:val="22"/>
          <w:szCs w:val="22"/>
        </w:rPr>
        <w:t>, this indicator is well above 100</w:t>
      </w:r>
      <w:r w:rsidR="002B409D">
        <w:rPr>
          <w:rFonts w:ascii="Cambria" w:hAnsi="Cambria"/>
          <w:sz w:val="22"/>
          <w:szCs w:val="22"/>
        </w:rPr>
        <w:t xml:space="preserve"> percent</w:t>
      </w:r>
      <w:r w:rsidR="000F1F57" w:rsidRPr="00C20EC5">
        <w:rPr>
          <w:rFonts w:ascii="Cambria" w:hAnsi="Cambria"/>
          <w:sz w:val="22"/>
          <w:szCs w:val="22"/>
        </w:rPr>
        <w:t xml:space="preserve"> because, in addition to almost full coverage of the population over 65 (91</w:t>
      </w:r>
      <w:r w:rsidR="002B409D">
        <w:rPr>
          <w:rFonts w:ascii="Cambria" w:hAnsi="Cambria"/>
          <w:sz w:val="22"/>
          <w:szCs w:val="22"/>
        </w:rPr>
        <w:t xml:space="preserve"> percent</w:t>
      </w:r>
      <w:r w:rsidR="000F1F57" w:rsidRPr="00C20EC5">
        <w:rPr>
          <w:rFonts w:ascii="Cambria" w:hAnsi="Cambria"/>
          <w:sz w:val="22"/>
          <w:szCs w:val="22"/>
        </w:rPr>
        <w:t xml:space="preserve">), there </w:t>
      </w:r>
      <w:r w:rsidR="00DB17A9">
        <w:rPr>
          <w:rFonts w:ascii="Cambria" w:hAnsi="Cambria"/>
          <w:sz w:val="22"/>
          <w:szCs w:val="22"/>
        </w:rPr>
        <w:t>are</w:t>
      </w:r>
      <w:r w:rsidR="00DB17A9" w:rsidRPr="00C20EC5">
        <w:rPr>
          <w:rFonts w:ascii="Cambria" w:hAnsi="Cambria"/>
          <w:sz w:val="22"/>
          <w:szCs w:val="22"/>
        </w:rPr>
        <w:t xml:space="preserve"> </w:t>
      </w:r>
      <w:r w:rsidR="000F1F57" w:rsidRPr="00C20EC5">
        <w:rPr>
          <w:rFonts w:ascii="Cambria" w:hAnsi="Cambria"/>
          <w:sz w:val="22"/>
          <w:szCs w:val="22"/>
        </w:rPr>
        <w:t xml:space="preserve">a large number of </w:t>
      </w:r>
      <w:r w:rsidR="00A47C53">
        <w:rPr>
          <w:rFonts w:ascii="Cambria" w:hAnsi="Cambria"/>
          <w:sz w:val="22"/>
          <w:szCs w:val="22"/>
        </w:rPr>
        <w:t>old-age</w:t>
      </w:r>
      <w:r w:rsidR="000F1F57" w:rsidRPr="00C20EC5">
        <w:rPr>
          <w:rFonts w:ascii="Cambria" w:hAnsi="Cambria"/>
          <w:sz w:val="22"/>
          <w:szCs w:val="22"/>
        </w:rPr>
        <w:t xml:space="preserve"> </w:t>
      </w:r>
      <w:r w:rsidR="000F1F57" w:rsidRPr="00C20EC5">
        <w:rPr>
          <w:rFonts w:ascii="Cambria" w:hAnsi="Cambria"/>
          <w:sz w:val="22"/>
          <w:szCs w:val="22"/>
        </w:rPr>
        <w:lastRenderedPageBreak/>
        <w:t>pensioners under age 65. The latter results from lower than 65 retirement age and abundant provisions for early retirement. The statutory retirement age is 63/58 for men/women</w:t>
      </w:r>
      <w:r w:rsidR="00DB17A9">
        <w:rPr>
          <w:rFonts w:ascii="Cambria" w:hAnsi="Cambria"/>
          <w:sz w:val="22"/>
          <w:szCs w:val="22"/>
        </w:rPr>
        <w:t>,</w:t>
      </w:r>
      <w:r w:rsidR="000F1F57" w:rsidRPr="00C20EC5">
        <w:rPr>
          <w:rStyle w:val="FootnoteReference"/>
          <w:rFonts w:ascii="Cambria" w:hAnsi="Cambria"/>
          <w:sz w:val="22"/>
          <w:szCs w:val="22"/>
        </w:rPr>
        <w:footnoteReference w:id="4"/>
      </w:r>
      <w:r w:rsidR="000F1F57" w:rsidRPr="00C20EC5">
        <w:rPr>
          <w:rFonts w:ascii="Cambria" w:hAnsi="Cambria"/>
          <w:sz w:val="22"/>
          <w:szCs w:val="22"/>
        </w:rPr>
        <w:t xml:space="preserve"> whereas the effective retirement age is only 60/53, with a possibility for some categories</w:t>
      </w:r>
      <w:r w:rsidR="006F08DE">
        <w:rPr>
          <w:rFonts w:ascii="Cambria" w:hAnsi="Cambria"/>
          <w:sz w:val="22"/>
          <w:szCs w:val="22"/>
        </w:rPr>
        <w:t xml:space="preserve"> (e.g. working in hazardous conditions)</w:t>
      </w:r>
      <w:r w:rsidR="000F1F57" w:rsidRPr="00C20EC5">
        <w:rPr>
          <w:rFonts w:ascii="Cambria" w:hAnsi="Cambria"/>
          <w:sz w:val="22"/>
          <w:szCs w:val="22"/>
        </w:rPr>
        <w:t xml:space="preserve"> to retire as early as age 50 for men and 45 for women.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0F1F57" w14:paraId="2F85283B" w14:textId="77777777" w:rsidTr="00946C9F">
        <w:trPr>
          <w:jc w:val="center"/>
        </w:trPr>
        <w:tc>
          <w:tcPr>
            <w:tcW w:w="8646" w:type="dxa"/>
          </w:tcPr>
          <w:p w14:paraId="7A20A025" w14:textId="37F2BCF3" w:rsidR="000F1F57" w:rsidRDefault="000F1F57" w:rsidP="00F22830">
            <w:pPr>
              <w:pStyle w:val="Caption"/>
            </w:pPr>
            <w:bookmarkStart w:id="12" w:name="_Toc378163837"/>
            <w:r>
              <w:t xml:space="preserve">Figure </w:t>
            </w:r>
            <w:r w:rsidR="00C646A3">
              <w:fldChar w:fldCharType="begin"/>
            </w:r>
            <w:r w:rsidR="00C646A3">
              <w:instrText xml:space="preserve"> SEQ Figure_ \* ARABIC </w:instrText>
            </w:r>
            <w:r w:rsidR="00C646A3">
              <w:fldChar w:fldCharType="separate"/>
            </w:r>
            <w:r w:rsidR="00C646A3">
              <w:rPr>
                <w:noProof/>
              </w:rPr>
              <w:t>4</w:t>
            </w:r>
            <w:r w:rsidR="00C646A3">
              <w:rPr>
                <w:noProof/>
              </w:rPr>
              <w:fldChar w:fldCharType="end"/>
            </w:r>
            <w:r>
              <w:t>.</w:t>
            </w:r>
            <w:r w:rsidRPr="000F1F57">
              <w:t xml:space="preserve"> Total </w:t>
            </w:r>
            <w:r w:rsidR="006D2B69">
              <w:t>Old-Age</w:t>
            </w:r>
            <w:r w:rsidRPr="000F1F57">
              <w:t xml:space="preserve"> Pensioners</w:t>
            </w:r>
            <w:bookmarkEnd w:id="12"/>
          </w:p>
          <w:p w14:paraId="4A941F64" w14:textId="13F69610" w:rsidR="00237213" w:rsidRPr="00237213" w:rsidRDefault="00237213" w:rsidP="00A32033">
            <w:pPr>
              <w:spacing w:after="40"/>
              <w:jc w:val="center"/>
              <w:rPr>
                <w:rFonts w:ascii="Cambria" w:hAnsi="Cambria"/>
              </w:rPr>
            </w:pPr>
            <w:r w:rsidRPr="00AE68F2">
              <w:rPr>
                <w:rFonts w:ascii="Cambria" w:hAnsi="Cambria"/>
              </w:rPr>
              <w:t>(</w:t>
            </w:r>
            <w:r w:rsidR="00A32033">
              <w:rPr>
                <w:rFonts w:ascii="Cambria" w:hAnsi="Cambria"/>
              </w:rPr>
              <w:t>Percent</w:t>
            </w:r>
            <w:r w:rsidR="00AE68F2" w:rsidRPr="00AE68F2">
              <w:rPr>
                <w:rFonts w:ascii="Cambria" w:hAnsi="Cambria"/>
              </w:rPr>
              <w:t xml:space="preserve"> of population over 65</w:t>
            </w:r>
            <w:r w:rsidRPr="00AE68F2">
              <w:rPr>
                <w:rFonts w:ascii="Cambria" w:hAnsi="Cambria"/>
              </w:rPr>
              <w:t>)</w:t>
            </w:r>
          </w:p>
        </w:tc>
      </w:tr>
      <w:tr w:rsidR="004F666F" w14:paraId="7ADBF4FF" w14:textId="77777777" w:rsidTr="00946C9F">
        <w:trPr>
          <w:trHeight w:val="3807"/>
          <w:jc w:val="center"/>
        </w:trPr>
        <w:tc>
          <w:tcPr>
            <w:tcW w:w="8646" w:type="dxa"/>
          </w:tcPr>
          <w:p w14:paraId="45DE43CD" w14:textId="6A675AE7" w:rsidR="004F666F" w:rsidRPr="000F1F57" w:rsidRDefault="004F666F" w:rsidP="00946C9F">
            <w:pPr>
              <w:jc w:val="both"/>
              <w:rPr>
                <w:rFonts w:ascii="Cambria" w:hAnsi="Cambria"/>
                <w:i/>
                <w:sz w:val="18"/>
                <w:szCs w:val="18"/>
              </w:rPr>
            </w:pPr>
            <w:r>
              <w:rPr>
                <w:noProof/>
              </w:rPr>
              <w:drawing>
                <wp:inline distT="0" distB="0" distL="0" distR="0" wp14:anchorId="1A173513" wp14:editId="41C476B6">
                  <wp:extent cx="5335325" cy="2600077"/>
                  <wp:effectExtent l="0" t="0" r="1778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F1F57" w14:paraId="704740F8" w14:textId="77777777" w:rsidTr="00946C9F">
        <w:trPr>
          <w:jc w:val="center"/>
        </w:trPr>
        <w:tc>
          <w:tcPr>
            <w:tcW w:w="8646" w:type="dxa"/>
          </w:tcPr>
          <w:p w14:paraId="18CC4A33" w14:textId="77777777" w:rsidR="000F1F57" w:rsidRPr="000F1F57" w:rsidRDefault="000F1F57" w:rsidP="00F22830">
            <w:pPr>
              <w:spacing w:before="40" w:after="120"/>
              <w:jc w:val="both"/>
              <w:rPr>
                <w:rFonts w:ascii="Cambria" w:hAnsi="Cambria"/>
                <w:sz w:val="18"/>
                <w:szCs w:val="18"/>
              </w:rPr>
            </w:pPr>
            <w:r w:rsidRPr="000F1F57">
              <w:rPr>
                <w:rFonts w:ascii="Cambria" w:hAnsi="Cambria"/>
                <w:i/>
                <w:sz w:val="18"/>
                <w:szCs w:val="18"/>
              </w:rPr>
              <w:t>Source</w:t>
            </w:r>
            <w:r w:rsidRPr="000F1F57">
              <w:rPr>
                <w:rFonts w:ascii="Cambria" w:hAnsi="Cambria"/>
                <w:sz w:val="18"/>
                <w:szCs w:val="18"/>
              </w:rPr>
              <w:t>: World Bank Pension Database.</w:t>
            </w:r>
          </w:p>
        </w:tc>
      </w:tr>
    </w:tbl>
    <w:p w14:paraId="78945E01" w14:textId="305DDA87" w:rsidR="000F1F57" w:rsidRDefault="000F1F57" w:rsidP="000F1F57">
      <w:pPr>
        <w:numPr>
          <w:ilvl w:val="0"/>
          <w:numId w:val="3"/>
        </w:numPr>
        <w:spacing w:before="240" w:after="240"/>
        <w:jc w:val="both"/>
        <w:rPr>
          <w:rFonts w:ascii="Cambria" w:hAnsi="Cambria"/>
          <w:sz w:val="22"/>
          <w:szCs w:val="22"/>
        </w:rPr>
      </w:pPr>
      <w:r w:rsidRPr="009656CE">
        <w:rPr>
          <w:rFonts w:ascii="Cambria" w:hAnsi="Cambria"/>
          <w:b/>
          <w:sz w:val="22"/>
          <w:szCs w:val="22"/>
        </w:rPr>
        <w:t xml:space="preserve">High </w:t>
      </w:r>
      <w:r w:rsidR="00A47C53" w:rsidRPr="009656CE">
        <w:rPr>
          <w:rFonts w:ascii="Cambria" w:hAnsi="Cambria"/>
          <w:b/>
          <w:sz w:val="22"/>
          <w:szCs w:val="22"/>
        </w:rPr>
        <w:t>old-age</w:t>
      </w:r>
      <w:r w:rsidRPr="009656CE">
        <w:rPr>
          <w:rFonts w:ascii="Cambria" w:hAnsi="Cambria"/>
          <w:b/>
          <w:sz w:val="22"/>
          <w:szCs w:val="22"/>
        </w:rPr>
        <w:t xml:space="preserve"> coverage plays a major role in poverty alleviation of the elderly in </w:t>
      </w:r>
      <w:r w:rsidR="0032219B">
        <w:rPr>
          <w:rFonts w:ascii="Cambria" w:hAnsi="Cambria"/>
          <w:b/>
          <w:sz w:val="22"/>
          <w:szCs w:val="22"/>
        </w:rPr>
        <w:t xml:space="preserve">the </w:t>
      </w:r>
      <w:r w:rsidRPr="009656CE">
        <w:rPr>
          <w:rFonts w:ascii="Cambria" w:hAnsi="Cambria"/>
          <w:b/>
          <w:sz w:val="22"/>
          <w:szCs w:val="22"/>
        </w:rPr>
        <w:t>Kyrgyz</w:t>
      </w:r>
      <w:r w:rsidR="0032219B">
        <w:rPr>
          <w:rFonts w:ascii="Cambria" w:hAnsi="Cambria"/>
          <w:b/>
          <w:sz w:val="22"/>
          <w:szCs w:val="22"/>
        </w:rPr>
        <w:t xml:space="preserve"> Republic</w:t>
      </w:r>
      <w:r w:rsidR="00DB17A9">
        <w:rPr>
          <w:rFonts w:ascii="Cambria" w:hAnsi="Cambria"/>
          <w:sz w:val="22"/>
          <w:szCs w:val="22"/>
        </w:rPr>
        <w:t>.</w:t>
      </w:r>
      <w:r w:rsidRPr="00C20EC5">
        <w:rPr>
          <w:rStyle w:val="FootnoteReference"/>
          <w:rFonts w:ascii="Cambria" w:hAnsi="Cambria"/>
          <w:sz w:val="22"/>
          <w:szCs w:val="22"/>
        </w:rPr>
        <w:footnoteReference w:id="5"/>
      </w:r>
      <w:r w:rsidRPr="00C20EC5">
        <w:rPr>
          <w:rFonts w:ascii="Cambria" w:hAnsi="Cambria"/>
          <w:sz w:val="22"/>
          <w:szCs w:val="22"/>
        </w:rPr>
        <w:t xml:space="preserve"> However, given the low participation rates in the pension system among today’s working age population, </w:t>
      </w:r>
      <w:r w:rsidR="00A47C53">
        <w:rPr>
          <w:rFonts w:ascii="Cambria" w:hAnsi="Cambria"/>
          <w:sz w:val="22"/>
          <w:szCs w:val="22"/>
        </w:rPr>
        <w:t>old-age</w:t>
      </w:r>
      <w:r w:rsidRPr="00C20EC5">
        <w:rPr>
          <w:rFonts w:ascii="Cambria" w:hAnsi="Cambria"/>
          <w:sz w:val="22"/>
          <w:szCs w:val="22"/>
        </w:rPr>
        <w:t xml:space="preserve"> coverage rates are likely to substantially decrease over time thus increasing the risk of falling into poverty for future elderly.</w:t>
      </w:r>
    </w:p>
    <w:p w14:paraId="6EE74C90" w14:textId="123218DC" w:rsidR="006C7E6F" w:rsidRPr="00C20EC5" w:rsidRDefault="00191321" w:rsidP="00876F35">
      <w:pPr>
        <w:numPr>
          <w:ilvl w:val="0"/>
          <w:numId w:val="3"/>
        </w:numPr>
        <w:spacing w:before="240" w:after="240"/>
        <w:jc w:val="both"/>
        <w:rPr>
          <w:rFonts w:ascii="Cambria" w:hAnsi="Cambria"/>
          <w:sz w:val="22"/>
          <w:szCs w:val="22"/>
        </w:rPr>
      </w:pPr>
      <w:r w:rsidRPr="009656CE">
        <w:rPr>
          <w:rFonts w:ascii="Cambria" w:hAnsi="Cambria"/>
          <w:b/>
          <w:sz w:val="22"/>
          <w:szCs w:val="22"/>
        </w:rPr>
        <w:t>The contributors</w:t>
      </w:r>
      <w:r>
        <w:rPr>
          <w:rFonts w:ascii="Cambria" w:hAnsi="Cambria"/>
          <w:b/>
          <w:sz w:val="22"/>
          <w:szCs w:val="22"/>
        </w:rPr>
        <w:t>’</w:t>
      </w:r>
      <w:r w:rsidRPr="009656CE">
        <w:rPr>
          <w:rFonts w:ascii="Cambria" w:hAnsi="Cambria"/>
          <w:b/>
          <w:sz w:val="22"/>
          <w:szCs w:val="22"/>
        </w:rPr>
        <w:t xml:space="preserve"> base </w:t>
      </w:r>
      <w:r>
        <w:rPr>
          <w:rFonts w:ascii="Cambria" w:hAnsi="Cambria"/>
          <w:b/>
          <w:sz w:val="22"/>
          <w:szCs w:val="22"/>
        </w:rPr>
        <w:t>is very narrow</w:t>
      </w:r>
      <w:r>
        <w:rPr>
          <w:rFonts w:ascii="Cambria" w:hAnsi="Cambria"/>
          <w:sz w:val="22"/>
          <w:szCs w:val="22"/>
        </w:rPr>
        <w:t xml:space="preserve">.  </w:t>
      </w:r>
      <w:r w:rsidR="00C614CE" w:rsidRPr="00C20EC5">
        <w:rPr>
          <w:rFonts w:ascii="Cambria" w:hAnsi="Cambria"/>
          <w:sz w:val="22"/>
          <w:szCs w:val="22"/>
        </w:rPr>
        <w:t xml:space="preserve">A total of </w:t>
      </w:r>
      <w:r w:rsidR="0050727B" w:rsidRPr="00C20EC5">
        <w:rPr>
          <w:rFonts w:ascii="Cambria" w:hAnsi="Cambria"/>
          <w:sz w:val="22"/>
          <w:szCs w:val="22"/>
        </w:rPr>
        <w:t>1</w:t>
      </w:r>
      <w:r w:rsidR="00C614CE" w:rsidRPr="00C20EC5">
        <w:rPr>
          <w:rFonts w:ascii="Cambria" w:hAnsi="Cambria"/>
          <w:sz w:val="22"/>
          <w:szCs w:val="22"/>
        </w:rPr>
        <w:t>,184</w:t>
      </w:r>
      <w:r w:rsidR="0050727B" w:rsidRPr="00C20EC5">
        <w:rPr>
          <w:rFonts w:ascii="Cambria" w:hAnsi="Cambria"/>
          <w:sz w:val="22"/>
          <w:szCs w:val="22"/>
        </w:rPr>
        <w:t xml:space="preserve"> </w:t>
      </w:r>
      <w:r w:rsidR="00C614CE" w:rsidRPr="00C20EC5">
        <w:rPr>
          <w:rFonts w:ascii="Cambria" w:hAnsi="Cambria"/>
          <w:sz w:val="22"/>
          <w:szCs w:val="22"/>
        </w:rPr>
        <w:t>thousand</w:t>
      </w:r>
      <w:r w:rsidR="0050727B" w:rsidRPr="00C20EC5">
        <w:rPr>
          <w:rFonts w:ascii="Cambria" w:hAnsi="Cambria"/>
          <w:sz w:val="22"/>
          <w:szCs w:val="22"/>
        </w:rPr>
        <w:t xml:space="preserve"> contributors are </w:t>
      </w:r>
      <w:r w:rsidR="00C614CE" w:rsidRPr="00C20EC5">
        <w:rPr>
          <w:rFonts w:ascii="Cambria" w:hAnsi="Cambria"/>
          <w:sz w:val="22"/>
          <w:szCs w:val="22"/>
        </w:rPr>
        <w:t xml:space="preserve">currently </w:t>
      </w:r>
      <w:r w:rsidR="005D4672" w:rsidRPr="00C20EC5">
        <w:rPr>
          <w:rFonts w:ascii="Cambria" w:hAnsi="Cambria"/>
          <w:sz w:val="22"/>
          <w:szCs w:val="22"/>
        </w:rPr>
        <w:t>paying contributions to</w:t>
      </w:r>
      <w:r w:rsidR="00676FC6" w:rsidRPr="00C20EC5">
        <w:rPr>
          <w:rFonts w:ascii="Cambria" w:hAnsi="Cambria"/>
          <w:sz w:val="22"/>
          <w:szCs w:val="22"/>
        </w:rPr>
        <w:t xml:space="preserve"> the Social Fund</w:t>
      </w:r>
      <w:r w:rsidR="006C7E6F" w:rsidRPr="00C20EC5">
        <w:rPr>
          <w:rFonts w:ascii="Cambria" w:hAnsi="Cambria"/>
          <w:sz w:val="22"/>
          <w:szCs w:val="22"/>
        </w:rPr>
        <w:t>. This is</w:t>
      </w:r>
      <w:r w:rsidR="00676FC6" w:rsidRPr="00C20EC5">
        <w:rPr>
          <w:rFonts w:ascii="Cambria" w:hAnsi="Cambria"/>
          <w:sz w:val="22"/>
          <w:szCs w:val="22"/>
        </w:rPr>
        <w:t xml:space="preserve"> </w:t>
      </w:r>
      <w:r w:rsidR="006C7E6F" w:rsidRPr="00C20EC5">
        <w:rPr>
          <w:rFonts w:ascii="Cambria" w:hAnsi="Cambria"/>
          <w:sz w:val="22"/>
          <w:szCs w:val="22"/>
        </w:rPr>
        <w:t xml:space="preserve">only half of all employed, or </w:t>
      </w:r>
      <w:r w:rsidR="005F0B12" w:rsidRPr="00C20EC5">
        <w:rPr>
          <w:rFonts w:ascii="Cambria" w:hAnsi="Cambria"/>
          <w:sz w:val="22"/>
          <w:szCs w:val="22"/>
        </w:rPr>
        <w:t>34</w:t>
      </w:r>
      <w:r w:rsidR="002B409D">
        <w:rPr>
          <w:rFonts w:ascii="Cambria" w:hAnsi="Cambria"/>
          <w:sz w:val="22"/>
          <w:szCs w:val="22"/>
        </w:rPr>
        <w:t xml:space="preserve"> percent</w:t>
      </w:r>
      <w:r w:rsidR="006C7E6F" w:rsidRPr="00C20EC5">
        <w:rPr>
          <w:rFonts w:ascii="Cambria" w:hAnsi="Cambria"/>
          <w:sz w:val="22"/>
          <w:szCs w:val="22"/>
        </w:rPr>
        <w:t xml:space="preserve"> of </w:t>
      </w:r>
      <w:r w:rsidR="004626E2" w:rsidRPr="00C20EC5">
        <w:rPr>
          <w:rFonts w:ascii="Cambria" w:hAnsi="Cambria"/>
          <w:sz w:val="22"/>
          <w:szCs w:val="22"/>
        </w:rPr>
        <w:t xml:space="preserve">the </w:t>
      </w:r>
      <w:r w:rsidR="006C7E6F" w:rsidRPr="00C20EC5">
        <w:rPr>
          <w:rFonts w:ascii="Cambria" w:hAnsi="Cambria"/>
          <w:sz w:val="22"/>
          <w:szCs w:val="22"/>
        </w:rPr>
        <w:t>working age population</w:t>
      </w:r>
      <w:r w:rsidR="005375F7">
        <w:rPr>
          <w:rFonts w:ascii="Cambria" w:hAnsi="Cambria"/>
          <w:sz w:val="22"/>
          <w:szCs w:val="22"/>
        </w:rPr>
        <w:t>.</w:t>
      </w:r>
      <w:r w:rsidR="006C7E6F" w:rsidRPr="00C20EC5">
        <w:rPr>
          <w:rStyle w:val="FootnoteReference"/>
          <w:rFonts w:ascii="Cambria" w:hAnsi="Cambria"/>
          <w:sz w:val="22"/>
          <w:szCs w:val="22"/>
        </w:rPr>
        <w:footnoteReference w:id="6"/>
      </w:r>
      <w:r w:rsidR="006C7E6F" w:rsidRPr="00C20EC5">
        <w:rPr>
          <w:rFonts w:ascii="Cambria" w:hAnsi="Cambria"/>
          <w:sz w:val="22"/>
          <w:szCs w:val="22"/>
        </w:rPr>
        <w:t xml:space="preserve"> </w:t>
      </w:r>
      <w:r w:rsidR="00B169A0" w:rsidRPr="00C20EC5">
        <w:rPr>
          <w:rFonts w:ascii="Cambria" w:hAnsi="Cambria"/>
          <w:sz w:val="22"/>
          <w:szCs w:val="22"/>
        </w:rPr>
        <w:t xml:space="preserve">While pension system design may have some built-in incentives encouraging or discouraging people from joining the system, to a greater extent low coverage in </w:t>
      </w:r>
      <w:r w:rsidR="00AC1D77">
        <w:rPr>
          <w:rFonts w:ascii="Cambria" w:hAnsi="Cambria"/>
          <w:sz w:val="22"/>
          <w:szCs w:val="22"/>
        </w:rPr>
        <w:t xml:space="preserve">the </w:t>
      </w:r>
      <w:r w:rsidR="00B169A0" w:rsidRPr="00C20EC5">
        <w:rPr>
          <w:rFonts w:ascii="Cambria" w:hAnsi="Cambria"/>
          <w:sz w:val="22"/>
          <w:szCs w:val="22"/>
        </w:rPr>
        <w:t>Kyrgyz</w:t>
      </w:r>
      <w:r w:rsidR="00AC1D77">
        <w:rPr>
          <w:rFonts w:ascii="Cambria" w:hAnsi="Cambria"/>
          <w:sz w:val="22"/>
          <w:szCs w:val="22"/>
        </w:rPr>
        <w:t xml:space="preserve"> Republic</w:t>
      </w:r>
      <w:r w:rsidR="00B169A0" w:rsidRPr="00C20EC5">
        <w:rPr>
          <w:rFonts w:ascii="Cambria" w:hAnsi="Cambria"/>
          <w:sz w:val="22"/>
          <w:szCs w:val="22"/>
        </w:rPr>
        <w:t xml:space="preserve"> is a developmental problem, mostly driven by</w:t>
      </w:r>
      <w:r w:rsidR="00D2422A">
        <w:rPr>
          <w:rFonts w:ascii="Cambria" w:hAnsi="Cambria"/>
          <w:sz w:val="22"/>
          <w:szCs w:val="22"/>
        </w:rPr>
        <w:t xml:space="preserve"> the</w:t>
      </w:r>
      <w:r w:rsidR="00B169A0" w:rsidRPr="00C20EC5">
        <w:rPr>
          <w:rFonts w:ascii="Cambria" w:hAnsi="Cambria"/>
          <w:sz w:val="22"/>
          <w:szCs w:val="22"/>
        </w:rPr>
        <w:t xml:space="preserve"> high degree of informality of the labor market. </w:t>
      </w:r>
      <w:r w:rsidR="004626E2" w:rsidRPr="00C20EC5">
        <w:rPr>
          <w:rFonts w:ascii="Cambria" w:hAnsi="Cambria"/>
          <w:sz w:val="22"/>
          <w:szCs w:val="22"/>
        </w:rPr>
        <w:t>A s</w:t>
      </w:r>
      <w:r w:rsidR="006C7E6F" w:rsidRPr="00C20EC5">
        <w:rPr>
          <w:rFonts w:ascii="Cambria" w:hAnsi="Cambria"/>
          <w:sz w:val="22"/>
          <w:szCs w:val="22"/>
        </w:rPr>
        <w:t xml:space="preserve">trong correlation between coverage and economic development level has been observed around the world. The </w:t>
      </w:r>
      <w:r w:rsidR="005F0B12" w:rsidRPr="00C20EC5">
        <w:rPr>
          <w:rFonts w:ascii="Cambria" w:hAnsi="Cambria"/>
          <w:sz w:val="22"/>
          <w:szCs w:val="22"/>
        </w:rPr>
        <w:t>34</w:t>
      </w:r>
      <w:r w:rsidR="002B409D">
        <w:rPr>
          <w:rFonts w:ascii="Cambria" w:hAnsi="Cambria"/>
          <w:sz w:val="22"/>
          <w:szCs w:val="22"/>
        </w:rPr>
        <w:t xml:space="preserve"> percent</w:t>
      </w:r>
      <w:r w:rsidR="006C7E6F" w:rsidRPr="00C20EC5">
        <w:rPr>
          <w:rFonts w:ascii="Cambria" w:hAnsi="Cambria"/>
          <w:sz w:val="22"/>
          <w:szCs w:val="22"/>
        </w:rPr>
        <w:t xml:space="preserve"> coverage rate in </w:t>
      </w:r>
      <w:r w:rsidR="00AC1D77">
        <w:rPr>
          <w:rFonts w:ascii="Cambria" w:hAnsi="Cambria"/>
          <w:sz w:val="22"/>
          <w:szCs w:val="22"/>
        </w:rPr>
        <w:t xml:space="preserve">the </w:t>
      </w:r>
      <w:r w:rsidR="00AC1D77" w:rsidRPr="00C20EC5">
        <w:rPr>
          <w:rFonts w:ascii="Cambria" w:hAnsi="Cambria"/>
          <w:sz w:val="22"/>
          <w:szCs w:val="22"/>
        </w:rPr>
        <w:t>Kyrgyz</w:t>
      </w:r>
      <w:r w:rsidR="00AC1D77">
        <w:rPr>
          <w:rFonts w:ascii="Cambria" w:hAnsi="Cambria"/>
          <w:sz w:val="22"/>
          <w:szCs w:val="22"/>
        </w:rPr>
        <w:t xml:space="preserve"> Republic</w:t>
      </w:r>
      <w:r w:rsidR="00AC1D77" w:rsidRPr="00C20EC5">
        <w:rPr>
          <w:rFonts w:ascii="Cambria" w:hAnsi="Cambria"/>
          <w:sz w:val="22"/>
          <w:szCs w:val="22"/>
        </w:rPr>
        <w:t xml:space="preserve"> </w:t>
      </w:r>
      <w:r w:rsidR="006C7E6F" w:rsidRPr="00C20EC5">
        <w:rPr>
          <w:rFonts w:ascii="Cambria" w:hAnsi="Cambria"/>
          <w:sz w:val="22"/>
          <w:szCs w:val="22"/>
        </w:rPr>
        <w:t xml:space="preserve">is comparable with </w:t>
      </w:r>
      <w:r w:rsidR="004626E2" w:rsidRPr="00C20EC5">
        <w:rPr>
          <w:rFonts w:ascii="Cambria" w:hAnsi="Cambria"/>
          <w:sz w:val="22"/>
          <w:szCs w:val="22"/>
        </w:rPr>
        <w:t>parts of</w:t>
      </w:r>
      <w:r w:rsidR="006C7E6F" w:rsidRPr="00C20EC5">
        <w:rPr>
          <w:rFonts w:ascii="Cambria" w:hAnsi="Cambria"/>
          <w:sz w:val="22"/>
          <w:szCs w:val="22"/>
        </w:rPr>
        <w:t xml:space="preserve"> Latin America where the average per capita income is similar to </w:t>
      </w:r>
      <w:r w:rsidR="00AC1D77">
        <w:rPr>
          <w:rFonts w:ascii="Cambria" w:hAnsi="Cambria"/>
          <w:sz w:val="22"/>
          <w:szCs w:val="22"/>
        </w:rPr>
        <w:t xml:space="preserve">the </w:t>
      </w:r>
      <w:r w:rsidR="006C7E6F" w:rsidRPr="00C20EC5">
        <w:rPr>
          <w:rFonts w:ascii="Cambria" w:hAnsi="Cambria"/>
          <w:sz w:val="22"/>
          <w:szCs w:val="22"/>
        </w:rPr>
        <w:t>Kyrgyz</w:t>
      </w:r>
      <w:r w:rsidR="00AC1D77">
        <w:rPr>
          <w:rFonts w:ascii="Cambria" w:hAnsi="Cambria"/>
          <w:sz w:val="22"/>
          <w:szCs w:val="22"/>
        </w:rPr>
        <w:t xml:space="preserve"> Republic</w:t>
      </w:r>
      <w:r w:rsidR="006C7E6F" w:rsidRPr="00C20EC5">
        <w:rPr>
          <w:rFonts w:ascii="Cambria" w:hAnsi="Cambria"/>
          <w:sz w:val="22"/>
          <w:szCs w:val="22"/>
        </w:rPr>
        <w:t xml:space="preserve">. The regional average coverage rate for transition economies in Europe and Central Asia, most of which have higher per capita income, is significantly higher </w:t>
      </w:r>
      <w:r w:rsidR="00D2422A">
        <w:rPr>
          <w:rFonts w:ascii="Cambria" w:hAnsi="Cambria"/>
          <w:sz w:val="22"/>
          <w:szCs w:val="22"/>
        </w:rPr>
        <w:t>at</w:t>
      </w:r>
      <w:r w:rsidR="00D2422A" w:rsidRPr="00C20EC5">
        <w:rPr>
          <w:rFonts w:ascii="Cambria" w:hAnsi="Cambria"/>
          <w:sz w:val="22"/>
          <w:szCs w:val="22"/>
        </w:rPr>
        <w:t xml:space="preserve"> </w:t>
      </w:r>
      <w:r w:rsidR="006C7E6F" w:rsidRPr="00C20EC5">
        <w:rPr>
          <w:rFonts w:ascii="Cambria" w:hAnsi="Cambria"/>
          <w:sz w:val="22"/>
          <w:szCs w:val="22"/>
        </w:rPr>
        <w:t>47</w:t>
      </w:r>
      <w:r w:rsidR="002B409D">
        <w:rPr>
          <w:rFonts w:ascii="Cambria" w:hAnsi="Cambria"/>
          <w:sz w:val="22"/>
          <w:szCs w:val="22"/>
        </w:rPr>
        <w:t xml:space="preserve"> percent</w:t>
      </w:r>
      <w:r w:rsidR="0075056C" w:rsidRPr="00C20EC5">
        <w:rPr>
          <w:rFonts w:ascii="Cambria" w:hAnsi="Cambria"/>
          <w:sz w:val="22"/>
          <w:szCs w:val="22"/>
        </w:rPr>
        <w:t>;</w:t>
      </w:r>
      <w:r w:rsidR="006C7E6F" w:rsidRPr="00C20EC5">
        <w:rPr>
          <w:rFonts w:ascii="Cambria" w:hAnsi="Cambria"/>
          <w:sz w:val="22"/>
          <w:szCs w:val="22"/>
        </w:rPr>
        <w:t xml:space="preserve"> </w:t>
      </w:r>
      <w:r w:rsidR="0075056C" w:rsidRPr="00C20EC5">
        <w:rPr>
          <w:rFonts w:ascii="Cambria" w:hAnsi="Cambria"/>
          <w:sz w:val="22"/>
          <w:szCs w:val="22"/>
        </w:rPr>
        <w:t>t</w:t>
      </w:r>
      <w:r w:rsidR="006C7E6F" w:rsidRPr="00C20EC5">
        <w:rPr>
          <w:rFonts w:ascii="Cambria" w:hAnsi="Cambria"/>
          <w:sz w:val="22"/>
          <w:szCs w:val="22"/>
        </w:rPr>
        <w:t xml:space="preserve">he OECD average </w:t>
      </w:r>
      <w:r w:rsidR="0075056C" w:rsidRPr="00C20EC5">
        <w:rPr>
          <w:rFonts w:ascii="Cambria" w:hAnsi="Cambria"/>
          <w:sz w:val="22"/>
          <w:szCs w:val="22"/>
        </w:rPr>
        <w:t xml:space="preserve">is almost double the Kyrgyz rate </w:t>
      </w:r>
      <w:r w:rsidR="006C7E6F" w:rsidRPr="00C20EC5">
        <w:rPr>
          <w:rFonts w:ascii="Cambria" w:hAnsi="Cambria"/>
          <w:sz w:val="22"/>
          <w:szCs w:val="22"/>
        </w:rPr>
        <w:t>– about 70</w:t>
      </w:r>
      <w:r w:rsidR="002B409D">
        <w:rPr>
          <w:rFonts w:ascii="Cambria" w:hAnsi="Cambria"/>
          <w:sz w:val="22"/>
          <w:szCs w:val="22"/>
        </w:rPr>
        <w:t xml:space="preserve"> percent</w:t>
      </w:r>
      <w:r w:rsidR="006C7E6F" w:rsidRPr="00C20EC5">
        <w:rPr>
          <w:rFonts w:ascii="Cambria" w:hAnsi="Cambria"/>
          <w:sz w:val="22"/>
          <w:szCs w:val="22"/>
        </w:rPr>
        <w:t xml:space="preserve">. Coverage rates by region are shown in Figure </w:t>
      </w:r>
      <w:r w:rsidR="008D6FC0" w:rsidRPr="00C20EC5">
        <w:rPr>
          <w:rFonts w:ascii="Cambria" w:hAnsi="Cambria"/>
          <w:sz w:val="22"/>
          <w:szCs w:val="22"/>
        </w:rPr>
        <w:t>5</w:t>
      </w:r>
      <w:r w:rsidR="006C7E6F" w:rsidRPr="00C20EC5">
        <w:rPr>
          <w:rFonts w:ascii="Cambria" w:hAnsi="Cambria"/>
          <w:sz w:val="22"/>
          <w:szCs w:val="22"/>
        </w:rPr>
        <w:t>.</w:t>
      </w:r>
    </w:p>
    <w:p w14:paraId="3A71286C" w14:textId="1477C24A" w:rsidR="006D46F6" w:rsidRDefault="006D46F6" w:rsidP="00876F35">
      <w:pPr>
        <w:numPr>
          <w:ilvl w:val="0"/>
          <w:numId w:val="3"/>
        </w:numPr>
        <w:spacing w:before="240" w:after="240"/>
        <w:jc w:val="both"/>
        <w:rPr>
          <w:rFonts w:ascii="Cambria" w:hAnsi="Cambria"/>
          <w:sz w:val="22"/>
          <w:szCs w:val="22"/>
        </w:rPr>
      </w:pPr>
      <w:r w:rsidRPr="009656CE">
        <w:rPr>
          <w:rFonts w:ascii="Cambria" w:hAnsi="Cambria"/>
          <w:b/>
          <w:sz w:val="22"/>
          <w:szCs w:val="22"/>
        </w:rPr>
        <w:lastRenderedPageBreak/>
        <w:t>A low participation rate in the pension system of the working age population poses problems both in the short- and long run</w:t>
      </w:r>
      <w:r w:rsidRPr="00C20EC5">
        <w:rPr>
          <w:rFonts w:ascii="Cambria" w:hAnsi="Cambria"/>
          <w:sz w:val="22"/>
          <w:szCs w:val="22"/>
        </w:rPr>
        <w:t xml:space="preserve">. In the short term, fewer contributors in a pay-as-you-go system mean current pensions </w:t>
      </w:r>
      <w:r w:rsidR="00D2422A">
        <w:rPr>
          <w:rFonts w:ascii="Cambria" w:hAnsi="Cambria"/>
          <w:sz w:val="22"/>
          <w:szCs w:val="22"/>
        </w:rPr>
        <w:t>must</w:t>
      </w:r>
      <w:r w:rsidRPr="00C20EC5">
        <w:rPr>
          <w:rFonts w:ascii="Cambria" w:hAnsi="Cambria"/>
          <w:sz w:val="22"/>
          <w:szCs w:val="22"/>
        </w:rPr>
        <w:t xml:space="preserve"> be financed either through higher contribution rates and/or through government subsidies. In the longer term, as mentioned above, today’s low contributor coverage will translate into </w:t>
      </w:r>
      <w:r w:rsidR="00B370CB" w:rsidRPr="00C20EC5">
        <w:rPr>
          <w:rFonts w:ascii="Cambria" w:hAnsi="Cambria"/>
          <w:sz w:val="22"/>
          <w:szCs w:val="22"/>
        </w:rPr>
        <w:t>future low beneficiary coverage</w:t>
      </w:r>
      <w:r w:rsidRPr="00C20EC5">
        <w:rPr>
          <w:rFonts w:ascii="Cambria" w:hAnsi="Cambria"/>
          <w:sz w:val="22"/>
          <w:szCs w:val="22"/>
        </w:rPr>
        <w:t xml:space="preserve">. So, </w:t>
      </w:r>
      <w:r w:rsidR="00B370CB" w:rsidRPr="00C20EC5">
        <w:rPr>
          <w:rFonts w:ascii="Cambria" w:hAnsi="Cambria"/>
          <w:sz w:val="22"/>
          <w:szCs w:val="22"/>
        </w:rPr>
        <w:t xml:space="preserve">a growing share of </w:t>
      </w:r>
      <w:r w:rsidR="00A47C53">
        <w:rPr>
          <w:rFonts w:ascii="Cambria" w:hAnsi="Cambria"/>
          <w:sz w:val="22"/>
          <w:szCs w:val="22"/>
        </w:rPr>
        <w:t>old-age</w:t>
      </w:r>
      <w:r w:rsidR="00B370CB" w:rsidRPr="00C20EC5">
        <w:rPr>
          <w:rFonts w:ascii="Cambria" w:hAnsi="Cambria"/>
          <w:sz w:val="22"/>
          <w:szCs w:val="22"/>
        </w:rPr>
        <w:t xml:space="preserve"> population will not be eligible for </w:t>
      </w:r>
      <w:r w:rsidR="00E73D20">
        <w:rPr>
          <w:rFonts w:ascii="Cambria" w:hAnsi="Cambria"/>
          <w:sz w:val="22"/>
          <w:szCs w:val="22"/>
        </w:rPr>
        <w:t xml:space="preserve">a labor </w:t>
      </w:r>
      <w:r w:rsidR="00B370CB" w:rsidRPr="00C20EC5">
        <w:rPr>
          <w:rFonts w:ascii="Cambria" w:hAnsi="Cambria"/>
          <w:sz w:val="22"/>
          <w:szCs w:val="22"/>
        </w:rPr>
        <w:t xml:space="preserve">pension and </w:t>
      </w:r>
      <w:r w:rsidRPr="00C20EC5">
        <w:rPr>
          <w:rFonts w:ascii="Cambria" w:hAnsi="Cambria"/>
          <w:sz w:val="22"/>
          <w:szCs w:val="22"/>
        </w:rPr>
        <w:t xml:space="preserve">government spending on social pensions </w:t>
      </w:r>
      <w:r w:rsidR="00B370CB" w:rsidRPr="00C20EC5">
        <w:rPr>
          <w:rFonts w:ascii="Cambria" w:hAnsi="Cambria"/>
          <w:sz w:val="22"/>
          <w:szCs w:val="22"/>
        </w:rPr>
        <w:t>(</w:t>
      </w:r>
      <w:r w:rsidRPr="00C20EC5">
        <w:rPr>
          <w:rFonts w:ascii="Cambria" w:hAnsi="Cambria"/>
          <w:sz w:val="22"/>
          <w:szCs w:val="22"/>
        </w:rPr>
        <w:t>which is currently insignificant</w:t>
      </w:r>
      <w:r w:rsidR="00B370CB" w:rsidRPr="00C20EC5">
        <w:rPr>
          <w:rFonts w:ascii="Cambria" w:hAnsi="Cambria"/>
          <w:sz w:val="22"/>
          <w:szCs w:val="22"/>
        </w:rPr>
        <w:t>)</w:t>
      </w:r>
      <w:r w:rsidRPr="00C20EC5">
        <w:rPr>
          <w:rFonts w:ascii="Cambria" w:hAnsi="Cambria"/>
          <w:sz w:val="22"/>
          <w:szCs w:val="22"/>
        </w:rPr>
        <w:t xml:space="preserve"> will increase greatly.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5375CD" w14:paraId="0A4F4C32" w14:textId="77777777" w:rsidTr="00946C9F">
        <w:trPr>
          <w:jc w:val="center"/>
        </w:trPr>
        <w:tc>
          <w:tcPr>
            <w:tcW w:w="9126" w:type="dxa"/>
          </w:tcPr>
          <w:p w14:paraId="24A663F8" w14:textId="77777777" w:rsidR="005375CD" w:rsidRDefault="005375CD" w:rsidP="00F22830">
            <w:pPr>
              <w:pStyle w:val="Caption"/>
              <w:rPr>
                <w:noProof/>
              </w:rPr>
            </w:pPr>
            <w:bookmarkStart w:id="13" w:name="_Toc378163838"/>
            <w:r>
              <w:t xml:space="preserve">Figure </w:t>
            </w:r>
            <w:r w:rsidR="00C646A3">
              <w:fldChar w:fldCharType="begin"/>
            </w:r>
            <w:r w:rsidR="00C646A3">
              <w:instrText xml:space="preserve"> SEQ Figu</w:instrText>
            </w:r>
            <w:r w:rsidR="00C646A3">
              <w:instrText xml:space="preserve">re_ \* ARABIC </w:instrText>
            </w:r>
            <w:r w:rsidR="00C646A3">
              <w:fldChar w:fldCharType="separate"/>
            </w:r>
            <w:r w:rsidR="00C646A3">
              <w:rPr>
                <w:noProof/>
              </w:rPr>
              <w:t>5</w:t>
            </w:r>
            <w:r w:rsidR="00C646A3">
              <w:rPr>
                <w:noProof/>
              </w:rPr>
              <w:fldChar w:fldCharType="end"/>
            </w:r>
            <w:r>
              <w:t xml:space="preserve">. </w:t>
            </w:r>
            <w:r w:rsidRPr="005375CD">
              <w:rPr>
                <w:noProof/>
              </w:rPr>
              <w:t>Average Coverage Rates by Region</w:t>
            </w:r>
            <w:bookmarkEnd w:id="13"/>
          </w:p>
          <w:p w14:paraId="222897AB" w14:textId="3B2A3212" w:rsidR="00A12C28" w:rsidRPr="00A12C28" w:rsidRDefault="00A12C28" w:rsidP="00A32033">
            <w:pPr>
              <w:spacing w:after="40"/>
              <w:jc w:val="center"/>
              <w:rPr>
                <w:rFonts w:ascii="Cambria" w:hAnsi="Cambria"/>
              </w:rPr>
            </w:pPr>
            <w:r w:rsidRPr="00A32033">
              <w:rPr>
                <w:rFonts w:ascii="Cambria" w:hAnsi="Cambria"/>
              </w:rPr>
              <w:t>(</w:t>
            </w:r>
            <w:r w:rsidR="00A32033">
              <w:rPr>
                <w:rFonts w:ascii="Cambria" w:hAnsi="Cambria"/>
              </w:rPr>
              <w:t>P</w:t>
            </w:r>
            <w:r w:rsidR="00AE68F2" w:rsidRPr="00A32033">
              <w:rPr>
                <w:rFonts w:ascii="Cambria" w:hAnsi="Cambria"/>
              </w:rPr>
              <w:t xml:space="preserve">ercent of </w:t>
            </w:r>
            <w:r w:rsidR="00A32033" w:rsidRPr="00A32033">
              <w:rPr>
                <w:rFonts w:ascii="Cambria" w:hAnsi="Cambria"/>
              </w:rPr>
              <w:t>relevant population definition</w:t>
            </w:r>
            <w:r w:rsidRPr="00A32033">
              <w:rPr>
                <w:rFonts w:ascii="Cambria" w:hAnsi="Cambria"/>
              </w:rPr>
              <w:t>)</w:t>
            </w:r>
          </w:p>
        </w:tc>
      </w:tr>
      <w:tr w:rsidR="00536577" w14:paraId="02BCFC7F" w14:textId="77777777" w:rsidTr="00946C9F">
        <w:trPr>
          <w:jc w:val="center"/>
        </w:trPr>
        <w:tc>
          <w:tcPr>
            <w:tcW w:w="9126" w:type="dxa"/>
          </w:tcPr>
          <w:p w14:paraId="7B082694" w14:textId="5ABA7380" w:rsidR="00536577" w:rsidRPr="00C20EC5" w:rsidRDefault="00536577" w:rsidP="005766D4">
            <w:pPr>
              <w:jc w:val="both"/>
              <w:rPr>
                <w:rFonts w:ascii="Cambria" w:hAnsi="Cambria"/>
                <w:noProof/>
                <w:szCs w:val="22"/>
              </w:rPr>
            </w:pPr>
            <w:r>
              <w:rPr>
                <w:noProof/>
              </w:rPr>
              <w:drawing>
                <wp:inline distT="0" distB="0" distL="0" distR="0" wp14:anchorId="3DEDEE6F" wp14:editId="2B16A868">
                  <wp:extent cx="5637475" cy="2441050"/>
                  <wp:effectExtent l="0" t="0" r="20955"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5375CD" w14:paraId="1885375D" w14:textId="77777777" w:rsidTr="00946C9F">
        <w:trPr>
          <w:jc w:val="center"/>
        </w:trPr>
        <w:tc>
          <w:tcPr>
            <w:tcW w:w="9126" w:type="dxa"/>
          </w:tcPr>
          <w:p w14:paraId="10FB6CAF" w14:textId="77777777" w:rsidR="005375CD" w:rsidRPr="005375CD" w:rsidRDefault="005375CD" w:rsidP="00F22830">
            <w:pPr>
              <w:spacing w:before="40" w:after="120"/>
              <w:ind w:left="45"/>
              <w:jc w:val="both"/>
              <w:rPr>
                <w:rFonts w:ascii="Cambria" w:hAnsi="Cambria"/>
                <w:sz w:val="18"/>
                <w:szCs w:val="18"/>
              </w:rPr>
            </w:pPr>
            <w:r w:rsidRPr="005375CD">
              <w:rPr>
                <w:rFonts w:ascii="Cambria" w:hAnsi="Cambria"/>
                <w:i/>
                <w:sz w:val="18"/>
                <w:szCs w:val="18"/>
              </w:rPr>
              <w:t>Source</w:t>
            </w:r>
            <w:r w:rsidRPr="005375CD">
              <w:rPr>
                <w:rFonts w:ascii="Cambria" w:hAnsi="Cambria"/>
                <w:sz w:val="18"/>
                <w:szCs w:val="18"/>
              </w:rPr>
              <w:t>: World Bank Pension Database.</w:t>
            </w:r>
          </w:p>
        </w:tc>
      </w:tr>
    </w:tbl>
    <w:p w14:paraId="49A9B0B1" w14:textId="0A0EC377" w:rsidR="005375CD" w:rsidRPr="00C20EC5" w:rsidRDefault="005375CD" w:rsidP="005375CD">
      <w:pPr>
        <w:numPr>
          <w:ilvl w:val="0"/>
          <w:numId w:val="3"/>
        </w:numPr>
        <w:spacing w:before="240" w:after="240"/>
        <w:jc w:val="both"/>
        <w:rPr>
          <w:rFonts w:ascii="Cambria" w:hAnsi="Cambria"/>
          <w:sz w:val="22"/>
          <w:szCs w:val="22"/>
        </w:rPr>
      </w:pPr>
      <w:r w:rsidRPr="009656CE">
        <w:rPr>
          <w:rFonts w:ascii="Cambria" w:hAnsi="Cambria"/>
          <w:b/>
          <w:sz w:val="22"/>
          <w:szCs w:val="22"/>
        </w:rPr>
        <w:t>With high beneficiary and low contributor coverage, the system dependency rate</w:t>
      </w:r>
      <w:r w:rsidR="006C6B2C">
        <w:rPr>
          <w:rFonts w:ascii="Cambria" w:hAnsi="Cambria"/>
          <w:b/>
          <w:sz w:val="22"/>
          <w:szCs w:val="22"/>
        </w:rPr>
        <w:t xml:space="preserve"> </w:t>
      </w:r>
      <w:r w:rsidR="006C6B2C" w:rsidRPr="009656CE">
        <w:rPr>
          <w:rFonts w:ascii="Cambria" w:hAnsi="Cambria"/>
          <w:b/>
          <w:sz w:val="22"/>
          <w:szCs w:val="22"/>
        </w:rPr>
        <w:t xml:space="preserve">is quite high at 39 percent, i.e. only 2.6 </w:t>
      </w:r>
      <w:proofErr w:type="gramStart"/>
      <w:r w:rsidR="006C6B2C" w:rsidRPr="009656CE">
        <w:rPr>
          <w:rFonts w:ascii="Cambria" w:hAnsi="Cambria"/>
          <w:b/>
          <w:sz w:val="22"/>
          <w:szCs w:val="22"/>
        </w:rPr>
        <w:t>contributors</w:t>
      </w:r>
      <w:proofErr w:type="gramEnd"/>
      <w:r w:rsidR="006C6B2C" w:rsidRPr="009656CE">
        <w:rPr>
          <w:rFonts w:ascii="Cambria" w:hAnsi="Cambria"/>
          <w:b/>
          <w:sz w:val="22"/>
          <w:szCs w:val="22"/>
        </w:rPr>
        <w:t xml:space="preserve"> support one pensioner.</w:t>
      </w:r>
      <w:r w:rsidRPr="009656CE">
        <w:rPr>
          <w:rStyle w:val="FootnoteReference"/>
          <w:rFonts w:ascii="Cambria" w:hAnsi="Cambria"/>
          <w:b/>
          <w:sz w:val="22"/>
          <w:szCs w:val="22"/>
        </w:rPr>
        <w:footnoteReference w:id="7"/>
      </w:r>
      <w:r w:rsidRPr="009656CE">
        <w:rPr>
          <w:rFonts w:ascii="Cambria" w:hAnsi="Cambria"/>
          <w:b/>
          <w:sz w:val="22"/>
          <w:szCs w:val="22"/>
        </w:rPr>
        <w:t xml:space="preserve"> </w:t>
      </w:r>
      <w:r w:rsidR="00913031">
        <w:rPr>
          <w:rFonts w:ascii="Cambria" w:hAnsi="Cambria"/>
          <w:b/>
          <w:sz w:val="22"/>
          <w:szCs w:val="22"/>
        </w:rPr>
        <w:t xml:space="preserve"> </w:t>
      </w:r>
      <w:r w:rsidRPr="00C20EC5">
        <w:rPr>
          <w:rFonts w:ascii="Cambria" w:hAnsi="Cambria"/>
          <w:sz w:val="22"/>
          <w:szCs w:val="22"/>
        </w:rPr>
        <w:t xml:space="preserve">Furthermore, </w:t>
      </w:r>
      <w:r w:rsidRPr="00C20EC5">
        <w:rPr>
          <w:rFonts w:ascii="Cambria" w:eastAsiaTheme="minorHAnsi" w:hAnsi="Cambria"/>
          <w:color w:val="000000"/>
          <w:sz w:val="22"/>
          <w:szCs w:val="22"/>
        </w:rPr>
        <w:t>while salaried workers make up around 60</w:t>
      </w:r>
      <w:r w:rsidR="002B409D">
        <w:rPr>
          <w:rFonts w:ascii="Cambria" w:eastAsiaTheme="minorHAnsi" w:hAnsi="Cambria"/>
          <w:color w:val="000000"/>
          <w:sz w:val="22"/>
          <w:szCs w:val="22"/>
        </w:rPr>
        <w:t xml:space="preserve"> percent</w:t>
      </w:r>
      <w:r w:rsidRPr="00C20EC5">
        <w:rPr>
          <w:rFonts w:ascii="Cambria" w:eastAsiaTheme="minorHAnsi" w:hAnsi="Cambria"/>
          <w:color w:val="000000"/>
          <w:sz w:val="22"/>
          <w:szCs w:val="22"/>
        </w:rPr>
        <w:t xml:space="preserve"> of total contributors, they contribute 97</w:t>
      </w:r>
      <w:r w:rsidR="002B409D">
        <w:rPr>
          <w:rFonts w:ascii="Cambria" w:eastAsiaTheme="minorHAnsi" w:hAnsi="Cambria"/>
          <w:color w:val="000000"/>
          <w:sz w:val="22"/>
          <w:szCs w:val="22"/>
        </w:rPr>
        <w:t xml:space="preserve"> percent</w:t>
      </w:r>
      <w:r w:rsidRPr="00C20EC5">
        <w:rPr>
          <w:rFonts w:ascii="Cambria" w:eastAsiaTheme="minorHAnsi" w:hAnsi="Cambria"/>
          <w:color w:val="000000"/>
          <w:sz w:val="22"/>
          <w:szCs w:val="22"/>
        </w:rPr>
        <w:t xml:space="preserve"> of total revenue, with the other covered workers (mostly farmers) making </w:t>
      </w:r>
      <w:r w:rsidRPr="00876F35">
        <w:rPr>
          <w:rFonts w:ascii="Cambria" w:hAnsi="Cambria"/>
          <w:sz w:val="22"/>
          <w:szCs w:val="22"/>
        </w:rPr>
        <w:t>negligible</w:t>
      </w:r>
      <w:r w:rsidRPr="00C20EC5">
        <w:rPr>
          <w:rFonts w:ascii="Cambria" w:eastAsiaTheme="minorHAnsi" w:hAnsi="Cambria"/>
          <w:color w:val="000000"/>
          <w:sz w:val="22"/>
          <w:szCs w:val="22"/>
        </w:rPr>
        <w:t xml:space="preserve"> contributions.  If </w:t>
      </w:r>
      <w:r w:rsidR="007F39E9">
        <w:rPr>
          <w:rFonts w:ascii="Cambria" w:eastAsiaTheme="minorHAnsi" w:hAnsi="Cambria"/>
          <w:color w:val="000000"/>
          <w:sz w:val="22"/>
          <w:szCs w:val="22"/>
        </w:rPr>
        <w:t xml:space="preserve">we take into account only salaried workers, i.e. </w:t>
      </w:r>
      <w:r w:rsidRPr="00C20EC5">
        <w:rPr>
          <w:rFonts w:ascii="Cambria" w:eastAsiaTheme="minorHAnsi" w:hAnsi="Cambria"/>
          <w:color w:val="000000"/>
          <w:sz w:val="22"/>
          <w:szCs w:val="22"/>
        </w:rPr>
        <w:t>those making substantial contributions, we get even higher system dependency ratio</w:t>
      </w:r>
      <w:r w:rsidR="00B47C5B">
        <w:rPr>
          <w:rFonts w:ascii="Cambria" w:hAnsi="Cambria"/>
          <w:sz w:val="22"/>
          <w:szCs w:val="22"/>
        </w:rPr>
        <w:t xml:space="preserve">, </w:t>
      </w:r>
      <w:r w:rsidRPr="00C20EC5">
        <w:rPr>
          <w:rFonts w:ascii="Cambria" w:hAnsi="Cambria"/>
          <w:sz w:val="22"/>
          <w:szCs w:val="22"/>
        </w:rPr>
        <w:t xml:space="preserve">about </w:t>
      </w:r>
      <w:proofErr w:type="gramStart"/>
      <w:r w:rsidRPr="00C20EC5">
        <w:rPr>
          <w:rFonts w:ascii="Cambria" w:hAnsi="Cambria"/>
          <w:sz w:val="22"/>
          <w:szCs w:val="22"/>
        </w:rPr>
        <w:t>65</w:t>
      </w:r>
      <w:r w:rsidR="002B409D">
        <w:rPr>
          <w:rFonts w:ascii="Cambria" w:hAnsi="Cambria"/>
          <w:sz w:val="22"/>
          <w:szCs w:val="22"/>
        </w:rPr>
        <w:t xml:space="preserve"> percent</w:t>
      </w:r>
      <w:r w:rsidRPr="00C20EC5">
        <w:rPr>
          <w:rFonts w:ascii="Cambria" w:hAnsi="Cambria"/>
          <w:sz w:val="22"/>
          <w:szCs w:val="22"/>
        </w:rPr>
        <w:t>,</w:t>
      </w:r>
      <w:proofErr w:type="gramEnd"/>
      <w:r w:rsidRPr="00C20EC5">
        <w:rPr>
          <w:rFonts w:ascii="Cambria" w:hAnsi="Cambria"/>
          <w:sz w:val="22"/>
          <w:szCs w:val="22"/>
        </w:rPr>
        <w:t xml:space="preserve"> or only 1.5-1.6 contributors per pensioner. This puts </w:t>
      </w:r>
      <w:r w:rsidR="005F7CCB">
        <w:rPr>
          <w:rFonts w:ascii="Cambria" w:hAnsi="Cambria"/>
          <w:sz w:val="22"/>
          <w:szCs w:val="22"/>
        </w:rPr>
        <w:t xml:space="preserve">the </w:t>
      </w:r>
      <w:r w:rsidR="005F7CCB" w:rsidRPr="00C20EC5">
        <w:rPr>
          <w:rFonts w:ascii="Cambria" w:hAnsi="Cambria"/>
          <w:sz w:val="22"/>
          <w:szCs w:val="22"/>
        </w:rPr>
        <w:t>Kyrgyz</w:t>
      </w:r>
      <w:r w:rsidR="005F7CCB">
        <w:rPr>
          <w:rFonts w:ascii="Cambria" w:hAnsi="Cambria"/>
          <w:sz w:val="22"/>
          <w:szCs w:val="22"/>
        </w:rPr>
        <w:t xml:space="preserve"> Republic</w:t>
      </w:r>
      <w:r w:rsidR="005F7CCB" w:rsidRPr="00C20EC5">
        <w:rPr>
          <w:rFonts w:ascii="Cambria" w:hAnsi="Cambria"/>
          <w:sz w:val="22"/>
          <w:szCs w:val="22"/>
        </w:rPr>
        <w:t xml:space="preserve"> </w:t>
      </w:r>
      <w:r w:rsidRPr="00C20EC5">
        <w:rPr>
          <w:rFonts w:ascii="Cambria" w:hAnsi="Cambria"/>
          <w:sz w:val="22"/>
          <w:szCs w:val="22"/>
        </w:rPr>
        <w:t>among countries with the highest levels of system dependency rates like Lithuania, Russia, Hungary, Romania, Finland, Austria, some other European countries.</w:t>
      </w:r>
    </w:p>
    <w:p w14:paraId="0DEC6233" w14:textId="4382F926" w:rsidR="00C658AF" w:rsidRPr="00C20EC5" w:rsidRDefault="00C658AF" w:rsidP="00876F35">
      <w:pPr>
        <w:numPr>
          <w:ilvl w:val="0"/>
          <w:numId w:val="3"/>
        </w:numPr>
        <w:spacing w:before="240" w:after="240"/>
        <w:jc w:val="both"/>
        <w:rPr>
          <w:rFonts w:ascii="Cambria" w:hAnsi="Cambria"/>
          <w:sz w:val="22"/>
          <w:szCs w:val="22"/>
        </w:rPr>
      </w:pPr>
      <w:r w:rsidRPr="009656CE">
        <w:rPr>
          <w:rFonts w:ascii="Cambria" w:hAnsi="Cambria"/>
          <w:b/>
          <w:sz w:val="22"/>
          <w:szCs w:val="22"/>
        </w:rPr>
        <w:t xml:space="preserve">Adequacy of benefits in the national pension </w:t>
      </w:r>
      <w:r w:rsidR="00E671A3" w:rsidRPr="009656CE">
        <w:rPr>
          <w:rFonts w:ascii="Cambria" w:hAnsi="Cambria"/>
          <w:b/>
          <w:sz w:val="22"/>
          <w:szCs w:val="22"/>
        </w:rPr>
        <w:t>system</w:t>
      </w:r>
      <w:r w:rsidRPr="009656CE">
        <w:rPr>
          <w:rFonts w:ascii="Cambria" w:hAnsi="Cambria"/>
          <w:b/>
          <w:sz w:val="22"/>
          <w:szCs w:val="22"/>
        </w:rPr>
        <w:t xml:space="preserve"> is a</w:t>
      </w:r>
      <w:r w:rsidR="00E671A3" w:rsidRPr="009656CE">
        <w:rPr>
          <w:rFonts w:ascii="Cambria" w:hAnsi="Cambria"/>
          <w:b/>
          <w:sz w:val="22"/>
          <w:szCs w:val="22"/>
        </w:rPr>
        <w:t>nother</w:t>
      </w:r>
      <w:r w:rsidRPr="009656CE">
        <w:rPr>
          <w:rFonts w:ascii="Cambria" w:hAnsi="Cambria"/>
          <w:b/>
          <w:sz w:val="22"/>
          <w:szCs w:val="22"/>
        </w:rPr>
        <w:t xml:space="preserve"> concern</w:t>
      </w:r>
      <w:r w:rsidRPr="00C20EC5">
        <w:rPr>
          <w:rFonts w:ascii="Cambria" w:hAnsi="Cambria"/>
          <w:sz w:val="22"/>
          <w:szCs w:val="22"/>
        </w:rPr>
        <w:t xml:space="preserve">. </w:t>
      </w:r>
      <w:r w:rsidR="00E671A3" w:rsidRPr="00C20EC5">
        <w:rPr>
          <w:rFonts w:ascii="Cambria" w:hAnsi="Cambria"/>
          <w:sz w:val="22"/>
          <w:szCs w:val="22"/>
        </w:rPr>
        <w:t>In 2011</w:t>
      </w:r>
      <w:r w:rsidR="002821C8" w:rsidRPr="00C20EC5">
        <w:rPr>
          <w:rFonts w:ascii="Cambria" w:hAnsi="Cambria"/>
          <w:sz w:val="22"/>
          <w:szCs w:val="22"/>
        </w:rPr>
        <w:t>,</w:t>
      </w:r>
      <w:r w:rsidR="00E671A3" w:rsidRPr="00C20EC5">
        <w:rPr>
          <w:rFonts w:ascii="Cambria" w:hAnsi="Cambria"/>
          <w:sz w:val="22"/>
          <w:szCs w:val="22"/>
        </w:rPr>
        <w:t xml:space="preserve"> t</w:t>
      </w:r>
      <w:r w:rsidRPr="00C20EC5">
        <w:rPr>
          <w:rFonts w:ascii="Cambria" w:hAnsi="Cambria"/>
          <w:sz w:val="22"/>
          <w:szCs w:val="22"/>
        </w:rPr>
        <w:t xml:space="preserve">he average </w:t>
      </w:r>
      <w:r w:rsidR="003D4D91" w:rsidRPr="00C20EC5">
        <w:rPr>
          <w:rFonts w:ascii="Cambria" w:hAnsi="Cambria"/>
          <w:sz w:val="22"/>
          <w:szCs w:val="22"/>
        </w:rPr>
        <w:t xml:space="preserve">monthly </w:t>
      </w:r>
      <w:r w:rsidR="00A47C53">
        <w:rPr>
          <w:rFonts w:ascii="Cambria" w:hAnsi="Cambria"/>
          <w:sz w:val="22"/>
          <w:szCs w:val="22"/>
        </w:rPr>
        <w:t>old-age</w:t>
      </w:r>
      <w:r w:rsidRPr="00C20EC5">
        <w:rPr>
          <w:rFonts w:ascii="Cambria" w:hAnsi="Cambria"/>
          <w:sz w:val="22"/>
          <w:szCs w:val="22"/>
        </w:rPr>
        <w:t xml:space="preserve"> pension was 3</w:t>
      </w:r>
      <w:r w:rsidR="00E671A3" w:rsidRPr="00C20EC5">
        <w:rPr>
          <w:rFonts w:ascii="Cambria" w:hAnsi="Cambria"/>
          <w:sz w:val="22"/>
          <w:szCs w:val="22"/>
        </w:rPr>
        <w:t>,000</w:t>
      </w:r>
      <w:r w:rsidRPr="00C20EC5">
        <w:rPr>
          <w:rFonts w:ascii="Cambria" w:hAnsi="Cambria"/>
          <w:sz w:val="22"/>
          <w:szCs w:val="22"/>
        </w:rPr>
        <w:t xml:space="preserve"> </w:t>
      </w:r>
      <w:proofErr w:type="spellStart"/>
      <w:r w:rsidRPr="00C20EC5">
        <w:rPr>
          <w:rFonts w:ascii="Cambria" w:hAnsi="Cambria"/>
          <w:sz w:val="22"/>
          <w:szCs w:val="22"/>
        </w:rPr>
        <w:t>soms</w:t>
      </w:r>
      <w:proofErr w:type="spellEnd"/>
      <w:r w:rsidR="009969D8" w:rsidRPr="00C20EC5">
        <w:rPr>
          <w:rFonts w:ascii="Cambria" w:hAnsi="Cambria"/>
          <w:sz w:val="22"/>
          <w:szCs w:val="22"/>
        </w:rPr>
        <w:t>, or less than 80</w:t>
      </w:r>
      <w:r w:rsidR="002B409D">
        <w:rPr>
          <w:rFonts w:ascii="Cambria" w:hAnsi="Cambria"/>
          <w:sz w:val="22"/>
          <w:szCs w:val="22"/>
        </w:rPr>
        <w:t xml:space="preserve"> percent</w:t>
      </w:r>
      <w:r w:rsidR="009969D8" w:rsidRPr="00C20EC5">
        <w:rPr>
          <w:rFonts w:ascii="Cambria" w:hAnsi="Cambria"/>
          <w:sz w:val="22"/>
          <w:szCs w:val="22"/>
        </w:rPr>
        <w:t xml:space="preserve"> of the minimum subsistence level for </w:t>
      </w:r>
      <w:r w:rsidR="00A47C53">
        <w:rPr>
          <w:rFonts w:ascii="Cambria" w:hAnsi="Cambria"/>
          <w:sz w:val="22"/>
          <w:szCs w:val="22"/>
        </w:rPr>
        <w:t>old-age</w:t>
      </w:r>
      <w:r w:rsidR="009969D8" w:rsidRPr="00C20EC5">
        <w:rPr>
          <w:rFonts w:ascii="Cambria" w:hAnsi="Cambria"/>
          <w:sz w:val="22"/>
          <w:szCs w:val="22"/>
        </w:rPr>
        <w:t xml:space="preserve"> estimated by the National Committee for Statistics</w:t>
      </w:r>
      <w:r w:rsidRPr="00C20EC5">
        <w:rPr>
          <w:rFonts w:ascii="Cambria" w:hAnsi="Cambria"/>
          <w:sz w:val="22"/>
          <w:szCs w:val="22"/>
        </w:rPr>
        <w:t xml:space="preserve">. </w:t>
      </w:r>
      <w:r w:rsidR="005F2BBF" w:rsidRPr="00C20EC5">
        <w:rPr>
          <w:rFonts w:ascii="Cambria" w:hAnsi="Cambria"/>
          <w:sz w:val="22"/>
          <w:szCs w:val="22"/>
        </w:rPr>
        <w:t>Though i</w:t>
      </w:r>
      <w:r w:rsidR="009A6F71" w:rsidRPr="00C20EC5">
        <w:rPr>
          <w:rFonts w:ascii="Cambria" w:hAnsi="Cambria"/>
          <w:sz w:val="22"/>
          <w:szCs w:val="22"/>
        </w:rPr>
        <w:t xml:space="preserve">n 2012 </w:t>
      </w:r>
      <w:r w:rsidR="005F2BBF" w:rsidRPr="00C20EC5">
        <w:rPr>
          <w:rFonts w:ascii="Cambria" w:hAnsi="Cambria"/>
          <w:sz w:val="22"/>
          <w:szCs w:val="22"/>
        </w:rPr>
        <w:t>it</w:t>
      </w:r>
      <w:r w:rsidR="009A6F71" w:rsidRPr="00C20EC5">
        <w:rPr>
          <w:rFonts w:ascii="Cambria" w:hAnsi="Cambria"/>
          <w:sz w:val="22"/>
          <w:szCs w:val="22"/>
        </w:rPr>
        <w:t xml:space="preserve"> </w:t>
      </w:r>
      <w:r w:rsidR="00056384" w:rsidRPr="00C20EC5">
        <w:rPr>
          <w:rFonts w:ascii="Cambria" w:hAnsi="Cambria"/>
          <w:sz w:val="22"/>
          <w:szCs w:val="22"/>
        </w:rPr>
        <w:t xml:space="preserve">increased to </w:t>
      </w:r>
      <w:r w:rsidR="009A6F71" w:rsidRPr="00C20EC5">
        <w:rPr>
          <w:rFonts w:ascii="Cambria" w:hAnsi="Cambria"/>
          <w:sz w:val="22"/>
          <w:szCs w:val="22"/>
        </w:rPr>
        <w:t>95</w:t>
      </w:r>
      <w:r w:rsidR="002B409D">
        <w:rPr>
          <w:rFonts w:ascii="Cambria" w:hAnsi="Cambria"/>
          <w:sz w:val="22"/>
          <w:szCs w:val="22"/>
        </w:rPr>
        <w:t xml:space="preserve"> percent</w:t>
      </w:r>
      <w:r w:rsidR="00B47C5B">
        <w:rPr>
          <w:rFonts w:ascii="Cambria" w:hAnsi="Cambria"/>
          <w:sz w:val="22"/>
          <w:szCs w:val="22"/>
        </w:rPr>
        <w:t xml:space="preserve"> of the minimum subsistence level,</w:t>
      </w:r>
      <w:r w:rsidR="009A6F71" w:rsidRPr="00C20EC5">
        <w:rPr>
          <w:rFonts w:ascii="Cambria" w:hAnsi="Cambria"/>
          <w:sz w:val="22"/>
          <w:szCs w:val="22"/>
        </w:rPr>
        <w:t xml:space="preserve"> </w:t>
      </w:r>
      <w:r w:rsidR="005F2BBF" w:rsidRPr="00C20EC5">
        <w:rPr>
          <w:rFonts w:ascii="Cambria" w:hAnsi="Cambria"/>
          <w:sz w:val="22"/>
          <w:szCs w:val="22"/>
        </w:rPr>
        <w:t>still more than 60</w:t>
      </w:r>
      <w:r w:rsidR="002B409D">
        <w:rPr>
          <w:rFonts w:ascii="Cambria" w:hAnsi="Cambria"/>
          <w:sz w:val="22"/>
          <w:szCs w:val="22"/>
        </w:rPr>
        <w:t xml:space="preserve"> percent</w:t>
      </w:r>
      <w:r w:rsidR="005F2BBF" w:rsidRPr="00C20EC5">
        <w:rPr>
          <w:rFonts w:ascii="Cambria" w:hAnsi="Cambria"/>
          <w:sz w:val="22"/>
          <w:szCs w:val="22"/>
        </w:rPr>
        <w:t xml:space="preserve"> of pensioners remain</w:t>
      </w:r>
      <w:r w:rsidR="00746056" w:rsidRPr="00C20EC5">
        <w:rPr>
          <w:rFonts w:ascii="Cambria" w:hAnsi="Cambria"/>
          <w:sz w:val="22"/>
          <w:szCs w:val="22"/>
        </w:rPr>
        <w:t>ed</w:t>
      </w:r>
      <w:r w:rsidR="005F2BBF" w:rsidRPr="00C20EC5">
        <w:rPr>
          <w:rFonts w:ascii="Cambria" w:hAnsi="Cambria"/>
          <w:sz w:val="22"/>
          <w:szCs w:val="22"/>
        </w:rPr>
        <w:t xml:space="preserve"> below the </w:t>
      </w:r>
      <w:r w:rsidR="00746056" w:rsidRPr="00C20EC5">
        <w:rPr>
          <w:rFonts w:ascii="Cambria" w:hAnsi="Cambria"/>
          <w:sz w:val="22"/>
          <w:szCs w:val="22"/>
        </w:rPr>
        <w:t>poverty line</w:t>
      </w:r>
      <w:r w:rsidR="00AE6795" w:rsidRPr="00C20EC5">
        <w:rPr>
          <w:rFonts w:ascii="Cambria" w:hAnsi="Cambria"/>
          <w:sz w:val="22"/>
          <w:szCs w:val="22"/>
        </w:rPr>
        <w:t xml:space="preserve"> as defined by the national statistics</w:t>
      </w:r>
      <w:r w:rsidR="005F2BBF" w:rsidRPr="00C20EC5">
        <w:rPr>
          <w:rFonts w:ascii="Cambria" w:hAnsi="Cambria"/>
          <w:sz w:val="22"/>
          <w:szCs w:val="22"/>
        </w:rPr>
        <w:t>.</w:t>
      </w:r>
      <w:r w:rsidR="00465A57" w:rsidRPr="00C20EC5">
        <w:rPr>
          <w:rFonts w:ascii="Cambria" w:hAnsi="Cambria"/>
          <w:sz w:val="22"/>
          <w:szCs w:val="22"/>
        </w:rPr>
        <w:t xml:space="preserve"> </w:t>
      </w:r>
      <w:r w:rsidR="00DE2070" w:rsidRPr="00C20EC5">
        <w:rPr>
          <w:rFonts w:ascii="Cambria" w:hAnsi="Cambria"/>
          <w:sz w:val="22"/>
          <w:szCs w:val="22"/>
        </w:rPr>
        <w:t>At the same time</w:t>
      </w:r>
      <w:r w:rsidR="00746056" w:rsidRPr="00C20EC5">
        <w:rPr>
          <w:rFonts w:ascii="Cambria" w:hAnsi="Cambria"/>
          <w:sz w:val="22"/>
          <w:szCs w:val="22"/>
        </w:rPr>
        <w:t xml:space="preserve">, if compared with </w:t>
      </w:r>
      <w:r w:rsidR="00465A57" w:rsidRPr="00C20EC5">
        <w:rPr>
          <w:rFonts w:ascii="Cambria" w:hAnsi="Cambria"/>
          <w:sz w:val="22"/>
          <w:szCs w:val="22"/>
        </w:rPr>
        <w:t xml:space="preserve">World Bank </w:t>
      </w:r>
      <w:r w:rsidR="00746056" w:rsidRPr="00C20EC5">
        <w:rPr>
          <w:rFonts w:ascii="Cambria" w:hAnsi="Cambria"/>
          <w:sz w:val="22"/>
          <w:szCs w:val="22"/>
        </w:rPr>
        <w:t xml:space="preserve">poverty line </w:t>
      </w:r>
      <w:r w:rsidR="00465A57" w:rsidRPr="00C20EC5">
        <w:rPr>
          <w:rFonts w:ascii="Cambria" w:hAnsi="Cambria"/>
          <w:sz w:val="22"/>
          <w:szCs w:val="22"/>
        </w:rPr>
        <w:t xml:space="preserve">estimates for </w:t>
      </w:r>
      <w:r w:rsidR="000D1E43">
        <w:rPr>
          <w:rFonts w:ascii="Cambria" w:hAnsi="Cambria"/>
          <w:sz w:val="22"/>
          <w:szCs w:val="22"/>
        </w:rPr>
        <w:t xml:space="preserve">the </w:t>
      </w:r>
      <w:r w:rsidR="000D1E43" w:rsidRPr="00C20EC5">
        <w:rPr>
          <w:rFonts w:ascii="Cambria" w:hAnsi="Cambria"/>
          <w:sz w:val="22"/>
          <w:szCs w:val="22"/>
        </w:rPr>
        <w:t>Kyrgyz</w:t>
      </w:r>
      <w:r w:rsidR="000D1E43">
        <w:rPr>
          <w:rFonts w:ascii="Cambria" w:hAnsi="Cambria"/>
          <w:sz w:val="22"/>
          <w:szCs w:val="22"/>
        </w:rPr>
        <w:t xml:space="preserve"> Republic</w:t>
      </w:r>
      <w:r w:rsidR="00465A57" w:rsidRPr="00C20EC5">
        <w:rPr>
          <w:rFonts w:ascii="Cambria" w:hAnsi="Cambria"/>
          <w:sz w:val="22"/>
          <w:szCs w:val="22"/>
        </w:rPr>
        <w:t xml:space="preserve">, </w:t>
      </w:r>
      <w:r w:rsidR="00746056" w:rsidRPr="00C20EC5">
        <w:rPr>
          <w:rFonts w:ascii="Cambria" w:hAnsi="Cambria"/>
          <w:sz w:val="22"/>
          <w:szCs w:val="22"/>
        </w:rPr>
        <w:t>the average pension does not look that low: about 140</w:t>
      </w:r>
      <w:r w:rsidR="002B409D">
        <w:rPr>
          <w:rFonts w:ascii="Cambria" w:hAnsi="Cambria"/>
          <w:sz w:val="22"/>
          <w:szCs w:val="22"/>
        </w:rPr>
        <w:t xml:space="preserve"> percent</w:t>
      </w:r>
      <w:r w:rsidR="00746056" w:rsidRPr="00C20EC5">
        <w:rPr>
          <w:rFonts w:ascii="Cambria" w:hAnsi="Cambria"/>
          <w:sz w:val="22"/>
          <w:szCs w:val="22"/>
        </w:rPr>
        <w:t xml:space="preserve"> of the absolute and 230</w:t>
      </w:r>
      <w:r w:rsidR="002B409D">
        <w:rPr>
          <w:rFonts w:ascii="Cambria" w:hAnsi="Cambria"/>
          <w:sz w:val="22"/>
          <w:szCs w:val="22"/>
        </w:rPr>
        <w:t xml:space="preserve"> percent</w:t>
      </w:r>
      <w:r w:rsidR="00746056" w:rsidRPr="00C20EC5">
        <w:rPr>
          <w:rFonts w:ascii="Cambria" w:hAnsi="Cambria"/>
          <w:sz w:val="22"/>
          <w:szCs w:val="22"/>
        </w:rPr>
        <w:t xml:space="preserve"> of the food poverty line.</w:t>
      </w:r>
      <w:r w:rsidR="00926354" w:rsidRPr="00C20EC5">
        <w:rPr>
          <w:rFonts w:ascii="Cambria" w:hAnsi="Cambria"/>
          <w:sz w:val="22"/>
          <w:szCs w:val="22"/>
        </w:rPr>
        <w:t xml:space="preserve"> </w:t>
      </w:r>
      <w:r w:rsidR="00AE6795" w:rsidRPr="00C20EC5">
        <w:rPr>
          <w:rFonts w:ascii="Cambria" w:hAnsi="Cambria"/>
          <w:sz w:val="22"/>
          <w:szCs w:val="22"/>
        </w:rPr>
        <w:t>R</w:t>
      </w:r>
      <w:r w:rsidR="00483E58" w:rsidRPr="00C20EC5">
        <w:rPr>
          <w:rFonts w:ascii="Cambria" w:hAnsi="Cambria"/>
          <w:sz w:val="22"/>
          <w:szCs w:val="22"/>
        </w:rPr>
        <w:t xml:space="preserve">elative </w:t>
      </w:r>
      <w:r w:rsidR="00AE6795" w:rsidRPr="00C20EC5">
        <w:rPr>
          <w:rFonts w:ascii="Cambria" w:hAnsi="Cambria"/>
          <w:sz w:val="22"/>
          <w:szCs w:val="22"/>
        </w:rPr>
        <w:t>to wages</w:t>
      </w:r>
      <w:r w:rsidR="00483E58" w:rsidRPr="00C20EC5">
        <w:rPr>
          <w:rFonts w:ascii="Cambria" w:hAnsi="Cambria"/>
          <w:sz w:val="22"/>
          <w:szCs w:val="22"/>
        </w:rPr>
        <w:t>,</w:t>
      </w:r>
      <w:r w:rsidRPr="00C20EC5">
        <w:rPr>
          <w:rFonts w:ascii="Cambria" w:hAnsi="Cambria"/>
          <w:sz w:val="22"/>
          <w:szCs w:val="22"/>
        </w:rPr>
        <w:t xml:space="preserve"> </w:t>
      </w:r>
      <w:r w:rsidR="00E264D0" w:rsidRPr="00C20EC5">
        <w:rPr>
          <w:rFonts w:ascii="Cambria" w:hAnsi="Cambria"/>
          <w:sz w:val="22"/>
          <w:szCs w:val="22"/>
        </w:rPr>
        <w:t xml:space="preserve">current </w:t>
      </w:r>
      <w:r w:rsidRPr="00C20EC5">
        <w:rPr>
          <w:rFonts w:ascii="Cambria" w:hAnsi="Cambria"/>
          <w:sz w:val="22"/>
          <w:szCs w:val="22"/>
        </w:rPr>
        <w:t xml:space="preserve">pension levels </w:t>
      </w:r>
      <w:r w:rsidR="002821C8" w:rsidRPr="00C20EC5">
        <w:rPr>
          <w:rFonts w:ascii="Cambria" w:hAnsi="Cambria"/>
          <w:sz w:val="22"/>
          <w:szCs w:val="22"/>
        </w:rPr>
        <w:t>can be considered</w:t>
      </w:r>
      <w:r w:rsidRPr="00C20EC5">
        <w:rPr>
          <w:rFonts w:ascii="Cambria" w:hAnsi="Cambria"/>
          <w:sz w:val="22"/>
          <w:szCs w:val="22"/>
        </w:rPr>
        <w:t xml:space="preserve"> </w:t>
      </w:r>
      <w:r w:rsidR="00247B1E" w:rsidRPr="00C20EC5">
        <w:rPr>
          <w:rFonts w:ascii="Cambria" w:hAnsi="Cambria"/>
          <w:sz w:val="22"/>
          <w:szCs w:val="22"/>
        </w:rPr>
        <w:t>rather</w:t>
      </w:r>
      <w:r w:rsidR="00E264D0" w:rsidRPr="00C20EC5">
        <w:rPr>
          <w:rFonts w:ascii="Cambria" w:hAnsi="Cambria"/>
          <w:sz w:val="22"/>
          <w:szCs w:val="22"/>
        </w:rPr>
        <w:t xml:space="preserve"> </w:t>
      </w:r>
      <w:r w:rsidR="002821C8" w:rsidRPr="00C20EC5">
        <w:rPr>
          <w:rFonts w:ascii="Cambria" w:hAnsi="Cambria"/>
          <w:sz w:val="22"/>
          <w:szCs w:val="22"/>
        </w:rPr>
        <w:t>reasonable</w:t>
      </w:r>
      <w:r w:rsidRPr="00C20EC5">
        <w:rPr>
          <w:rFonts w:ascii="Cambria" w:hAnsi="Cambria"/>
          <w:sz w:val="22"/>
          <w:szCs w:val="22"/>
        </w:rPr>
        <w:t xml:space="preserve"> by international standards</w:t>
      </w:r>
      <w:r w:rsidR="00E25292" w:rsidRPr="00C20EC5">
        <w:rPr>
          <w:rFonts w:ascii="Cambria" w:hAnsi="Cambria"/>
          <w:sz w:val="22"/>
          <w:szCs w:val="22"/>
        </w:rPr>
        <w:t>, though on a lower end</w:t>
      </w:r>
      <w:r w:rsidRPr="00C20EC5">
        <w:rPr>
          <w:rFonts w:ascii="Cambria" w:hAnsi="Cambria"/>
          <w:sz w:val="22"/>
          <w:szCs w:val="22"/>
        </w:rPr>
        <w:t xml:space="preserve">: in 2011 the average </w:t>
      </w:r>
      <w:r w:rsidR="00A47C53">
        <w:rPr>
          <w:rFonts w:ascii="Cambria" w:hAnsi="Cambria"/>
          <w:sz w:val="22"/>
          <w:szCs w:val="22"/>
        </w:rPr>
        <w:t>old-age</w:t>
      </w:r>
      <w:r w:rsidRPr="00C20EC5">
        <w:rPr>
          <w:rFonts w:ascii="Cambria" w:hAnsi="Cambria"/>
          <w:sz w:val="22"/>
          <w:szCs w:val="22"/>
        </w:rPr>
        <w:t xml:space="preserve"> pension was 43</w:t>
      </w:r>
      <w:r w:rsidR="002B409D">
        <w:rPr>
          <w:rFonts w:ascii="Cambria" w:hAnsi="Cambria"/>
          <w:sz w:val="22"/>
          <w:szCs w:val="22"/>
        </w:rPr>
        <w:t xml:space="preserve"> percent</w:t>
      </w:r>
      <w:r w:rsidRPr="00C20EC5">
        <w:rPr>
          <w:rFonts w:ascii="Cambria" w:hAnsi="Cambria"/>
          <w:sz w:val="22"/>
          <w:szCs w:val="22"/>
        </w:rPr>
        <w:t xml:space="preserve"> of the average wage of </w:t>
      </w:r>
      <w:r w:rsidRPr="00C20EC5">
        <w:rPr>
          <w:rFonts w:ascii="Cambria" w:hAnsi="Cambria"/>
          <w:sz w:val="22"/>
          <w:szCs w:val="22"/>
        </w:rPr>
        <w:lastRenderedPageBreak/>
        <w:t xml:space="preserve">the covered population. </w:t>
      </w:r>
      <w:r w:rsidR="007A2CCA" w:rsidRPr="00C20EC5">
        <w:rPr>
          <w:rFonts w:ascii="Cambria" w:hAnsi="Cambria"/>
          <w:sz w:val="22"/>
          <w:szCs w:val="22"/>
        </w:rPr>
        <w:t>However, there is a troubling trend</w:t>
      </w:r>
      <w:r w:rsidR="00E264D0" w:rsidRPr="00C20EC5">
        <w:rPr>
          <w:rFonts w:ascii="Cambria" w:hAnsi="Cambria"/>
          <w:sz w:val="22"/>
          <w:szCs w:val="22"/>
        </w:rPr>
        <w:t xml:space="preserve"> for</w:t>
      </w:r>
      <w:r w:rsidR="00E3113B" w:rsidRPr="00C20EC5">
        <w:rPr>
          <w:rFonts w:ascii="Cambria" w:hAnsi="Cambria"/>
          <w:sz w:val="22"/>
          <w:szCs w:val="22"/>
        </w:rPr>
        <w:t xml:space="preserve"> replacement rates </w:t>
      </w:r>
      <w:r w:rsidR="00497428" w:rsidRPr="00C20EC5">
        <w:rPr>
          <w:rFonts w:ascii="Cambria" w:hAnsi="Cambria"/>
          <w:sz w:val="22"/>
          <w:szCs w:val="22"/>
        </w:rPr>
        <w:t>to decrease</w:t>
      </w:r>
      <w:r w:rsidR="00B47C5B">
        <w:rPr>
          <w:rFonts w:ascii="Cambria" w:hAnsi="Cambria"/>
          <w:sz w:val="22"/>
          <w:szCs w:val="22"/>
        </w:rPr>
        <w:t>,</w:t>
      </w:r>
      <w:r w:rsidR="007E5476" w:rsidRPr="00C20EC5">
        <w:rPr>
          <w:rFonts w:ascii="Cambria" w:hAnsi="Cambria"/>
          <w:sz w:val="22"/>
          <w:szCs w:val="22"/>
        </w:rPr>
        <w:t xml:space="preserve"> </w:t>
      </w:r>
      <w:r w:rsidR="00F512FB" w:rsidRPr="00C20EC5">
        <w:rPr>
          <w:rFonts w:ascii="Cambria" w:hAnsi="Cambria"/>
          <w:sz w:val="22"/>
          <w:szCs w:val="22"/>
        </w:rPr>
        <w:t xml:space="preserve">which is </w:t>
      </w:r>
      <w:r w:rsidR="007E5476" w:rsidRPr="00C20EC5">
        <w:rPr>
          <w:rFonts w:ascii="Cambria" w:hAnsi="Cambria"/>
          <w:sz w:val="22"/>
          <w:szCs w:val="22"/>
        </w:rPr>
        <w:t xml:space="preserve">driven by some built-in </w:t>
      </w:r>
      <w:r w:rsidR="00BB631A" w:rsidRPr="00C20EC5">
        <w:rPr>
          <w:rFonts w:ascii="Cambria" w:hAnsi="Cambria"/>
          <w:sz w:val="22"/>
          <w:szCs w:val="22"/>
        </w:rPr>
        <w:t xml:space="preserve">benefit </w:t>
      </w:r>
      <w:r w:rsidR="007E5476" w:rsidRPr="00C20EC5">
        <w:rPr>
          <w:rFonts w:ascii="Cambria" w:hAnsi="Cambria"/>
          <w:sz w:val="22"/>
          <w:szCs w:val="22"/>
        </w:rPr>
        <w:t>design features</w:t>
      </w:r>
      <w:r w:rsidR="007E3DE2" w:rsidRPr="00C20EC5">
        <w:rPr>
          <w:rFonts w:ascii="Cambria" w:hAnsi="Cambria"/>
          <w:sz w:val="22"/>
          <w:szCs w:val="22"/>
        </w:rPr>
        <w:t xml:space="preserve"> discussed below</w:t>
      </w:r>
      <w:r w:rsidR="007E5476" w:rsidRPr="00C20EC5">
        <w:rPr>
          <w:rFonts w:ascii="Cambria" w:hAnsi="Cambria"/>
          <w:sz w:val="22"/>
          <w:szCs w:val="22"/>
        </w:rPr>
        <w:t>.</w:t>
      </w:r>
      <w:r w:rsidR="00E264D0" w:rsidRPr="00C20EC5">
        <w:rPr>
          <w:rFonts w:ascii="Cambria" w:hAnsi="Cambria"/>
          <w:sz w:val="22"/>
          <w:szCs w:val="22"/>
        </w:rPr>
        <w:t xml:space="preserve"> </w:t>
      </w:r>
    </w:p>
    <w:p w14:paraId="40800795" w14:textId="77777777" w:rsidR="00B85CEF" w:rsidRPr="00C20EC5" w:rsidRDefault="00B85CEF" w:rsidP="00876F35">
      <w:pPr>
        <w:numPr>
          <w:ilvl w:val="0"/>
          <w:numId w:val="3"/>
        </w:numPr>
        <w:spacing w:before="240" w:after="240"/>
        <w:jc w:val="both"/>
        <w:rPr>
          <w:rFonts w:ascii="Cambria" w:hAnsi="Cambria"/>
          <w:sz w:val="22"/>
          <w:szCs w:val="22"/>
        </w:rPr>
      </w:pPr>
      <w:r w:rsidRPr="009656CE">
        <w:rPr>
          <w:rFonts w:ascii="Cambria" w:hAnsi="Cambria"/>
          <w:b/>
          <w:sz w:val="22"/>
          <w:szCs w:val="22"/>
        </w:rPr>
        <w:t>Pension levels are determined by the benefit structure and indexation policy for post-retirement benefits</w:t>
      </w:r>
      <w:r w:rsidRPr="00C20EC5">
        <w:rPr>
          <w:rFonts w:ascii="Cambria" w:hAnsi="Cambria"/>
          <w:sz w:val="22"/>
          <w:szCs w:val="22"/>
        </w:rPr>
        <w:t xml:space="preserve">. Currently, benefits calculated at retirement consist of three components: (1) basic pension, (2) transition, or pre-reform portion (SP1), and (3) NDC, or post-reform portion (SP2). SP1 and SP2 together form the earnings-related part of pensions, or what the law calls “insurance” pension. In the future, an FFDC part will be added either in the form of a regular benefit or a lump sum. </w:t>
      </w:r>
    </w:p>
    <w:p w14:paraId="0AAFBCCB" w14:textId="2B87D31E" w:rsidR="00C4765E" w:rsidRPr="00C20EC5" w:rsidRDefault="00B85CEF" w:rsidP="00876F35">
      <w:pPr>
        <w:numPr>
          <w:ilvl w:val="0"/>
          <w:numId w:val="3"/>
        </w:numPr>
        <w:spacing w:before="240" w:after="240"/>
        <w:jc w:val="both"/>
        <w:rPr>
          <w:rFonts w:ascii="Cambria" w:hAnsi="Cambria"/>
          <w:sz w:val="22"/>
          <w:szCs w:val="22"/>
        </w:rPr>
      </w:pPr>
      <w:r w:rsidRPr="009656CE">
        <w:rPr>
          <w:rFonts w:ascii="Cambria" w:hAnsi="Cambria"/>
          <w:b/>
          <w:sz w:val="22"/>
          <w:szCs w:val="22"/>
        </w:rPr>
        <w:t xml:space="preserve">The basic pension component is a flat benefit paid in full to pensioners with </w:t>
      </w:r>
      <w:r w:rsidR="007E3728" w:rsidRPr="009656CE">
        <w:rPr>
          <w:rFonts w:ascii="Cambria" w:hAnsi="Cambria"/>
          <w:b/>
          <w:sz w:val="22"/>
          <w:szCs w:val="22"/>
        </w:rPr>
        <w:t xml:space="preserve">a </w:t>
      </w:r>
      <w:r w:rsidRPr="009656CE">
        <w:rPr>
          <w:rFonts w:ascii="Cambria" w:hAnsi="Cambria"/>
          <w:b/>
          <w:sz w:val="22"/>
          <w:szCs w:val="22"/>
        </w:rPr>
        <w:t>minimum 25/20 years of contributions (men/women)</w:t>
      </w:r>
      <w:r w:rsidR="00A671D9">
        <w:rPr>
          <w:rFonts w:ascii="Cambria" w:hAnsi="Cambria"/>
          <w:b/>
          <w:sz w:val="22"/>
          <w:szCs w:val="22"/>
        </w:rPr>
        <w:t xml:space="preserve">. </w:t>
      </w:r>
      <w:r w:rsidR="00A671D9" w:rsidRPr="009656CE">
        <w:rPr>
          <w:rFonts w:ascii="Cambria" w:hAnsi="Cambria"/>
          <w:sz w:val="22"/>
          <w:szCs w:val="22"/>
        </w:rPr>
        <w:t xml:space="preserve">The benefit is paid </w:t>
      </w:r>
      <w:r w:rsidRPr="00C20EC5">
        <w:rPr>
          <w:rFonts w:ascii="Cambria" w:hAnsi="Cambria"/>
          <w:sz w:val="22"/>
          <w:szCs w:val="22"/>
        </w:rPr>
        <w:t xml:space="preserve">on a prorated basis to those with shorter careers. It is currently set at 1,500 </w:t>
      </w:r>
      <w:proofErr w:type="spellStart"/>
      <w:r w:rsidRPr="00C20EC5">
        <w:rPr>
          <w:rFonts w:ascii="Cambria" w:hAnsi="Cambria"/>
          <w:sz w:val="22"/>
          <w:szCs w:val="22"/>
        </w:rPr>
        <w:t>soms</w:t>
      </w:r>
      <w:proofErr w:type="spellEnd"/>
      <w:r w:rsidRPr="00C20EC5">
        <w:rPr>
          <w:rFonts w:ascii="Cambria" w:hAnsi="Cambria"/>
          <w:sz w:val="22"/>
          <w:szCs w:val="22"/>
        </w:rPr>
        <w:t>, or about 15</w:t>
      </w:r>
      <w:r w:rsidR="002B409D">
        <w:rPr>
          <w:rFonts w:ascii="Cambria" w:hAnsi="Cambria"/>
          <w:sz w:val="22"/>
          <w:szCs w:val="22"/>
        </w:rPr>
        <w:t xml:space="preserve"> percent</w:t>
      </w:r>
      <w:r w:rsidRPr="00C20EC5">
        <w:rPr>
          <w:rFonts w:ascii="Cambria" w:hAnsi="Cambria"/>
          <w:sz w:val="22"/>
          <w:szCs w:val="22"/>
        </w:rPr>
        <w:t xml:space="preserve"> of the average wage of contributors</w:t>
      </w:r>
      <w:r w:rsidR="006758D0">
        <w:rPr>
          <w:rFonts w:ascii="Cambria" w:hAnsi="Cambria"/>
          <w:sz w:val="22"/>
          <w:szCs w:val="22"/>
        </w:rPr>
        <w:t xml:space="preserve"> estimated for 2013</w:t>
      </w:r>
      <w:r w:rsidRPr="00C20EC5">
        <w:rPr>
          <w:rFonts w:ascii="Cambria" w:hAnsi="Cambria"/>
          <w:sz w:val="22"/>
          <w:szCs w:val="22"/>
        </w:rPr>
        <w:t>, and increases in line with wage growth</w:t>
      </w:r>
      <w:r w:rsidR="007E3728">
        <w:rPr>
          <w:rFonts w:ascii="Cambria" w:hAnsi="Cambria"/>
          <w:sz w:val="22"/>
          <w:szCs w:val="22"/>
        </w:rPr>
        <w:t>.</w:t>
      </w:r>
      <w:r w:rsidRPr="00C20EC5">
        <w:rPr>
          <w:rStyle w:val="FootnoteReference"/>
          <w:rFonts w:ascii="Cambria" w:hAnsi="Cambria"/>
          <w:sz w:val="22"/>
          <w:szCs w:val="22"/>
        </w:rPr>
        <w:footnoteReference w:id="8"/>
      </w:r>
      <w:r w:rsidRPr="00C20EC5">
        <w:rPr>
          <w:rFonts w:ascii="Cambria" w:hAnsi="Cambria"/>
          <w:sz w:val="22"/>
          <w:szCs w:val="22"/>
        </w:rPr>
        <w:t xml:space="preserve"> The share of the basic pension in the total average </w:t>
      </w:r>
      <w:r w:rsidR="00A47C53">
        <w:rPr>
          <w:rFonts w:ascii="Cambria" w:hAnsi="Cambria"/>
          <w:sz w:val="22"/>
          <w:szCs w:val="22"/>
        </w:rPr>
        <w:t>old-age</w:t>
      </w:r>
      <w:r w:rsidRPr="00C20EC5">
        <w:rPr>
          <w:rFonts w:ascii="Cambria" w:hAnsi="Cambria"/>
          <w:sz w:val="22"/>
          <w:szCs w:val="22"/>
        </w:rPr>
        <w:t xml:space="preserve"> pension is large</w:t>
      </w:r>
      <w:r w:rsidR="007E3728">
        <w:rPr>
          <w:rFonts w:ascii="Cambria" w:hAnsi="Cambria"/>
          <w:sz w:val="22"/>
          <w:szCs w:val="22"/>
        </w:rPr>
        <w:t>—</w:t>
      </w:r>
      <w:r w:rsidRPr="00C20EC5">
        <w:rPr>
          <w:rFonts w:ascii="Cambria" w:hAnsi="Cambria"/>
          <w:sz w:val="22"/>
          <w:szCs w:val="22"/>
        </w:rPr>
        <w:t>37-38</w:t>
      </w:r>
      <w:r w:rsidR="002B409D">
        <w:rPr>
          <w:rFonts w:ascii="Cambria" w:hAnsi="Cambria"/>
          <w:sz w:val="22"/>
          <w:szCs w:val="22"/>
        </w:rPr>
        <w:t xml:space="preserve"> percent</w:t>
      </w:r>
      <w:r w:rsidR="007E3728">
        <w:rPr>
          <w:rFonts w:ascii="Cambria" w:hAnsi="Cambria"/>
          <w:sz w:val="22"/>
          <w:szCs w:val="22"/>
        </w:rPr>
        <w:t>—</w:t>
      </w:r>
      <w:r w:rsidRPr="00C20EC5">
        <w:rPr>
          <w:rFonts w:ascii="Cambria" w:hAnsi="Cambria"/>
          <w:sz w:val="22"/>
          <w:szCs w:val="22"/>
        </w:rPr>
        <w:t xml:space="preserve">making the system highly redistributive from higher to lower income groups. This weakens the link between contributions and benefits and could discourage </w:t>
      </w:r>
      <w:r w:rsidR="007E3728">
        <w:rPr>
          <w:rFonts w:ascii="Cambria" w:hAnsi="Cambria"/>
          <w:sz w:val="22"/>
          <w:szCs w:val="22"/>
        </w:rPr>
        <w:t xml:space="preserve">workers from </w:t>
      </w:r>
      <w:r w:rsidRPr="00C20EC5">
        <w:rPr>
          <w:rFonts w:ascii="Cambria" w:hAnsi="Cambria"/>
          <w:sz w:val="22"/>
          <w:szCs w:val="22"/>
        </w:rPr>
        <w:t xml:space="preserve">contributing beyond the required 25/20 years and/or </w:t>
      </w:r>
      <w:r w:rsidR="007E3728">
        <w:rPr>
          <w:rFonts w:ascii="Cambria" w:hAnsi="Cambria"/>
          <w:sz w:val="22"/>
          <w:szCs w:val="22"/>
        </w:rPr>
        <w:t xml:space="preserve">from </w:t>
      </w:r>
      <w:r w:rsidRPr="00C20EC5">
        <w:rPr>
          <w:rFonts w:ascii="Cambria" w:hAnsi="Cambria"/>
          <w:sz w:val="22"/>
          <w:szCs w:val="22"/>
        </w:rPr>
        <w:t xml:space="preserve">reporting full wages. </w:t>
      </w:r>
    </w:p>
    <w:p w14:paraId="12EA6D2C" w14:textId="0A8E49F8" w:rsidR="00B85CEF" w:rsidRPr="00C20EC5" w:rsidRDefault="00B85CEF" w:rsidP="00876F35">
      <w:pPr>
        <w:numPr>
          <w:ilvl w:val="0"/>
          <w:numId w:val="3"/>
        </w:numPr>
        <w:spacing w:before="240" w:after="240"/>
        <w:jc w:val="both"/>
        <w:rPr>
          <w:rFonts w:ascii="Cambria" w:hAnsi="Cambria"/>
          <w:sz w:val="22"/>
          <w:szCs w:val="22"/>
        </w:rPr>
      </w:pPr>
      <w:r w:rsidRPr="0041654F">
        <w:rPr>
          <w:rFonts w:ascii="Cambria" w:hAnsi="Cambria"/>
          <w:b/>
          <w:sz w:val="22"/>
          <w:szCs w:val="22"/>
        </w:rPr>
        <w:t xml:space="preserve">Proportional reductions for less than 25/20 contribution years raise </w:t>
      </w:r>
      <w:r w:rsidR="001E6606">
        <w:rPr>
          <w:rFonts w:ascii="Cambria" w:hAnsi="Cambria"/>
          <w:b/>
          <w:sz w:val="22"/>
          <w:szCs w:val="22"/>
        </w:rPr>
        <w:t xml:space="preserve">some </w:t>
      </w:r>
      <w:r w:rsidRPr="0041654F">
        <w:rPr>
          <w:rFonts w:ascii="Cambria" w:hAnsi="Cambria"/>
          <w:b/>
          <w:sz w:val="22"/>
          <w:szCs w:val="22"/>
        </w:rPr>
        <w:t>equity issues</w:t>
      </w:r>
      <w:r w:rsidR="00A671D9">
        <w:rPr>
          <w:rFonts w:ascii="Cambria" w:hAnsi="Cambria"/>
          <w:b/>
          <w:sz w:val="22"/>
          <w:szCs w:val="22"/>
        </w:rPr>
        <w:t>.</w:t>
      </w:r>
      <w:r w:rsidRPr="00C20EC5">
        <w:rPr>
          <w:rFonts w:ascii="Cambria" w:hAnsi="Cambria"/>
          <w:sz w:val="22"/>
          <w:szCs w:val="22"/>
        </w:rPr>
        <w:t xml:space="preserve"> </w:t>
      </w:r>
      <w:r w:rsidR="00A671D9">
        <w:rPr>
          <w:rFonts w:ascii="Cambria" w:hAnsi="Cambria"/>
          <w:sz w:val="22"/>
          <w:szCs w:val="22"/>
        </w:rPr>
        <w:t>S</w:t>
      </w:r>
      <w:r w:rsidRPr="00C20EC5">
        <w:rPr>
          <w:rFonts w:ascii="Cambria" w:hAnsi="Cambria"/>
          <w:sz w:val="22"/>
          <w:szCs w:val="22"/>
        </w:rPr>
        <w:t xml:space="preserve">ome beneficiaries, mostly disabled with short careers, receive benefits below social pension (currently 1,000 </w:t>
      </w:r>
      <w:proofErr w:type="spellStart"/>
      <w:r w:rsidRPr="00C20EC5">
        <w:rPr>
          <w:rFonts w:ascii="Cambria" w:hAnsi="Cambria"/>
          <w:sz w:val="22"/>
          <w:szCs w:val="22"/>
        </w:rPr>
        <w:t>soms</w:t>
      </w:r>
      <w:proofErr w:type="spellEnd"/>
      <w:r w:rsidRPr="00C20EC5">
        <w:rPr>
          <w:rFonts w:ascii="Cambria" w:hAnsi="Cambria"/>
          <w:sz w:val="22"/>
          <w:szCs w:val="22"/>
        </w:rPr>
        <w:t>) paid to those who never contributed.</w:t>
      </w:r>
      <w:r w:rsidR="00C4765E" w:rsidRPr="00C20EC5">
        <w:rPr>
          <w:rFonts w:ascii="Cambria" w:hAnsi="Cambria"/>
          <w:sz w:val="22"/>
          <w:szCs w:val="22"/>
        </w:rPr>
        <w:t xml:space="preserve"> </w:t>
      </w:r>
      <w:r w:rsidR="003557A9" w:rsidRPr="00C20EC5">
        <w:rPr>
          <w:rFonts w:ascii="Cambria" w:hAnsi="Cambria"/>
          <w:sz w:val="22"/>
          <w:szCs w:val="22"/>
        </w:rPr>
        <w:t>There are pros and cons for linking basic pension amount to years of contributions. Proportional reductions diminish redistribution from contributors with longer careers to those with shorter careers and provide better incentives to contribute. Giving full credit to disabled for years between when they become disabled and the retirement age (as some countries do) would take care of this category.</w:t>
      </w:r>
    </w:p>
    <w:p w14:paraId="466AF804" w14:textId="18C35E99" w:rsidR="00B85CEF" w:rsidRPr="00C20EC5" w:rsidRDefault="00B85CEF" w:rsidP="00876F35">
      <w:pPr>
        <w:numPr>
          <w:ilvl w:val="0"/>
          <w:numId w:val="3"/>
        </w:numPr>
        <w:spacing w:before="240" w:after="240"/>
        <w:jc w:val="both"/>
        <w:rPr>
          <w:rFonts w:ascii="Cambria" w:hAnsi="Cambria"/>
          <w:sz w:val="22"/>
          <w:szCs w:val="22"/>
        </w:rPr>
      </w:pPr>
      <w:r w:rsidRPr="0041654F">
        <w:rPr>
          <w:rFonts w:ascii="Cambria" w:hAnsi="Cambria"/>
          <w:b/>
          <w:sz w:val="22"/>
          <w:szCs w:val="22"/>
        </w:rPr>
        <w:t xml:space="preserve">The transition portion (SP1) is </w:t>
      </w:r>
      <w:r w:rsidR="00A671D9" w:rsidRPr="0041654F">
        <w:rPr>
          <w:rFonts w:ascii="Cambria" w:hAnsi="Cambria"/>
          <w:b/>
          <w:sz w:val="22"/>
          <w:szCs w:val="22"/>
        </w:rPr>
        <w:t>pay-</w:t>
      </w:r>
      <w:r w:rsidR="0057115C">
        <w:rPr>
          <w:rFonts w:ascii="Cambria" w:hAnsi="Cambria"/>
          <w:b/>
          <w:sz w:val="22"/>
          <w:szCs w:val="22"/>
        </w:rPr>
        <w:t>as-you-</w:t>
      </w:r>
      <w:r w:rsidR="00A671D9" w:rsidRPr="0041654F">
        <w:rPr>
          <w:rFonts w:ascii="Cambria" w:hAnsi="Cambria"/>
          <w:b/>
          <w:sz w:val="22"/>
          <w:szCs w:val="22"/>
        </w:rPr>
        <w:t>go system typical of countries in ECA which is being phased-out</w:t>
      </w:r>
      <w:r w:rsidR="00A671D9">
        <w:rPr>
          <w:rFonts w:ascii="Cambria" w:hAnsi="Cambria"/>
          <w:sz w:val="22"/>
          <w:szCs w:val="22"/>
        </w:rPr>
        <w:t xml:space="preserve">.  It is </w:t>
      </w:r>
      <w:r w:rsidRPr="00C20EC5">
        <w:rPr>
          <w:rFonts w:ascii="Cambria" w:hAnsi="Cambria"/>
          <w:sz w:val="22"/>
          <w:szCs w:val="22"/>
        </w:rPr>
        <w:t>a defined benefit component paying for pension rights accrued under the pre-reform system: 1</w:t>
      </w:r>
      <w:r w:rsidR="002B409D">
        <w:rPr>
          <w:rFonts w:ascii="Cambria" w:hAnsi="Cambria"/>
          <w:sz w:val="22"/>
          <w:szCs w:val="22"/>
        </w:rPr>
        <w:t xml:space="preserve"> percent</w:t>
      </w:r>
      <w:r w:rsidRPr="00C20EC5">
        <w:rPr>
          <w:rFonts w:ascii="Cambria" w:hAnsi="Cambria"/>
          <w:sz w:val="22"/>
          <w:szCs w:val="22"/>
        </w:rPr>
        <w:t xml:space="preserve"> accrual rate for each year of contributions prior to 1996 applied to individual’s best 5 year average wage over the same period. Individual wages used in the calculations are updated roughly in line with average wage growth. It is expected that by around 203</w:t>
      </w:r>
      <w:r w:rsidR="006B38CC" w:rsidRPr="00C20EC5">
        <w:rPr>
          <w:rFonts w:ascii="Cambria" w:hAnsi="Cambria"/>
          <w:sz w:val="22"/>
          <w:szCs w:val="22"/>
        </w:rPr>
        <w:t>5-2040</w:t>
      </w:r>
      <w:r w:rsidRPr="00C20EC5">
        <w:rPr>
          <w:rFonts w:ascii="Cambria" w:hAnsi="Cambria"/>
          <w:sz w:val="22"/>
          <w:szCs w:val="22"/>
        </w:rPr>
        <w:t xml:space="preserve">, as </w:t>
      </w:r>
      <w:r w:rsidR="007E3728">
        <w:rPr>
          <w:rFonts w:ascii="Cambria" w:hAnsi="Cambria"/>
          <w:sz w:val="22"/>
          <w:szCs w:val="22"/>
        </w:rPr>
        <w:t xml:space="preserve">the </w:t>
      </w:r>
      <w:r w:rsidRPr="00C20EC5">
        <w:rPr>
          <w:rFonts w:ascii="Cambria" w:hAnsi="Cambria"/>
          <w:sz w:val="22"/>
          <w:szCs w:val="22"/>
        </w:rPr>
        <w:t>last contributors with pension rights accrued prior to 1996 will have retired, this component will disappear.</w:t>
      </w:r>
    </w:p>
    <w:p w14:paraId="62286C91" w14:textId="755F284A" w:rsidR="00FD156B" w:rsidRDefault="00B83174" w:rsidP="00876F35">
      <w:pPr>
        <w:numPr>
          <w:ilvl w:val="0"/>
          <w:numId w:val="3"/>
        </w:numPr>
        <w:spacing w:before="240" w:after="240"/>
        <w:jc w:val="both"/>
        <w:rPr>
          <w:rFonts w:ascii="Cambria" w:hAnsi="Cambria"/>
          <w:sz w:val="22"/>
          <w:szCs w:val="22"/>
        </w:rPr>
      </w:pPr>
      <w:r w:rsidRPr="0041654F">
        <w:rPr>
          <w:rFonts w:ascii="Cambria" w:hAnsi="Cambria"/>
          <w:b/>
          <w:sz w:val="22"/>
          <w:szCs w:val="22"/>
        </w:rPr>
        <w:t xml:space="preserve">The SP2 portion is </w:t>
      </w:r>
      <w:r w:rsidR="00B85CEF" w:rsidRPr="0041654F">
        <w:rPr>
          <w:rFonts w:ascii="Cambria" w:hAnsi="Cambria"/>
          <w:b/>
          <w:sz w:val="22"/>
          <w:szCs w:val="22"/>
        </w:rPr>
        <w:t>notional defined contribution</w:t>
      </w:r>
      <w:r>
        <w:rPr>
          <w:rFonts w:ascii="Cambria" w:hAnsi="Cambria"/>
          <w:b/>
          <w:sz w:val="22"/>
          <w:szCs w:val="22"/>
        </w:rPr>
        <w:t xml:space="preserve">. </w:t>
      </w:r>
      <w:r w:rsidRPr="0041654F">
        <w:rPr>
          <w:rFonts w:ascii="Cambria" w:hAnsi="Cambria"/>
          <w:sz w:val="22"/>
          <w:szCs w:val="22"/>
        </w:rPr>
        <w:t>So,</w:t>
      </w:r>
      <w:r>
        <w:rPr>
          <w:rFonts w:ascii="Cambria" w:hAnsi="Cambria"/>
          <w:b/>
          <w:sz w:val="22"/>
          <w:szCs w:val="22"/>
        </w:rPr>
        <w:t xml:space="preserve"> </w:t>
      </w:r>
      <w:r>
        <w:rPr>
          <w:rFonts w:ascii="Cambria" w:hAnsi="Cambria"/>
          <w:sz w:val="22"/>
          <w:szCs w:val="22"/>
        </w:rPr>
        <w:t>it</w:t>
      </w:r>
      <w:r w:rsidR="00B85CEF" w:rsidRPr="00C20EC5">
        <w:rPr>
          <w:rFonts w:ascii="Cambria" w:hAnsi="Cambria"/>
          <w:sz w:val="22"/>
          <w:szCs w:val="22"/>
        </w:rPr>
        <w:t xml:space="preserve"> is pay-as-you-go financed with pensions calculated based on contributions recorded in individual (notional) accounts over post-1996 working years as well as life expectancy at retirement. </w:t>
      </w:r>
      <w:r w:rsidR="00691412">
        <w:rPr>
          <w:rFonts w:ascii="Cambria" w:hAnsi="Cambria"/>
          <w:sz w:val="22"/>
          <w:szCs w:val="22"/>
        </w:rPr>
        <w:t>Of the total 25</w:t>
      </w:r>
      <w:r w:rsidR="0041654F">
        <w:rPr>
          <w:rFonts w:ascii="Cambria" w:hAnsi="Cambria"/>
          <w:sz w:val="22"/>
          <w:szCs w:val="22"/>
        </w:rPr>
        <w:t xml:space="preserve"> percent</w:t>
      </w:r>
      <w:r w:rsidR="00691412">
        <w:rPr>
          <w:rFonts w:ascii="Cambria" w:hAnsi="Cambria"/>
          <w:sz w:val="22"/>
          <w:szCs w:val="22"/>
        </w:rPr>
        <w:t xml:space="preserve"> contribution rate paid by salaried workers</w:t>
      </w:r>
      <w:r w:rsidR="00D27CBE">
        <w:rPr>
          <w:rFonts w:ascii="Cambria" w:hAnsi="Cambria"/>
          <w:sz w:val="22"/>
          <w:szCs w:val="22"/>
        </w:rPr>
        <w:t xml:space="preserve"> 20</w:t>
      </w:r>
      <w:r w:rsidR="0041654F">
        <w:rPr>
          <w:rFonts w:ascii="Cambria" w:hAnsi="Cambria"/>
          <w:sz w:val="22"/>
          <w:szCs w:val="22"/>
        </w:rPr>
        <w:t xml:space="preserve"> percent</w:t>
      </w:r>
      <w:r w:rsidR="00D27CBE">
        <w:rPr>
          <w:rFonts w:ascii="Cambria" w:hAnsi="Cambria"/>
          <w:sz w:val="22"/>
          <w:szCs w:val="22"/>
        </w:rPr>
        <w:t xml:space="preserve"> is credited to individual accounts</w:t>
      </w:r>
      <w:r w:rsidR="00691412">
        <w:rPr>
          <w:rFonts w:ascii="Cambria" w:hAnsi="Cambria"/>
          <w:sz w:val="22"/>
          <w:szCs w:val="22"/>
        </w:rPr>
        <w:t xml:space="preserve"> </w:t>
      </w:r>
      <w:r w:rsidR="00D27CBE">
        <w:rPr>
          <w:rFonts w:ascii="Cambria" w:hAnsi="Cambria"/>
          <w:sz w:val="22"/>
          <w:szCs w:val="22"/>
        </w:rPr>
        <w:t>of younger workers and 22</w:t>
      </w:r>
      <w:r w:rsidR="0041654F">
        <w:rPr>
          <w:rFonts w:ascii="Cambria" w:hAnsi="Cambria"/>
          <w:sz w:val="22"/>
          <w:szCs w:val="22"/>
        </w:rPr>
        <w:t xml:space="preserve"> percent</w:t>
      </w:r>
      <w:r w:rsidR="00D27CBE">
        <w:rPr>
          <w:rFonts w:ascii="Cambria" w:hAnsi="Cambria"/>
          <w:sz w:val="22"/>
          <w:szCs w:val="22"/>
        </w:rPr>
        <w:t xml:space="preserve"> for older ones (see Annex 1 for more details). </w:t>
      </w:r>
      <w:r w:rsidR="00B85CEF" w:rsidRPr="00C20EC5">
        <w:rPr>
          <w:rFonts w:ascii="Cambria" w:hAnsi="Cambria"/>
          <w:sz w:val="22"/>
          <w:szCs w:val="22"/>
        </w:rPr>
        <w:t>Contributions are indexed by 75</w:t>
      </w:r>
      <w:r w:rsidR="002B409D">
        <w:rPr>
          <w:rFonts w:ascii="Cambria" w:hAnsi="Cambria"/>
          <w:sz w:val="22"/>
          <w:szCs w:val="22"/>
        </w:rPr>
        <w:t xml:space="preserve"> percent</w:t>
      </w:r>
      <w:r w:rsidR="00B85CEF" w:rsidRPr="00C20EC5">
        <w:rPr>
          <w:rFonts w:ascii="Cambria" w:hAnsi="Cambria"/>
          <w:sz w:val="22"/>
          <w:szCs w:val="22"/>
        </w:rPr>
        <w:t xml:space="preserve"> of the average wage growth rate to take into account the time value of money</w:t>
      </w:r>
      <w:r w:rsidR="009D39C3">
        <w:rPr>
          <w:rFonts w:ascii="Cambria" w:hAnsi="Cambria"/>
          <w:sz w:val="22"/>
          <w:szCs w:val="22"/>
        </w:rPr>
        <w:t>.</w:t>
      </w:r>
      <w:r w:rsidR="00B85CEF" w:rsidRPr="00C20EC5">
        <w:rPr>
          <w:rStyle w:val="FootnoteReference"/>
          <w:rFonts w:ascii="Cambria" w:hAnsi="Cambria"/>
          <w:sz w:val="22"/>
          <w:szCs w:val="22"/>
        </w:rPr>
        <w:footnoteReference w:id="9"/>
      </w:r>
      <w:r w:rsidR="00B85CEF" w:rsidRPr="00C20EC5">
        <w:rPr>
          <w:rFonts w:ascii="Cambria" w:hAnsi="Cambria"/>
          <w:sz w:val="22"/>
          <w:szCs w:val="22"/>
        </w:rPr>
        <w:t xml:space="preserve"> By its design, this </w:t>
      </w:r>
      <w:r w:rsidR="00B85CEF" w:rsidRPr="00C20EC5">
        <w:rPr>
          <w:rFonts w:ascii="Cambria" w:hAnsi="Cambria"/>
          <w:sz w:val="22"/>
          <w:szCs w:val="22"/>
        </w:rPr>
        <w:lastRenderedPageBreak/>
        <w:t xml:space="preserve">type of pension scheme should create a closer link between contributions and benefits providing incentives for compliance. </w:t>
      </w:r>
    </w:p>
    <w:p w14:paraId="3A4100FC" w14:textId="0189C0B0" w:rsidR="00B85CEF" w:rsidRPr="00FD156B" w:rsidRDefault="00691412" w:rsidP="00FD156B">
      <w:pPr>
        <w:numPr>
          <w:ilvl w:val="0"/>
          <w:numId w:val="3"/>
        </w:numPr>
        <w:spacing w:before="240" w:after="240"/>
        <w:jc w:val="both"/>
        <w:rPr>
          <w:rFonts w:ascii="Cambria" w:hAnsi="Cambria"/>
          <w:sz w:val="22"/>
          <w:szCs w:val="22"/>
        </w:rPr>
      </w:pPr>
      <w:r>
        <w:rPr>
          <w:rFonts w:ascii="Cambria" w:hAnsi="Cambria"/>
          <w:b/>
          <w:sz w:val="22"/>
          <w:szCs w:val="22"/>
        </w:rPr>
        <w:t>However, t</w:t>
      </w:r>
      <w:r w:rsidR="00B85CEF" w:rsidRPr="00FD156B">
        <w:rPr>
          <w:rFonts w:ascii="Cambria" w:hAnsi="Cambria"/>
          <w:b/>
          <w:sz w:val="22"/>
          <w:szCs w:val="22"/>
        </w:rPr>
        <w:t xml:space="preserve">he mechanism used to index contributions in the Kyrgyz system undermines incentives </w:t>
      </w:r>
      <w:r w:rsidR="00FD156B">
        <w:rPr>
          <w:rFonts w:ascii="Cambria" w:hAnsi="Cambria"/>
          <w:b/>
          <w:sz w:val="22"/>
          <w:szCs w:val="22"/>
        </w:rPr>
        <w:t xml:space="preserve">for compliance </w:t>
      </w:r>
      <w:r w:rsidR="00B85CEF" w:rsidRPr="00FD156B">
        <w:rPr>
          <w:rFonts w:ascii="Cambria" w:hAnsi="Cambria"/>
          <w:b/>
          <w:sz w:val="22"/>
          <w:szCs w:val="22"/>
        </w:rPr>
        <w:t xml:space="preserve">and results in inadequate SP2 pensions. </w:t>
      </w:r>
      <w:r w:rsidR="00B85CEF" w:rsidRPr="00FD156B">
        <w:rPr>
          <w:rFonts w:ascii="Cambria" w:hAnsi="Cambria"/>
          <w:sz w:val="22"/>
          <w:szCs w:val="22"/>
        </w:rPr>
        <w:t>While in other countries which have implemented NDC schemes (Sweden, Poland, Latvia, Italy, Russia, Mongolia, etc.) the indexation parameter is applied to the entire accumulated individual account balance, in the Kyrgyz pension system only current year contributions are indexed</w:t>
      </w:r>
      <w:r w:rsidR="007E3728" w:rsidRPr="00FD156B">
        <w:rPr>
          <w:rFonts w:ascii="Cambria" w:hAnsi="Cambria"/>
          <w:sz w:val="22"/>
          <w:szCs w:val="22"/>
        </w:rPr>
        <w:t>.</w:t>
      </w:r>
      <w:r w:rsidR="00A20B06" w:rsidRPr="00C20EC5">
        <w:rPr>
          <w:rStyle w:val="FootnoteReference"/>
          <w:rFonts w:ascii="Cambria" w:hAnsi="Cambria"/>
          <w:sz w:val="22"/>
          <w:szCs w:val="22"/>
        </w:rPr>
        <w:footnoteReference w:id="10"/>
      </w:r>
      <w:r w:rsidR="00B85CEF" w:rsidRPr="00FD156B">
        <w:rPr>
          <w:rFonts w:ascii="Cambria" w:hAnsi="Cambria"/>
          <w:sz w:val="22"/>
          <w:szCs w:val="22"/>
        </w:rPr>
        <w:t xml:space="preserve"> So, </w:t>
      </w:r>
      <w:r w:rsidR="00B85CEF" w:rsidRPr="00FD156B">
        <w:rPr>
          <w:rFonts w:ascii="Cambria" w:hAnsi="Cambria"/>
          <w:i/>
          <w:sz w:val="22"/>
          <w:szCs w:val="22"/>
        </w:rPr>
        <w:t>de facto</w:t>
      </w:r>
      <w:r w:rsidR="00B85CEF" w:rsidRPr="00FD156B">
        <w:rPr>
          <w:rFonts w:ascii="Cambria" w:hAnsi="Cambria"/>
          <w:sz w:val="22"/>
          <w:szCs w:val="22"/>
        </w:rPr>
        <w:t xml:space="preserve"> there is almost no update of the money value of contributions and the longer the individual pays to the NDC system the more he/she loses, especially in high inflation and high wage growth environment. This is equivalent to a long-term savings account earning practically no interest rate. Accordingly, individual account balances (notional capital) used in SP2 pension calculations at retirement generate very low replacement rates and the combined insurance pensions (SP1+SP2) decrease as SP1 is phasing out. In addition, not all contributions paid are credited to individual accounts adding to the problem of low NDC pensions. Three percentage points of the contribution rate go to the so called “solidarity” fund used by the Social Fund as a buffer fund.</w:t>
      </w:r>
    </w:p>
    <w:p w14:paraId="6ACFA6D3" w14:textId="09ED004C" w:rsidR="00B85CEF" w:rsidRPr="00C20EC5" w:rsidRDefault="00B85CEF" w:rsidP="00876F35">
      <w:pPr>
        <w:numPr>
          <w:ilvl w:val="0"/>
          <w:numId w:val="3"/>
        </w:numPr>
        <w:spacing w:before="240" w:after="240"/>
        <w:jc w:val="both"/>
        <w:rPr>
          <w:rFonts w:ascii="Cambria" w:hAnsi="Cambria"/>
          <w:sz w:val="22"/>
          <w:szCs w:val="22"/>
        </w:rPr>
      </w:pPr>
      <w:r w:rsidRPr="0041654F">
        <w:rPr>
          <w:rFonts w:ascii="Cambria" w:hAnsi="Cambria"/>
          <w:b/>
          <w:sz w:val="22"/>
          <w:szCs w:val="22"/>
        </w:rPr>
        <w:t>The fourth component</w:t>
      </w:r>
      <w:r w:rsidR="00A47C53" w:rsidRPr="0041654F">
        <w:rPr>
          <w:rFonts w:ascii="Cambria" w:hAnsi="Cambria"/>
          <w:b/>
          <w:sz w:val="22"/>
          <w:szCs w:val="22"/>
        </w:rPr>
        <w:t>—</w:t>
      </w:r>
      <w:r w:rsidRPr="0041654F">
        <w:rPr>
          <w:rFonts w:ascii="Cambria" w:hAnsi="Cambria"/>
          <w:b/>
          <w:sz w:val="22"/>
          <w:szCs w:val="22"/>
        </w:rPr>
        <w:t>FFDC</w:t>
      </w:r>
      <w:r w:rsidR="00A47C53" w:rsidRPr="0041654F">
        <w:rPr>
          <w:rFonts w:ascii="Cambria" w:hAnsi="Cambria"/>
          <w:b/>
          <w:sz w:val="22"/>
          <w:szCs w:val="22"/>
        </w:rPr>
        <w:t>—</w:t>
      </w:r>
      <w:r w:rsidRPr="0041654F">
        <w:rPr>
          <w:rFonts w:ascii="Cambria" w:hAnsi="Cambria"/>
          <w:b/>
          <w:sz w:val="22"/>
          <w:szCs w:val="22"/>
        </w:rPr>
        <w:t>was added in 2010 diverting 2 percentage points of contributions into funded individual accounts.</w:t>
      </w:r>
      <w:r w:rsidRPr="00C20EC5">
        <w:rPr>
          <w:rFonts w:ascii="Cambria" w:hAnsi="Cambria"/>
          <w:sz w:val="22"/>
          <w:szCs w:val="22"/>
        </w:rPr>
        <w:t xml:space="preserve"> Different from notional accounts, accounts in the funded component work like typical savings accounts earning investment returns on accumulated balances which can be withdrawn upon retirement. Initially, the funded component was introduced for all contributors, but in 2012 it was reversed for older workers (born before 1964/1969 for men and women respectively). So far, there have been no payments from this component and the payout phase is still under discussion.</w:t>
      </w:r>
    </w:p>
    <w:p w14:paraId="3B3FE058" w14:textId="4C5AA120" w:rsidR="00B85CEF" w:rsidRPr="00C20EC5" w:rsidRDefault="00B85CEF" w:rsidP="00876F35">
      <w:pPr>
        <w:numPr>
          <w:ilvl w:val="0"/>
          <w:numId w:val="3"/>
        </w:numPr>
        <w:spacing w:before="240" w:after="240"/>
        <w:jc w:val="both"/>
        <w:rPr>
          <w:rFonts w:ascii="Cambria" w:hAnsi="Cambria"/>
          <w:sz w:val="22"/>
          <w:szCs w:val="22"/>
        </w:rPr>
      </w:pPr>
      <w:r w:rsidRPr="0041654F">
        <w:rPr>
          <w:rFonts w:ascii="Cambria" w:hAnsi="Cambria"/>
          <w:b/>
          <w:sz w:val="22"/>
          <w:szCs w:val="22"/>
        </w:rPr>
        <w:t xml:space="preserve">Overall, a very modest accrual rate in </w:t>
      </w:r>
      <w:r w:rsidR="00A47C53" w:rsidRPr="0041654F">
        <w:rPr>
          <w:rFonts w:ascii="Cambria" w:hAnsi="Cambria"/>
          <w:b/>
          <w:sz w:val="22"/>
          <w:szCs w:val="22"/>
        </w:rPr>
        <w:t xml:space="preserve">the </w:t>
      </w:r>
      <w:r w:rsidRPr="0041654F">
        <w:rPr>
          <w:rFonts w:ascii="Cambria" w:hAnsi="Cambria"/>
          <w:b/>
          <w:sz w:val="22"/>
          <w:szCs w:val="22"/>
        </w:rPr>
        <w:t xml:space="preserve">SP1 portion coupled with inadequate indexation of contributions in </w:t>
      </w:r>
      <w:r w:rsidR="00A47C53" w:rsidRPr="0041654F">
        <w:rPr>
          <w:rFonts w:ascii="Cambria" w:hAnsi="Cambria"/>
          <w:b/>
          <w:sz w:val="22"/>
          <w:szCs w:val="22"/>
        </w:rPr>
        <w:t xml:space="preserve">the </w:t>
      </w:r>
      <w:r w:rsidRPr="0041654F">
        <w:rPr>
          <w:rFonts w:ascii="Cambria" w:hAnsi="Cambria"/>
          <w:b/>
          <w:sz w:val="22"/>
          <w:szCs w:val="22"/>
        </w:rPr>
        <w:t>SP2 part result in low insurance pensions at retirement.</w:t>
      </w:r>
      <w:r w:rsidRPr="00C20EC5">
        <w:rPr>
          <w:rFonts w:ascii="Cambria" w:hAnsi="Cambria"/>
          <w:sz w:val="22"/>
          <w:szCs w:val="22"/>
        </w:rPr>
        <w:t xml:space="preserve"> Currently, an average new </w:t>
      </w:r>
      <w:r w:rsidR="00A47C53">
        <w:rPr>
          <w:rFonts w:ascii="Cambria" w:hAnsi="Cambria"/>
          <w:sz w:val="22"/>
          <w:szCs w:val="22"/>
        </w:rPr>
        <w:t>old-age</w:t>
      </w:r>
      <w:r w:rsidRPr="00C20EC5">
        <w:rPr>
          <w:rFonts w:ascii="Cambria" w:hAnsi="Cambria"/>
          <w:sz w:val="22"/>
          <w:szCs w:val="22"/>
        </w:rPr>
        <w:t xml:space="preserve"> pensioner who used to work in the formal sector gets an insurance pension (SP1+SP2) of only about 30</w:t>
      </w:r>
      <w:r w:rsidR="002B409D">
        <w:rPr>
          <w:rFonts w:ascii="Cambria" w:hAnsi="Cambria"/>
          <w:sz w:val="22"/>
          <w:szCs w:val="22"/>
        </w:rPr>
        <w:t xml:space="preserve"> percent</w:t>
      </w:r>
      <w:r w:rsidRPr="00C20EC5">
        <w:rPr>
          <w:rFonts w:ascii="Cambria" w:hAnsi="Cambria"/>
          <w:sz w:val="22"/>
          <w:szCs w:val="22"/>
        </w:rPr>
        <w:t xml:space="preserve"> of the average wage of contributors. As will be shown in the projections section, insurance pensions of new retirees will keep falling while SP1 part gradually disappears. High contribution rates and low benefits could spur evasion, underreporting of wages and decrease of contribution density even further.</w:t>
      </w:r>
    </w:p>
    <w:p w14:paraId="1C8E54D5" w14:textId="4AFE6EF1" w:rsidR="00B85CEF" w:rsidRPr="00C20EC5" w:rsidRDefault="00B85CEF" w:rsidP="00876F35">
      <w:pPr>
        <w:numPr>
          <w:ilvl w:val="0"/>
          <w:numId w:val="3"/>
        </w:numPr>
        <w:spacing w:before="240" w:after="240"/>
        <w:jc w:val="both"/>
        <w:rPr>
          <w:rFonts w:ascii="Cambria" w:hAnsi="Cambria"/>
          <w:sz w:val="22"/>
          <w:szCs w:val="22"/>
        </w:rPr>
      </w:pPr>
      <w:r w:rsidRPr="0041654F">
        <w:rPr>
          <w:rFonts w:ascii="Cambria" w:hAnsi="Cambria"/>
          <w:b/>
          <w:sz w:val="22"/>
          <w:szCs w:val="22"/>
        </w:rPr>
        <w:t>The issue of benefit inadequacy is even more acute for farmers and other self-employed</w:t>
      </w:r>
      <w:r w:rsidR="0041654F">
        <w:rPr>
          <w:rFonts w:ascii="Cambria" w:hAnsi="Cambria"/>
          <w:b/>
          <w:sz w:val="22"/>
          <w:szCs w:val="22"/>
        </w:rPr>
        <w:t xml:space="preserve">. </w:t>
      </w:r>
      <w:r w:rsidR="0041654F" w:rsidRPr="0041654F">
        <w:rPr>
          <w:rFonts w:ascii="Cambria" w:hAnsi="Cambria"/>
          <w:sz w:val="22"/>
          <w:szCs w:val="22"/>
        </w:rPr>
        <w:t>This group</w:t>
      </w:r>
      <w:r w:rsidRPr="0041654F">
        <w:rPr>
          <w:rFonts w:ascii="Cambria" w:hAnsi="Cambria"/>
          <w:sz w:val="22"/>
          <w:szCs w:val="22"/>
        </w:rPr>
        <w:t xml:space="preserve"> </w:t>
      </w:r>
      <w:r w:rsidR="0041654F" w:rsidRPr="0041654F">
        <w:rPr>
          <w:rFonts w:ascii="Cambria" w:hAnsi="Cambria"/>
          <w:sz w:val="22"/>
          <w:szCs w:val="22"/>
        </w:rPr>
        <w:t>accounts for</w:t>
      </w:r>
      <w:r w:rsidRPr="0041654F">
        <w:rPr>
          <w:rFonts w:ascii="Cambria" w:hAnsi="Cambria"/>
          <w:sz w:val="22"/>
          <w:szCs w:val="22"/>
        </w:rPr>
        <w:t xml:space="preserve"> 40</w:t>
      </w:r>
      <w:r w:rsidR="002B409D" w:rsidRPr="0041654F">
        <w:rPr>
          <w:rFonts w:ascii="Cambria" w:hAnsi="Cambria"/>
          <w:sz w:val="22"/>
          <w:szCs w:val="22"/>
        </w:rPr>
        <w:t xml:space="preserve"> percent</w:t>
      </w:r>
      <w:r w:rsidRPr="0041654F">
        <w:rPr>
          <w:rFonts w:ascii="Cambria" w:hAnsi="Cambria"/>
          <w:sz w:val="22"/>
          <w:szCs w:val="22"/>
        </w:rPr>
        <w:t xml:space="preserve"> of all contributors</w:t>
      </w:r>
      <w:r w:rsidR="0041654F" w:rsidRPr="0041654F">
        <w:rPr>
          <w:rFonts w:ascii="Cambria" w:hAnsi="Cambria"/>
          <w:sz w:val="22"/>
          <w:szCs w:val="22"/>
        </w:rPr>
        <w:t xml:space="preserve">; </w:t>
      </w:r>
      <w:r w:rsidRPr="0041654F">
        <w:rPr>
          <w:rFonts w:ascii="Cambria" w:hAnsi="Cambria"/>
          <w:sz w:val="22"/>
          <w:szCs w:val="22"/>
        </w:rPr>
        <w:t>farmer</w:t>
      </w:r>
      <w:r w:rsidR="0041654F" w:rsidRPr="0041654F">
        <w:rPr>
          <w:rFonts w:ascii="Cambria" w:hAnsi="Cambria"/>
          <w:sz w:val="22"/>
          <w:szCs w:val="22"/>
        </w:rPr>
        <w:t>s</w:t>
      </w:r>
      <w:r w:rsidRPr="0041654F">
        <w:rPr>
          <w:rFonts w:ascii="Cambria" w:hAnsi="Cambria"/>
          <w:sz w:val="22"/>
          <w:szCs w:val="22"/>
        </w:rPr>
        <w:t xml:space="preserve"> –</w:t>
      </w:r>
      <w:r w:rsidR="0021029C" w:rsidRPr="0041654F">
        <w:rPr>
          <w:rFonts w:ascii="Cambria" w:hAnsi="Cambria"/>
          <w:sz w:val="22"/>
          <w:szCs w:val="22"/>
        </w:rPr>
        <w:t xml:space="preserve"> </w:t>
      </w:r>
      <w:r w:rsidRPr="0041654F">
        <w:rPr>
          <w:rFonts w:ascii="Cambria" w:hAnsi="Cambria"/>
          <w:sz w:val="22"/>
          <w:szCs w:val="22"/>
        </w:rPr>
        <w:t>35</w:t>
      </w:r>
      <w:r w:rsidR="002B409D" w:rsidRPr="0041654F">
        <w:rPr>
          <w:rFonts w:ascii="Cambria" w:hAnsi="Cambria"/>
          <w:sz w:val="22"/>
          <w:szCs w:val="22"/>
        </w:rPr>
        <w:t xml:space="preserve"> percent</w:t>
      </w:r>
      <w:r w:rsidRPr="0041654F">
        <w:rPr>
          <w:rFonts w:ascii="Cambria" w:hAnsi="Cambria"/>
          <w:sz w:val="22"/>
          <w:szCs w:val="22"/>
        </w:rPr>
        <w:t xml:space="preserve">, </w:t>
      </w:r>
      <w:r w:rsidR="0041654F" w:rsidRPr="0041654F">
        <w:rPr>
          <w:rFonts w:ascii="Cambria" w:hAnsi="Cambria"/>
          <w:sz w:val="22"/>
          <w:szCs w:val="22"/>
        </w:rPr>
        <w:t xml:space="preserve">and </w:t>
      </w:r>
      <w:r w:rsidRPr="0041654F">
        <w:rPr>
          <w:rFonts w:ascii="Cambria" w:hAnsi="Cambria"/>
          <w:sz w:val="22"/>
          <w:szCs w:val="22"/>
        </w:rPr>
        <w:t>other self-employed</w:t>
      </w:r>
      <w:r w:rsidR="0021029C" w:rsidRPr="0041654F">
        <w:rPr>
          <w:rFonts w:ascii="Cambria" w:hAnsi="Cambria"/>
          <w:sz w:val="22"/>
          <w:szCs w:val="22"/>
        </w:rPr>
        <w:t xml:space="preserve"> </w:t>
      </w:r>
      <w:r w:rsidRPr="0041654F">
        <w:rPr>
          <w:rFonts w:ascii="Cambria" w:hAnsi="Cambria"/>
          <w:sz w:val="22"/>
          <w:szCs w:val="22"/>
        </w:rPr>
        <w:t>–</w:t>
      </w:r>
      <w:r w:rsidR="0021029C" w:rsidRPr="0041654F">
        <w:rPr>
          <w:rFonts w:ascii="Cambria" w:hAnsi="Cambria"/>
          <w:sz w:val="22"/>
          <w:szCs w:val="22"/>
        </w:rPr>
        <w:t xml:space="preserve"> </w:t>
      </w:r>
      <w:r w:rsidRPr="0041654F">
        <w:rPr>
          <w:rFonts w:ascii="Cambria" w:hAnsi="Cambria"/>
          <w:sz w:val="22"/>
          <w:szCs w:val="22"/>
        </w:rPr>
        <w:t>5</w:t>
      </w:r>
      <w:r w:rsidR="002B409D" w:rsidRPr="0041654F">
        <w:rPr>
          <w:rFonts w:ascii="Cambria" w:hAnsi="Cambria"/>
          <w:sz w:val="22"/>
          <w:szCs w:val="22"/>
        </w:rPr>
        <w:t xml:space="preserve"> percent</w:t>
      </w:r>
      <w:r w:rsidRPr="0041654F">
        <w:rPr>
          <w:rFonts w:ascii="Cambria" w:hAnsi="Cambria"/>
          <w:sz w:val="22"/>
          <w:szCs w:val="22"/>
        </w:rPr>
        <w:t>.</w:t>
      </w:r>
      <w:r w:rsidRPr="00C20EC5">
        <w:rPr>
          <w:rFonts w:ascii="Cambria" w:hAnsi="Cambria"/>
          <w:sz w:val="22"/>
          <w:szCs w:val="22"/>
        </w:rPr>
        <w:t xml:space="preserve"> These groups pay very small contributions: farmers’ contributions are linked to land tax, other self-employed</w:t>
      </w:r>
      <w:r w:rsidR="00577ED2">
        <w:rPr>
          <w:rFonts w:ascii="Cambria" w:hAnsi="Cambria"/>
          <w:sz w:val="22"/>
          <w:szCs w:val="22"/>
        </w:rPr>
        <w:t xml:space="preserve"> (e.g. patent holders)</w:t>
      </w:r>
      <w:r w:rsidRPr="00C20EC5">
        <w:rPr>
          <w:rFonts w:ascii="Cambria" w:hAnsi="Cambria"/>
          <w:sz w:val="22"/>
          <w:szCs w:val="22"/>
        </w:rPr>
        <w:t xml:space="preserve"> pay 8</w:t>
      </w:r>
      <w:r w:rsidR="002B409D">
        <w:rPr>
          <w:rFonts w:ascii="Cambria" w:hAnsi="Cambria"/>
          <w:sz w:val="22"/>
          <w:szCs w:val="22"/>
        </w:rPr>
        <w:t xml:space="preserve"> percent</w:t>
      </w:r>
      <w:r w:rsidRPr="00C20EC5">
        <w:rPr>
          <w:rFonts w:ascii="Cambria" w:hAnsi="Cambria"/>
          <w:sz w:val="22"/>
          <w:szCs w:val="22"/>
        </w:rPr>
        <w:t xml:space="preserve"> of the regional average wages </w:t>
      </w:r>
      <w:proofErr w:type="gramStart"/>
      <w:r w:rsidR="0021029C">
        <w:rPr>
          <w:rFonts w:ascii="Cambria" w:hAnsi="Cambria"/>
          <w:sz w:val="22"/>
          <w:szCs w:val="22"/>
        </w:rPr>
        <w:t>O</w:t>
      </w:r>
      <w:r w:rsidRPr="00C20EC5">
        <w:rPr>
          <w:rFonts w:ascii="Cambria" w:hAnsi="Cambria"/>
          <w:sz w:val="22"/>
          <w:szCs w:val="22"/>
        </w:rPr>
        <w:t>n</w:t>
      </w:r>
      <w:proofErr w:type="gramEnd"/>
      <w:r w:rsidRPr="00C20EC5">
        <w:rPr>
          <w:rFonts w:ascii="Cambria" w:hAnsi="Cambria"/>
          <w:sz w:val="22"/>
          <w:szCs w:val="22"/>
        </w:rPr>
        <w:t xml:space="preserve"> average</w:t>
      </w:r>
      <w:r w:rsidR="0021029C">
        <w:rPr>
          <w:rFonts w:ascii="Cambria" w:hAnsi="Cambria"/>
          <w:sz w:val="22"/>
          <w:szCs w:val="22"/>
        </w:rPr>
        <w:t>,</w:t>
      </w:r>
      <w:r w:rsidRPr="00C20EC5">
        <w:rPr>
          <w:rFonts w:ascii="Cambria" w:hAnsi="Cambria"/>
          <w:sz w:val="22"/>
          <w:szCs w:val="22"/>
        </w:rPr>
        <w:t xml:space="preserve"> </w:t>
      </w:r>
      <w:r w:rsidR="0021029C">
        <w:rPr>
          <w:rFonts w:ascii="Cambria" w:hAnsi="Cambria"/>
          <w:sz w:val="22"/>
          <w:szCs w:val="22"/>
        </w:rPr>
        <w:t>self-employed</w:t>
      </w:r>
      <w:r w:rsidR="0021029C" w:rsidRPr="00C20EC5">
        <w:rPr>
          <w:rFonts w:ascii="Cambria" w:hAnsi="Cambria"/>
          <w:sz w:val="22"/>
          <w:szCs w:val="22"/>
        </w:rPr>
        <w:t xml:space="preserve"> </w:t>
      </w:r>
      <w:r w:rsidRPr="00C20EC5">
        <w:rPr>
          <w:rFonts w:ascii="Cambria" w:hAnsi="Cambria"/>
          <w:sz w:val="22"/>
          <w:szCs w:val="22"/>
        </w:rPr>
        <w:t>contribute about 1</w:t>
      </w:r>
      <w:r w:rsidR="002B409D">
        <w:rPr>
          <w:rFonts w:ascii="Cambria" w:hAnsi="Cambria"/>
          <w:sz w:val="22"/>
          <w:szCs w:val="22"/>
        </w:rPr>
        <w:t xml:space="preserve"> percent</w:t>
      </w:r>
      <w:r w:rsidRPr="00C20EC5">
        <w:rPr>
          <w:rFonts w:ascii="Cambria" w:hAnsi="Cambria"/>
          <w:sz w:val="22"/>
          <w:szCs w:val="22"/>
        </w:rPr>
        <w:t xml:space="preserve"> of the average covered wage in the formal sector. With SP2 pensions determined entirely by contributions and the phase-out of SP1, insurance pensions that farmers can expect at retirement will become meaningless, so future retirees will have to rely only on the basic pension. </w:t>
      </w:r>
    </w:p>
    <w:p w14:paraId="1B592016" w14:textId="67D84FD7" w:rsidR="00B85CEF" w:rsidRDefault="00B85CEF" w:rsidP="00876F35">
      <w:pPr>
        <w:numPr>
          <w:ilvl w:val="0"/>
          <w:numId w:val="3"/>
        </w:numPr>
        <w:spacing w:before="240" w:after="240"/>
        <w:jc w:val="both"/>
        <w:rPr>
          <w:rFonts w:ascii="Cambria" w:hAnsi="Cambria"/>
          <w:sz w:val="22"/>
          <w:szCs w:val="22"/>
        </w:rPr>
      </w:pPr>
      <w:r w:rsidRPr="0041654F">
        <w:rPr>
          <w:rFonts w:ascii="Cambria" w:hAnsi="Cambria"/>
          <w:b/>
          <w:sz w:val="22"/>
          <w:szCs w:val="22"/>
        </w:rPr>
        <w:t>Indexation of post-retirement pensions is discretionary with the recent trend approximating wage growth rates</w:t>
      </w:r>
      <w:r w:rsidRPr="00C20EC5">
        <w:rPr>
          <w:rFonts w:ascii="Cambria" w:hAnsi="Cambria"/>
          <w:sz w:val="22"/>
          <w:szCs w:val="22"/>
        </w:rPr>
        <w:t>. In the long run,</w:t>
      </w:r>
      <w:r w:rsidR="007E01F4">
        <w:rPr>
          <w:rFonts w:ascii="Cambria" w:hAnsi="Cambria"/>
          <w:sz w:val="22"/>
          <w:szCs w:val="22"/>
        </w:rPr>
        <w:t xml:space="preserve"> the observed trend </w:t>
      </w:r>
      <w:r w:rsidR="0041654F">
        <w:rPr>
          <w:rFonts w:ascii="Cambria" w:hAnsi="Cambria"/>
          <w:sz w:val="22"/>
          <w:szCs w:val="22"/>
        </w:rPr>
        <w:t>globally</w:t>
      </w:r>
      <w:r w:rsidR="007E01F4">
        <w:rPr>
          <w:rFonts w:ascii="Cambria" w:hAnsi="Cambria"/>
          <w:sz w:val="22"/>
          <w:szCs w:val="22"/>
        </w:rPr>
        <w:t xml:space="preserve"> is that</w:t>
      </w:r>
      <w:r w:rsidRPr="00C20EC5">
        <w:rPr>
          <w:rFonts w:ascii="Cambria" w:hAnsi="Cambria"/>
          <w:sz w:val="22"/>
          <w:szCs w:val="22"/>
        </w:rPr>
        <w:t xml:space="preserve"> wages tend to grow faster than inflation. So, in general, indexing pensions in line with wages is a more </w:t>
      </w:r>
      <w:r w:rsidRPr="00C20EC5">
        <w:rPr>
          <w:rFonts w:ascii="Cambria" w:hAnsi="Cambria"/>
          <w:sz w:val="22"/>
          <w:szCs w:val="22"/>
        </w:rPr>
        <w:lastRenderedPageBreak/>
        <w:t xml:space="preserve">expensive policy compared with price indexation, especially in </w:t>
      </w:r>
      <w:r w:rsidR="003C780E">
        <w:rPr>
          <w:rFonts w:ascii="Cambria" w:hAnsi="Cambria"/>
          <w:sz w:val="22"/>
          <w:szCs w:val="22"/>
        </w:rPr>
        <w:t xml:space="preserve">a </w:t>
      </w:r>
      <w:r w:rsidRPr="00C20EC5">
        <w:rPr>
          <w:rFonts w:ascii="Cambria" w:hAnsi="Cambria"/>
          <w:sz w:val="22"/>
          <w:szCs w:val="22"/>
        </w:rPr>
        <w:t>high real</w:t>
      </w:r>
      <w:r w:rsidR="003C780E">
        <w:rPr>
          <w:rFonts w:ascii="Cambria" w:hAnsi="Cambria"/>
          <w:sz w:val="22"/>
          <w:szCs w:val="22"/>
        </w:rPr>
        <w:t>-</w:t>
      </w:r>
      <w:r w:rsidRPr="00C20EC5">
        <w:rPr>
          <w:rFonts w:ascii="Cambria" w:hAnsi="Cambria"/>
          <w:sz w:val="22"/>
          <w:szCs w:val="22"/>
        </w:rPr>
        <w:t>wage</w:t>
      </w:r>
      <w:r w:rsidR="003C780E">
        <w:rPr>
          <w:rFonts w:ascii="Cambria" w:hAnsi="Cambria"/>
          <w:sz w:val="22"/>
          <w:szCs w:val="22"/>
        </w:rPr>
        <w:t>-</w:t>
      </w:r>
      <w:r w:rsidRPr="00C20EC5">
        <w:rPr>
          <w:rFonts w:ascii="Cambria" w:hAnsi="Cambria"/>
          <w:sz w:val="22"/>
          <w:szCs w:val="22"/>
        </w:rPr>
        <w:t xml:space="preserve">growth environment. Population aging makes this type of policy even more costly. Most developed countries and a growing number of developing countries index their pensions to prices (see table 2). This type of policy ensures that the real value of pensions is maintained but at the same time contains pension spending growth. In </w:t>
      </w:r>
      <w:r w:rsidR="000D1E43">
        <w:rPr>
          <w:rFonts w:ascii="Cambria" w:hAnsi="Cambria"/>
          <w:sz w:val="22"/>
          <w:szCs w:val="22"/>
        </w:rPr>
        <w:t xml:space="preserve">the </w:t>
      </w:r>
      <w:r w:rsidRPr="00C20EC5">
        <w:rPr>
          <w:rFonts w:ascii="Cambria" w:hAnsi="Cambria"/>
          <w:sz w:val="22"/>
          <w:szCs w:val="22"/>
        </w:rPr>
        <w:t>Kyrgyz</w:t>
      </w:r>
      <w:r w:rsidR="000D1E43">
        <w:rPr>
          <w:rFonts w:ascii="Cambria" w:hAnsi="Cambria"/>
          <w:sz w:val="22"/>
          <w:szCs w:val="22"/>
        </w:rPr>
        <w:t xml:space="preserve"> Republic</w:t>
      </w:r>
      <w:r w:rsidRPr="00C20EC5">
        <w:rPr>
          <w:rFonts w:ascii="Cambria" w:hAnsi="Cambria"/>
          <w:sz w:val="22"/>
          <w:szCs w:val="22"/>
        </w:rPr>
        <w:t>, where wages grow at high rates, high rates of pension indexation are justified by the need to raise pensions to more adequate levels. Unless the issue of adequacy of benefits at retirement is resolved, the pressure on the government to make ad hoc adjustments of post-retirement pensions at a higher rate than inflation will continue.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5532DB" w14:paraId="069F6A61" w14:textId="77777777" w:rsidTr="002D2F4A">
        <w:trPr>
          <w:jc w:val="center"/>
        </w:trPr>
        <w:tc>
          <w:tcPr>
            <w:tcW w:w="9018" w:type="dxa"/>
          </w:tcPr>
          <w:p w14:paraId="4E261294" w14:textId="77777777" w:rsidR="005532DB" w:rsidRPr="00A32033" w:rsidRDefault="005532DB" w:rsidP="00F22830">
            <w:pPr>
              <w:pStyle w:val="Caption"/>
              <w:rPr>
                <w:noProof/>
              </w:rPr>
            </w:pPr>
            <w:bookmarkStart w:id="14" w:name="_Toc378163811"/>
            <w:r>
              <w:t xml:space="preserve">Table </w:t>
            </w:r>
            <w:r w:rsidR="00C646A3">
              <w:fldChar w:fldCharType="begin"/>
            </w:r>
            <w:r w:rsidR="00C646A3">
              <w:instrText xml:space="preserve"> SEQ Table \* ARABIC </w:instrText>
            </w:r>
            <w:r w:rsidR="00C646A3">
              <w:fldChar w:fldCharType="separate"/>
            </w:r>
            <w:r w:rsidR="00C646A3">
              <w:rPr>
                <w:noProof/>
              </w:rPr>
              <w:t>3</w:t>
            </w:r>
            <w:r w:rsidR="00C646A3">
              <w:rPr>
                <w:noProof/>
              </w:rPr>
              <w:fldChar w:fldCharType="end"/>
            </w:r>
            <w:r w:rsidRPr="00A32033">
              <w:rPr>
                <w:noProof/>
              </w:rPr>
              <w:t>. Benefit Indexation by Region</w:t>
            </w:r>
            <w:bookmarkEnd w:id="14"/>
          </w:p>
          <w:p w14:paraId="75C44BDE" w14:textId="275479FB" w:rsidR="00F419D2" w:rsidRPr="00F419D2" w:rsidRDefault="00F419D2" w:rsidP="00A32033">
            <w:pPr>
              <w:spacing w:after="40"/>
              <w:jc w:val="center"/>
              <w:rPr>
                <w:rFonts w:ascii="Cambria" w:hAnsi="Cambria"/>
              </w:rPr>
            </w:pPr>
            <w:r w:rsidRPr="00A32033">
              <w:rPr>
                <w:rFonts w:ascii="Cambria" w:hAnsi="Cambria"/>
              </w:rPr>
              <w:t>(</w:t>
            </w:r>
            <w:r w:rsidR="00A32033">
              <w:rPr>
                <w:rFonts w:ascii="Cambria" w:hAnsi="Cambria"/>
              </w:rPr>
              <w:t>N</w:t>
            </w:r>
            <w:r w:rsidR="00A32033" w:rsidRPr="00A32033">
              <w:rPr>
                <w:rFonts w:ascii="Cambria" w:hAnsi="Cambria"/>
              </w:rPr>
              <w:t>umber of countries</w:t>
            </w:r>
            <w:r w:rsidRPr="00A32033">
              <w:rPr>
                <w:rFonts w:ascii="Cambria" w:hAnsi="Cambria"/>
              </w:rPr>
              <w:t>)</w:t>
            </w:r>
          </w:p>
        </w:tc>
      </w:tr>
      <w:tr w:rsidR="005766D4" w14:paraId="5A66BC71" w14:textId="77777777" w:rsidTr="002D2F4A">
        <w:trPr>
          <w:jc w:val="center"/>
        </w:trPr>
        <w:tc>
          <w:tcPr>
            <w:tcW w:w="901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1338"/>
              <w:gridCol w:w="981"/>
              <w:gridCol w:w="998"/>
              <w:gridCol w:w="966"/>
              <w:gridCol w:w="1360"/>
            </w:tblGrid>
            <w:tr w:rsidR="00401BA9" w:rsidRPr="005766D4" w14:paraId="480810EF" w14:textId="77777777" w:rsidTr="00F22830">
              <w:tc>
                <w:tcPr>
                  <w:tcW w:w="3149" w:type="dxa"/>
                  <w:tcBorders>
                    <w:top w:val="single" w:sz="4" w:space="0" w:color="auto"/>
                    <w:bottom w:val="single" w:sz="4" w:space="0" w:color="auto"/>
                  </w:tcBorders>
                </w:tcPr>
                <w:p w14:paraId="491BA06E" w14:textId="2B994409" w:rsidR="005766D4" w:rsidRPr="00401BA9" w:rsidRDefault="005766D4" w:rsidP="005766D4">
                  <w:pPr>
                    <w:jc w:val="center"/>
                    <w:rPr>
                      <w:rFonts w:ascii="Cambria" w:hAnsi="Cambria"/>
                    </w:rPr>
                  </w:pPr>
                  <w:r w:rsidRPr="00401BA9">
                    <w:rPr>
                      <w:rFonts w:ascii="Cambria" w:hAnsi="Cambria"/>
                    </w:rPr>
                    <w:t>Region</w:t>
                  </w:r>
                </w:p>
              </w:tc>
              <w:tc>
                <w:tcPr>
                  <w:tcW w:w="1338" w:type="dxa"/>
                  <w:tcBorders>
                    <w:top w:val="single" w:sz="4" w:space="0" w:color="auto"/>
                    <w:bottom w:val="single" w:sz="4" w:space="0" w:color="auto"/>
                  </w:tcBorders>
                </w:tcPr>
                <w:p w14:paraId="43E67666" w14:textId="79D57FF1" w:rsidR="005766D4" w:rsidRPr="005766D4" w:rsidRDefault="00401BA9" w:rsidP="00F22830">
                  <w:pPr>
                    <w:jc w:val="right"/>
                    <w:rPr>
                      <w:rFonts w:ascii="Cambria" w:hAnsi="Cambria"/>
                    </w:rPr>
                  </w:pPr>
                  <w:r>
                    <w:rPr>
                      <w:rFonts w:ascii="Cambria" w:hAnsi="Cambria"/>
                    </w:rPr>
                    <w:t>Number of countries</w:t>
                  </w:r>
                </w:p>
              </w:tc>
              <w:tc>
                <w:tcPr>
                  <w:tcW w:w="981" w:type="dxa"/>
                  <w:tcBorders>
                    <w:top w:val="single" w:sz="4" w:space="0" w:color="auto"/>
                    <w:bottom w:val="single" w:sz="4" w:space="0" w:color="auto"/>
                  </w:tcBorders>
                </w:tcPr>
                <w:p w14:paraId="4CCFB26D" w14:textId="77777777" w:rsidR="00F22830" w:rsidRDefault="00F22830" w:rsidP="00F22830">
                  <w:pPr>
                    <w:jc w:val="right"/>
                    <w:rPr>
                      <w:rFonts w:ascii="Cambria" w:hAnsi="Cambria"/>
                    </w:rPr>
                  </w:pPr>
                </w:p>
                <w:p w14:paraId="7B590A1B" w14:textId="064756B1" w:rsidR="005766D4" w:rsidRPr="005766D4" w:rsidRDefault="00401BA9" w:rsidP="00F22830">
                  <w:pPr>
                    <w:jc w:val="right"/>
                    <w:rPr>
                      <w:rFonts w:ascii="Cambria" w:hAnsi="Cambria"/>
                    </w:rPr>
                  </w:pPr>
                  <w:r>
                    <w:rPr>
                      <w:rFonts w:ascii="Cambria" w:hAnsi="Cambria"/>
                    </w:rPr>
                    <w:t>Prices</w:t>
                  </w:r>
                </w:p>
              </w:tc>
              <w:tc>
                <w:tcPr>
                  <w:tcW w:w="998" w:type="dxa"/>
                  <w:tcBorders>
                    <w:top w:val="single" w:sz="4" w:space="0" w:color="auto"/>
                    <w:bottom w:val="single" w:sz="4" w:space="0" w:color="auto"/>
                  </w:tcBorders>
                </w:tcPr>
                <w:p w14:paraId="56FCD923" w14:textId="77777777" w:rsidR="00F22830" w:rsidRDefault="00F22830" w:rsidP="00F22830">
                  <w:pPr>
                    <w:jc w:val="right"/>
                    <w:rPr>
                      <w:rFonts w:ascii="Cambria" w:hAnsi="Cambria"/>
                    </w:rPr>
                  </w:pPr>
                </w:p>
                <w:p w14:paraId="21E5B2F5" w14:textId="2430FC2F" w:rsidR="005766D4" w:rsidRPr="005766D4" w:rsidRDefault="00401BA9" w:rsidP="00F22830">
                  <w:pPr>
                    <w:jc w:val="right"/>
                    <w:rPr>
                      <w:rFonts w:ascii="Cambria" w:hAnsi="Cambria"/>
                    </w:rPr>
                  </w:pPr>
                  <w:r>
                    <w:rPr>
                      <w:rFonts w:ascii="Cambria" w:hAnsi="Cambria"/>
                    </w:rPr>
                    <w:t>Wages</w:t>
                  </w:r>
                </w:p>
              </w:tc>
              <w:tc>
                <w:tcPr>
                  <w:tcW w:w="966" w:type="dxa"/>
                  <w:tcBorders>
                    <w:top w:val="single" w:sz="4" w:space="0" w:color="auto"/>
                    <w:bottom w:val="single" w:sz="4" w:space="0" w:color="auto"/>
                  </w:tcBorders>
                </w:tcPr>
                <w:p w14:paraId="3D22EFE1" w14:textId="77777777" w:rsidR="00F22830" w:rsidRDefault="00F22830" w:rsidP="00F22830">
                  <w:pPr>
                    <w:jc w:val="right"/>
                    <w:rPr>
                      <w:rFonts w:ascii="Cambria" w:hAnsi="Cambria"/>
                    </w:rPr>
                  </w:pPr>
                </w:p>
                <w:p w14:paraId="040F324E" w14:textId="6AED144F" w:rsidR="005766D4" w:rsidRPr="005766D4" w:rsidRDefault="00401BA9" w:rsidP="00F22830">
                  <w:pPr>
                    <w:jc w:val="right"/>
                    <w:rPr>
                      <w:rFonts w:ascii="Cambria" w:hAnsi="Cambria"/>
                    </w:rPr>
                  </w:pPr>
                  <w:r>
                    <w:rPr>
                      <w:rFonts w:ascii="Cambria" w:hAnsi="Cambria"/>
                    </w:rPr>
                    <w:t>Mixed</w:t>
                  </w:r>
                </w:p>
              </w:tc>
              <w:tc>
                <w:tcPr>
                  <w:tcW w:w="1360" w:type="dxa"/>
                  <w:tcBorders>
                    <w:top w:val="single" w:sz="4" w:space="0" w:color="auto"/>
                    <w:bottom w:val="single" w:sz="4" w:space="0" w:color="auto"/>
                  </w:tcBorders>
                </w:tcPr>
                <w:p w14:paraId="560990E2" w14:textId="4B1B21D0" w:rsidR="005766D4" w:rsidRPr="005766D4" w:rsidRDefault="00401BA9" w:rsidP="00F22830">
                  <w:pPr>
                    <w:jc w:val="right"/>
                    <w:rPr>
                      <w:rFonts w:ascii="Cambria" w:hAnsi="Cambria"/>
                    </w:rPr>
                  </w:pPr>
                  <w:r>
                    <w:rPr>
                      <w:rFonts w:ascii="Cambria" w:hAnsi="Cambria"/>
                    </w:rPr>
                    <w:t>Ad hoc / discretionary</w:t>
                  </w:r>
                </w:p>
              </w:tc>
            </w:tr>
            <w:tr w:rsidR="00401BA9" w:rsidRPr="005766D4" w14:paraId="2E5DFA01" w14:textId="77777777" w:rsidTr="00F22830">
              <w:tc>
                <w:tcPr>
                  <w:tcW w:w="3149" w:type="dxa"/>
                  <w:tcBorders>
                    <w:top w:val="single" w:sz="4" w:space="0" w:color="auto"/>
                  </w:tcBorders>
                </w:tcPr>
                <w:p w14:paraId="4AE86FD1" w14:textId="71721075" w:rsidR="005766D4" w:rsidRPr="005766D4" w:rsidRDefault="005766D4" w:rsidP="00401BA9">
                  <w:pPr>
                    <w:rPr>
                      <w:rFonts w:ascii="Cambria" w:hAnsi="Cambria"/>
                    </w:rPr>
                  </w:pPr>
                  <w:r w:rsidRPr="005766D4">
                    <w:rPr>
                      <w:rFonts w:ascii="Cambria" w:hAnsi="Cambria"/>
                    </w:rPr>
                    <w:t>Eas</w:t>
                  </w:r>
                  <w:r w:rsidR="00401BA9">
                    <w:rPr>
                      <w:rFonts w:ascii="Cambria" w:hAnsi="Cambria"/>
                    </w:rPr>
                    <w:t>t</w:t>
                  </w:r>
                  <w:r w:rsidRPr="005766D4">
                    <w:rPr>
                      <w:rFonts w:ascii="Cambria" w:hAnsi="Cambria"/>
                    </w:rPr>
                    <w:t xml:space="preserve"> Asia and the Pacific</w:t>
                  </w:r>
                </w:p>
              </w:tc>
              <w:tc>
                <w:tcPr>
                  <w:tcW w:w="1338" w:type="dxa"/>
                  <w:tcBorders>
                    <w:top w:val="single" w:sz="4" w:space="0" w:color="auto"/>
                  </w:tcBorders>
                </w:tcPr>
                <w:p w14:paraId="521690BF" w14:textId="0E9A30DF" w:rsidR="005766D4" w:rsidRPr="005766D4" w:rsidRDefault="00401BA9" w:rsidP="00F22830">
                  <w:pPr>
                    <w:jc w:val="right"/>
                    <w:rPr>
                      <w:rFonts w:ascii="Cambria" w:hAnsi="Cambria"/>
                    </w:rPr>
                  </w:pPr>
                  <w:r>
                    <w:rPr>
                      <w:rFonts w:ascii="Cambria" w:hAnsi="Cambria"/>
                    </w:rPr>
                    <w:t>6</w:t>
                  </w:r>
                </w:p>
              </w:tc>
              <w:tc>
                <w:tcPr>
                  <w:tcW w:w="981" w:type="dxa"/>
                  <w:tcBorders>
                    <w:top w:val="single" w:sz="4" w:space="0" w:color="auto"/>
                  </w:tcBorders>
                </w:tcPr>
                <w:p w14:paraId="46BBD7D6" w14:textId="5E39A5B6" w:rsidR="005766D4" w:rsidRPr="005766D4" w:rsidRDefault="00401BA9" w:rsidP="00F22830">
                  <w:pPr>
                    <w:jc w:val="right"/>
                    <w:rPr>
                      <w:rFonts w:ascii="Cambria" w:hAnsi="Cambria"/>
                    </w:rPr>
                  </w:pPr>
                  <w:r>
                    <w:rPr>
                      <w:rFonts w:ascii="Cambria" w:hAnsi="Cambria"/>
                    </w:rPr>
                    <w:t>2</w:t>
                  </w:r>
                </w:p>
              </w:tc>
              <w:tc>
                <w:tcPr>
                  <w:tcW w:w="998" w:type="dxa"/>
                  <w:tcBorders>
                    <w:top w:val="single" w:sz="4" w:space="0" w:color="auto"/>
                  </w:tcBorders>
                </w:tcPr>
                <w:p w14:paraId="2F540E86" w14:textId="64971287" w:rsidR="005766D4" w:rsidRPr="005766D4" w:rsidRDefault="00401BA9" w:rsidP="00F22830">
                  <w:pPr>
                    <w:jc w:val="right"/>
                    <w:rPr>
                      <w:rFonts w:ascii="Cambria" w:hAnsi="Cambria"/>
                    </w:rPr>
                  </w:pPr>
                  <w:r>
                    <w:rPr>
                      <w:rFonts w:ascii="Cambria" w:hAnsi="Cambria"/>
                    </w:rPr>
                    <w:t>2</w:t>
                  </w:r>
                </w:p>
              </w:tc>
              <w:tc>
                <w:tcPr>
                  <w:tcW w:w="966" w:type="dxa"/>
                  <w:tcBorders>
                    <w:top w:val="single" w:sz="4" w:space="0" w:color="auto"/>
                  </w:tcBorders>
                </w:tcPr>
                <w:p w14:paraId="46BE0618" w14:textId="12AEB5F7" w:rsidR="005766D4" w:rsidRPr="005766D4" w:rsidRDefault="00401BA9" w:rsidP="00F22830">
                  <w:pPr>
                    <w:jc w:val="right"/>
                    <w:rPr>
                      <w:rFonts w:ascii="Cambria" w:hAnsi="Cambria"/>
                    </w:rPr>
                  </w:pPr>
                  <w:r>
                    <w:rPr>
                      <w:rFonts w:ascii="Cambria" w:hAnsi="Cambria"/>
                    </w:rPr>
                    <w:t>-</w:t>
                  </w:r>
                </w:p>
              </w:tc>
              <w:tc>
                <w:tcPr>
                  <w:tcW w:w="1360" w:type="dxa"/>
                  <w:tcBorders>
                    <w:top w:val="single" w:sz="4" w:space="0" w:color="auto"/>
                  </w:tcBorders>
                </w:tcPr>
                <w:p w14:paraId="02FC9147" w14:textId="53876DF1" w:rsidR="005766D4" w:rsidRPr="005766D4" w:rsidRDefault="00401BA9" w:rsidP="00F22830">
                  <w:pPr>
                    <w:jc w:val="right"/>
                    <w:rPr>
                      <w:rFonts w:ascii="Cambria" w:hAnsi="Cambria"/>
                    </w:rPr>
                  </w:pPr>
                  <w:r>
                    <w:rPr>
                      <w:rFonts w:ascii="Cambria" w:hAnsi="Cambria"/>
                    </w:rPr>
                    <w:t>2</w:t>
                  </w:r>
                </w:p>
              </w:tc>
            </w:tr>
            <w:tr w:rsidR="00401BA9" w:rsidRPr="005766D4" w14:paraId="11BF6978" w14:textId="77777777" w:rsidTr="00F22830">
              <w:tc>
                <w:tcPr>
                  <w:tcW w:w="3149" w:type="dxa"/>
                </w:tcPr>
                <w:p w14:paraId="25B8BE86" w14:textId="773DD604" w:rsidR="005766D4" w:rsidRPr="005766D4" w:rsidRDefault="005766D4" w:rsidP="00401BA9">
                  <w:pPr>
                    <w:rPr>
                      <w:rFonts w:ascii="Cambria" w:hAnsi="Cambria"/>
                    </w:rPr>
                  </w:pPr>
                  <w:r>
                    <w:rPr>
                      <w:rFonts w:ascii="Cambria" w:hAnsi="Cambria"/>
                    </w:rPr>
                    <w:t>Eastern Europe and Central Asia</w:t>
                  </w:r>
                </w:p>
              </w:tc>
              <w:tc>
                <w:tcPr>
                  <w:tcW w:w="1338" w:type="dxa"/>
                </w:tcPr>
                <w:p w14:paraId="3B71E370" w14:textId="3FEE4646" w:rsidR="005766D4" w:rsidRPr="005766D4" w:rsidRDefault="00401BA9" w:rsidP="00F22830">
                  <w:pPr>
                    <w:jc w:val="right"/>
                    <w:rPr>
                      <w:rFonts w:ascii="Cambria" w:hAnsi="Cambria"/>
                    </w:rPr>
                  </w:pPr>
                  <w:r>
                    <w:rPr>
                      <w:rFonts w:ascii="Cambria" w:hAnsi="Cambria"/>
                    </w:rPr>
                    <w:t>28</w:t>
                  </w:r>
                </w:p>
              </w:tc>
              <w:tc>
                <w:tcPr>
                  <w:tcW w:w="981" w:type="dxa"/>
                </w:tcPr>
                <w:p w14:paraId="1B2F017A" w14:textId="0D918CA6" w:rsidR="005766D4" w:rsidRPr="005766D4" w:rsidRDefault="00401BA9" w:rsidP="00F22830">
                  <w:pPr>
                    <w:jc w:val="right"/>
                    <w:rPr>
                      <w:rFonts w:ascii="Cambria" w:hAnsi="Cambria"/>
                    </w:rPr>
                  </w:pPr>
                  <w:r>
                    <w:rPr>
                      <w:rFonts w:ascii="Cambria" w:hAnsi="Cambria"/>
                    </w:rPr>
                    <w:t>10</w:t>
                  </w:r>
                </w:p>
              </w:tc>
              <w:tc>
                <w:tcPr>
                  <w:tcW w:w="998" w:type="dxa"/>
                </w:tcPr>
                <w:p w14:paraId="75586B3A" w14:textId="23CD6478" w:rsidR="005766D4" w:rsidRPr="005766D4" w:rsidRDefault="00401BA9" w:rsidP="00F22830">
                  <w:pPr>
                    <w:jc w:val="right"/>
                    <w:rPr>
                      <w:rFonts w:ascii="Cambria" w:hAnsi="Cambria"/>
                    </w:rPr>
                  </w:pPr>
                  <w:r>
                    <w:rPr>
                      <w:rFonts w:ascii="Cambria" w:hAnsi="Cambria"/>
                    </w:rPr>
                    <w:t>5</w:t>
                  </w:r>
                </w:p>
              </w:tc>
              <w:tc>
                <w:tcPr>
                  <w:tcW w:w="966" w:type="dxa"/>
                </w:tcPr>
                <w:p w14:paraId="5C167BF7" w14:textId="199410DC" w:rsidR="005766D4" w:rsidRPr="005766D4" w:rsidRDefault="00401BA9" w:rsidP="00F22830">
                  <w:pPr>
                    <w:jc w:val="right"/>
                    <w:rPr>
                      <w:rFonts w:ascii="Cambria" w:hAnsi="Cambria"/>
                    </w:rPr>
                  </w:pPr>
                  <w:r>
                    <w:rPr>
                      <w:rFonts w:ascii="Cambria" w:hAnsi="Cambria"/>
                    </w:rPr>
                    <w:t>8</w:t>
                  </w:r>
                </w:p>
              </w:tc>
              <w:tc>
                <w:tcPr>
                  <w:tcW w:w="1360" w:type="dxa"/>
                </w:tcPr>
                <w:p w14:paraId="659EA226" w14:textId="6057836A" w:rsidR="005766D4" w:rsidRPr="005766D4" w:rsidRDefault="00401BA9" w:rsidP="00F22830">
                  <w:pPr>
                    <w:jc w:val="right"/>
                    <w:rPr>
                      <w:rFonts w:ascii="Cambria" w:hAnsi="Cambria"/>
                    </w:rPr>
                  </w:pPr>
                  <w:r>
                    <w:rPr>
                      <w:rFonts w:ascii="Cambria" w:hAnsi="Cambria"/>
                    </w:rPr>
                    <w:t>5</w:t>
                  </w:r>
                </w:p>
              </w:tc>
            </w:tr>
            <w:tr w:rsidR="00401BA9" w:rsidRPr="005766D4" w14:paraId="7E27F95D" w14:textId="77777777" w:rsidTr="00F22830">
              <w:tc>
                <w:tcPr>
                  <w:tcW w:w="3149" w:type="dxa"/>
                </w:tcPr>
                <w:p w14:paraId="2F521AC6" w14:textId="5E966429" w:rsidR="005766D4" w:rsidRDefault="005766D4" w:rsidP="00401BA9">
                  <w:pPr>
                    <w:rPr>
                      <w:rFonts w:ascii="Cambria" w:hAnsi="Cambria"/>
                    </w:rPr>
                  </w:pPr>
                  <w:r>
                    <w:rPr>
                      <w:rFonts w:ascii="Cambria" w:hAnsi="Cambria"/>
                    </w:rPr>
                    <w:t>Latin America and the Caribbean</w:t>
                  </w:r>
                </w:p>
              </w:tc>
              <w:tc>
                <w:tcPr>
                  <w:tcW w:w="1338" w:type="dxa"/>
                </w:tcPr>
                <w:p w14:paraId="7BD9FAB0" w14:textId="330AC951" w:rsidR="005766D4" w:rsidRPr="005766D4" w:rsidRDefault="00401BA9" w:rsidP="00F22830">
                  <w:pPr>
                    <w:jc w:val="right"/>
                    <w:rPr>
                      <w:rFonts w:ascii="Cambria" w:hAnsi="Cambria"/>
                    </w:rPr>
                  </w:pPr>
                  <w:r>
                    <w:rPr>
                      <w:rFonts w:ascii="Cambria" w:hAnsi="Cambria"/>
                    </w:rPr>
                    <w:t>24</w:t>
                  </w:r>
                </w:p>
              </w:tc>
              <w:tc>
                <w:tcPr>
                  <w:tcW w:w="981" w:type="dxa"/>
                </w:tcPr>
                <w:p w14:paraId="74732D31" w14:textId="18595BE4" w:rsidR="005766D4" w:rsidRPr="005766D4" w:rsidRDefault="00401BA9" w:rsidP="00F22830">
                  <w:pPr>
                    <w:jc w:val="right"/>
                    <w:rPr>
                      <w:rFonts w:ascii="Cambria" w:hAnsi="Cambria"/>
                    </w:rPr>
                  </w:pPr>
                  <w:r>
                    <w:rPr>
                      <w:rFonts w:ascii="Cambria" w:hAnsi="Cambria"/>
                    </w:rPr>
                    <w:t>6</w:t>
                  </w:r>
                </w:p>
              </w:tc>
              <w:tc>
                <w:tcPr>
                  <w:tcW w:w="998" w:type="dxa"/>
                </w:tcPr>
                <w:p w14:paraId="0199A95D" w14:textId="37270043" w:rsidR="005766D4" w:rsidRPr="005766D4" w:rsidRDefault="00401BA9" w:rsidP="00F22830">
                  <w:pPr>
                    <w:jc w:val="right"/>
                    <w:rPr>
                      <w:rFonts w:ascii="Cambria" w:hAnsi="Cambria"/>
                    </w:rPr>
                  </w:pPr>
                  <w:r>
                    <w:rPr>
                      <w:rFonts w:ascii="Cambria" w:hAnsi="Cambria"/>
                    </w:rPr>
                    <w:t>2</w:t>
                  </w:r>
                </w:p>
              </w:tc>
              <w:tc>
                <w:tcPr>
                  <w:tcW w:w="966" w:type="dxa"/>
                </w:tcPr>
                <w:p w14:paraId="7F03124C" w14:textId="6E41DA49" w:rsidR="005766D4" w:rsidRPr="005766D4" w:rsidRDefault="00401BA9" w:rsidP="00F22830">
                  <w:pPr>
                    <w:jc w:val="right"/>
                    <w:rPr>
                      <w:rFonts w:ascii="Cambria" w:hAnsi="Cambria"/>
                    </w:rPr>
                  </w:pPr>
                  <w:r>
                    <w:rPr>
                      <w:rFonts w:ascii="Cambria" w:hAnsi="Cambria"/>
                    </w:rPr>
                    <w:t>1</w:t>
                  </w:r>
                </w:p>
              </w:tc>
              <w:tc>
                <w:tcPr>
                  <w:tcW w:w="1360" w:type="dxa"/>
                </w:tcPr>
                <w:p w14:paraId="33E1F2AF" w14:textId="6F601B74" w:rsidR="005766D4" w:rsidRPr="005766D4" w:rsidRDefault="00401BA9" w:rsidP="00F22830">
                  <w:pPr>
                    <w:jc w:val="right"/>
                    <w:rPr>
                      <w:rFonts w:ascii="Cambria" w:hAnsi="Cambria"/>
                    </w:rPr>
                  </w:pPr>
                  <w:r>
                    <w:rPr>
                      <w:rFonts w:ascii="Cambria" w:hAnsi="Cambria"/>
                    </w:rPr>
                    <w:t>15</w:t>
                  </w:r>
                </w:p>
              </w:tc>
            </w:tr>
            <w:tr w:rsidR="00401BA9" w:rsidRPr="005766D4" w14:paraId="1769E9AE" w14:textId="77777777" w:rsidTr="00F22830">
              <w:tc>
                <w:tcPr>
                  <w:tcW w:w="3149" w:type="dxa"/>
                </w:tcPr>
                <w:p w14:paraId="4F441B01" w14:textId="553666BE" w:rsidR="005766D4" w:rsidRDefault="005766D4" w:rsidP="00401BA9">
                  <w:pPr>
                    <w:rPr>
                      <w:rFonts w:ascii="Cambria" w:hAnsi="Cambria"/>
                    </w:rPr>
                  </w:pPr>
                  <w:r>
                    <w:rPr>
                      <w:rFonts w:ascii="Cambria" w:hAnsi="Cambria"/>
                    </w:rPr>
                    <w:t>Middle East and North Africa</w:t>
                  </w:r>
                </w:p>
              </w:tc>
              <w:tc>
                <w:tcPr>
                  <w:tcW w:w="1338" w:type="dxa"/>
                </w:tcPr>
                <w:p w14:paraId="02CCDFC4" w14:textId="3FD9F2C1" w:rsidR="005766D4" w:rsidRPr="005766D4" w:rsidRDefault="00401BA9" w:rsidP="00F22830">
                  <w:pPr>
                    <w:jc w:val="right"/>
                    <w:rPr>
                      <w:rFonts w:ascii="Cambria" w:hAnsi="Cambria"/>
                    </w:rPr>
                  </w:pPr>
                  <w:r>
                    <w:rPr>
                      <w:rFonts w:ascii="Cambria" w:hAnsi="Cambria"/>
                    </w:rPr>
                    <w:t>12</w:t>
                  </w:r>
                </w:p>
              </w:tc>
              <w:tc>
                <w:tcPr>
                  <w:tcW w:w="981" w:type="dxa"/>
                </w:tcPr>
                <w:p w14:paraId="08B112FC" w14:textId="550A116C" w:rsidR="005766D4" w:rsidRPr="005766D4" w:rsidRDefault="00401BA9" w:rsidP="00F22830">
                  <w:pPr>
                    <w:jc w:val="right"/>
                    <w:rPr>
                      <w:rFonts w:ascii="Cambria" w:hAnsi="Cambria"/>
                    </w:rPr>
                  </w:pPr>
                  <w:r>
                    <w:rPr>
                      <w:rFonts w:ascii="Cambria" w:hAnsi="Cambria"/>
                    </w:rPr>
                    <w:t>2</w:t>
                  </w:r>
                </w:p>
              </w:tc>
              <w:tc>
                <w:tcPr>
                  <w:tcW w:w="998" w:type="dxa"/>
                </w:tcPr>
                <w:p w14:paraId="0C320A8B" w14:textId="7E4B45CE" w:rsidR="005766D4" w:rsidRPr="005766D4" w:rsidRDefault="00401BA9" w:rsidP="00F22830">
                  <w:pPr>
                    <w:jc w:val="right"/>
                    <w:rPr>
                      <w:rFonts w:ascii="Cambria" w:hAnsi="Cambria"/>
                    </w:rPr>
                  </w:pPr>
                  <w:r>
                    <w:rPr>
                      <w:rFonts w:ascii="Cambria" w:hAnsi="Cambria"/>
                    </w:rPr>
                    <w:t>1</w:t>
                  </w:r>
                </w:p>
              </w:tc>
              <w:tc>
                <w:tcPr>
                  <w:tcW w:w="966" w:type="dxa"/>
                </w:tcPr>
                <w:p w14:paraId="76CB3B6B" w14:textId="28C1ED6B" w:rsidR="005766D4" w:rsidRPr="005766D4" w:rsidRDefault="00401BA9" w:rsidP="00F22830">
                  <w:pPr>
                    <w:jc w:val="right"/>
                    <w:rPr>
                      <w:rFonts w:ascii="Cambria" w:hAnsi="Cambria"/>
                    </w:rPr>
                  </w:pPr>
                  <w:r>
                    <w:rPr>
                      <w:rFonts w:ascii="Cambria" w:hAnsi="Cambria"/>
                    </w:rPr>
                    <w:t>-</w:t>
                  </w:r>
                </w:p>
              </w:tc>
              <w:tc>
                <w:tcPr>
                  <w:tcW w:w="1360" w:type="dxa"/>
                </w:tcPr>
                <w:p w14:paraId="6DB36D02" w14:textId="32BDE5D5" w:rsidR="005766D4" w:rsidRPr="005766D4" w:rsidRDefault="00401BA9" w:rsidP="00F22830">
                  <w:pPr>
                    <w:jc w:val="right"/>
                    <w:rPr>
                      <w:rFonts w:ascii="Cambria" w:hAnsi="Cambria"/>
                    </w:rPr>
                  </w:pPr>
                  <w:r>
                    <w:rPr>
                      <w:rFonts w:ascii="Cambria" w:hAnsi="Cambria"/>
                    </w:rPr>
                    <w:t>9</w:t>
                  </w:r>
                </w:p>
              </w:tc>
            </w:tr>
            <w:tr w:rsidR="00401BA9" w:rsidRPr="005766D4" w14:paraId="5EA00C9A" w14:textId="77777777" w:rsidTr="00F22830">
              <w:tc>
                <w:tcPr>
                  <w:tcW w:w="3149" w:type="dxa"/>
                </w:tcPr>
                <w:p w14:paraId="5097BDFE" w14:textId="3D104F41" w:rsidR="005766D4" w:rsidRDefault="005766D4" w:rsidP="00401BA9">
                  <w:pPr>
                    <w:rPr>
                      <w:rFonts w:ascii="Cambria" w:hAnsi="Cambria"/>
                    </w:rPr>
                  </w:pPr>
                  <w:r>
                    <w:rPr>
                      <w:rFonts w:ascii="Cambria" w:hAnsi="Cambria"/>
                    </w:rPr>
                    <w:t>South Asia</w:t>
                  </w:r>
                </w:p>
              </w:tc>
              <w:tc>
                <w:tcPr>
                  <w:tcW w:w="1338" w:type="dxa"/>
                </w:tcPr>
                <w:p w14:paraId="68609F53" w14:textId="2742B726" w:rsidR="005766D4" w:rsidRPr="005766D4" w:rsidRDefault="00401BA9" w:rsidP="00F22830">
                  <w:pPr>
                    <w:jc w:val="right"/>
                    <w:rPr>
                      <w:rFonts w:ascii="Cambria" w:hAnsi="Cambria"/>
                    </w:rPr>
                  </w:pPr>
                  <w:r>
                    <w:rPr>
                      <w:rFonts w:ascii="Cambria" w:hAnsi="Cambria"/>
                    </w:rPr>
                    <w:t>8</w:t>
                  </w:r>
                </w:p>
              </w:tc>
              <w:tc>
                <w:tcPr>
                  <w:tcW w:w="981" w:type="dxa"/>
                </w:tcPr>
                <w:p w14:paraId="5DCD1C20" w14:textId="3A26EC8E" w:rsidR="005766D4" w:rsidRPr="005766D4" w:rsidRDefault="00401BA9" w:rsidP="00F22830">
                  <w:pPr>
                    <w:jc w:val="right"/>
                    <w:rPr>
                      <w:rFonts w:ascii="Cambria" w:hAnsi="Cambria"/>
                    </w:rPr>
                  </w:pPr>
                  <w:r>
                    <w:rPr>
                      <w:rFonts w:ascii="Cambria" w:hAnsi="Cambria"/>
                    </w:rPr>
                    <w:t>-</w:t>
                  </w:r>
                </w:p>
              </w:tc>
              <w:tc>
                <w:tcPr>
                  <w:tcW w:w="998" w:type="dxa"/>
                </w:tcPr>
                <w:p w14:paraId="20BCE3D3" w14:textId="024DC4B4" w:rsidR="005766D4" w:rsidRPr="005766D4" w:rsidRDefault="00401BA9" w:rsidP="00F22830">
                  <w:pPr>
                    <w:jc w:val="right"/>
                    <w:rPr>
                      <w:rFonts w:ascii="Cambria" w:hAnsi="Cambria"/>
                    </w:rPr>
                  </w:pPr>
                  <w:r>
                    <w:rPr>
                      <w:rFonts w:ascii="Cambria" w:hAnsi="Cambria"/>
                    </w:rPr>
                    <w:t>-</w:t>
                  </w:r>
                </w:p>
              </w:tc>
              <w:tc>
                <w:tcPr>
                  <w:tcW w:w="966" w:type="dxa"/>
                </w:tcPr>
                <w:p w14:paraId="097CD439" w14:textId="7C7FDAF2" w:rsidR="005766D4" w:rsidRPr="005766D4" w:rsidRDefault="00401BA9" w:rsidP="00F22830">
                  <w:pPr>
                    <w:jc w:val="right"/>
                    <w:rPr>
                      <w:rFonts w:ascii="Cambria" w:hAnsi="Cambria"/>
                    </w:rPr>
                  </w:pPr>
                  <w:r>
                    <w:rPr>
                      <w:rFonts w:ascii="Cambria" w:hAnsi="Cambria"/>
                    </w:rPr>
                    <w:t>-</w:t>
                  </w:r>
                </w:p>
              </w:tc>
              <w:tc>
                <w:tcPr>
                  <w:tcW w:w="1360" w:type="dxa"/>
                </w:tcPr>
                <w:p w14:paraId="14E63586" w14:textId="4FFF608A" w:rsidR="005766D4" w:rsidRPr="005766D4" w:rsidRDefault="00401BA9" w:rsidP="00F22830">
                  <w:pPr>
                    <w:jc w:val="right"/>
                    <w:rPr>
                      <w:rFonts w:ascii="Cambria" w:hAnsi="Cambria"/>
                    </w:rPr>
                  </w:pPr>
                  <w:r>
                    <w:rPr>
                      <w:rFonts w:ascii="Cambria" w:hAnsi="Cambria"/>
                    </w:rPr>
                    <w:t>-</w:t>
                  </w:r>
                </w:p>
              </w:tc>
            </w:tr>
            <w:tr w:rsidR="00401BA9" w:rsidRPr="005766D4" w14:paraId="1100D261" w14:textId="77777777" w:rsidTr="00F22830">
              <w:tc>
                <w:tcPr>
                  <w:tcW w:w="3149" w:type="dxa"/>
                </w:tcPr>
                <w:p w14:paraId="60039147" w14:textId="67939519" w:rsidR="005766D4" w:rsidRDefault="005766D4" w:rsidP="00401BA9">
                  <w:pPr>
                    <w:rPr>
                      <w:rFonts w:ascii="Cambria" w:hAnsi="Cambria"/>
                    </w:rPr>
                  </w:pPr>
                  <w:r>
                    <w:rPr>
                      <w:rFonts w:ascii="Cambria" w:hAnsi="Cambria"/>
                    </w:rPr>
                    <w:t>Sub-Saharan Africa</w:t>
                  </w:r>
                </w:p>
              </w:tc>
              <w:tc>
                <w:tcPr>
                  <w:tcW w:w="1338" w:type="dxa"/>
                </w:tcPr>
                <w:p w14:paraId="03E94B28" w14:textId="4578E8E6" w:rsidR="005766D4" w:rsidRPr="005766D4" w:rsidRDefault="00401BA9" w:rsidP="00F22830">
                  <w:pPr>
                    <w:jc w:val="right"/>
                    <w:rPr>
                      <w:rFonts w:ascii="Cambria" w:hAnsi="Cambria"/>
                    </w:rPr>
                  </w:pPr>
                  <w:r>
                    <w:rPr>
                      <w:rFonts w:ascii="Cambria" w:hAnsi="Cambria"/>
                    </w:rPr>
                    <w:t>18</w:t>
                  </w:r>
                </w:p>
              </w:tc>
              <w:tc>
                <w:tcPr>
                  <w:tcW w:w="981" w:type="dxa"/>
                </w:tcPr>
                <w:p w14:paraId="27F4E266" w14:textId="13276AD2" w:rsidR="005766D4" w:rsidRPr="005766D4" w:rsidRDefault="00401BA9" w:rsidP="00F22830">
                  <w:pPr>
                    <w:jc w:val="right"/>
                    <w:rPr>
                      <w:rFonts w:ascii="Cambria" w:hAnsi="Cambria"/>
                    </w:rPr>
                  </w:pPr>
                  <w:r>
                    <w:rPr>
                      <w:rFonts w:ascii="Cambria" w:hAnsi="Cambria"/>
                    </w:rPr>
                    <w:t>8</w:t>
                  </w:r>
                </w:p>
              </w:tc>
              <w:tc>
                <w:tcPr>
                  <w:tcW w:w="998" w:type="dxa"/>
                </w:tcPr>
                <w:p w14:paraId="789E249D" w14:textId="6A39C836" w:rsidR="005766D4" w:rsidRPr="005766D4" w:rsidRDefault="00401BA9" w:rsidP="00F22830">
                  <w:pPr>
                    <w:jc w:val="right"/>
                    <w:rPr>
                      <w:rFonts w:ascii="Cambria" w:hAnsi="Cambria"/>
                    </w:rPr>
                  </w:pPr>
                  <w:r>
                    <w:rPr>
                      <w:rFonts w:ascii="Cambria" w:hAnsi="Cambria"/>
                    </w:rPr>
                    <w:t>2</w:t>
                  </w:r>
                </w:p>
              </w:tc>
              <w:tc>
                <w:tcPr>
                  <w:tcW w:w="966" w:type="dxa"/>
                </w:tcPr>
                <w:p w14:paraId="65EF98C3" w14:textId="45C2BC39" w:rsidR="005766D4" w:rsidRPr="005766D4" w:rsidRDefault="00401BA9" w:rsidP="00F22830">
                  <w:pPr>
                    <w:jc w:val="right"/>
                    <w:rPr>
                      <w:rFonts w:ascii="Cambria" w:hAnsi="Cambria"/>
                    </w:rPr>
                  </w:pPr>
                  <w:r>
                    <w:rPr>
                      <w:rFonts w:ascii="Cambria" w:hAnsi="Cambria"/>
                    </w:rPr>
                    <w:t>-</w:t>
                  </w:r>
                </w:p>
              </w:tc>
              <w:tc>
                <w:tcPr>
                  <w:tcW w:w="1360" w:type="dxa"/>
                </w:tcPr>
                <w:p w14:paraId="33C4691A" w14:textId="5ABBB32B" w:rsidR="005766D4" w:rsidRPr="005766D4" w:rsidRDefault="00401BA9" w:rsidP="00F22830">
                  <w:pPr>
                    <w:jc w:val="right"/>
                    <w:rPr>
                      <w:rFonts w:ascii="Cambria" w:hAnsi="Cambria"/>
                    </w:rPr>
                  </w:pPr>
                  <w:r>
                    <w:rPr>
                      <w:rFonts w:ascii="Cambria" w:hAnsi="Cambria"/>
                    </w:rPr>
                    <w:t>7</w:t>
                  </w:r>
                </w:p>
              </w:tc>
            </w:tr>
            <w:tr w:rsidR="00401BA9" w:rsidRPr="005766D4" w14:paraId="640854C9" w14:textId="77777777" w:rsidTr="00F22830">
              <w:tc>
                <w:tcPr>
                  <w:tcW w:w="3149" w:type="dxa"/>
                </w:tcPr>
                <w:p w14:paraId="55DE64BA" w14:textId="2EA98ADF" w:rsidR="005766D4" w:rsidRDefault="005766D4" w:rsidP="00401BA9">
                  <w:pPr>
                    <w:rPr>
                      <w:rFonts w:ascii="Cambria" w:hAnsi="Cambria"/>
                    </w:rPr>
                  </w:pPr>
                  <w:r>
                    <w:rPr>
                      <w:rFonts w:ascii="Cambria" w:hAnsi="Cambria"/>
                    </w:rPr>
                    <w:t>High-income OECD</w:t>
                  </w:r>
                </w:p>
              </w:tc>
              <w:tc>
                <w:tcPr>
                  <w:tcW w:w="1338" w:type="dxa"/>
                </w:tcPr>
                <w:p w14:paraId="4FCB1E91" w14:textId="4A8B8CF5" w:rsidR="005766D4" w:rsidRPr="005766D4" w:rsidRDefault="00401BA9" w:rsidP="00F22830">
                  <w:pPr>
                    <w:jc w:val="right"/>
                    <w:rPr>
                      <w:rFonts w:ascii="Cambria" w:hAnsi="Cambria"/>
                    </w:rPr>
                  </w:pPr>
                  <w:r>
                    <w:rPr>
                      <w:rFonts w:ascii="Cambria" w:hAnsi="Cambria"/>
                    </w:rPr>
                    <w:t>19</w:t>
                  </w:r>
                </w:p>
              </w:tc>
              <w:tc>
                <w:tcPr>
                  <w:tcW w:w="981" w:type="dxa"/>
                </w:tcPr>
                <w:p w14:paraId="3E608933" w14:textId="6DD55801" w:rsidR="005766D4" w:rsidRPr="005766D4" w:rsidRDefault="00401BA9" w:rsidP="00F22830">
                  <w:pPr>
                    <w:jc w:val="right"/>
                    <w:rPr>
                      <w:rFonts w:ascii="Cambria" w:hAnsi="Cambria"/>
                    </w:rPr>
                  </w:pPr>
                  <w:r>
                    <w:rPr>
                      <w:rFonts w:ascii="Cambria" w:hAnsi="Cambria"/>
                    </w:rPr>
                    <w:t>11</w:t>
                  </w:r>
                </w:p>
              </w:tc>
              <w:tc>
                <w:tcPr>
                  <w:tcW w:w="998" w:type="dxa"/>
                </w:tcPr>
                <w:p w14:paraId="187C5248" w14:textId="2C9E00F8" w:rsidR="005766D4" w:rsidRPr="005766D4" w:rsidRDefault="00401BA9" w:rsidP="00F22830">
                  <w:pPr>
                    <w:jc w:val="right"/>
                    <w:rPr>
                      <w:rFonts w:ascii="Cambria" w:hAnsi="Cambria"/>
                    </w:rPr>
                  </w:pPr>
                  <w:r>
                    <w:rPr>
                      <w:rFonts w:ascii="Cambria" w:hAnsi="Cambria"/>
                    </w:rPr>
                    <w:t>2</w:t>
                  </w:r>
                </w:p>
              </w:tc>
              <w:tc>
                <w:tcPr>
                  <w:tcW w:w="966" w:type="dxa"/>
                </w:tcPr>
                <w:p w14:paraId="746D4515" w14:textId="4498056E" w:rsidR="005766D4" w:rsidRPr="005766D4" w:rsidRDefault="00401BA9" w:rsidP="00F22830">
                  <w:pPr>
                    <w:jc w:val="right"/>
                    <w:rPr>
                      <w:rFonts w:ascii="Cambria" w:hAnsi="Cambria"/>
                    </w:rPr>
                  </w:pPr>
                  <w:r>
                    <w:rPr>
                      <w:rFonts w:ascii="Cambria" w:hAnsi="Cambria"/>
                    </w:rPr>
                    <w:t>4</w:t>
                  </w:r>
                </w:p>
              </w:tc>
              <w:tc>
                <w:tcPr>
                  <w:tcW w:w="1360" w:type="dxa"/>
                </w:tcPr>
                <w:p w14:paraId="1F0027EC" w14:textId="171536EA" w:rsidR="005766D4" w:rsidRPr="005766D4" w:rsidRDefault="00401BA9" w:rsidP="00F22830">
                  <w:pPr>
                    <w:jc w:val="right"/>
                    <w:rPr>
                      <w:rFonts w:ascii="Cambria" w:hAnsi="Cambria"/>
                    </w:rPr>
                  </w:pPr>
                  <w:r>
                    <w:rPr>
                      <w:rFonts w:ascii="Cambria" w:hAnsi="Cambria"/>
                    </w:rPr>
                    <w:t>2</w:t>
                  </w:r>
                </w:p>
              </w:tc>
            </w:tr>
            <w:tr w:rsidR="00401BA9" w:rsidRPr="005766D4" w14:paraId="43B34141" w14:textId="77777777" w:rsidTr="00F22830">
              <w:tc>
                <w:tcPr>
                  <w:tcW w:w="3149" w:type="dxa"/>
                  <w:tcBorders>
                    <w:bottom w:val="single" w:sz="4" w:space="0" w:color="auto"/>
                  </w:tcBorders>
                </w:tcPr>
                <w:p w14:paraId="3F0FCC75" w14:textId="4EDB466F" w:rsidR="00401BA9" w:rsidRDefault="00401BA9" w:rsidP="00401BA9">
                  <w:pPr>
                    <w:rPr>
                      <w:rFonts w:ascii="Cambria" w:hAnsi="Cambria"/>
                    </w:rPr>
                  </w:pPr>
                  <w:r>
                    <w:rPr>
                      <w:rFonts w:ascii="Cambria" w:hAnsi="Cambria"/>
                    </w:rPr>
                    <w:t>World</w:t>
                  </w:r>
                </w:p>
              </w:tc>
              <w:tc>
                <w:tcPr>
                  <w:tcW w:w="1338" w:type="dxa"/>
                  <w:tcBorders>
                    <w:bottom w:val="single" w:sz="4" w:space="0" w:color="auto"/>
                  </w:tcBorders>
                </w:tcPr>
                <w:p w14:paraId="5C237281" w14:textId="4D29F8C6" w:rsidR="00401BA9" w:rsidRDefault="00401BA9" w:rsidP="00F22830">
                  <w:pPr>
                    <w:jc w:val="right"/>
                    <w:rPr>
                      <w:rFonts w:ascii="Cambria" w:hAnsi="Cambria"/>
                    </w:rPr>
                  </w:pPr>
                  <w:r>
                    <w:rPr>
                      <w:rFonts w:ascii="Cambria" w:hAnsi="Cambria"/>
                    </w:rPr>
                    <w:t>115</w:t>
                  </w:r>
                </w:p>
              </w:tc>
              <w:tc>
                <w:tcPr>
                  <w:tcW w:w="981" w:type="dxa"/>
                  <w:tcBorders>
                    <w:bottom w:val="single" w:sz="4" w:space="0" w:color="auto"/>
                  </w:tcBorders>
                </w:tcPr>
                <w:p w14:paraId="56EC9C13" w14:textId="23E85C57" w:rsidR="00401BA9" w:rsidRPr="005766D4" w:rsidRDefault="00401BA9" w:rsidP="00F22830">
                  <w:pPr>
                    <w:jc w:val="right"/>
                    <w:rPr>
                      <w:rFonts w:ascii="Cambria" w:hAnsi="Cambria"/>
                    </w:rPr>
                  </w:pPr>
                  <w:r>
                    <w:rPr>
                      <w:rFonts w:ascii="Cambria" w:hAnsi="Cambria"/>
                    </w:rPr>
                    <w:t>39</w:t>
                  </w:r>
                </w:p>
              </w:tc>
              <w:tc>
                <w:tcPr>
                  <w:tcW w:w="998" w:type="dxa"/>
                  <w:tcBorders>
                    <w:bottom w:val="single" w:sz="4" w:space="0" w:color="auto"/>
                  </w:tcBorders>
                </w:tcPr>
                <w:p w14:paraId="4E2C5D3E" w14:textId="63A42832" w:rsidR="00401BA9" w:rsidRPr="005766D4" w:rsidRDefault="00401BA9" w:rsidP="00F22830">
                  <w:pPr>
                    <w:jc w:val="right"/>
                    <w:rPr>
                      <w:rFonts w:ascii="Cambria" w:hAnsi="Cambria"/>
                    </w:rPr>
                  </w:pPr>
                  <w:r>
                    <w:rPr>
                      <w:rFonts w:ascii="Cambria" w:hAnsi="Cambria"/>
                    </w:rPr>
                    <w:t>1</w:t>
                  </w:r>
                  <w:r w:rsidR="00A26B67">
                    <w:rPr>
                      <w:rFonts w:ascii="Cambria" w:hAnsi="Cambria"/>
                    </w:rPr>
                    <w:t>4</w:t>
                  </w:r>
                </w:p>
              </w:tc>
              <w:tc>
                <w:tcPr>
                  <w:tcW w:w="966" w:type="dxa"/>
                  <w:tcBorders>
                    <w:bottom w:val="single" w:sz="4" w:space="0" w:color="auto"/>
                  </w:tcBorders>
                </w:tcPr>
                <w:p w14:paraId="1701F349" w14:textId="407883A9" w:rsidR="00401BA9" w:rsidRPr="005766D4" w:rsidRDefault="00401BA9" w:rsidP="00F22830">
                  <w:pPr>
                    <w:jc w:val="right"/>
                    <w:rPr>
                      <w:rFonts w:ascii="Cambria" w:hAnsi="Cambria"/>
                    </w:rPr>
                  </w:pPr>
                  <w:r>
                    <w:rPr>
                      <w:rFonts w:ascii="Cambria" w:hAnsi="Cambria"/>
                    </w:rPr>
                    <w:t>1</w:t>
                  </w:r>
                  <w:r w:rsidR="00A26B67">
                    <w:rPr>
                      <w:rFonts w:ascii="Cambria" w:hAnsi="Cambria"/>
                    </w:rPr>
                    <w:t>3</w:t>
                  </w:r>
                </w:p>
              </w:tc>
              <w:tc>
                <w:tcPr>
                  <w:tcW w:w="1360" w:type="dxa"/>
                  <w:tcBorders>
                    <w:bottom w:val="single" w:sz="4" w:space="0" w:color="auto"/>
                  </w:tcBorders>
                </w:tcPr>
                <w:p w14:paraId="40DEF03E" w14:textId="020B23E0" w:rsidR="00401BA9" w:rsidRPr="005766D4" w:rsidRDefault="00A26B67" w:rsidP="00F22830">
                  <w:pPr>
                    <w:jc w:val="right"/>
                    <w:rPr>
                      <w:rFonts w:ascii="Cambria" w:hAnsi="Cambria"/>
                    </w:rPr>
                  </w:pPr>
                  <w:r>
                    <w:rPr>
                      <w:rFonts w:ascii="Cambria" w:hAnsi="Cambria"/>
                    </w:rPr>
                    <w:t>40</w:t>
                  </w:r>
                </w:p>
              </w:tc>
            </w:tr>
          </w:tbl>
          <w:p w14:paraId="673AEB6E" w14:textId="77777777" w:rsidR="005766D4" w:rsidRPr="005375CD" w:rsidRDefault="005766D4" w:rsidP="005766D4">
            <w:pPr>
              <w:jc w:val="both"/>
              <w:rPr>
                <w:rFonts w:ascii="Cambria" w:hAnsi="Cambria"/>
                <w:i/>
                <w:sz w:val="18"/>
                <w:szCs w:val="18"/>
              </w:rPr>
            </w:pPr>
          </w:p>
        </w:tc>
      </w:tr>
      <w:tr w:rsidR="005532DB" w14:paraId="4489F07E" w14:textId="77777777" w:rsidTr="002D2F4A">
        <w:trPr>
          <w:jc w:val="center"/>
        </w:trPr>
        <w:tc>
          <w:tcPr>
            <w:tcW w:w="9018" w:type="dxa"/>
          </w:tcPr>
          <w:p w14:paraId="07E703D0" w14:textId="77777777" w:rsidR="005532DB" w:rsidRPr="005532DB" w:rsidRDefault="005532DB" w:rsidP="00F22830">
            <w:pPr>
              <w:spacing w:before="40" w:after="120"/>
              <w:jc w:val="both"/>
              <w:rPr>
                <w:rFonts w:ascii="Cambria" w:hAnsi="Cambria"/>
                <w:sz w:val="18"/>
                <w:szCs w:val="18"/>
              </w:rPr>
            </w:pPr>
            <w:r w:rsidRPr="005375CD">
              <w:rPr>
                <w:rFonts w:ascii="Cambria" w:hAnsi="Cambria"/>
                <w:i/>
                <w:sz w:val="18"/>
                <w:szCs w:val="18"/>
              </w:rPr>
              <w:t>Source</w:t>
            </w:r>
            <w:r w:rsidRPr="005375CD">
              <w:rPr>
                <w:rFonts w:ascii="Cambria" w:hAnsi="Cambria"/>
                <w:sz w:val="18"/>
                <w:szCs w:val="18"/>
              </w:rPr>
              <w:t>: World Bank Pension Database.</w:t>
            </w:r>
          </w:p>
        </w:tc>
      </w:tr>
    </w:tbl>
    <w:p w14:paraId="7ADBF8DF" w14:textId="707BD799" w:rsidR="005375CD" w:rsidRPr="00C20EC5" w:rsidRDefault="005375CD" w:rsidP="005375CD">
      <w:pPr>
        <w:numPr>
          <w:ilvl w:val="0"/>
          <w:numId w:val="3"/>
        </w:numPr>
        <w:spacing w:before="240" w:after="240"/>
        <w:jc w:val="both"/>
        <w:rPr>
          <w:rFonts w:ascii="Cambria" w:hAnsi="Cambria"/>
          <w:sz w:val="22"/>
          <w:szCs w:val="22"/>
        </w:rPr>
      </w:pPr>
      <w:r w:rsidRPr="0041654F">
        <w:rPr>
          <w:rFonts w:ascii="Cambria" w:hAnsi="Cambria"/>
          <w:b/>
          <w:sz w:val="22"/>
          <w:szCs w:val="22"/>
        </w:rPr>
        <w:t>The contribution rate in the national pension system is 25</w:t>
      </w:r>
      <w:r w:rsidR="002B409D" w:rsidRPr="0041654F">
        <w:rPr>
          <w:rFonts w:ascii="Cambria" w:hAnsi="Cambria"/>
          <w:b/>
          <w:sz w:val="22"/>
          <w:szCs w:val="22"/>
        </w:rPr>
        <w:t xml:space="preserve"> percent</w:t>
      </w:r>
      <w:r w:rsidR="003C780E" w:rsidRPr="0041654F">
        <w:rPr>
          <w:rFonts w:ascii="Cambria" w:hAnsi="Cambria"/>
          <w:b/>
          <w:sz w:val="22"/>
          <w:szCs w:val="22"/>
        </w:rPr>
        <w:t>,</w:t>
      </w:r>
      <w:r w:rsidRPr="0041654F">
        <w:rPr>
          <w:rFonts w:ascii="Cambria" w:hAnsi="Cambria"/>
          <w:b/>
          <w:sz w:val="22"/>
          <w:szCs w:val="22"/>
        </w:rPr>
        <w:t xml:space="preserve"> which is </w:t>
      </w:r>
      <w:r w:rsidR="000839F5" w:rsidRPr="0041654F">
        <w:rPr>
          <w:rFonts w:ascii="Cambria" w:hAnsi="Cambria"/>
          <w:b/>
          <w:sz w:val="22"/>
          <w:szCs w:val="22"/>
        </w:rPr>
        <w:t>regarded as</w:t>
      </w:r>
      <w:r w:rsidRPr="0041654F">
        <w:rPr>
          <w:rFonts w:ascii="Cambria" w:hAnsi="Cambria"/>
          <w:b/>
          <w:sz w:val="22"/>
          <w:szCs w:val="22"/>
        </w:rPr>
        <w:t xml:space="preserve"> rather high for a low-income economy like </w:t>
      </w:r>
      <w:r w:rsidR="00BD15DC">
        <w:rPr>
          <w:rFonts w:ascii="Cambria" w:hAnsi="Cambria"/>
          <w:b/>
          <w:sz w:val="22"/>
          <w:szCs w:val="22"/>
        </w:rPr>
        <w:t xml:space="preserve">the </w:t>
      </w:r>
      <w:r w:rsidRPr="0041654F">
        <w:rPr>
          <w:rFonts w:ascii="Cambria" w:hAnsi="Cambria"/>
          <w:b/>
          <w:sz w:val="22"/>
          <w:szCs w:val="22"/>
        </w:rPr>
        <w:t>Kyrgyz</w:t>
      </w:r>
      <w:r w:rsidR="00BD15DC">
        <w:rPr>
          <w:rFonts w:ascii="Cambria" w:hAnsi="Cambria"/>
          <w:b/>
          <w:sz w:val="22"/>
          <w:szCs w:val="22"/>
        </w:rPr>
        <w:t xml:space="preserve"> Republic</w:t>
      </w:r>
      <w:r w:rsidR="000839F5">
        <w:rPr>
          <w:rFonts w:ascii="Cambria" w:hAnsi="Cambria"/>
          <w:sz w:val="22"/>
          <w:szCs w:val="22"/>
        </w:rPr>
        <w:t>.</w:t>
      </w:r>
      <w:r w:rsidRPr="00C20EC5">
        <w:rPr>
          <w:rFonts w:ascii="Cambria" w:hAnsi="Cambria"/>
          <w:sz w:val="22"/>
          <w:szCs w:val="22"/>
        </w:rPr>
        <w:t xml:space="preserve"> </w:t>
      </w:r>
      <w:r w:rsidR="000839F5">
        <w:rPr>
          <w:rFonts w:ascii="Cambria" w:hAnsi="Cambria"/>
          <w:sz w:val="22"/>
          <w:szCs w:val="22"/>
        </w:rPr>
        <w:t>This high contribution</w:t>
      </w:r>
      <w:r w:rsidRPr="00C20EC5">
        <w:rPr>
          <w:rFonts w:ascii="Cambria" w:hAnsi="Cambria"/>
          <w:sz w:val="22"/>
          <w:szCs w:val="22"/>
        </w:rPr>
        <w:t xml:space="preserve"> may cause labor market distortions and have a negative impact on economic growth at large. This rate is slightly above the 22</w:t>
      </w:r>
      <w:r w:rsidR="002B409D">
        <w:rPr>
          <w:rFonts w:ascii="Cambria" w:hAnsi="Cambria"/>
          <w:sz w:val="22"/>
          <w:szCs w:val="22"/>
        </w:rPr>
        <w:t xml:space="preserve"> percent</w:t>
      </w:r>
      <w:r w:rsidRPr="00C20EC5">
        <w:rPr>
          <w:rFonts w:ascii="Cambria" w:hAnsi="Cambria"/>
          <w:sz w:val="22"/>
          <w:szCs w:val="22"/>
        </w:rPr>
        <w:t xml:space="preserve"> average for transition countries in Europe and Central Asia many of which are facing similar problems </w:t>
      </w:r>
      <w:r w:rsidR="000839F5">
        <w:rPr>
          <w:rFonts w:ascii="Cambria" w:hAnsi="Cambria"/>
          <w:sz w:val="22"/>
          <w:szCs w:val="22"/>
        </w:rPr>
        <w:t>(</w:t>
      </w:r>
      <w:r w:rsidRPr="00C20EC5">
        <w:rPr>
          <w:rFonts w:ascii="Cambria" w:hAnsi="Cambria"/>
          <w:sz w:val="22"/>
          <w:szCs w:val="22"/>
        </w:rPr>
        <w:t>high system dependency rates in particular</w:t>
      </w:r>
      <w:r w:rsidR="000839F5">
        <w:rPr>
          <w:rFonts w:ascii="Cambria" w:hAnsi="Cambria"/>
          <w:sz w:val="22"/>
          <w:szCs w:val="22"/>
        </w:rPr>
        <w:t>)</w:t>
      </w:r>
      <w:r w:rsidRPr="00C20EC5">
        <w:rPr>
          <w:rFonts w:ascii="Cambria" w:hAnsi="Cambria"/>
          <w:sz w:val="22"/>
          <w:szCs w:val="22"/>
        </w:rPr>
        <w:t xml:space="preserve">, though in a more developed economic setting. Countries with comparable income level tend to have much lower contribution rates: the regional averages in Asia, Africa, </w:t>
      </w:r>
      <w:r w:rsidR="000839F5">
        <w:rPr>
          <w:rFonts w:ascii="Cambria" w:hAnsi="Cambria"/>
          <w:sz w:val="22"/>
          <w:szCs w:val="22"/>
        </w:rPr>
        <w:t xml:space="preserve">and </w:t>
      </w:r>
      <w:r w:rsidRPr="00C20EC5">
        <w:rPr>
          <w:rFonts w:ascii="Cambria" w:hAnsi="Cambria"/>
          <w:sz w:val="22"/>
          <w:szCs w:val="22"/>
        </w:rPr>
        <w:t>Latin America range between 11-16</w:t>
      </w:r>
      <w:r w:rsidR="002B409D">
        <w:rPr>
          <w:rFonts w:ascii="Cambria" w:hAnsi="Cambria"/>
          <w:sz w:val="22"/>
          <w:szCs w:val="22"/>
        </w:rPr>
        <w:t xml:space="preserve"> percent</w:t>
      </w:r>
      <w:r w:rsidRPr="00C20EC5">
        <w:rPr>
          <w:rFonts w:ascii="Cambria" w:hAnsi="Cambria"/>
          <w:sz w:val="22"/>
          <w:szCs w:val="22"/>
        </w:rPr>
        <w:t>. Regional average contribution rates are compared in Figure 6.</w:t>
      </w:r>
    </w:p>
    <w:tbl>
      <w:tblPr>
        <w:tblStyle w:val="TableGrid"/>
        <w:tblW w:w="9396" w:type="dxa"/>
        <w:jc w:val="center"/>
        <w:tblInd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532DB" w14:paraId="4345AADE" w14:textId="77777777" w:rsidTr="009A2D1E">
        <w:trPr>
          <w:trHeight w:val="139"/>
          <w:jc w:val="center"/>
        </w:trPr>
        <w:tc>
          <w:tcPr>
            <w:tcW w:w="9396" w:type="dxa"/>
          </w:tcPr>
          <w:p w14:paraId="0CE48DDC" w14:textId="77777777" w:rsidR="005532DB" w:rsidRDefault="005532DB" w:rsidP="00F22830">
            <w:pPr>
              <w:pStyle w:val="Caption"/>
            </w:pPr>
            <w:bookmarkStart w:id="15" w:name="_Toc378163839"/>
            <w:r>
              <w:t xml:space="preserve">Figure </w:t>
            </w:r>
            <w:r w:rsidR="00C646A3">
              <w:fldChar w:fldCharType="begin"/>
            </w:r>
            <w:r w:rsidR="00C646A3">
              <w:instrText xml:space="preserve"> SEQ Figure_ \* ARABIC </w:instrText>
            </w:r>
            <w:r w:rsidR="00C646A3">
              <w:fldChar w:fldCharType="separate"/>
            </w:r>
            <w:r w:rsidR="00C646A3">
              <w:rPr>
                <w:noProof/>
              </w:rPr>
              <w:t>6</w:t>
            </w:r>
            <w:r w:rsidR="00C646A3">
              <w:rPr>
                <w:noProof/>
              </w:rPr>
              <w:fldChar w:fldCharType="end"/>
            </w:r>
            <w:r>
              <w:t>.</w:t>
            </w:r>
            <w:r w:rsidRPr="005532DB">
              <w:t xml:space="preserve"> Average Contribution Rates by Region</w:t>
            </w:r>
            <w:bookmarkEnd w:id="15"/>
          </w:p>
          <w:p w14:paraId="63E780D1" w14:textId="412E19C6" w:rsidR="00F419D2" w:rsidRPr="00F419D2" w:rsidRDefault="00F419D2" w:rsidP="00A32033">
            <w:pPr>
              <w:spacing w:after="40"/>
              <w:jc w:val="center"/>
              <w:rPr>
                <w:rFonts w:ascii="Cambria" w:hAnsi="Cambria"/>
              </w:rPr>
            </w:pPr>
            <w:r w:rsidRPr="00A32033">
              <w:rPr>
                <w:rFonts w:ascii="Cambria" w:hAnsi="Cambria"/>
              </w:rPr>
              <w:t>(</w:t>
            </w:r>
            <w:r w:rsidR="00A32033">
              <w:rPr>
                <w:rFonts w:ascii="Cambria" w:hAnsi="Cambria"/>
              </w:rPr>
              <w:t>As</w:t>
            </w:r>
            <w:r w:rsidR="00A32033" w:rsidRPr="00A32033">
              <w:rPr>
                <w:rFonts w:ascii="Cambria" w:hAnsi="Cambria"/>
              </w:rPr>
              <w:t xml:space="preserve"> percent of wage</w:t>
            </w:r>
            <w:r w:rsidRPr="00A32033">
              <w:rPr>
                <w:rFonts w:ascii="Cambria" w:hAnsi="Cambria"/>
              </w:rPr>
              <w:t>)</w:t>
            </w:r>
          </w:p>
        </w:tc>
      </w:tr>
      <w:tr w:rsidR="00401BA9" w14:paraId="70B39146" w14:textId="77777777" w:rsidTr="00913031">
        <w:trPr>
          <w:trHeight w:val="3303"/>
          <w:jc w:val="center"/>
        </w:trPr>
        <w:tc>
          <w:tcPr>
            <w:tcW w:w="9396" w:type="dxa"/>
          </w:tcPr>
          <w:p w14:paraId="00E1C79D" w14:textId="3A964EA4" w:rsidR="00401BA9" w:rsidRPr="00C20EC5" w:rsidRDefault="00401BA9" w:rsidP="00401BA9">
            <w:pPr>
              <w:jc w:val="center"/>
              <w:rPr>
                <w:rFonts w:ascii="Cambria" w:hAnsi="Cambria"/>
                <w:noProof/>
                <w:szCs w:val="22"/>
              </w:rPr>
            </w:pPr>
            <w:r>
              <w:rPr>
                <w:noProof/>
              </w:rPr>
              <w:drawing>
                <wp:inline distT="0" distB="0" distL="0" distR="0" wp14:anchorId="3353AE4A" wp14:editId="1FC8B8FA">
                  <wp:extent cx="5810250" cy="2063750"/>
                  <wp:effectExtent l="0" t="0" r="190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532DB" w14:paraId="7F474D48" w14:textId="77777777" w:rsidTr="009A2D1E">
        <w:trPr>
          <w:trHeight w:val="180"/>
          <w:jc w:val="center"/>
        </w:trPr>
        <w:tc>
          <w:tcPr>
            <w:tcW w:w="9396" w:type="dxa"/>
          </w:tcPr>
          <w:p w14:paraId="2FB2F3FF" w14:textId="77777777" w:rsidR="005532DB" w:rsidRPr="005532DB" w:rsidRDefault="005532DB" w:rsidP="00F22830">
            <w:pPr>
              <w:spacing w:before="40" w:after="120"/>
              <w:jc w:val="both"/>
              <w:rPr>
                <w:rFonts w:ascii="Cambria" w:hAnsi="Cambria"/>
                <w:sz w:val="18"/>
                <w:szCs w:val="18"/>
              </w:rPr>
            </w:pPr>
            <w:r w:rsidRPr="005532DB">
              <w:rPr>
                <w:rFonts w:ascii="Cambria" w:hAnsi="Cambria"/>
                <w:i/>
                <w:sz w:val="18"/>
                <w:szCs w:val="18"/>
              </w:rPr>
              <w:t>Source</w:t>
            </w:r>
            <w:r w:rsidRPr="005532DB">
              <w:rPr>
                <w:rFonts w:ascii="Cambria" w:hAnsi="Cambria"/>
                <w:sz w:val="18"/>
                <w:szCs w:val="18"/>
              </w:rPr>
              <w:t>: World Bank Pension Database.</w:t>
            </w:r>
          </w:p>
        </w:tc>
      </w:tr>
    </w:tbl>
    <w:p w14:paraId="6D6CC694" w14:textId="29AE3C6D" w:rsidR="00E379A4" w:rsidRPr="00C20EC5" w:rsidRDefault="00E379A4" w:rsidP="00876F35">
      <w:pPr>
        <w:numPr>
          <w:ilvl w:val="0"/>
          <w:numId w:val="3"/>
        </w:numPr>
        <w:spacing w:before="240" w:after="240"/>
        <w:jc w:val="both"/>
        <w:rPr>
          <w:rFonts w:ascii="Cambria" w:hAnsi="Cambria"/>
          <w:sz w:val="22"/>
          <w:szCs w:val="22"/>
        </w:rPr>
      </w:pPr>
      <w:r w:rsidRPr="0041654F">
        <w:rPr>
          <w:rFonts w:ascii="Cambria" w:hAnsi="Cambria"/>
          <w:b/>
          <w:sz w:val="22"/>
          <w:szCs w:val="22"/>
        </w:rPr>
        <w:lastRenderedPageBreak/>
        <w:t xml:space="preserve">Still, this relatively high contribution rate is not enough to finance benefit payments </w:t>
      </w:r>
      <w:r w:rsidR="00AF37AE" w:rsidRPr="0041654F">
        <w:rPr>
          <w:rFonts w:ascii="Cambria" w:hAnsi="Cambria"/>
          <w:b/>
          <w:sz w:val="22"/>
          <w:szCs w:val="22"/>
        </w:rPr>
        <w:t>even though benefits are not generous</w:t>
      </w:r>
      <w:r w:rsidRPr="00C20EC5">
        <w:rPr>
          <w:rFonts w:ascii="Cambria" w:hAnsi="Cambria"/>
          <w:sz w:val="22"/>
          <w:szCs w:val="22"/>
        </w:rPr>
        <w:t xml:space="preserve">. As shown in Table 1, the Social Fund is currently </w:t>
      </w:r>
      <w:r w:rsidR="000024A5" w:rsidRPr="00C20EC5">
        <w:rPr>
          <w:rFonts w:ascii="Cambria" w:hAnsi="Cambria"/>
          <w:sz w:val="22"/>
          <w:szCs w:val="22"/>
        </w:rPr>
        <w:t xml:space="preserve">almost balanced, </w:t>
      </w:r>
      <w:r w:rsidRPr="00C20EC5">
        <w:rPr>
          <w:rFonts w:ascii="Cambria" w:hAnsi="Cambria"/>
          <w:sz w:val="22"/>
          <w:szCs w:val="22"/>
        </w:rPr>
        <w:t xml:space="preserve">running only slight deficits. However, if the basic pension continued to be fully funded by the Fund, the deficits would have been substantial </w:t>
      </w:r>
      <w:r w:rsidR="002817A7" w:rsidRPr="00C20EC5">
        <w:rPr>
          <w:rFonts w:ascii="Cambria" w:hAnsi="Cambria"/>
          <w:sz w:val="22"/>
          <w:szCs w:val="22"/>
        </w:rPr>
        <w:t xml:space="preserve">– </w:t>
      </w:r>
      <w:r w:rsidRPr="00C20EC5">
        <w:rPr>
          <w:rFonts w:ascii="Cambria" w:hAnsi="Cambria"/>
          <w:sz w:val="22"/>
          <w:szCs w:val="22"/>
        </w:rPr>
        <w:t>exceeding 1</w:t>
      </w:r>
      <w:r w:rsidR="002B409D">
        <w:rPr>
          <w:rFonts w:ascii="Cambria" w:hAnsi="Cambria"/>
          <w:sz w:val="22"/>
          <w:szCs w:val="22"/>
        </w:rPr>
        <w:t xml:space="preserve"> percent</w:t>
      </w:r>
      <w:r w:rsidRPr="00C20EC5">
        <w:rPr>
          <w:rFonts w:ascii="Cambria" w:hAnsi="Cambria"/>
          <w:sz w:val="22"/>
          <w:szCs w:val="22"/>
        </w:rPr>
        <w:t xml:space="preserve"> of GDP.</w:t>
      </w:r>
    </w:p>
    <w:p w14:paraId="6A80D93E" w14:textId="77777777" w:rsidR="009468F5" w:rsidRPr="00C20EC5" w:rsidRDefault="009468F5" w:rsidP="005532DB">
      <w:pPr>
        <w:pStyle w:val="Heading1"/>
      </w:pPr>
      <w:bookmarkStart w:id="16" w:name="_Toc387325520"/>
      <w:r w:rsidRPr="00C20EC5">
        <w:t xml:space="preserve">Projections of the Fiscal and Social Impact </w:t>
      </w:r>
      <w:r w:rsidR="004D7B58" w:rsidRPr="00C20EC5">
        <w:t>for the</w:t>
      </w:r>
      <w:r w:rsidRPr="00C20EC5">
        <w:t xml:space="preserve"> National Pension System</w:t>
      </w:r>
      <w:r w:rsidR="00FA2B44" w:rsidRPr="00C20EC5">
        <w:t>: No-reform Scenario</w:t>
      </w:r>
      <w:bookmarkEnd w:id="16"/>
    </w:p>
    <w:p w14:paraId="6C1AFE45" w14:textId="4B837804" w:rsidR="00415C2F" w:rsidRPr="00C20EC5" w:rsidRDefault="00771D6C" w:rsidP="00876F35">
      <w:pPr>
        <w:numPr>
          <w:ilvl w:val="0"/>
          <w:numId w:val="3"/>
        </w:numPr>
        <w:spacing w:before="240" w:after="240"/>
        <w:jc w:val="both"/>
        <w:rPr>
          <w:rFonts w:ascii="Cambria" w:hAnsi="Cambria"/>
          <w:sz w:val="22"/>
          <w:szCs w:val="22"/>
        </w:rPr>
      </w:pPr>
      <w:r w:rsidRPr="0041654F">
        <w:rPr>
          <w:rFonts w:ascii="Cambria" w:hAnsi="Cambria"/>
          <w:b/>
          <w:sz w:val="22"/>
          <w:szCs w:val="22"/>
        </w:rPr>
        <w:t>This section presents the baseline projections assuming there are no changes in the design of the current system.</w:t>
      </w:r>
      <w:r>
        <w:rPr>
          <w:rFonts w:ascii="Cambria" w:hAnsi="Cambria"/>
          <w:b/>
          <w:sz w:val="22"/>
          <w:szCs w:val="22"/>
        </w:rPr>
        <w:t xml:space="preserve">  </w:t>
      </w:r>
      <w:r w:rsidR="001168ED" w:rsidRPr="00C20EC5">
        <w:rPr>
          <w:rFonts w:ascii="Cambria" w:hAnsi="Cambria"/>
          <w:sz w:val="22"/>
          <w:szCs w:val="22"/>
        </w:rPr>
        <w:t xml:space="preserve">Financial projections for the national </w:t>
      </w:r>
      <w:r w:rsidR="001168ED" w:rsidRPr="00C20EC5">
        <w:rPr>
          <w:rFonts w:ascii="Cambria" w:hAnsi="Cambria"/>
          <w:iCs/>
          <w:sz w:val="22"/>
          <w:szCs w:val="22"/>
        </w:rPr>
        <w:t xml:space="preserve">pension system of </w:t>
      </w:r>
      <w:r w:rsidR="00C03B72">
        <w:rPr>
          <w:rFonts w:ascii="Cambria" w:hAnsi="Cambria"/>
          <w:iCs/>
          <w:sz w:val="22"/>
          <w:szCs w:val="22"/>
        </w:rPr>
        <w:t xml:space="preserve">the </w:t>
      </w:r>
      <w:r w:rsidR="001168ED" w:rsidRPr="00C20EC5">
        <w:rPr>
          <w:rFonts w:ascii="Cambria" w:hAnsi="Cambria"/>
          <w:iCs/>
          <w:sz w:val="22"/>
          <w:szCs w:val="22"/>
        </w:rPr>
        <w:t>Kyrgyz</w:t>
      </w:r>
      <w:r w:rsidR="00C03B72">
        <w:rPr>
          <w:rFonts w:ascii="Cambria" w:hAnsi="Cambria"/>
          <w:iCs/>
          <w:sz w:val="22"/>
          <w:szCs w:val="22"/>
        </w:rPr>
        <w:t xml:space="preserve"> Republic</w:t>
      </w:r>
      <w:r w:rsidR="001168ED" w:rsidRPr="00C20EC5">
        <w:rPr>
          <w:rFonts w:ascii="Cambria" w:hAnsi="Cambria"/>
          <w:iCs/>
          <w:sz w:val="22"/>
          <w:szCs w:val="22"/>
        </w:rPr>
        <w:t xml:space="preserve"> </w:t>
      </w:r>
      <w:r w:rsidR="001168ED" w:rsidRPr="00C20EC5">
        <w:rPr>
          <w:rFonts w:ascii="Cambria" w:hAnsi="Cambria"/>
          <w:sz w:val="22"/>
          <w:szCs w:val="22"/>
        </w:rPr>
        <w:t xml:space="preserve">were produced with the World Bank’s Pension Reform Options Simulation Toolkit (PROST) model. The projection period </w:t>
      </w:r>
      <w:r w:rsidR="006F3C98" w:rsidRPr="00C20EC5">
        <w:rPr>
          <w:rFonts w:ascii="Cambria" w:hAnsi="Cambria"/>
          <w:sz w:val="22"/>
          <w:szCs w:val="22"/>
        </w:rPr>
        <w:t>covers</w:t>
      </w:r>
      <w:r w:rsidR="001168ED" w:rsidRPr="00C20EC5">
        <w:rPr>
          <w:rFonts w:ascii="Cambria" w:hAnsi="Cambria"/>
          <w:sz w:val="22"/>
          <w:szCs w:val="22"/>
        </w:rPr>
        <w:t xml:space="preserve"> 201</w:t>
      </w:r>
      <w:r w:rsidR="003950D3" w:rsidRPr="00C20EC5">
        <w:rPr>
          <w:rFonts w:ascii="Cambria" w:hAnsi="Cambria"/>
          <w:sz w:val="22"/>
          <w:szCs w:val="22"/>
        </w:rPr>
        <w:t>1</w:t>
      </w:r>
      <w:r w:rsidR="001168ED" w:rsidRPr="00C20EC5">
        <w:rPr>
          <w:rFonts w:ascii="Cambria" w:hAnsi="Cambria"/>
          <w:sz w:val="22"/>
          <w:szCs w:val="22"/>
        </w:rPr>
        <w:t xml:space="preserve"> to 2080</w:t>
      </w:r>
      <w:r w:rsidR="00912ED9" w:rsidRPr="00C20EC5">
        <w:rPr>
          <w:rFonts w:ascii="Cambria" w:hAnsi="Cambria"/>
          <w:sz w:val="22"/>
          <w:szCs w:val="22"/>
        </w:rPr>
        <w:t>:</w:t>
      </w:r>
      <w:r w:rsidR="001168ED" w:rsidRPr="00C20EC5">
        <w:rPr>
          <w:rFonts w:ascii="Cambria" w:hAnsi="Cambria"/>
          <w:sz w:val="22"/>
          <w:szCs w:val="22"/>
        </w:rPr>
        <w:t xml:space="preserve"> </w:t>
      </w:r>
      <w:r w:rsidR="00D76071" w:rsidRPr="00C20EC5">
        <w:rPr>
          <w:rFonts w:ascii="Cambria" w:hAnsi="Cambria"/>
          <w:sz w:val="22"/>
          <w:szCs w:val="22"/>
        </w:rPr>
        <w:t>pension system</w:t>
      </w:r>
      <w:r w:rsidR="00D32962">
        <w:rPr>
          <w:rFonts w:ascii="Cambria" w:hAnsi="Cambria"/>
          <w:sz w:val="22"/>
          <w:szCs w:val="22"/>
        </w:rPr>
        <w:t>s</w:t>
      </w:r>
      <w:r w:rsidR="00D76071" w:rsidRPr="00C20EC5">
        <w:rPr>
          <w:rFonts w:ascii="Cambria" w:hAnsi="Cambria"/>
          <w:sz w:val="22"/>
          <w:szCs w:val="22"/>
        </w:rPr>
        <w:t xml:space="preserve"> analysis</w:t>
      </w:r>
      <w:r w:rsidR="00D32962">
        <w:rPr>
          <w:rFonts w:ascii="Cambria" w:hAnsi="Cambria"/>
          <w:sz w:val="22"/>
          <w:szCs w:val="22"/>
        </w:rPr>
        <w:t>—</w:t>
      </w:r>
      <w:r w:rsidR="00D76071" w:rsidRPr="00C20EC5">
        <w:rPr>
          <w:rFonts w:ascii="Cambria" w:hAnsi="Cambria"/>
          <w:sz w:val="22"/>
          <w:szCs w:val="22"/>
        </w:rPr>
        <w:t>because of</w:t>
      </w:r>
      <w:r w:rsidR="001168ED" w:rsidRPr="00C20EC5">
        <w:rPr>
          <w:rFonts w:ascii="Cambria" w:hAnsi="Cambria"/>
          <w:sz w:val="22"/>
          <w:szCs w:val="22"/>
        </w:rPr>
        <w:t xml:space="preserve"> their nature</w:t>
      </w:r>
      <w:r w:rsidR="00D32962">
        <w:rPr>
          <w:rFonts w:ascii="Cambria" w:hAnsi="Cambria"/>
          <w:sz w:val="22"/>
          <w:szCs w:val="22"/>
        </w:rPr>
        <w:t>—</w:t>
      </w:r>
      <w:r w:rsidR="001168ED" w:rsidRPr="00C20EC5">
        <w:rPr>
          <w:rFonts w:ascii="Cambria" w:hAnsi="Cambria"/>
          <w:sz w:val="22"/>
          <w:szCs w:val="22"/>
        </w:rPr>
        <w:t>require</w:t>
      </w:r>
      <w:r w:rsidR="00D76071" w:rsidRPr="00C20EC5">
        <w:rPr>
          <w:rFonts w:ascii="Cambria" w:hAnsi="Cambria"/>
          <w:sz w:val="22"/>
          <w:szCs w:val="22"/>
        </w:rPr>
        <w:t>s</w:t>
      </w:r>
      <w:r w:rsidR="001168ED" w:rsidRPr="00C20EC5">
        <w:rPr>
          <w:rFonts w:ascii="Cambria" w:hAnsi="Cambria"/>
          <w:sz w:val="22"/>
          <w:szCs w:val="22"/>
        </w:rPr>
        <w:t xml:space="preserve"> long term </w:t>
      </w:r>
      <w:r w:rsidR="00D76071" w:rsidRPr="00C20EC5">
        <w:rPr>
          <w:rFonts w:ascii="Cambria" w:hAnsi="Cambria"/>
          <w:sz w:val="22"/>
          <w:szCs w:val="22"/>
        </w:rPr>
        <w:t xml:space="preserve">projections spanning </w:t>
      </w:r>
      <w:r w:rsidR="00D32962">
        <w:rPr>
          <w:rFonts w:ascii="Cambria" w:hAnsi="Cambria"/>
          <w:sz w:val="22"/>
          <w:szCs w:val="22"/>
        </w:rPr>
        <w:t xml:space="preserve">the </w:t>
      </w:r>
      <w:r w:rsidR="00D76071" w:rsidRPr="00C20EC5">
        <w:rPr>
          <w:rFonts w:ascii="Cambria" w:hAnsi="Cambria"/>
          <w:sz w:val="22"/>
          <w:szCs w:val="22"/>
        </w:rPr>
        <w:t>lifetime of a genera</w:t>
      </w:r>
      <w:r w:rsidR="00912ED9" w:rsidRPr="00C20EC5">
        <w:rPr>
          <w:rFonts w:ascii="Cambria" w:hAnsi="Cambria"/>
          <w:sz w:val="22"/>
          <w:szCs w:val="22"/>
        </w:rPr>
        <w:t>t</w:t>
      </w:r>
      <w:r w:rsidR="00D76071" w:rsidRPr="00C20EC5">
        <w:rPr>
          <w:rFonts w:ascii="Cambria" w:hAnsi="Cambria"/>
          <w:sz w:val="22"/>
          <w:szCs w:val="22"/>
        </w:rPr>
        <w:t>ion</w:t>
      </w:r>
      <w:r w:rsidR="001168ED" w:rsidRPr="00C20EC5">
        <w:rPr>
          <w:rFonts w:ascii="Cambria" w:hAnsi="Cambria"/>
          <w:sz w:val="22"/>
          <w:szCs w:val="22"/>
        </w:rPr>
        <w:t>.</w:t>
      </w:r>
      <w:r w:rsidR="00912ED9" w:rsidRPr="00C20EC5">
        <w:rPr>
          <w:rFonts w:ascii="Cambria" w:hAnsi="Cambria"/>
          <w:sz w:val="22"/>
          <w:szCs w:val="22"/>
        </w:rPr>
        <w:t xml:space="preserve"> Data was provided by the Social Fund.</w:t>
      </w:r>
      <w:r w:rsidR="004F4B4B" w:rsidRPr="00C20EC5">
        <w:rPr>
          <w:rFonts w:ascii="Cambria" w:hAnsi="Cambria"/>
          <w:sz w:val="22"/>
          <w:szCs w:val="22"/>
        </w:rPr>
        <w:t xml:space="preserve"> </w:t>
      </w:r>
      <w:r w:rsidR="00D31F77" w:rsidRPr="00C20EC5">
        <w:rPr>
          <w:rFonts w:ascii="Cambria" w:hAnsi="Cambria"/>
          <w:sz w:val="22"/>
          <w:szCs w:val="22"/>
        </w:rPr>
        <w:t xml:space="preserve"> The m</w:t>
      </w:r>
      <w:r w:rsidR="009F7712" w:rsidRPr="00C20EC5">
        <w:rPr>
          <w:rFonts w:ascii="Cambria" w:hAnsi="Cambria"/>
          <w:sz w:val="22"/>
          <w:szCs w:val="22"/>
        </w:rPr>
        <w:t xml:space="preserve">ain assumptions used in the projections </w:t>
      </w:r>
      <w:r w:rsidR="00401C8A" w:rsidRPr="00C20EC5">
        <w:rPr>
          <w:rFonts w:ascii="Cambria" w:hAnsi="Cambria"/>
          <w:sz w:val="22"/>
          <w:szCs w:val="22"/>
        </w:rPr>
        <w:t>and a</w:t>
      </w:r>
      <w:r w:rsidR="004F4B4B" w:rsidRPr="00C20EC5">
        <w:rPr>
          <w:rFonts w:ascii="Cambria" w:hAnsi="Cambria"/>
          <w:sz w:val="22"/>
          <w:szCs w:val="22"/>
        </w:rPr>
        <w:t xml:space="preserve"> brief description of PROST methodology </w:t>
      </w:r>
      <w:r w:rsidR="00F5288C" w:rsidRPr="00C20EC5">
        <w:rPr>
          <w:rFonts w:ascii="Cambria" w:hAnsi="Cambria"/>
          <w:sz w:val="22"/>
          <w:szCs w:val="22"/>
        </w:rPr>
        <w:t>are contained in Annex 2</w:t>
      </w:r>
      <w:r w:rsidR="004F4B4B" w:rsidRPr="00C20EC5">
        <w:rPr>
          <w:rFonts w:ascii="Cambria" w:hAnsi="Cambria"/>
          <w:sz w:val="22"/>
          <w:szCs w:val="22"/>
        </w:rPr>
        <w:t>.</w:t>
      </w:r>
      <w:r w:rsidR="00FA2B44" w:rsidRPr="00C20EC5">
        <w:rPr>
          <w:rFonts w:ascii="Cambria" w:hAnsi="Cambria"/>
          <w:sz w:val="22"/>
          <w:szCs w:val="22"/>
        </w:rPr>
        <w:t xml:space="preserve"> </w:t>
      </w:r>
    </w:p>
    <w:p w14:paraId="4CB7C382" w14:textId="099BCBF2" w:rsidR="000839F5" w:rsidRPr="0041654F" w:rsidRDefault="006B60A7" w:rsidP="0041654F">
      <w:pPr>
        <w:numPr>
          <w:ilvl w:val="0"/>
          <w:numId w:val="3"/>
        </w:numPr>
        <w:spacing w:before="240" w:after="240"/>
        <w:jc w:val="both"/>
        <w:rPr>
          <w:rFonts w:ascii="Cambria" w:hAnsi="Cambria"/>
          <w:sz w:val="22"/>
          <w:szCs w:val="22"/>
        </w:rPr>
      </w:pPr>
      <w:r w:rsidRPr="0041654F">
        <w:rPr>
          <w:rFonts w:ascii="Cambria" w:hAnsi="Cambria"/>
          <w:b/>
          <w:sz w:val="22"/>
          <w:szCs w:val="22"/>
        </w:rPr>
        <w:t>The d</w:t>
      </w:r>
      <w:r w:rsidR="003950D3" w:rsidRPr="0041654F">
        <w:rPr>
          <w:rFonts w:ascii="Cambria" w:hAnsi="Cambria"/>
          <w:b/>
          <w:sz w:val="22"/>
          <w:szCs w:val="22"/>
        </w:rPr>
        <w:t>emographic environment</w:t>
      </w:r>
      <w:r w:rsidR="000064B5" w:rsidRPr="0041654F">
        <w:rPr>
          <w:rFonts w:ascii="Cambria" w:hAnsi="Cambria"/>
          <w:b/>
          <w:sz w:val="22"/>
          <w:szCs w:val="22"/>
        </w:rPr>
        <w:t>,</w:t>
      </w:r>
      <w:r w:rsidR="003950D3" w:rsidRPr="0041654F">
        <w:rPr>
          <w:rFonts w:ascii="Cambria" w:hAnsi="Cambria"/>
          <w:b/>
          <w:sz w:val="22"/>
          <w:szCs w:val="22"/>
        </w:rPr>
        <w:t xml:space="preserve"> population </w:t>
      </w:r>
      <w:r w:rsidR="00D32962" w:rsidRPr="0041654F">
        <w:rPr>
          <w:rFonts w:ascii="Cambria" w:hAnsi="Cambria"/>
          <w:b/>
          <w:sz w:val="22"/>
          <w:szCs w:val="22"/>
        </w:rPr>
        <w:t xml:space="preserve">aging </w:t>
      </w:r>
      <w:r w:rsidR="007615FF" w:rsidRPr="0041654F">
        <w:rPr>
          <w:rFonts w:ascii="Cambria" w:hAnsi="Cambria"/>
          <w:b/>
          <w:sz w:val="22"/>
          <w:szCs w:val="22"/>
        </w:rPr>
        <w:t>in particular</w:t>
      </w:r>
      <w:r w:rsidR="000064B5" w:rsidRPr="0041654F">
        <w:rPr>
          <w:rFonts w:ascii="Cambria" w:hAnsi="Cambria"/>
          <w:b/>
          <w:sz w:val="22"/>
          <w:szCs w:val="22"/>
        </w:rPr>
        <w:t>,</w:t>
      </w:r>
      <w:r w:rsidR="007615FF" w:rsidRPr="0041654F">
        <w:rPr>
          <w:rFonts w:ascii="Cambria" w:hAnsi="Cambria"/>
          <w:b/>
          <w:sz w:val="22"/>
          <w:szCs w:val="22"/>
        </w:rPr>
        <w:t xml:space="preserve"> </w:t>
      </w:r>
      <w:r w:rsidR="003950D3" w:rsidRPr="0041654F">
        <w:rPr>
          <w:rFonts w:ascii="Cambria" w:hAnsi="Cambria"/>
          <w:b/>
          <w:sz w:val="22"/>
          <w:szCs w:val="22"/>
        </w:rPr>
        <w:t>ha</w:t>
      </w:r>
      <w:r w:rsidR="00644574" w:rsidRPr="0041654F">
        <w:rPr>
          <w:rFonts w:ascii="Cambria" w:hAnsi="Cambria"/>
          <w:b/>
          <w:sz w:val="22"/>
          <w:szCs w:val="22"/>
        </w:rPr>
        <w:t>s</w:t>
      </w:r>
      <w:r w:rsidR="003950D3" w:rsidRPr="0041654F">
        <w:rPr>
          <w:rFonts w:ascii="Cambria" w:hAnsi="Cambria"/>
          <w:b/>
          <w:sz w:val="22"/>
          <w:szCs w:val="22"/>
        </w:rPr>
        <w:t xml:space="preserve"> a huge impact on pension systems</w:t>
      </w:r>
      <w:r w:rsidR="003950D3" w:rsidRPr="00C20EC5">
        <w:rPr>
          <w:rFonts w:ascii="Cambria" w:hAnsi="Cambria"/>
          <w:sz w:val="22"/>
          <w:szCs w:val="22"/>
        </w:rPr>
        <w:t xml:space="preserve">. </w:t>
      </w:r>
      <w:r w:rsidR="003D44FA" w:rsidRPr="00C20EC5">
        <w:rPr>
          <w:rFonts w:ascii="Cambria" w:hAnsi="Cambria"/>
          <w:sz w:val="22"/>
          <w:szCs w:val="22"/>
        </w:rPr>
        <w:t>Under</w:t>
      </w:r>
      <w:r w:rsidR="00DE704A" w:rsidRPr="00C20EC5">
        <w:rPr>
          <w:rFonts w:ascii="Cambria" w:hAnsi="Cambria"/>
          <w:sz w:val="22"/>
          <w:szCs w:val="22"/>
        </w:rPr>
        <w:t xml:space="preserve"> the demographic assumptions described in Annex </w:t>
      </w:r>
      <w:r w:rsidR="003F7692" w:rsidRPr="00C20EC5">
        <w:rPr>
          <w:rFonts w:ascii="Cambria" w:hAnsi="Cambria"/>
          <w:sz w:val="22"/>
          <w:szCs w:val="22"/>
        </w:rPr>
        <w:t>2</w:t>
      </w:r>
      <w:r w:rsidR="00DE704A" w:rsidRPr="00C20EC5">
        <w:rPr>
          <w:rFonts w:ascii="Cambria" w:hAnsi="Cambria"/>
          <w:sz w:val="22"/>
          <w:szCs w:val="22"/>
        </w:rPr>
        <w:t xml:space="preserve">, the </w:t>
      </w:r>
      <w:r w:rsidR="003950D3" w:rsidRPr="00C20EC5">
        <w:rPr>
          <w:rFonts w:ascii="Cambria" w:hAnsi="Cambria"/>
          <w:sz w:val="22"/>
          <w:szCs w:val="22"/>
        </w:rPr>
        <w:t>Kyrgyz population is projected to continue to grow from the current 5.</w:t>
      </w:r>
      <w:r w:rsidR="00C11331" w:rsidRPr="00C20EC5">
        <w:rPr>
          <w:rFonts w:ascii="Cambria" w:hAnsi="Cambria"/>
          <w:sz w:val="22"/>
          <w:szCs w:val="22"/>
        </w:rPr>
        <w:t>4</w:t>
      </w:r>
      <w:r w:rsidR="003950D3" w:rsidRPr="00C20EC5">
        <w:rPr>
          <w:rFonts w:ascii="Cambria" w:hAnsi="Cambria"/>
          <w:sz w:val="22"/>
          <w:szCs w:val="22"/>
        </w:rPr>
        <w:t xml:space="preserve"> milli</w:t>
      </w:r>
      <w:r w:rsidR="00C11331" w:rsidRPr="00C20EC5">
        <w:rPr>
          <w:rFonts w:ascii="Cambria" w:hAnsi="Cambria"/>
          <w:sz w:val="22"/>
          <w:szCs w:val="22"/>
        </w:rPr>
        <w:t>on to a</w:t>
      </w:r>
      <w:r w:rsidR="000B43F9" w:rsidRPr="00C20EC5">
        <w:rPr>
          <w:rFonts w:ascii="Cambria" w:hAnsi="Cambria"/>
          <w:sz w:val="22"/>
          <w:szCs w:val="22"/>
        </w:rPr>
        <w:t xml:space="preserve">bout </w:t>
      </w:r>
      <w:r w:rsidR="00213969" w:rsidRPr="00C20EC5">
        <w:rPr>
          <w:rFonts w:ascii="Cambria" w:hAnsi="Cambria"/>
          <w:sz w:val="22"/>
          <w:szCs w:val="22"/>
        </w:rPr>
        <w:t xml:space="preserve">7.8 million in 2050 and </w:t>
      </w:r>
      <w:r w:rsidR="000B43F9" w:rsidRPr="00C20EC5">
        <w:rPr>
          <w:rFonts w:ascii="Cambria" w:hAnsi="Cambria"/>
          <w:sz w:val="22"/>
          <w:szCs w:val="22"/>
        </w:rPr>
        <w:t>8.7 million by 2080</w:t>
      </w:r>
      <w:r w:rsidR="003D44FA" w:rsidRPr="00C20EC5">
        <w:rPr>
          <w:rFonts w:ascii="Cambria" w:hAnsi="Cambria"/>
          <w:sz w:val="22"/>
          <w:szCs w:val="22"/>
        </w:rPr>
        <w:t>. At the same time,</w:t>
      </w:r>
      <w:r w:rsidR="000B43F9" w:rsidRPr="00C20EC5">
        <w:rPr>
          <w:rFonts w:ascii="Cambria" w:hAnsi="Cambria"/>
          <w:sz w:val="22"/>
          <w:szCs w:val="22"/>
        </w:rPr>
        <w:t xml:space="preserve"> </w:t>
      </w:r>
      <w:r w:rsidR="00D32962">
        <w:rPr>
          <w:rFonts w:ascii="Cambria" w:hAnsi="Cambria"/>
          <w:sz w:val="22"/>
          <w:szCs w:val="22"/>
        </w:rPr>
        <w:t xml:space="preserve">the </w:t>
      </w:r>
      <w:r w:rsidR="00A47C53">
        <w:rPr>
          <w:rFonts w:ascii="Cambria" w:hAnsi="Cambria"/>
          <w:sz w:val="22"/>
          <w:szCs w:val="22"/>
        </w:rPr>
        <w:t>old-age</w:t>
      </w:r>
      <w:r w:rsidR="000B43F9" w:rsidRPr="00C20EC5">
        <w:rPr>
          <w:rFonts w:ascii="Cambria" w:hAnsi="Cambria"/>
          <w:sz w:val="22"/>
          <w:szCs w:val="22"/>
        </w:rPr>
        <w:t xml:space="preserve"> population will grow faster </w:t>
      </w:r>
      <w:r w:rsidR="00BE3032" w:rsidRPr="00C20EC5">
        <w:rPr>
          <w:rFonts w:ascii="Cambria" w:hAnsi="Cambria"/>
          <w:sz w:val="22"/>
          <w:szCs w:val="22"/>
        </w:rPr>
        <w:t>due to</w:t>
      </w:r>
      <w:r w:rsidR="000B43F9" w:rsidRPr="00C20EC5">
        <w:rPr>
          <w:rFonts w:ascii="Cambria" w:hAnsi="Cambria"/>
          <w:sz w:val="22"/>
          <w:szCs w:val="22"/>
        </w:rPr>
        <w:t xml:space="preserve"> dec</w:t>
      </w:r>
      <w:r w:rsidR="00BE3032" w:rsidRPr="00C20EC5">
        <w:rPr>
          <w:rFonts w:ascii="Cambria" w:hAnsi="Cambria"/>
          <w:sz w:val="22"/>
          <w:szCs w:val="22"/>
        </w:rPr>
        <w:t>lining</w:t>
      </w:r>
      <w:r w:rsidR="000B43F9" w:rsidRPr="00C20EC5">
        <w:rPr>
          <w:rFonts w:ascii="Cambria" w:hAnsi="Cambria"/>
          <w:sz w:val="22"/>
          <w:szCs w:val="22"/>
        </w:rPr>
        <w:t xml:space="preserve"> fertility rates and increasing longevity.</w:t>
      </w:r>
      <w:r w:rsidR="0072457B" w:rsidRPr="00C20EC5">
        <w:rPr>
          <w:rFonts w:ascii="Cambria" w:hAnsi="Cambria"/>
          <w:sz w:val="22"/>
          <w:szCs w:val="22"/>
        </w:rPr>
        <w:t xml:space="preserve"> </w:t>
      </w:r>
      <w:r w:rsidR="00BE3032" w:rsidRPr="00C20EC5">
        <w:rPr>
          <w:rFonts w:ascii="Cambria" w:hAnsi="Cambria"/>
          <w:sz w:val="22"/>
          <w:szCs w:val="22"/>
        </w:rPr>
        <w:t>As a result, t</w:t>
      </w:r>
      <w:r w:rsidR="0072457B" w:rsidRPr="00C20EC5">
        <w:rPr>
          <w:rFonts w:ascii="Cambria" w:hAnsi="Cambria"/>
          <w:sz w:val="22"/>
          <w:szCs w:val="22"/>
        </w:rPr>
        <w:t xml:space="preserve">he </w:t>
      </w:r>
      <w:r w:rsidR="00A47C53">
        <w:rPr>
          <w:rFonts w:ascii="Cambria" w:hAnsi="Cambria"/>
          <w:sz w:val="22"/>
          <w:szCs w:val="22"/>
        </w:rPr>
        <w:t>old-age</w:t>
      </w:r>
      <w:r w:rsidR="0072457B" w:rsidRPr="00C20EC5">
        <w:rPr>
          <w:rFonts w:ascii="Cambria" w:hAnsi="Cambria"/>
          <w:sz w:val="22"/>
          <w:szCs w:val="22"/>
        </w:rPr>
        <w:t xml:space="preserve"> population dependency ratio</w:t>
      </w:r>
      <w:r w:rsidR="0001644E">
        <w:rPr>
          <w:rFonts w:ascii="Cambria" w:hAnsi="Cambria"/>
          <w:sz w:val="22"/>
          <w:szCs w:val="22"/>
        </w:rPr>
        <w:t xml:space="preserve"> </w:t>
      </w:r>
      <w:r w:rsidR="0001644E" w:rsidRPr="00C20EC5">
        <w:rPr>
          <w:rFonts w:ascii="Cambria" w:hAnsi="Cambria"/>
          <w:sz w:val="22"/>
          <w:szCs w:val="22"/>
        </w:rPr>
        <w:t>quadruples during the projection period going from 10</w:t>
      </w:r>
      <w:r w:rsidR="0001644E">
        <w:rPr>
          <w:rFonts w:ascii="Cambria" w:hAnsi="Cambria"/>
          <w:sz w:val="22"/>
          <w:szCs w:val="22"/>
        </w:rPr>
        <w:t xml:space="preserve"> percent</w:t>
      </w:r>
      <w:r w:rsidR="0001644E" w:rsidRPr="00C20EC5">
        <w:rPr>
          <w:rFonts w:ascii="Cambria" w:hAnsi="Cambria"/>
          <w:sz w:val="22"/>
          <w:szCs w:val="22"/>
        </w:rPr>
        <w:t xml:space="preserve"> to 30</w:t>
      </w:r>
      <w:r w:rsidR="0001644E">
        <w:rPr>
          <w:rFonts w:ascii="Cambria" w:hAnsi="Cambria"/>
          <w:sz w:val="22"/>
          <w:szCs w:val="22"/>
        </w:rPr>
        <w:t xml:space="preserve"> percent</w:t>
      </w:r>
      <w:r w:rsidR="0001644E" w:rsidRPr="00C20EC5">
        <w:rPr>
          <w:rFonts w:ascii="Cambria" w:hAnsi="Cambria"/>
          <w:sz w:val="22"/>
          <w:szCs w:val="22"/>
        </w:rPr>
        <w:t xml:space="preserve"> in 2050 and further to 40</w:t>
      </w:r>
      <w:r w:rsidR="0001644E">
        <w:rPr>
          <w:rFonts w:ascii="Cambria" w:hAnsi="Cambria"/>
          <w:sz w:val="22"/>
          <w:szCs w:val="22"/>
        </w:rPr>
        <w:t xml:space="preserve"> percent</w:t>
      </w:r>
      <w:r w:rsidR="0001644E" w:rsidRPr="00C20EC5">
        <w:rPr>
          <w:rFonts w:ascii="Cambria" w:hAnsi="Cambria"/>
          <w:sz w:val="22"/>
          <w:szCs w:val="22"/>
        </w:rPr>
        <w:t xml:space="preserve"> by 2080.</w:t>
      </w:r>
      <w:r w:rsidR="0072457B" w:rsidRPr="00C20EC5">
        <w:rPr>
          <w:rStyle w:val="FootnoteReference"/>
          <w:rFonts w:ascii="Cambria" w:hAnsi="Cambria"/>
          <w:sz w:val="22"/>
          <w:szCs w:val="22"/>
        </w:rPr>
        <w:footnoteReference w:id="11"/>
      </w:r>
      <w:r w:rsidR="00BE3032" w:rsidRPr="00C20EC5">
        <w:rPr>
          <w:rFonts w:ascii="Cambria" w:hAnsi="Cambria"/>
          <w:sz w:val="22"/>
          <w:szCs w:val="22"/>
        </w:rPr>
        <w:t xml:space="preserve"> </w:t>
      </w:r>
      <w:r w:rsidR="00E6392B" w:rsidRPr="00C20EC5">
        <w:rPr>
          <w:rFonts w:ascii="Cambria" w:hAnsi="Cambria"/>
          <w:sz w:val="22"/>
          <w:szCs w:val="22"/>
        </w:rPr>
        <w:t>S</w:t>
      </w:r>
      <w:r w:rsidR="00802D98" w:rsidRPr="00C20EC5">
        <w:rPr>
          <w:rFonts w:ascii="Cambria" w:hAnsi="Cambria"/>
          <w:sz w:val="22"/>
          <w:szCs w:val="22"/>
        </w:rPr>
        <w:t>o</w:t>
      </w:r>
      <w:r w:rsidR="00E6392B" w:rsidRPr="00C20EC5">
        <w:rPr>
          <w:rFonts w:ascii="Cambria" w:hAnsi="Cambria"/>
          <w:sz w:val="22"/>
          <w:szCs w:val="22"/>
        </w:rPr>
        <w:t>,</w:t>
      </w:r>
      <w:r w:rsidR="00802D98" w:rsidRPr="00C20EC5">
        <w:rPr>
          <w:rFonts w:ascii="Cambria" w:hAnsi="Cambria"/>
          <w:sz w:val="22"/>
          <w:szCs w:val="22"/>
        </w:rPr>
        <w:t xml:space="preserve"> the number of working age </w:t>
      </w:r>
      <w:r w:rsidR="003A2958" w:rsidRPr="00C20EC5">
        <w:rPr>
          <w:rFonts w:ascii="Cambria" w:hAnsi="Cambria"/>
          <w:sz w:val="22"/>
          <w:szCs w:val="22"/>
        </w:rPr>
        <w:t xml:space="preserve">persons supporting one elderly will drop from 10 to </w:t>
      </w:r>
      <w:r w:rsidR="00FB68DD" w:rsidRPr="00C20EC5">
        <w:rPr>
          <w:rFonts w:ascii="Cambria" w:hAnsi="Cambria"/>
          <w:sz w:val="22"/>
          <w:szCs w:val="22"/>
        </w:rPr>
        <w:t xml:space="preserve">3.5 and </w:t>
      </w:r>
      <w:r w:rsidR="003A2958" w:rsidRPr="00C20EC5">
        <w:rPr>
          <w:rFonts w:ascii="Cambria" w:hAnsi="Cambria"/>
          <w:sz w:val="22"/>
          <w:szCs w:val="22"/>
        </w:rPr>
        <w:t>2.5</w:t>
      </w:r>
      <w:r w:rsidR="00FB68DD" w:rsidRPr="00C20EC5">
        <w:rPr>
          <w:rFonts w:ascii="Cambria" w:hAnsi="Cambria"/>
          <w:sz w:val="22"/>
          <w:szCs w:val="22"/>
        </w:rPr>
        <w:t xml:space="preserve"> respectively</w:t>
      </w:r>
      <w:r w:rsidR="003A2958" w:rsidRPr="00C20EC5">
        <w:rPr>
          <w:rFonts w:ascii="Cambria" w:hAnsi="Cambria"/>
          <w:sz w:val="22"/>
          <w:szCs w:val="22"/>
        </w:rPr>
        <w:t>. These are common trends around the world, however</w:t>
      </w:r>
      <w:r w:rsidR="00D32962">
        <w:rPr>
          <w:rFonts w:ascii="Cambria" w:hAnsi="Cambria"/>
          <w:sz w:val="22"/>
          <w:szCs w:val="22"/>
        </w:rPr>
        <w:t xml:space="preserve">—and </w:t>
      </w:r>
      <w:r w:rsidR="003A2958" w:rsidRPr="00C20EC5">
        <w:rPr>
          <w:rFonts w:ascii="Cambria" w:hAnsi="Cambria"/>
          <w:sz w:val="22"/>
          <w:szCs w:val="22"/>
        </w:rPr>
        <w:t>similar to other countries with</w:t>
      </w:r>
      <w:r w:rsidR="00D32962">
        <w:rPr>
          <w:rFonts w:ascii="Cambria" w:hAnsi="Cambria"/>
          <w:sz w:val="22"/>
          <w:szCs w:val="22"/>
        </w:rPr>
        <w:t xml:space="preserve"> a</w:t>
      </w:r>
      <w:r w:rsidR="003A2958" w:rsidRPr="00C20EC5">
        <w:rPr>
          <w:rFonts w:ascii="Cambria" w:hAnsi="Cambria"/>
          <w:sz w:val="22"/>
          <w:szCs w:val="22"/>
        </w:rPr>
        <w:t xml:space="preserve"> young population</w:t>
      </w:r>
      <w:r w:rsidR="00D32962">
        <w:rPr>
          <w:rFonts w:ascii="Cambria" w:hAnsi="Cambria"/>
          <w:sz w:val="22"/>
          <w:szCs w:val="22"/>
        </w:rPr>
        <w:t xml:space="preserve">—the </w:t>
      </w:r>
      <w:r w:rsidR="003A2958" w:rsidRPr="00C20EC5">
        <w:rPr>
          <w:rFonts w:ascii="Cambria" w:hAnsi="Cambria"/>
          <w:sz w:val="22"/>
          <w:szCs w:val="22"/>
        </w:rPr>
        <w:t xml:space="preserve">Kyrgyz population is expected to age faster than in countries with </w:t>
      </w:r>
      <w:r w:rsidR="00D32962">
        <w:rPr>
          <w:rFonts w:ascii="Cambria" w:hAnsi="Cambria"/>
          <w:sz w:val="22"/>
          <w:szCs w:val="22"/>
        </w:rPr>
        <w:t xml:space="preserve">an </w:t>
      </w:r>
      <w:r w:rsidR="003A2958" w:rsidRPr="00C20EC5">
        <w:rPr>
          <w:rFonts w:ascii="Cambria" w:hAnsi="Cambria"/>
          <w:sz w:val="22"/>
          <w:szCs w:val="22"/>
        </w:rPr>
        <w:t>already old</w:t>
      </w:r>
      <w:r w:rsidR="00D32962">
        <w:rPr>
          <w:rFonts w:ascii="Cambria" w:hAnsi="Cambria"/>
          <w:sz w:val="22"/>
          <w:szCs w:val="22"/>
        </w:rPr>
        <w:t>er</w:t>
      </w:r>
      <w:r w:rsidR="003A2958" w:rsidRPr="00C20EC5">
        <w:rPr>
          <w:rFonts w:ascii="Cambria" w:hAnsi="Cambria"/>
          <w:sz w:val="22"/>
          <w:szCs w:val="22"/>
        </w:rPr>
        <w:t xml:space="preserve"> population.</w:t>
      </w:r>
    </w:p>
    <w:tbl>
      <w:tblPr>
        <w:tblStyle w:val="TableGrid"/>
        <w:tblpPr w:leftFromText="180" w:rightFromText="180" w:vertAnchor="text" w:horzAnchor="margin" w:tblpXSpec="right"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F419D2" w14:paraId="2B153D4C" w14:textId="77777777" w:rsidTr="00F419D2">
        <w:tc>
          <w:tcPr>
            <w:tcW w:w="6120" w:type="dxa"/>
          </w:tcPr>
          <w:p w14:paraId="5F770F9E" w14:textId="77777777" w:rsidR="00F419D2" w:rsidRDefault="00F419D2" w:rsidP="00F419D2">
            <w:pPr>
              <w:pStyle w:val="Caption"/>
            </w:pPr>
            <w:bookmarkStart w:id="17" w:name="_Toc378163840"/>
            <w:r>
              <w:t xml:space="preserve">Figure </w:t>
            </w:r>
            <w:r w:rsidR="00C646A3">
              <w:fldChar w:fldCharType="begin"/>
            </w:r>
            <w:r w:rsidR="00C646A3">
              <w:instrText xml:space="preserve"> SEQ Figure_ \* ARABIC </w:instrText>
            </w:r>
            <w:r w:rsidR="00C646A3">
              <w:fldChar w:fldCharType="separate"/>
            </w:r>
            <w:r w:rsidR="00C646A3">
              <w:rPr>
                <w:noProof/>
              </w:rPr>
              <w:t>7</w:t>
            </w:r>
            <w:r w:rsidR="00C646A3">
              <w:rPr>
                <w:noProof/>
              </w:rPr>
              <w:fldChar w:fldCharType="end"/>
            </w:r>
            <w:r>
              <w:t xml:space="preserve">. </w:t>
            </w:r>
            <w:r w:rsidRPr="005104FC">
              <w:t>Dependency Rates</w:t>
            </w:r>
            <w:bookmarkEnd w:id="17"/>
          </w:p>
          <w:p w14:paraId="2E2DB8BF" w14:textId="2BC10534" w:rsidR="00F419D2" w:rsidRPr="00F419D2" w:rsidRDefault="00F419D2" w:rsidP="00A32033">
            <w:pPr>
              <w:spacing w:after="40"/>
              <w:jc w:val="center"/>
              <w:rPr>
                <w:rFonts w:ascii="Cambria" w:hAnsi="Cambria"/>
              </w:rPr>
            </w:pPr>
            <w:r w:rsidRPr="00A32033">
              <w:rPr>
                <w:rFonts w:ascii="Cambria" w:hAnsi="Cambria"/>
              </w:rPr>
              <w:t>(</w:t>
            </w:r>
            <w:r w:rsidR="00A32033">
              <w:rPr>
                <w:rFonts w:ascii="Cambria" w:hAnsi="Cambria"/>
              </w:rPr>
              <w:t>P</w:t>
            </w:r>
            <w:r w:rsidR="00A32033" w:rsidRPr="00A32033">
              <w:rPr>
                <w:rFonts w:ascii="Cambria" w:hAnsi="Cambria"/>
              </w:rPr>
              <w:t>ercent</w:t>
            </w:r>
            <w:r w:rsidRPr="00A32033">
              <w:rPr>
                <w:rFonts w:ascii="Cambria" w:hAnsi="Cambria"/>
              </w:rPr>
              <w:t>)</w:t>
            </w:r>
          </w:p>
        </w:tc>
      </w:tr>
      <w:tr w:rsidR="00F419D2" w14:paraId="0DA51E80" w14:textId="77777777" w:rsidTr="00F419D2">
        <w:tc>
          <w:tcPr>
            <w:tcW w:w="6120" w:type="dxa"/>
          </w:tcPr>
          <w:p w14:paraId="68DD5224" w14:textId="77777777" w:rsidR="00F419D2" w:rsidRDefault="00F419D2" w:rsidP="00F419D2">
            <w:pPr>
              <w:jc w:val="both"/>
              <w:rPr>
                <w:rFonts w:ascii="Cambria" w:hAnsi="Cambria"/>
                <w:b/>
              </w:rPr>
            </w:pPr>
            <w:r w:rsidRPr="00C20EC5">
              <w:rPr>
                <w:rFonts w:ascii="Cambria" w:hAnsi="Cambria"/>
                <w:noProof/>
              </w:rPr>
              <w:drawing>
                <wp:inline distT="0" distB="0" distL="0" distR="0" wp14:anchorId="1CE93A97" wp14:editId="3A796DD3">
                  <wp:extent cx="3657600" cy="2342305"/>
                  <wp:effectExtent l="0" t="0" r="0" b="127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349" cy="2340864"/>
                          </a:xfrm>
                          <a:prstGeom prst="rect">
                            <a:avLst/>
                          </a:prstGeom>
                          <a:noFill/>
                          <a:ln>
                            <a:noFill/>
                          </a:ln>
                        </pic:spPr>
                      </pic:pic>
                    </a:graphicData>
                  </a:graphic>
                </wp:inline>
              </w:drawing>
            </w:r>
          </w:p>
        </w:tc>
      </w:tr>
      <w:tr w:rsidR="00F419D2" w14:paraId="318A2CE6" w14:textId="77777777" w:rsidTr="00F419D2">
        <w:tc>
          <w:tcPr>
            <w:tcW w:w="6120" w:type="dxa"/>
          </w:tcPr>
          <w:p w14:paraId="128FCBCD" w14:textId="77777777" w:rsidR="00F419D2" w:rsidRPr="00DC3AC7" w:rsidRDefault="00F419D2" w:rsidP="00F419D2">
            <w:pPr>
              <w:spacing w:before="40" w:after="120"/>
              <w:jc w:val="both"/>
              <w:rPr>
                <w:rFonts w:ascii="Cambria" w:hAnsi="Cambria"/>
                <w:sz w:val="18"/>
                <w:szCs w:val="18"/>
              </w:rPr>
            </w:pPr>
            <w:r w:rsidRPr="00D32962">
              <w:rPr>
                <w:rFonts w:ascii="Cambria" w:hAnsi="Cambria"/>
                <w:i/>
                <w:sz w:val="18"/>
                <w:szCs w:val="18"/>
              </w:rPr>
              <w:t>Source</w:t>
            </w:r>
            <w:r w:rsidRPr="00D32962">
              <w:rPr>
                <w:rFonts w:ascii="Cambria" w:hAnsi="Cambria"/>
                <w:sz w:val="18"/>
                <w:szCs w:val="18"/>
              </w:rPr>
              <w:t>:</w:t>
            </w:r>
            <w:r w:rsidRPr="00DC3AC7">
              <w:rPr>
                <w:rFonts w:ascii="Cambria" w:hAnsi="Cambria"/>
                <w:sz w:val="18"/>
                <w:szCs w:val="18"/>
              </w:rPr>
              <w:t xml:space="preserve"> </w:t>
            </w:r>
            <w:r>
              <w:rPr>
                <w:rFonts w:ascii="Cambria" w:hAnsi="Cambria"/>
                <w:sz w:val="18"/>
                <w:szCs w:val="18"/>
              </w:rPr>
              <w:t>Staff projections using PROST.</w:t>
            </w:r>
          </w:p>
        </w:tc>
      </w:tr>
    </w:tbl>
    <w:p w14:paraId="39361263" w14:textId="1F9AB059" w:rsidR="00016FB3" w:rsidRPr="00C20EC5" w:rsidRDefault="00771D6C" w:rsidP="00876F35">
      <w:pPr>
        <w:numPr>
          <w:ilvl w:val="0"/>
          <w:numId w:val="3"/>
        </w:numPr>
        <w:spacing w:before="240" w:after="240"/>
        <w:jc w:val="both"/>
        <w:rPr>
          <w:rFonts w:ascii="Cambria" w:hAnsi="Cambria"/>
          <w:sz w:val="22"/>
          <w:szCs w:val="22"/>
        </w:rPr>
      </w:pPr>
      <w:r w:rsidRPr="0041654F">
        <w:rPr>
          <w:rFonts w:ascii="Cambria" w:hAnsi="Cambria"/>
          <w:b/>
          <w:sz w:val="22"/>
          <w:szCs w:val="22"/>
        </w:rPr>
        <w:t>In addition, p</w:t>
      </w:r>
      <w:r w:rsidR="00C023F4" w:rsidRPr="0041654F">
        <w:rPr>
          <w:rFonts w:ascii="Cambria" w:hAnsi="Cambria"/>
          <w:b/>
          <w:sz w:val="22"/>
          <w:szCs w:val="22"/>
        </w:rPr>
        <w:t xml:space="preserve">ension system demographics </w:t>
      </w:r>
      <w:r w:rsidR="00D07220" w:rsidRPr="0041654F">
        <w:rPr>
          <w:rFonts w:ascii="Cambria" w:hAnsi="Cambria"/>
          <w:b/>
          <w:sz w:val="22"/>
          <w:szCs w:val="22"/>
        </w:rPr>
        <w:t xml:space="preserve">are influenced by the </w:t>
      </w:r>
      <w:r w:rsidR="006B60A7" w:rsidRPr="0041654F">
        <w:rPr>
          <w:rFonts w:ascii="Cambria" w:hAnsi="Cambria"/>
          <w:b/>
          <w:sz w:val="22"/>
          <w:szCs w:val="22"/>
        </w:rPr>
        <w:t>economic environment and</w:t>
      </w:r>
      <w:r w:rsidR="00D07220" w:rsidRPr="0041654F">
        <w:rPr>
          <w:rFonts w:ascii="Cambria" w:hAnsi="Cambria"/>
          <w:b/>
          <w:sz w:val="22"/>
          <w:szCs w:val="22"/>
        </w:rPr>
        <w:t xml:space="preserve"> </w:t>
      </w:r>
      <w:r w:rsidR="006B60A7" w:rsidRPr="0041654F">
        <w:rPr>
          <w:rFonts w:ascii="Cambria" w:hAnsi="Cambria"/>
          <w:b/>
          <w:sz w:val="22"/>
          <w:szCs w:val="22"/>
        </w:rPr>
        <w:t xml:space="preserve">some </w:t>
      </w:r>
      <w:r w:rsidR="00D07220" w:rsidRPr="0041654F">
        <w:rPr>
          <w:rFonts w:ascii="Cambria" w:hAnsi="Cambria"/>
          <w:b/>
          <w:sz w:val="22"/>
          <w:szCs w:val="22"/>
        </w:rPr>
        <w:t>factors</w:t>
      </w:r>
      <w:r w:rsidR="006B60A7" w:rsidRPr="0041654F">
        <w:rPr>
          <w:rFonts w:ascii="Cambria" w:hAnsi="Cambria"/>
          <w:b/>
          <w:sz w:val="22"/>
          <w:szCs w:val="22"/>
        </w:rPr>
        <w:t xml:space="preserve"> related to the pension system itself,</w:t>
      </w:r>
      <w:r w:rsidR="00D07220" w:rsidRPr="0041654F">
        <w:rPr>
          <w:rFonts w:ascii="Cambria" w:hAnsi="Cambria"/>
          <w:b/>
          <w:sz w:val="22"/>
          <w:szCs w:val="22"/>
        </w:rPr>
        <w:t xml:space="preserve"> like system design and history</w:t>
      </w:r>
      <w:r w:rsidR="00D07220" w:rsidRPr="00C20EC5">
        <w:rPr>
          <w:rFonts w:ascii="Cambria" w:hAnsi="Cambria"/>
          <w:sz w:val="22"/>
          <w:szCs w:val="22"/>
        </w:rPr>
        <w:t xml:space="preserve">. </w:t>
      </w:r>
      <w:r w:rsidR="00E11F81" w:rsidRPr="00C20EC5">
        <w:rPr>
          <w:rFonts w:ascii="Cambria" w:hAnsi="Cambria"/>
          <w:sz w:val="22"/>
          <w:szCs w:val="22"/>
        </w:rPr>
        <w:t>L</w:t>
      </w:r>
      <w:r w:rsidR="00185E6D" w:rsidRPr="00C20EC5">
        <w:rPr>
          <w:rFonts w:ascii="Cambria" w:hAnsi="Cambria"/>
          <w:sz w:val="22"/>
          <w:szCs w:val="22"/>
        </w:rPr>
        <w:t xml:space="preserve">ow contributor and high beneficiary coverage rates, significant </w:t>
      </w:r>
      <w:r w:rsidR="00454B8A">
        <w:rPr>
          <w:rFonts w:ascii="Cambria" w:hAnsi="Cambria"/>
          <w:sz w:val="22"/>
          <w:szCs w:val="22"/>
        </w:rPr>
        <w:t xml:space="preserve">number of </w:t>
      </w:r>
      <w:r w:rsidR="00185E6D" w:rsidRPr="00C20EC5">
        <w:rPr>
          <w:rFonts w:ascii="Cambria" w:hAnsi="Cambria"/>
          <w:sz w:val="22"/>
          <w:szCs w:val="22"/>
        </w:rPr>
        <w:t>early retire</w:t>
      </w:r>
      <w:r w:rsidR="00454B8A">
        <w:rPr>
          <w:rFonts w:ascii="Cambria" w:hAnsi="Cambria"/>
          <w:sz w:val="22"/>
          <w:szCs w:val="22"/>
        </w:rPr>
        <w:t>es</w:t>
      </w:r>
      <w:r w:rsidR="00185E6D" w:rsidRPr="00C20EC5">
        <w:rPr>
          <w:rFonts w:ascii="Cambria" w:hAnsi="Cambria"/>
          <w:sz w:val="22"/>
          <w:szCs w:val="22"/>
        </w:rPr>
        <w:t xml:space="preserve"> and </w:t>
      </w:r>
      <w:r w:rsidR="00454B8A" w:rsidRPr="00C20EC5">
        <w:rPr>
          <w:rFonts w:ascii="Cambria" w:hAnsi="Cambria"/>
          <w:sz w:val="22"/>
          <w:szCs w:val="22"/>
        </w:rPr>
        <w:t>disab</w:t>
      </w:r>
      <w:r w:rsidR="00454B8A">
        <w:rPr>
          <w:rFonts w:ascii="Cambria" w:hAnsi="Cambria"/>
          <w:sz w:val="22"/>
          <w:szCs w:val="22"/>
        </w:rPr>
        <w:t>led</w:t>
      </w:r>
      <w:r w:rsidR="00454B8A" w:rsidRPr="00C20EC5">
        <w:rPr>
          <w:rFonts w:ascii="Cambria" w:hAnsi="Cambria"/>
          <w:sz w:val="22"/>
          <w:szCs w:val="22"/>
        </w:rPr>
        <w:t xml:space="preserve"> </w:t>
      </w:r>
      <w:r w:rsidR="00A126B3" w:rsidRPr="00C20EC5">
        <w:rPr>
          <w:rFonts w:ascii="Cambria" w:hAnsi="Cambria"/>
          <w:sz w:val="22"/>
          <w:szCs w:val="22"/>
        </w:rPr>
        <w:t>result in</w:t>
      </w:r>
      <w:r w:rsidR="00D07220" w:rsidRPr="00C20EC5">
        <w:rPr>
          <w:rFonts w:ascii="Cambria" w:hAnsi="Cambria"/>
          <w:sz w:val="22"/>
          <w:szCs w:val="22"/>
        </w:rPr>
        <w:t xml:space="preserve"> </w:t>
      </w:r>
      <w:r w:rsidR="00D32962">
        <w:rPr>
          <w:rFonts w:ascii="Cambria" w:hAnsi="Cambria"/>
          <w:sz w:val="22"/>
          <w:szCs w:val="22"/>
        </w:rPr>
        <w:t xml:space="preserve">a </w:t>
      </w:r>
      <w:r w:rsidR="00A126B3" w:rsidRPr="00C20EC5">
        <w:rPr>
          <w:rFonts w:ascii="Cambria" w:hAnsi="Cambria"/>
          <w:sz w:val="22"/>
          <w:szCs w:val="22"/>
        </w:rPr>
        <w:t xml:space="preserve">substantially higher </w:t>
      </w:r>
      <w:r w:rsidR="00D07220" w:rsidRPr="00C20EC5">
        <w:rPr>
          <w:rFonts w:ascii="Cambria" w:hAnsi="Cambria"/>
          <w:sz w:val="22"/>
          <w:szCs w:val="22"/>
        </w:rPr>
        <w:t xml:space="preserve">system dependency rate </w:t>
      </w:r>
      <w:r w:rsidR="00185E6D" w:rsidRPr="00C20EC5">
        <w:rPr>
          <w:rFonts w:ascii="Cambria" w:hAnsi="Cambria"/>
          <w:sz w:val="22"/>
          <w:szCs w:val="22"/>
        </w:rPr>
        <w:t>(</w:t>
      </w:r>
      <w:r w:rsidR="006F48B4" w:rsidRPr="00C20EC5">
        <w:rPr>
          <w:rFonts w:ascii="Cambria" w:hAnsi="Cambria"/>
          <w:sz w:val="22"/>
          <w:szCs w:val="22"/>
        </w:rPr>
        <w:t>39</w:t>
      </w:r>
      <w:r w:rsidR="002B409D">
        <w:rPr>
          <w:rFonts w:ascii="Cambria" w:hAnsi="Cambria"/>
          <w:sz w:val="22"/>
          <w:szCs w:val="22"/>
        </w:rPr>
        <w:t xml:space="preserve"> percent</w:t>
      </w:r>
      <w:r w:rsidR="00185E6D" w:rsidRPr="00C20EC5">
        <w:rPr>
          <w:rFonts w:ascii="Cambria" w:hAnsi="Cambria"/>
          <w:sz w:val="22"/>
          <w:szCs w:val="22"/>
        </w:rPr>
        <w:t xml:space="preserve">) </w:t>
      </w:r>
      <w:r w:rsidR="00A126B3" w:rsidRPr="00C20EC5">
        <w:rPr>
          <w:rFonts w:ascii="Cambria" w:hAnsi="Cambria"/>
          <w:sz w:val="22"/>
          <w:szCs w:val="22"/>
        </w:rPr>
        <w:t>compared with</w:t>
      </w:r>
      <w:r w:rsidR="00185E6D" w:rsidRPr="00C20EC5">
        <w:rPr>
          <w:rFonts w:ascii="Cambria" w:hAnsi="Cambria"/>
          <w:sz w:val="22"/>
          <w:szCs w:val="22"/>
        </w:rPr>
        <w:t xml:space="preserve"> the </w:t>
      </w:r>
      <w:r w:rsidR="006F48B4" w:rsidRPr="00C20EC5">
        <w:rPr>
          <w:rFonts w:ascii="Cambria" w:hAnsi="Cambria"/>
          <w:sz w:val="22"/>
          <w:szCs w:val="22"/>
        </w:rPr>
        <w:t>10</w:t>
      </w:r>
      <w:r w:rsidR="002B409D">
        <w:rPr>
          <w:rFonts w:ascii="Cambria" w:hAnsi="Cambria"/>
          <w:sz w:val="22"/>
          <w:szCs w:val="22"/>
        </w:rPr>
        <w:t xml:space="preserve"> percent</w:t>
      </w:r>
      <w:r w:rsidR="006F48B4" w:rsidRPr="00C20EC5">
        <w:rPr>
          <w:rFonts w:ascii="Cambria" w:hAnsi="Cambria"/>
          <w:sz w:val="22"/>
          <w:szCs w:val="22"/>
        </w:rPr>
        <w:t xml:space="preserve"> </w:t>
      </w:r>
      <w:r w:rsidR="00A47C53">
        <w:rPr>
          <w:rFonts w:ascii="Cambria" w:hAnsi="Cambria"/>
          <w:sz w:val="22"/>
          <w:szCs w:val="22"/>
        </w:rPr>
        <w:t>old-age</w:t>
      </w:r>
      <w:r w:rsidR="00E11F81" w:rsidRPr="00C20EC5">
        <w:rPr>
          <w:rFonts w:ascii="Cambria" w:hAnsi="Cambria"/>
          <w:sz w:val="22"/>
          <w:szCs w:val="22"/>
        </w:rPr>
        <w:t xml:space="preserve"> population dependency ratio</w:t>
      </w:r>
      <w:r w:rsidR="00185E6D" w:rsidRPr="00C20EC5">
        <w:rPr>
          <w:rFonts w:ascii="Cambria" w:hAnsi="Cambria"/>
          <w:sz w:val="22"/>
          <w:szCs w:val="22"/>
        </w:rPr>
        <w:t>.</w:t>
      </w:r>
      <w:r w:rsidR="00D07220" w:rsidRPr="00C20EC5">
        <w:rPr>
          <w:rFonts w:ascii="Cambria" w:hAnsi="Cambria"/>
          <w:sz w:val="22"/>
          <w:szCs w:val="22"/>
        </w:rPr>
        <w:t xml:space="preserve"> </w:t>
      </w:r>
      <w:r w:rsidR="00185E6D" w:rsidRPr="00C20EC5">
        <w:rPr>
          <w:rFonts w:ascii="Cambria" w:hAnsi="Cambria"/>
          <w:sz w:val="22"/>
          <w:szCs w:val="22"/>
        </w:rPr>
        <w:t xml:space="preserve">In the future, though contributor coverage rates are assumed to remain stable and beneficiary coverage rates are </w:t>
      </w:r>
      <w:r w:rsidR="00A126B3" w:rsidRPr="00C20EC5">
        <w:rPr>
          <w:rFonts w:ascii="Cambria" w:hAnsi="Cambria"/>
          <w:sz w:val="22"/>
          <w:szCs w:val="22"/>
        </w:rPr>
        <w:lastRenderedPageBreak/>
        <w:t>projected</w:t>
      </w:r>
      <w:r w:rsidR="00185E6D" w:rsidRPr="00C20EC5">
        <w:rPr>
          <w:rFonts w:ascii="Cambria" w:hAnsi="Cambria"/>
          <w:sz w:val="22"/>
          <w:szCs w:val="22"/>
        </w:rPr>
        <w:t xml:space="preserve"> to decline, the system dependency rate is </w:t>
      </w:r>
      <w:r w:rsidR="00A126B3" w:rsidRPr="00C20EC5">
        <w:rPr>
          <w:rFonts w:ascii="Cambria" w:hAnsi="Cambria"/>
          <w:sz w:val="22"/>
          <w:szCs w:val="22"/>
        </w:rPr>
        <w:t>expected</w:t>
      </w:r>
      <w:r w:rsidR="00185E6D" w:rsidRPr="00C20EC5">
        <w:rPr>
          <w:rFonts w:ascii="Cambria" w:hAnsi="Cambria"/>
          <w:sz w:val="22"/>
          <w:szCs w:val="22"/>
        </w:rPr>
        <w:t xml:space="preserve"> to grow driven by population </w:t>
      </w:r>
      <w:r w:rsidR="00D32962">
        <w:rPr>
          <w:rFonts w:ascii="Cambria" w:hAnsi="Cambria"/>
          <w:sz w:val="22"/>
          <w:szCs w:val="22"/>
        </w:rPr>
        <w:t>aging</w:t>
      </w:r>
      <w:r w:rsidR="006E1237" w:rsidRPr="00C20EC5">
        <w:rPr>
          <w:rFonts w:ascii="Cambria" w:hAnsi="Cambria"/>
          <w:sz w:val="22"/>
          <w:szCs w:val="22"/>
        </w:rPr>
        <w:t>.</w:t>
      </w:r>
      <w:r w:rsidR="003F6433" w:rsidRPr="00C20EC5">
        <w:rPr>
          <w:rFonts w:ascii="Cambria" w:hAnsi="Cambria"/>
          <w:sz w:val="22"/>
          <w:szCs w:val="22"/>
        </w:rPr>
        <w:t xml:space="preserve"> </w:t>
      </w:r>
      <w:r w:rsidR="006E1237" w:rsidRPr="00C20EC5">
        <w:rPr>
          <w:rFonts w:ascii="Cambria" w:hAnsi="Cambria"/>
          <w:sz w:val="22"/>
          <w:szCs w:val="22"/>
        </w:rPr>
        <w:t>A</w:t>
      </w:r>
      <w:r w:rsidR="00A126B3" w:rsidRPr="00C20EC5">
        <w:rPr>
          <w:rFonts w:ascii="Cambria" w:hAnsi="Cambria"/>
          <w:sz w:val="22"/>
          <w:szCs w:val="22"/>
        </w:rPr>
        <w:t xml:space="preserve">s shown in Figure </w:t>
      </w:r>
      <w:r w:rsidR="00874740" w:rsidRPr="00C20EC5">
        <w:rPr>
          <w:rFonts w:ascii="Cambria" w:hAnsi="Cambria"/>
          <w:sz w:val="22"/>
          <w:szCs w:val="22"/>
        </w:rPr>
        <w:t>7</w:t>
      </w:r>
      <w:r w:rsidR="00A126B3" w:rsidRPr="00C20EC5">
        <w:rPr>
          <w:rFonts w:ascii="Cambria" w:hAnsi="Cambria"/>
          <w:sz w:val="22"/>
          <w:szCs w:val="22"/>
        </w:rPr>
        <w:t xml:space="preserve">, </w:t>
      </w:r>
      <w:r w:rsidR="006E1237" w:rsidRPr="00C20EC5">
        <w:rPr>
          <w:rFonts w:ascii="Cambria" w:hAnsi="Cambria"/>
          <w:sz w:val="22"/>
          <w:szCs w:val="22"/>
        </w:rPr>
        <w:t>both system dependency rate indicators</w:t>
      </w:r>
      <w:r w:rsidR="00185E6D" w:rsidRPr="00C20EC5">
        <w:rPr>
          <w:rFonts w:ascii="Cambria" w:hAnsi="Cambria"/>
          <w:sz w:val="22"/>
          <w:szCs w:val="22"/>
        </w:rPr>
        <w:t xml:space="preserve"> </w:t>
      </w:r>
      <w:r w:rsidR="00CC33DF" w:rsidRPr="00C20EC5">
        <w:rPr>
          <w:rFonts w:ascii="Cambria" w:hAnsi="Cambria"/>
          <w:sz w:val="22"/>
          <w:szCs w:val="22"/>
        </w:rPr>
        <w:t xml:space="preserve">almost </w:t>
      </w:r>
      <w:r w:rsidR="00A126B3" w:rsidRPr="00C20EC5">
        <w:rPr>
          <w:rFonts w:ascii="Cambria" w:hAnsi="Cambria"/>
          <w:sz w:val="22"/>
          <w:szCs w:val="22"/>
        </w:rPr>
        <w:t>double</w:t>
      </w:r>
      <w:r w:rsidR="00EC13B7" w:rsidRPr="00C20EC5">
        <w:rPr>
          <w:rFonts w:ascii="Cambria" w:hAnsi="Cambria"/>
          <w:sz w:val="22"/>
          <w:szCs w:val="22"/>
        </w:rPr>
        <w:t xml:space="preserve"> over the next four decades</w:t>
      </w:r>
      <w:r w:rsidR="006E1237" w:rsidRPr="00C20EC5">
        <w:rPr>
          <w:rFonts w:ascii="Cambria" w:hAnsi="Cambria"/>
          <w:sz w:val="22"/>
          <w:szCs w:val="22"/>
        </w:rPr>
        <w:t xml:space="preserve"> and continue to grow further in line with the </w:t>
      </w:r>
      <w:r w:rsidR="00A47C53">
        <w:rPr>
          <w:rFonts w:ascii="Cambria" w:hAnsi="Cambria"/>
          <w:sz w:val="22"/>
          <w:szCs w:val="22"/>
        </w:rPr>
        <w:t>old-age</w:t>
      </w:r>
      <w:r w:rsidR="006E1237" w:rsidRPr="00C20EC5">
        <w:rPr>
          <w:rFonts w:ascii="Cambria" w:hAnsi="Cambria"/>
          <w:sz w:val="22"/>
          <w:szCs w:val="22"/>
        </w:rPr>
        <w:t xml:space="preserve"> population dependency ratio</w:t>
      </w:r>
      <w:r w:rsidR="00EC13B7" w:rsidRPr="00C20EC5">
        <w:rPr>
          <w:rFonts w:ascii="Cambria" w:hAnsi="Cambria"/>
          <w:sz w:val="22"/>
          <w:szCs w:val="22"/>
        </w:rPr>
        <w:t>.</w:t>
      </w:r>
      <w:r w:rsidR="006F48B4" w:rsidRPr="00C20EC5">
        <w:rPr>
          <w:rFonts w:ascii="Cambria" w:hAnsi="Cambria"/>
          <w:sz w:val="22"/>
          <w:szCs w:val="22"/>
        </w:rPr>
        <w:t xml:space="preserve"> </w:t>
      </w:r>
      <w:r w:rsidR="006F23EE" w:rsidRPr="00C20EC5">
        <w:rPr>
          <w:rFonts w:ascii="Cambria" w:hAnsi="Cambria"/>
          <w:sz w:val="22"/>
          <w:szCs w:val="22"/>
        </w:rPr>
        <w:t xml:space="preserve">So, the burden on each contributor </w:t>
      </w:r>
      <w:r w:rsidR="00452D07" w:rsidRPr="00C20EC5">
        <w:rPr>
          <w:rFonts w:ascii="Cambria" w:hAnsi="Cambria"/>
          <w:sz w:val="22"/>
          <w:szCs w:val="22"/>
        </w:rPr>
        <w:t>will increase from supporting 0.</w:t>
      </w:r>
      <w:r w:rsidR="00CC33DF" w:rsidRPr="00C20EC5">
        <w:rPr>
          <w:rFonts w:ascii="Cambria" w:hAnsi="Cambria"/>
          <w:sz w:val="22"/>
          <w:szCs w:val="22"/>
        </w:rPr>
        <w:t>39</w:t>
      </w:r>
      <w:r w:rsidR="00452D07" w:rsidRPr="00C20EC5">
        <w:rPr>
          <w:rFonts w:ascii="Cambria" w:hAnsi="Cambria"/>
          <w:sz w:val="22"/>
          <w:szCs w:val="22"/>
        </w:rPr>
        <w:t xml:space="preserve"> pensioners now to 0.</w:t>
      </w:r>
      <w:r w:rsidR="00CC33DF" w:rsidRPr="00C20EC5">
        <w:rPr>
          <w:rFonts w:ascii="Cambria" w:hAnsi="Cambria"/>
          <w:sz w:val="22"/>
          <w:szCs w:val="22"/>
        </w:rPr>
        <w:t>75</w:t>
      </w:r>
      <w:r w:rsidR="00452D07" w:rsidRPr="00C20EC5">
        <w:rPr>
          <w:rFonts w:ascii="Cambria" w:hAnsi="Cambria"/>
          <w:sz w:val="22"/>
          <w:szCs w:val="22"/>
        </w:rPr>
        <w:t xml:space="preserve"> in 2050 and 0.</w:t>
      </w:r>
      <w:r w:rsidR="00CC33DF" w:rsidRPr="00C20EC5">
        <w:rPr>
          <w:rFonts w:ascii="Cambria" w:hAnsi="Cambria"/>
          <w:sz w:val="22"/>
          <w:szCs w:val="22"/>
        </w:rPr>
        <w:t>81</w:t>
      </w:r>
      <w:r w:rsidR="00452D07" w:rsidRPr="00C20EC5">
        <w:rPr>
          <w:rFonts w:ascii="Cambria" w:hAnsi="Cambria"/>
          <w:sz w:val="22"/>
          <w:szCs w:val="22"/>
        </w:rPr>
        <w:t xml:space="preserve"> b</w:t>
      </w:r>
      <w:r w:rsidR="006F48B4" w:rsidRPr="00C20EC5">
        <w:rPr>
          <w:rFonts w:ascii="Cambria" w:hAnsi="Cambria"/>
          <w:sz w:val="22"/>
          <w:szCs w:val="22"/>
        </w:rPr>
        <w:t>y the end of the simulation period.</w:t>
      </w:r>
    </w:p>
    <w:p w14:paraId="6A6C36BB" w14:textId="5AF84F90" w:rsidR="004D52CA" w:rsidRPr="00C20EC5" w:rsidRDefault="00F7176C" w:rsidP="00876F35">
      <w:pPr>
        <w:numPr>
          <w:ilvl w:val="0"/>
          <w:numId w:val="3"/>
        </w:numPr>
        <w:spacing w:before="240" w:after="240"/>
        <w:jc w:val="both"/>
        <w:rPr>
          <w:rFonts w:ascii="Cambria" w:hAnsi="Cambria"/>
          <w:sz w:val="22"/>
          <w:szCs w:val="22"/>
        </w:rPr>
      </w:pPr>
      <w:r w:rsidRPr="005D00D8">
        <w:rPr>
          <w:rFonts w:ascii="Cambria" w:hAnsi="Cambria"/>
          <w:b/>
          <w:sz w:val="22"/>
          <w:szCs w:val="22"/>
        </w:rPr>
        <w:t>B</w:t>
      </w:r>
      <w:r w:rsidRPr="0041654F">
        <w:rPr>
          <w:rFonts w:ascii="Cambria" w:hAnsi="Cambria"/>
          <w:b/>
          <w:sz w:val="22"/>
          <w:szCs w:val="22"/>
        </w:rPr>
        <w:t>enefit</w:t>
      </w:r>
      <w:r w:rsidR="004E2EB0" w:rsidRPr="0041654F">
        <w:rPr>
          <w:rFonts w:ascii="Cambria" w:hAnsi="Cambria"/>
          <w:b/>
          <w:sz w:val="22"/>
          <w:szCs w:val="22"/>
        </w:rPr>
        <w:t>s at retirement</w:t>
      </w:r>
      <w:r w:rsidRPr="0041654F">
        <w:rPr>
          <w:rFonts w:ascii="Cambria" w:hAnsi="Cambria"/>
          <w:b/>
          <w:sz w:val="22"/>
          <w:szCs w:val="22"/>
        </w:rPr>
        <w:t xml:space="preserve">, as expected, </w:t>
      </w:r>
      <w:r w:rsidR="004E2EB0" w:rsidRPr="0041654F">
        <w:rPr>
          <w:rFonts w:ascii="Cambria" w:hAnsi="Cambria"/>
          <w:b/>
          <w:sz w:val="22"/>
          <w:szCs w:val="22"/>
        </w:rPr>
        <w:t>will continue</w:t>
      </w:r>
      <w:r w:rsidRPr="0041654F">
        <w:rPr>
          <w:rFonts w:ascii="Cambria" w:hAnsi="Cambria"/>
          <w:b/>
          <w:sz w:val="22"/>
          <w:szCs w:val="22"/>
        </w:rPr>
        <w:t xml:space="preserve"> to decrease relative to wages</w:t>
      </w:r>
      <w:r w:rsidR="00CB13F2" w:rsidRPr="0041654F">
        <w:rPr>
          <w:rFonts w:ascii="Cambria" w:hAnsi="Cambria"/>
          <w:b/>
          <w:sz w:val="22"/>
          <w:szCs w:val="22"/>
        </w:rPr>
        <w:t xml:space="preserve"> over the next two decades as SP1 pensions phase out</w:t>
      </w:r>
      <w:r w:rsidRPr="00C20EC5">
        <w:rPr>
          <w:rFonts w:ascii="Cambria" w:hAnsi="Cambria"/>
          <w:sz w:val="22"/>
          <w:szCs w:val="22"/>
        </w:rPr>
        <w:t xml:space="preserve">. </w:t>
      </w:r>
      <w:r w:rsidR="002F0D86" w:rsidRPr="00C20EC5">
        <w:rPr>
          <w:rFonts w:ascii="Cambria" w:hAnsi="Cambria"/>
          <w:sz w:val="22"/>
          <w:szCs w:val="22"/>
        </w:rPr>
        <w:t xml:space="preserve">Figure </w:t>
      </w:r>
      <w:r w:rsidR="004D2CFC" w:rsidRPr="00C20EC5">
        <w:rPr>
          <w:rFonts w:ascii="Cambria" w:hAnsi="Cambria"/>
          <w:sz w:val="22"/>
          <w:szCs w:val="22"/>
        </w:rPr>
        <w:t xml:space="preserve">8 </w:t>
      </w:r>
      <w:r w:rsidR="002F0D86" w:rsidRPr="00C20EC5">
        <w:rPr>
          <w:rFonts w:ascii="Cambria" w:hAnsi="Cambria"/>
          <w:sz w:val="22"/>
          <w:szCs w:val="22"/>
        </w:rPr>
        <w:t>shows the average replacement rate</w:t>
      </w:r>
      <w:r w:rsidR="00C76EB2" w:rsidRPr="00C20EC5">
        <w:rPr>
          <w:rFonts w:ascii="Cambria" w:hAnsi="Cambria"/>
          <w:sz w:val="22"/>
          <w:szCs w:val="22"/>
        </w:rPr>
        <w:t>s</w:t>
      </w:r>
      <w:r w:rsidR="002F0D86" w:rsidRPr="00C20EC5">
        <w:rPr>
          <w:rFonts w:ascii="Cambria" w:hAnsi="Cambria"/>
          <w:sz w:val="22"/>
          <w:szCs w:val="22"/>
        </w:rPr>
        <w:t xml:space="preserve"> for new </w:t>
      </w:r>
      <w:r w:rsidR="00A47C53">
        <w:rPr>
          <w:rFonts w:ascii="Cambria" w:hAnsi="Cambria"/>
          <w:sz w:val="22"/>
          <w:szCs w:val="22"/>
        </w:rPr>
        <w:t>old-age</w:t>
      </w:r>
      <w:r w:rsidR="002F0D86" w:rsidRPr="00C20EC5">
        <w:rPr>
          <w:rFonts w:ascii="Cambria" w:hAnsi="Cambria"/>
          <w:sz w:val="22"/>
          <w:szCs w:val="22"/>
        </w:rPr>
        <w:t xml:space="preserve"> retirees</w:t>
      </w:r>
      <w:r w:rsidR="00136972" w:rsidRPr="00C20EC5">
        <w:rPr>
          <w:rFonts w:ascii="Cambria" w:hAnsi="Cambria"/>
          <w:sz w:val="22"/>
          <w:szCs w:val="22"/>
        </w:rPr>
        <w:t xml:space="preserve"> as percentage of </w:t>
      </w:r>
      <w:r w:rsidR="004D2CFC" w:rsidRPr="00C20EC5">
        <w:rPr>
          <w:rFonts w:ascii="Cambria" w:hAnsi="Cambria"/>
          <w:sz w:val="22"/>
          <w:szCs w:val="22"/>
        </w:rPr>
        <w:t xml:space="preserve">the </w:t>
      </w:r>
      <w:r w:rsidR="00136972" w:rsidRPr="00C20EC5">
        <w:rPr>
          <w:rFonts w:ascii="Cambria" w:hAnsi="Cambria"/>
          <w:sz w:val="22"/>
          <w:szCs w:val="22"/>
        </w:rPr>
        <w:t>contributor average wage</w:t>
      </w:r>
      <w:r w:rsidR="004D2CFC" w:rsidRPr="00C20EC5">
        <w:rPr>
          <w:rFonts w:ascii="Cambria" w:hAnsi="Cambria"/>
          <w:sz w:val="22"/>
          <w:szCs w:val="22"/>
        </w:rPr>
        <w:t xml:space="preserve"> as well as changes in the composition of pensions at retirement over time</w:t>
      </w:r>
      <w:r w:rsidR="00136972" w:rsidRPr="00C20EC5">
        <w:rPr>
          <w:rFonts w:ascii="Cambria" w:hAnsi="Cambria"/>
          <w:sz w:val="22"/>
          <w:szCs w:val="22"/>
        </w:rPr>
        <w:t>.</w:t>
      </w:r>
      <w:r w:rsidR="00286692" w:rsidRPr="00C20EC5">
        <w:rPr>
          <w:rFonts w:ascii="Cambria" w:hAnsi="Cambria"/>
          <w:sz w:val="22"/>
          <w:szCs w:val="22"/>
        </w:rPr>
        <w:t xml:space="preserve"> </w:t>
      </w:r>
      <w:r w:rsidR="004C292C" w:rsidRPr="00C20EC5">
        <w:rPr>
          <w:rFonts w:ascii="Cambria" w:hAnsi="Cambria"/>
          <w:sz w:val="22"/>
          <w:szCs w:val="22"/>
        </w:rPr>
        <w:t>By the time SP1 part disappears around 203</w:t>
      </w:r>
      <w:r w:rsidR="000C5151" w:rsidRPr="00C20EC5">
        <w:rPr>
          <w:rFonts w:ascii="Cambria" w:hAnsi="Cambria"/>
          <w:sz w:val="22"/>
          <w:szCs w:val="22"/>
        </w:rPr>
        <w:t>5-2040</w:t>
      </w:r>
      <w:r w:rsidR="004C292C" w:rsidRPr="00C20EC5">
        <w:rPr>
          <w:rFonts w:ascii="Cambria" w:hAnsi="Cambria"/>
          <w:sz w:val="22"/>
          <w:szCs w:val="22"/>
        </w:rPr>
        <w:t xml:space="preserve">, </w:t>
      </w:r>
      <w:r w:rsidR="006F6DA9" w:rsidRPr="00C20EC5">
        <w:rPr>
          <w:rFonts w:ascii="Cambria" w:hAnsi="Cambria"/>
          <w:sz w:val="22"/>
          <w:szCs w:val="22"/>
        </w:rPr>
        <w:t xml:space="preserve">the </w:t>
      </w:r>
      <w:r w:rsidR="0012693A" w:rsidRPr="00C20EC5">
        <w:rPr>
          <w:rFonts w:ascii="Cambria" w:hAnsi="Cambria"/>
          <w:sz w:val="22"/>
          <w:szCs w:val="22"/>
        </w:rPr>
        <w:t>average</w:t>
      </w:r>
      <w:r w:rsidR="004C292C" w:rsidRPr="00C20EC5">
        <w:rPr>
          <w:rFonts w:ascii="Cambria" w:hAnsi="Cambria"/>
          <w:sz w:val="22"/>
          <w:szCs w:val="22"/>
        </w:rPr>
        <w:t xml:space="preserve"> </w:t>
      </w:r>
      <w:r w:rsidR="004D52CA" w:rsidRPr="00C20EC5">
        <w:rPr>
          <w:rFonts w:ascii="Cambria" w:hAnsi="Cambria"/>
          <w:sz w:val="22"/>
          <w:szCs w:val="22"/>
        </w:rPr>
        <w:t>defined benefit</w:t>
      </w:r>
      <w:r w:rsidR="004C292C" w:rsidRPr="00C20EC5">
        <w:rPr>
          <w:rFonts w:ascii="Cambria" w:hAnsi="Cambria"/>
          <w:sz w:val="22"/>
          <w:szCs w:val="22"/>
        </w:rPr>
        <w:t xml:space="preserve"> pension</w:t>
      </w:r>
      <w:r w:rsidR="004D52CA" w:rsidRPr="00C20EC5">
        <w:rPr>
          <w:rFonts w:ascii="Cambria" w:hAnsi="Cambria"/>
          <w:sz w:val="22"/>
          <w:szCs w:val="22"/>
        </w:rPr>
        <w:t xml:space="preserve"> (basic+SP1+SP2)</w:t>
      </w:r>
      <w:r w:rsidR="004C292C" w:rsidRPr="00C20EC5">
        <w:rPr>
          <w:rFonts w:ascii="Cambria" w:hAnsi="Cambria"/>
          <w:sz w:val="22"/>
          <w:szCs w:val="22"/>
        </w:rPr>
        <w:t xml:space="preserve"> </w:t>
      </w:r>
      <w:r w:rsidR="0012693A" w:rsidRPr="00C20EC5">
        <w:rPr>
          <w:rFonts w:ascii="Cambria" w:hAnsi="Cambria"/>
          <w:sz w:val="22"/>
          <w:szCs w:val="22"/>
        </w:rPr>
        <w:t xml:space="preserve">for new </w:t>
      </w:r>
      <w:r w:rsidR="00A47C53">
        <w:rPr>
          <w:rFonts w:ascii="Cambria" w:hAnsi="Cambria"/>
          <w:sz w:val="22"/>
          <w:szCs w:val="22"/>
        </w:rPr>
        <w:t>old-age</w:t>
      </w:r>
      <w:r w:rsidR="006F6DA9" w:rsidRPr="00C20EC5">
        <w:rPr>
          <w:rFonts w:ascii="Cambria" w:hAnsi="Cambria"/>
          <w:sz w:val="22"/>
          <w:szCs w:val="22"/>
        </w:rPr>
        <w:t xml:space="preserve"> </w:t>
      </w:r>
      <w:r w:rsidR="0012693A" w:rsidRPr="00C20EC5">
        <w:rPr>
          <w:rFonts w:ascii="Cambria" w:hAnsi="Cambria"/>
          <w:sz w:val="22"/>
          <w:szCs w:val="22"/>
        </w:rPr>
        <w:t xml:space="preserve">retirees in the formal sector </w:t>
      </w:r>
      <w:r w:rsidR="004D52CA" w:rsidRPr="00C20EC5">
        <w:rPr>
          <w:rFonts w:ascii="Cambria" w:hAnsi="Cambria"/>
          <w:sz w:val="22"/>
          <w:szCs w:val="22"/>
        </w:rPr>
        <w:t>is</w:t>
      </w:r>
      <w:r w:rsidR="0012693A" w:rsidRPr="00C20EC5">
        <w:rPr>
          <w:rFonts w:ascii="Cambria" w:hAnsi="Cambria"/>
          <w:sz w:val="22"/>
          <w:szCs w:val="22"/>
        </w:rPr>
        <w:t xml:space="preserve"> projected to drop to </w:t>
      </w:r>
      <w:r w:rsidR="004D52CA" w:rsidRPr="00C20EC5">
        <w:rPr>
          <w:rFonts w:ascii="Cambria" w:hAnsi="Cambria"/>
          <w:sz w:val="22"/>
          <w:szCs w:val="22"/>
        </w:rPr>
        <w:t>30-35</w:t>
      </w:r>
      <w:r w:rsidR="002B409D">
        <w:rPr>
          <w:rFonts w:ascii="Cambria" w:hAnsi="Cambria"/>
          <w:sz w:val="22"/>
          <w:szCs w:val="22"/>
        </w:rPr>
        <w:t xml:space="preserve"> percent</w:t>
      </w:r>
      <w:r w:rsidR="006F6DA9" w:rsidRPr="00C20EC5">
        <w:rPr>
          <w:rFonts w:ascii="Cambria" w:hAnsi="Cambria"/>
          <w:sz w:val="22"/>
          <w:szCs w:val="22"/>
        </w:rPr>
        <w:t>,</w:t>
      </w:r>
      <w:r w:rsidR="0012693A" w:rsidRPr="00C20EC5">
        <w:rPr>
          <w:rFonts w:ascii="Cambria" w:hAnsi="Cambria"/>
          <w:sz w:val="22"/>
          <w:szCs w:val="22"/>
        </w:rPr>
        <w:t xml:space="preserve"> </w:t>
      </w:r>
      <w:r w:rsidR="004C292C" w:rsidRPr="00C20EC5">
        <w:rPr>
          <w:rFonts w:ascii="Cambria" w:hAnsi="Cambria"/>
          <w:sz w:val="22"/>
          <w:szCs w:val="22"/>
        </w:rPr>
        <w:t xml:space="preserve">partly also driven by </w:t>
      </w:r>
      <w:r w:rsidR="0012693A" w:rsidRPr="00C20EC5">
        <w:rPr>
          <w:rFonts w:ascii="Cambria" w:hAnsi="Cambria"/>
          <w:sz w:val="22"/>
          <w:szCs w:val="22"/>
        </w:rPr>
        <w:t xml:space="preserve">the </w:t>
      </w:r>
      <w:r w:rsidR="004C292C" w:rsidRPr="00C20EC5">
        <w:rPr>
          <w:rFonts w:ascii="Cambria" w:hAnsi="Cambria"/>
          <w:sz w:val="22"/>
          <w:szCs w:val="22"/>
        </w:rPr>
        <w:t xml:space="preserve">diversion of 2 percentage points of the contribution rates to the funded component. </w:t>
      </w:r>
      <w:r w:rsidR="0042573A" w:rsidRPr="00C20EC5">
        <w:rPr>
          <w:rFonts w:ascii="Cambria" w:hAnsi="Cambria"/>
          <w:sz w:val="22"/>
          <w:szCs w:val="22"/>
        </w:rPr>
        <w:t>In the long run, p</w:t>
      </w:r>
      <w:r w:rsidR="00D240E2" w:rsidRPr="00C20EC5">
        <w:rPr>
          <w:rFonts w:ascii="Cambria" w:hAnsi="Cambria"/>
          <w:sz w:val="22"/>
          <w:szCs w:val="22"/>
        </w:rPr>
        <w:t>ensions coming from the funded component</w:t>
      </w:r>
      <w:r w:rsidR="00D32962">
        <w:rPr>
          <w:rFonts w:ascii="Cambria" w:hAnsi="Cambria"/>
          <w:sz w:val="22"/>
          <w:szCs w:val="22"/>
        </w:rPr>
        <w:t>—</w:t>
      </w:r>
      <w:r w:rsidR="00D240E2" w:rsidRPr="00C20EC5">
        <w:rPr>
          <w:rFonts w:ascii="Cambria" w:hAnsi="Cambria"/>
          <w:sz w:val="22"/>
          <w:szCs w:val="22"/>
        </w:rPr>
        <w:t>even under quite optimistic assumption of 3</w:t>
      </w:r>
      <w:r w:rsidR="002B409D">
        <w:rPr>
          <w:rFonts w:ascii="Cambria" w:hAnsi="Cambria"/>
          <w:sz w:val="22"/>
          <w:szCs w:val="22"/>
        </w:rPr>
        <w:t xml:space="preserve"> percent</w:t>
      </w:r>
      <w:r w:rsidR="00D240E2" w:rsidRPr="00C20EC5">
        <w:rPr>
          <w:rFonts w:ascii="Cambria" w:hAnsi="Cambria"/>
          <w:sz w:val="22"/>
          <w:szCs w:val="22"/>
        </w:rPr>
        <w:t xml:space="preserve"> real rate of return</w:t>
      </w:r>
      <w:r w:rsidR="00D32962">
        <w:rPr>
          <w:rFonts w:ascii="Cambria" w:hAnsi="Cambria"/>
          <w:sz w:val="22"/>
          <w:szCs w:val="22"/>
        </w:rPr>
        <w:t>—</w:t>
      </w:r>
      <w:r w:rsidR="00C030A0" w:rsidRPr="00C20EC5">
        <w:rPr>
          <w:rFonts w:ascii="Cambria" w:hAnsi="Cambria"/>
          <w:sz w:val="22"/>
          <w:szCs w:val="22"/>
        </w:rPr>
        <w:t>may potentially</w:t>
      </w:r>
      <w:r w:rsidR="00D240E2" w:rsidRPr="00C20EC5">
        <w:rPr>
          <w:rFonts w:ascii="Cambria" w:hAnsi="Cambria"/>
          <w:sz w:val="22"/>
          <w:szCs w:val="22"/>
        </w:rPr>
        <w:t xml:space="preserve"> </w:t>
      </w:r>
      <w:r w:rsidR="006F6DA9" w:rsidRPr="00C20EC5">
        <w:rPr>
          <w:rFonts w:ascii="Cambria" w:hAnsi="Cambria"/>
          <w:sz w:val="22"/>
          <w:szCs w:val="22"/>
        </w:rPr>
        <w:t xml:space="preserve">add </w:t>
      </w:r>
      <w:r w:rsidR="0042573A" w:rsidRPr="00C20EC5">
        <w:rPr>
          <w:rFonts w:ascii="Cambria" w:hAnsi="Cambria"/>
          <w:sz w:val="22"/>
          <w:szCs w:val="22"/>
        </w:rPr>
        <w:t>about</w:t>
      </w:r>
      <w:r w:rsidR="006F6DA9" w:rsidRPr="00C20EC5">
        <w:rPr>
          <w:rFonts w:ascii="Cambria" w:hAnsi="Cambria"/>
          <w:sz w:val="22"/>
          <w:szCs w:val="22"/>
        </w:rPr>
        <w:t xml:space="preserve"> 4 percentage points, so</w:t>
      </w:r>
      <w:r w:rsidR="00681B21" w:rsidRPr="00C20EC5">
        <w:rPr>
          <w:rFonts w:ascii="Cambria" w:hAnsi="Cambria"/>
          <w:sz w:val="22"/>
          <w:szCs w:val="22"/>
        </w:rPr>
        <w:t xml:space="preserve"> </w:t>
      </w:r>
      <w:r w:rsidR="006F6DA9" w:rsidRPr="00C20EC5">
        <w:rPr>
          <w:rFonts w:ascii="Cambria" w:hAnsi="Cambria"/>
          <w:sz w:val="22"/>
          <w:szCs w:val="22"/>
        </w:rPr>
        <w:t>the combined replacement rate</w:t>
      </w:r>
      <w:r w:rsidR="004D52CA" w:rsidRPr="00C20EC5">
        <w:rPr>
          <w:rFonts w:ascii="Cambria" w:hAnsi="Cambria"/>
          <w:sz w:val="22"/>
          <w:szCs w:val="22"/>
        </w:rPr>
        <w:t>s</w:t>
      </w:r>
      <w:r w:rsidR="006F6DA9" w:rsidRPr="00C20EC5">
        <w:rPr>
          <w:rFonts w:ascii="Cambria" w:hAnsi="Cambria"/>
          <w:sz w:val="22"/>
          <w:szCs w:val="22"/>
        </w:rPr>
        <w:t xml:space="preserve"> </w:t>
      </w:r>
      <w:r w:rsidR="004D52CA" w:rsidRPr="00C20EC5">
        <w:rPr>
          <w:rFonts w:ascii="Cambria" w:hAnsi="Cambria"/>
          <w:sz w:val="22"/>
          <w:szCs w:val="22"/>
        </w:rPr>
        <w:t>from all</w:t>
      </w:r>
      <w:r w:rsidR="006F6DA9" w:rsidRPr="00C20EC5">
        <w:rPr>
          <w:rFonts w:ascii="Cambria" w:hAnsi="Cambria"/>
          <w:sz w:val="22"/>
          <w:szCs w:val="22"/>
        </w:rPr>
        <w:t xml:space="preserve"> components </w:t>
      </w:r>
      <w:r w:rsidR="0042573A" w:rsidRPr="00C20EC5">
        <w:rPr>
          <w:rFonts w:ascii="Cambria" w:hAnsi="Cambria"/>
          <w:sz w:val="22"/>
          <w:szCs w:val="22"/>
        </w:rPr>
        <w:t>may reach</w:t>
      </w:r>
      <w:r w:rsidR="005F3F5D" w:rsidRPr="00C20EC5">
        <w:rPr>
          <w:rFonts w:ascii="Cambria" w:hAnsi="Cambria"/>
          <w:sz w:val="22"/>
          <w:szCs w:val="22"/>
        </w:rPr>
        <w:t xml:space="preserve"> 35-</w:t>
      </w:r>
      <w:r w:rsidR="004D52CA" w:rsidRPr="00C20EC5">
        <w:rPr>
          <w:rFonts w:ascii="Cambria" w:hAnsi="Cambria"/>
          <w:sz w:val="22"/>
          <w:szCs w:val="22"/>
        </w:rPr>
        <w:t>40</w:t>
      </w:r>
      <w:r w:rsidR="002B409D">
        <w:rPr>
          <w:rFonts w:ascii="Cambria" w:hAnsi="Cambria"/>
          <w:sz w:val="22"/>
          <w:szCs w:val="22"/>
        </w:rPr>
        <w:t xml:space="preserve"> percent</w:t>
      </w:r>
      <w:r w:rsidR="004D52CA" w:rsidRPr="00C20EC5">
        <w:rPr>
          <w:rFonts w:ascii="Cambria" w:hAnsi="Cambria"/>
          <w:sz w:val="22"/>
          <w:szCs w:val="22"/>
        </w:rPr>
        <w:t>.</w:t>
      </w:r>
      <w:r w:rsidR="00D91D29" w:rsidRPr="00C20EC5">
        <w:rPr>
          <w:rFonts w:ascii="Cambria" w:hAnsi="Cambria"/>
          <w:sz w:val="22"/>
          <w:szCs w:val="22"/>
        </w:rPr>
        <w:t xml:space="preserve"> </w:t>
      </w:r>
      <w:r w:rsidR="00444D91" w:rsidRPr="00C20EC5">
        <w:rPr>
          <w:rFonts w:ascii="Cambria" w:hAnsi="Cambria"/>
          <w:sz w:val="22"/>
          <w:szCs w:val="22"/>
        </w:rPr>
        <w:t>However, in the medium term average replacement rates for new retirees in the formal sector are projected to remain well below a min</w:t>
      </w:r>
      <w:r w:rsidR="00795DCB" w:rsidRPr="00C20EC5">
        <w:rPr>
          <w:rFonts w:ascii="Cambria" w:hAnsi="Cambria"/>
          <w:sz w:val="22"/>
          <w:szCs w:val="22"/>
        </w:rPr>
        <w:t>imum</w:t>
      </w:r>
      <w:r w:rsidR="00444D91" w:rsidRPr="00C20EC5">
        <w:rPr>
          <w:rFonts w:ascii="Cambria" w:hAnsi="Cambria"/>
          <w:sz w:val="22"/>
          <w:szCs w:val="22"/>
        </w:rPr>
        <w:t xml:space="preserve"> of 40</w:t>
      </w:r>
      <w:r w:rsidR="002B409D">
        <w:rPr>
          <w:rFonts w:ascii="Cambria" w:hAnsi="Cambria"/>
          <w:sz w:val="22"/>
          <w:szCs w:val="22"/>
        </w:rPr>
        <w:t xml:space="preserve"> percent</w:t>
      </w:r>
      <w:r w:rsidR="00444D91" w:rsidRPr="00C20EC5">
        <w:rPr>
          <w:rFonts w:ascii="Cambria" w:hAnsi="Cambria"/>
          <w:sz w:val="22"/>
          <w:szCs w:val="22"/>
        </w:rPr>
        <w:t xml:space="preserve"> recommended by ILO for developing countries.</w:t>
      </w:r>
      <w:r w:rsidR="00F11AF1" w:rsidRPr="00C20EC5">
        <w:rPr>
          <w:rFonts w:ascii="Cambria" w:hAnsi="Cambria"/>
          <w:sz w:val="22"/>
          <w:szCs w:val="22"/>
        </w:rPr>
        <w:t xml:space="preserve"> </w:t>
      </w:r>
      <w:r w:rsidR="00D91D29" w:rsidRPr="00C20EC5">
        <w:rPr>
          <w:rFonts w:ascii="Cambria" w:hAnsi="Cambria"/>
          <w:sz w:val="22"/>
          <w:szCs w:val="22"/>
        </w:rPr>
        <w:t>Farmers’ pensions at retirement stabilize at 16</w:t>
      </w:r>
      <w:r w:rsidR="002B409D">
        <w:rPr>
          <w:rFonts w:ascii="Cambria" w:hAnsi="Cambria"/>
          <w:sz w:val="22"/>
          <w:szCs w:val="22"/>
        </w:rPr>
        <w:t xml:space="preserve"> percent</w:t>
      </w:r>
      <w:r w:rsidR="00D91D29" w:rsidRPr="00C20EC5">
        <w:rPr>
          <w:rFonts w:ascii="Cambria" w:hAnsi="Cambria"/>
          <w:sz w:val="22"/>
          <w:szCs w:val="22"/>
        </w:rPr>
        <w:t xml:space="preserve"> of the average contributor wage once everybody with pre-1996 pension rights retires.</w:t>
      </w:r>
      <w:r w:rsidR="00FF71D8" w:rsidRPr="00C20EC5">
        <w:rPr>
          <w:rFonts w:ascii="Cambria" w:hAnsi="Cambria"/>
          <w:sz w:val="22"/>
          <w:szCs w:val="22"/>
        </w:rPr>
        <w:t xml:space="preserve"> Thus, the average </w:t>
      </w:r>
      <w:r w:rsidR="00A47C53">
        <w:rPr>
          <w:rFonts w:ascii="Cambria" w:hAnsi="Cambria"/>
          <w:sz w:val="22"/>
          <w:szCs w:val="22"/>
        </w:rPr>
        <w:t>old-age</w:t>
      </w:r>
      <w:r w:rsidR="00FF71D8" w:rsidRPr="00C20EC5">
        <w:rPr>
          <w:rFonts w:ascii="Cambria" w:hAnsi="Cambria"/>
          <w:sz w:val="22"/>
          <w:szCs w:val="22"/>
        </w:rPr>
        <w:t xml:space="preserve"> pension at retirement drops from the current 40</w:t>
      </w:r>
      <w:r w:rsidR="002B409D">
        <w:rPr>
          <w:rFonts w:ascii="Cambria" w:hAnsi="Cambria"/>
          <w:sz w:val="22"/>
          <w:szCs w:val="22"/>
        </w:rPr>
        <w:t xml:space="preserve"> percent</w:t>
      </w:r>
      <w:r w:rsidR="007E2B79" w:rsidRPr="00C20EC5">
        <w:rPr>
          <w:rFonts w:ascii="Cambria" w:hAnsi="Cambria"/>
          <w:sz w:val="22"/>
          <w:szCs w:val="22"/>
        </w:rPr>
        <w:t xml:space="preserve"> of the average contributor wage</w:t>
      </w:r>
      <w:r w:rsidR="00FF71D8" w:rsidRPr="00C20EC5">
        <w:rPr>
          <w:rFonts w:ascii="Cambria" w:hAnsi="Cambria"/>
          <w:sz w:val="22"/>
          <w:szCs w:val="22"/>
        </w:rPr>
        <w:t xml:space="preserve"> to 25</w:t>
      </w:r>
      <w:r w:rsidR="002B409D">
        <w:rPr>
          <w:rFonts w:ascii="Cambria" w:hAnsi="Cambria"/>
          <w:sz w:val="22"/>
          <w:szCs w:val="22"/>
        </w:rPr>
        <w:t xml:space="preserve"> percent</w:t>
      </w:r>
      <w:r w:rsidR="00FF71D8" w:rsidRPr="00C20EC5">
        <w:rPr>
          <w:rFonts w:ascii="Cambria" w:hAnsi="Cambria"/>
          <w:sz w:val="22"/>
          <w:szCs w:val="22"/>
        </w:rPr>
        <w:t xml:space="preserve"> by 2030 and remains below 30</w:t>
      </w:r>
      <w:r w:rsidR="002B409D">
        <w:rPr>
          <w:rFonts w:ascii="Cambria" w:hAnsi="Cambria"/>
          <w:sz w:val="22"/>
          <w:szCs w:val="22"/>
        </w:rPr>
        <w:t xml:space="preserve"> percent</w:t>
      </w:r>
      <w:r w:rsidR="00E66E45" w:rsidRPr="00C20EC5">
        <w:rPr>
          <w:rFonts w:ascii="Cambria" w:hAnsi="Cambria"/>
          <w:sz w:val="22"/>
          <w:szCs w:val="22"/>
        </w:rPr>
        <w:t xml:space="preserve"> </w:t>
      </w:r>
      <w:r w:rsidR="00FF71D8" w:rsidRPr="00C20EC5">
        <w:rPr>
          <w:rFonts w:ascii="Cambria" w:hAnsi="Cambria"/>
          <w:sz w:val="22"/>
          <w:szCs w:val="22"/>
        </w:rPr>
        <w:t>in the long</w:t>
      </w:r>
      <w:r w:rsidR="007E2B79" w:rsidRPr="00C20EC5">
        <w:rPr>
          <w:rFonts w:ascii="Cambria" w:hAnsi="Cambria"/>
          <w:sz w:val="22"/>
          <w:szCs w:val="22"/>
        </w:rPr>
        <w:t>er</w:t>
      </w:r>
      <w:r w:rsidR="00FF71D8" w:rsidRPr="00C20EC5">
        <w:rPr>
          <w:rFonts w:ascii="Cambria" w:hAnsi="Cambria"/>
          <w:sz w:val="22"/>
          <w:szCs w:val="22"/>
        </w:rPr>
        <w:t xml:space="preserve"> run.</w:t>
      </w:r>
    </w:p>
    <w:p w14:paraId="547C8ACF" w14:textId="0C6C0CFE" w:rsidR="00444D91" w:rsidRPr="00C20EC5" w:rsidRDefault="00C10D63" w:rsidP="00876F35">
      <w:pPr>
        <w:numPr>
          <w:ilvl w:val="0"/>
          <w:numId w:val="3"/>
        </w:numPr>
        <w:spacing w:before="240" w:after="240"/>
        <w:jc w:val="both"/>
        <w:rPr>
          <w:rFonts w:ascii="Cambria" w:hAnsi="Cambria"/>
          <w:sz w:val="22"/>
          <w:szCs w:val="22"/>
        </w:rPr>
      </w:pPr>
      <w:r w:rsidRPr="0041654F">
        <w:rPr>
          <w:rFonts w:ascii="Cambria" w:hAnsi="Cambria"/>
          <w:b/>
          <w:sz w:val="22"/>
          <w:szCs w:val="22"/>
        </w:rPr>
        <w:t xml:space="preserve">Here we assume that the current policy to maintain </w:t>
      </w:r>
      <w:r w:rsidR="005B6EC1" w:rsidRPr="0041654F">
        <w:rPr>
          <w:rFonts w:ascii="Cambria" w:hAnsi="Cambria"/>
          <w:b/>
          <w:sz w:val="22"/>
          <w:szCs w:val="22"/>
        </w:rPr>
        <w:t xml:space="preserve">the </w:t>
      </w:r>
      <w:r w:rsidRPr="0041654F">
        <w:rPr>
          <w:rFonts w:ascii="Cambria" w:hAnsi="Cambria"/>
          <w:b/>
          <w:sz w:val="22"/>
          <w:szCs w:val="22"/>
        </w:rPr>
        <w:t xml:space="preserve">basic pension a constant share of the average wage </w:t>
      </w:r>
      <w:r w:rsidR="00F55925" w:rsidRPr="0041654F">
        <w:rPr>
          <w:rFonts w:ascii="Cambria" w:hAnsi="Cambria"/>
          <w:b/>
          <w:sz w:val="22"/>
          <w:szCs w:val="22"/>
        </w:rPr>
        <w:t>continues,</w:t>
      </w:r>
      <w:r w:rsidRPr="0041654F">
        <w:rPr>
          <w:rFonts w:ascii="Cambria" w:hAnsi="Cambria"/>
          <w:b/>
          <w:sz w:val="22"/>
          <w:szCs w:val="22"/>
        </w:rPr>
        <w:t xml:space="preserve"> </w:t>
      </w:r>
      <w:r w:rsidR="00F55925" w:rsidRPr="0041654F">
        <w:rPr>
          <w:rFonts w:ascii="Cambria" w:hAnsi="Cambria"/>
          <w:b/>
          <w:sz w:val="22"/>
          <w:szCs w:val="22"/>
        </w:rPr>
        <w:t>s</w:t>
      </w:r>
      <w:r w:rsidRPr="0041654F">
        <w:rPr>
          <w:rFonts w:ascii="Cambria" w:hAnsi="Cambria"/>
          <w:b/>
          <w:sz w:val="22"/>
          <w:szCs w:val="22"/>
        </w:rPr>
        <w:t>o 15 percentage points of the projected average replacement rates is basic pension</w:t>
      </w:r>
      <w:r w:rsidR="00A06312" w:rsidRPr="00C20EC5">
        <w:rPr>
          <w:rFonts w:ascii="Cambria" w:hAnsi="Cambria"/>
          <w:sz w:val="22"/>
          <w:szCs w:val="22"/>
        </w:rPr>
        <w:t xml:space="preserve">. While the insurance component shrinks, the share of the </w:t>
      </w:r>
      <w:r w:rsidR="00F55925" w:rsidRPr="00C20EC5">
        <w:rPr>
          <w:rFonts w:ascii="Cambria" w:hAnsi="Cambria"/>
          <w:sz w:val="22"/>
          <w:szCs w:val="22"/>
        </w:rPr>
        <w:t>basic pension</w:t>
      </w:r>
      <w:r w:rsidR="00A06312" w:rsidRPr="00C20EC5">
        <w:rPr>
          <w:rFonts w:ascii="Cambria" w:hAnsi="Cambria"/>
          <w:sz w:val="22"/>
          <w:szCs w:val="22"/>
        </w:rPr>
        <w:t xml:space="preserve"> </w:t>
      </w:r>
      <w:r w:rsidR="00CF04BE" w:rsidRPr="00C20EC5">
        <w:rPr>
          <w:rFonts w:ascii="Cambria" w:hAnsi="Cambria"/>
          <w:sz w:val="22"/>
          <w:szCs w:val="22"/>
        </w:rPr>
        <w:t>increases over the next two decades</w:t>
      </w:r>
      <w:r w:rsidR="00F55925" w:rsidRPr="00C20EC5">
        <w:rPr>
          <w:rFonts w:ascii="Cambria" w:hAnsi="Cambria"/>
          <w:sz w:val="22"/>
          <w:szCs w:val="22"/>
        </w:rPr>
        <w:t>:</w:t>
      </w:r>
      <w:r w:rsidR="00CF04BE" w:rsidRPr="00C20EC5">
        <w:rPr>
          <w:rFonts w:ascii="Cambria" w:hAnsi="Cambria"/>
          <w:sz w:val="22"/>
          <w:szCs w:val="22"/>
        </w:rPr>
        <w:t xml:space="preserve"> from 3</w:t>
      </w:r>
      <w:r w:rsidR="00D0433F" w:rsidRPr="00C20EC5">
        <w:rPr>
          <w:rFonts w:ascii="Cambria" w:hAnsi="Cambria"/>
          <w:sz w:val="22"/>
          <w:szCs w:val="22"/>
        </w:rPr>
        <w:t>6</w:t>
      </w:r>
      <w:r w:rsidR="002B409D">
        <w:rPr>
          <w:rFonts w:ascii="Cambria" w:hAnsi="Cambria"/>
          <w:sz w:val="22"/>
          <w:szCs w:val="22"/>
        </w:rPr>
        <w:t xml:space="preserve"> percent</w:t>
      </w:r>
      <w:r w:rsidR="00CF04BE" w:rsidRPr="00C20EC5">
        <w:rPr>
          <w:rFonts w:ascii="Cambria" w:hAnsi="Cambria"/>
          <w:sz w:val="22"/>
          <w:szCs w:val="22"/>
        </w:rPr>
        <w:t xml:space="preserve"> to </w:t>
      </w:r>
      <w:r w:rsidR="00234BBC" w:rsidRPr="00C20EC5">
        <w:rPr>
          <w:rFonts w:ascii="Cambria" w:hAnsi="Cambria"/>
          <w:sz w:val="22"/>
          <w:szCs w:val="22"/>
        </w:rPr>
        <w:t xml:space="preserve">about </w:t>
      </w:r>
      <w:r w:rsidR="00190946" w:rsidRPr="00C20EC5">
        <w:rPr>
          <w:rFonts w:ascii="Cambria" w:hAnsi="Cambria"/>
          <w:sz w:val="22"/>
          <w:szCs w:val="22"/>
        </w:rPr>
        <w:t>45</w:t>
      </w:r>
      <w:r w:rsidR="002B409D">
        <w:rPr>
          <w:rFonts w:ascii="Cambria" w:hAnsi="Cambria"/>
          <w:sz w:val="22"/>
          <w:szCs w:val="22"/>
        </w:rPr>
        <w:t xml:space="preserve"> percent</w:t>
      </w:r>
      <w:r w:rsidR="00190946" w:rsidRPr="00C20EC5">
        <w:rPr>
          <w:rFonts w:ascii="Cambria" w:hAnsi="Cambria"/>
          <w:sz w:val="22"/>
          <w:szCs w:val="22"/>
        </w:rPr>
        <w:t>-</w:t>
      </w:r>
      <w:r w:rsidR="00CF04BE" w:rsidRPr="00C20EC5">
        <w:rPr>
          <w:rFonts w:ascii="Cambria" w:hAnsi="Cambria"/>
          <w:sz w:val="22"/>
          <w:szCs w:val="22"/>
        </w:rPr>
        <w:t>50</w:t>
      </w:r>
      <w:r w:rsidR="002B409D">
        <w:rPr>
          <w:rFonts w:ascii="Cambria" w:hAnsi="Cambria"/>
          <w:sz w:val="22"/>
          <w:szCs w:val="22"/>
        </w:rPr>
        <w:t xml:space="preserve"> percent</w:t>
      </w:r>
      <w:r w:rsidR="00CF04BE" w:rsidRPr="00C20EC5">
        <w:rPr>
          <w:rFonts w:ascii="Cambria" w:hAnsi="Cambria"/>
          <w:sz w:val="22"/>
          <w:szCs w:val="22"/>
        </w:rPr>
        <w:t xml:space="preserve"> for salaried workers and from 57</w:t>
      </w:r>
      <w:r w:rsidR="002B409D">
        <w:rPr>
          <w:rFonts w:ascii="Cambria" w:hAnsi="Cambria"/>
          <w:sz w:val="22"/>
          <w:szCs w:val="22"/>
        </w:rPr>
        <w:t xml:space="preserve"> percent</w:t>
      </w:r>
      <w:r w:rsidR="00CF04BE" w:rsidRPr="00C20EC5">
        <w:rPr>
          <w:rFonts w:ascii="Cambria" w:hAnsi="Cambria"/>
          <w:sz w:val="22"/>
          <w:szCs w:val="22"/>
        </w:rPr>
        <w:t xml:space="preserve"> to about 95</w:t>
      </w:r>
      <w:r w:rsidR="002B409D">
        <w:rPr>
          <w:rFonts w:ascii="Cambria" w:hAnsi="Cambria"/>
          <w:sz w:val="22"/>
          <w:szCs w:val="22"/>
        </w:rPr>
        <w:t xml:space="preserve"> percent</w:t>
      </w:r>
      <w:r w:rsidR="00F55925" w:rsidRPr="00C20EC5">
        <w:rPr>
          <w:rFonts w:ascii="Cambria" w:hAnsi="Cambria"/>
          <w:sz w:val="22"/>
          <w:szCs w:val="22"/>
        </w:rPr>
        <w:t xml:space="preserve"> for farmers. Since basic pensions are financed from the state budget, contributors in the formal sector end up paying </w:t>
      </w:r>
      <w:r w:rsidR="00075FEB" w:rsidRPr="00C20EC5">
        <w:rPr>
          <w:rFonts w:ascii="Cambria" w:hAnsi="Cambria"/>
          <w:sz w:val="22"/>
          <w:szCs w:val="22"/>
        </w:rPr>
        <w:t>a</w:t>
      </w:r>
      <w:r w:rsidR="00F55925" w:rsidRPr="00C20EC5">
        <w:rPr>
          <w:rFonts w:ascii="Cambria" w:hAnsi="Cambria"/>
          <w:sz w:val="22"/>
          <w:szCs w:val="22"/>
        </w:rPr>
        <w:t xml:space="preserve"> high contribution rate of 25</w:t>
      </w:r>
      <w:r w:rsidR="002B409D">
        <w:rPr>
          <w:rFonts w:ascii="Cambria" w:hAnsi="Cambria"/>
          <w:sz w:val="22"/>
          <w:szCs w:val="22"/>
        </w:rPr>
        <w:t xml:space="preserve"> percent</w:t>
      </w:r>
      <w:r w:rsidR="00F55925" w:rsidRPr="00C20EC5">
        <w:rPr>
          <w:rFonts w:ascii="Cambria" w:hAnsi="Cambria"/>
          <w:sz w:val="22"/>
          <w:szCs w:val="22"/>
        </w:rPr>
        <w:t xml:space="preserve"> for </w:t>
      </w:r>
      <w:r w:rsidR="005B6EC1" w:rsidRPr="00C20EC5">
        <w:rPr>
          <w:rFonts w:ascii="Cambria" w:hAnsi="Cambria"/>
          <w:sz w:val="22"/>
          <w:szCs w:val="22"/>
        </w:rPr>
        <w:t xml:space="preserve">a </w:t>
      </w:r>
      <w:r w:rsidR="00F55925" w:rsidRPr="00C20EC5">
        <w:rPr>
          <w:rFonts w:ascii="Cambria" w:hAnsi="Cambria"/>
          <w:sz w:val="22"/>
          <w:szCs w:val="22"/>
        </w:rPr>
        <w:t>17</w:t>
      </w:r>
      <w:r w:rsidR="002B409D">
        <w:rPr>
          <w:rFonts w:ascii="Cambria" w:hAnsi="Cambria"/>
          <w:sz w:val="22"/>
          <w:szCs w:val="22"/>
        </w:rPr>
        <w:t xml:space="preserve"> percent</w:t>
      </w:r>
      <w:r w:rsidR="00F55925" w:rsidRPr="00C20EC5">
        <w:rPr>
          <w:rFonts w:ascii="Cambria" w:hAnsi="Cambria"/>
          <w:sz w:val="22"/>
          <w:szCs w:val="22"/>
        </w:rPr>
        <w:t xml:space="preserve"> replacement rate in the medium term or 2</w:t>
      </w:r>
      <w:r w:rsidR="00A82246" w:rsidRPr="00C20EC5">
        <w:rPr>
          <w:rFonts w:ascii="Cambria" w:hAnsi="Cambria"/>
          <w:sz w:val="22"/>
          <w:szCs w:val="22"/>
        </w:rPr>
        <w:t>2</w:t>
      </w:r>
      <w:r w:rsidR="00F55925" w:rsidRPr="00C20EC5">
        <w:rPr>
          <w:rFonts w:ascii="Cambria" w:hAnsi="Cambria"/>
          <w:sz w:val="22"/>
          <w:szCs w:val="22"/>
        </w:rPr>
        <w:t>-2</w:t>
      </w:r>
      <w:r w:rsidR="00D0433F" w:rsidRPr="00C20EC5">
        <w:rPr>
          <w:rFonts w:ascii="Cambria" w:hAnsi="Cambria"/>
          <w:sz w:val="22"/>
          <w:szCs w:val="22"/>
        </w:rPr>
        <w:t>4</w:t>
      </w:r>
      <w:r w:rsidR="002B409D">
        <w:rPr>
          <w:rFonts w:ascii="Cambria" w:hAnsi="Cambria"/>
          <w:sz w:val="22"/>
          <w:szCs w:val="22"/>
        </w:rPr>
        <w:t xml:space="preserve"> percent</w:t>
      </w:r>
      <w:r w:rsidR="00F55925" w:rsidRPr="00C20EC5">
        <w:rPr>
          <w:rFonts w:ascii="Cambria" w:hAnsi="Cambria"/>
          <w:sz w:val="22"/>
          <w:szCs w:val="22"/>
        </w:rPr>
        <w:t xml:space="preserve"> in the long run.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C3AC7" w14:paraId="6EEEE3BF" w14:textId="77777777" w:rsidTr="00410E3C">
        <w:tc>
          <w:tcPr>
            <w:tcW w:w="9576" w:type="dxa"/>
            <w:gridSpan w:val="2"/>
          </w:tcPr>
          <w:p w14:paraId="48E61019" w14:textId="6F766778" w:rsidR="00DC3AC7" w:rsidRPr="00C20EC5" w:rsidRDefault="00DC3AC7" w:rsidP="00410E3C">
            <w:pPr>
              <w:pStyle w:val="Caption"/>
              <w:spacing w:after="0"/>
              <w:rPr>
                <w:b w:val="0"/>
              </w:rPr>
            </w:pPr>
            <w:bookmarkStart w:id="18" w:name="_Toc378163841"/>
            <w:r>
              <w:t xml:space="preserve">Figure </w:t>
            </w:r>
            <w:r w:rsidR="00C646A3">
              <w:fldChar w:fldCharType="begin"/>
            </w:r>
            <w:r w:rsidR="00C646A3">
              <w:instrText xml:space="preserve"> SEQ Figure_ \* ARABIC </w:instrText>
            </w:r>
            <w:r w:rsidR="00C646A3">
              <w:fldChar w:fldCharType="separate"/>
            </w:r>
            <w:r w:rsidR="00C646A3">
              <w:rPr>
                <w:noProof/>
              </w:rPr>
              <w:t>8</w:t>
            </w:r>
            <w:r w:rsidR="00C646A3">
              <w:rPr>
                <w:noProof/>
              </w:rPr>
              <w:fldChar w:fldCharType="end"/>
            </w:r>
            <w:r>
              <w:t>.</w:t>
            </w:r>
            <w:r w:rsidRPr="00C20EC5">
              <w:rPr>
                <w:b w:val="0"/>
              </w:rPr>
              <w:t xml:space="preserve"> </w:t>
            </w:r>
            <w:r w:rsidRPr="00DC3AC7">
              <w:t xml:space="preserve">Average Replacement Rates for New </w:t>
            </w:r>
            <w:r w:rsidR="006D2B69">
              <w:t>Old-Age</w:t>
            </w:r>
            <w:r w:rsidRPr="00DC3AC7">
              <w:t xml:space="preserve"> Pensioners</w:t>
            </w:r>
            <w:bookmarkEnd w:id="18"/>
          </w:p>
          <w:p w14:paraId="3D047450" w14:textId="08DEEBF2" w:rsidR="00DC3AC7" w:rsidRDefault="00DC3AC7" w:rsidP="00410E3C">
            <w:pPr>
              <w:spacing w:after="40"/>
              <w:jc w:val="center"/>
            </w:pPr>
            <w:r w:rsidRPr="00DC3AC7">
              <w:rPr>
                <w:rFonts w:ascii="Cambria" w:hAnsi="Cambria"/>
              </w:rPr>
              <w:t>(</w:t>
            </w:r>
            <w:r w:rsidR="00F419D2" w:rsidRPr="00DC3AC7">
              <w:rPr>
                <w:rFonts w:ascii="Cambria" w:hAnsi="Cambria"/>
              </w:rPr>
              <w:t xml:space="preserve">Percent </w:t>
            </w:r>
            <w:r w:rsidRPr="00DC3AC7">
              <w:rPr>
                <w:rFonts w:ascii="Cambria" w:hAnsi="Cambria"/>
              </w:rPr>
              <w:t>of average wage in the formal sector)</w:t>
            </w:r>
          </w:p>
        </w:tc>
      </w:tr>
      <w:tr w:rsidR="00DC3AC7" w14:paraId="5A27AB54" w14:textId="77777777" w:rsidTr="00410E3C">
        <w:tc>
          <w:tcPr>
            <w:tcW w:w="4788" w:type="dxa"/>
          </w:tcPr>
          <w:p w14:paraId="5DA4098D" w14:textId="77777777" w:rsidR="00DC3AC7" w:rsidRDefault="00410E3C" w:rsidP="00DC3AC7">
            <w:pPr>
              <w:pStyle w:val="Caption"/>
            </w:pPr>
            <w:r w:rsidRPr="00C20EC5">
              <w:rPr>
                <w:noProof/>
              </w:rPr>
              <w:drawing>
                <wp:inline distT="0" distB="0" distL="0" distR="0" wp14:anchorId="59D16599" wp14:editId="5133847C">
                  <wp:extent cx="2862072" cy="2167128"/>
                  <wp:effectExtent l="0" t="0" r="0" b="508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2072" cy="2167128"/>
                          </a:xfrm>
                          <a:prstGeom prst="rect">
                            <a:avLst/>
                          </a:prstGeom>
                          <a:noFill/>
                          <a:ln>
                            <a:noFill/>
                          </a:ln>
                        </pic:spPr>
                      </pic:pic>
                    </a:graphicData>
                  </a:graphic>
                </wp:inline>
              </w:drawing>
            </w:r>
          </w:p>
        </w:tc>
        <w:tc>
          <w:tcPr>
            <w:tcW w:w="4788" w:type="dxa"/>
          </w:tcPr>
          <w:p w14:paraId="790F471A" w14:textId="77777777" w:rsidR="00DC3AC7" w:rsidRDefault="00410E3C" w:rsidP="00DC3AC7">
            <w:pPr>
              <w:pStyle w:val="Caption"/>
            </w:pPr>
            <w:r w:rsidRPr="00C20EC5">
              <w:rPr>
                <w:noProof/>
              </w:rPr>
              <w:drawing>
                <wp:inline distT="0" distB="0" distL="0" distR="0" wp14:anchorId="406E6416" wp14:editId="66026E11">
                  <wp:extent cx="2862072" cy="2167128"/>
                  <wp:effectExtent l="0" t="0" r="0" b="508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2072" cy="2167128"/>
                          </a:xfrm>
                          <a:prstGeom prst="rect">
                            <a:avLst/>
                          </a:prstGeom>
                          <a:noFill/>
                          <a:ln>
                            <a:noFill/>
                          </a:ln>
                        </pic:spPr>
                      </pic:pic>
                    </a:graphicData>
                  </a:graphic>
                </wp:inline>
              </w:drawing>
            </w:r>
          </w:p>
        </w:tc>
      </w:tr>
      <w:tr w:rsidR="00410E3C" w14:paraId="60BB6EF9" w14:textId="77777777" w:rsidTr="00410E3C">
        <w:tc>
          <w:tcPr>
            <w:tcW w:w="9576" w:type="dxa"/>
            <w:gridSpan w:val="2"/>
          </w:tcPr>
          <w:p w14:paraId="3EE48B29" w14:textId="094F58E6" w:rsidR="00410E3C" w:rsidRPr="008419EF" w:rsidRDefault="00410E3C" w:rsidP="00F22830">
            <w:pPr>
              <w:pStyle w:val="Caption"/>
              <w:spacing w:after="120"/>
              <w:jc w:val="left"/>
              <w:rPr>
                <w:b w:val="0"/>
                <w:sz w:val="18"/>
                <w:szCs w:val="18"/>
              </w:rPr>
            </w:pPr>
            <w:r w:rsidRPr="008419EF">
              <w:rPr>
                <w:b w:val="0"/>
                <w:i/>
                <w:sz w:val="18"/>
                <w:szCs w:val="18"/>
              </w:rPr>
              <w:t>Source</w:t>
            </w:r>
            <w:r w:rsidRPr="008419EF">
              <w:rPr>
                <w:b w:val="0"/>
                <w:sz w:val="18"/>
                <w:szCs w:val="18"/>
              </w:rPr>
              <w:t>:</w:t>
            </w:r>
            <w:r w:rsidR="00BA4F20">
              <w:rPr>
                <w:b w:val="0"/>
                <w:sz w:val="18"/>
                <w:szCs w:val="18"/>
              </w:rPr>
              <w:t xml:space="preserve"> </w:t>
            </w:r>
            <w:r w:rsidR="00CA1C66">
              <w:rPr>
                <w:b w:val="0"/>
                <w:sz w:val="18"/>
                <w:szCs w:val="18"/>
              </w:rPr>
              <w:t xml:space="preserve">Staff projections using </w:t>
            </w:r>
            <w:r w:rsidR="00BA4F20">
              <w:rPr>
                <w:b w:val="0"/>
                <w:sz w:val="18"/>
                <w:szCs w:val="18"/>
              </w:rPr>
              <w:t>PROST</w:t>
            </w:r>
            <w:r w:rsidR="00CA1C66">
              <w:rPr>
                <w:b w:val="0"/>
                <w:sz w:val="18"/>
                <w:szCs w:val="18"/>
              </w:rPr>
              <w:t>.</w:t>
            </w:r>
            <w:r w:rsidR="00CA1C66" w:rsidDel="00CA1C66">
              <w:rPr>
                <w:b w:val="0"/>
                <w:sz w:val="18"/>
                <w:szCs w:val="18"/>
              </w:rPr>
              <w:t xml:space="preserve"> </w:t>
            </w:r>
          </w:p>
        </w:tc>
      </w:tr>
    </w:tbl>
    <w:p w14:paraId="622C11F4" w14:textId="0C8C5236" w:rsidR="003C76AF" w:rsidRPr="0041654F" w:rsidRDefault="003C76AF" w:rsidP="0041654F">
      <w:pPr>
        <w:numPr>
          <w:ilvl w:val="0"/>
          <w:numId w:val="3"/>
        </w:numPr>
        <w:spacing w:before="240" w:after="240"/>
        <w:jc w:val="both"/>
        <w:rPr>
          <w:rFonts w:ascii="Cambria" w:hAnsi="Cambria"/>
          <w:sz w:val="22"/>
          <w:szCs w:val="22"/>
        </w:rPr>
      </w:pPr>
      <w:r w:rsidRPr="0041654F">
        <w:rPr>
          <w:rFonts w:ascii="Cambria" w:hAnsi="Cambria"/>
          <w:b/>
          <w:sz w:val="22"/>
          <w:szCs w:val="22"/>
        </w:rPr>
        <w:lastRenderedPageBreak/>
        <w:t xml:space="preserve">The dynamics of the average replacement rates for </w:t>
      </w:r>
      <w:r w:rsidR="00454B8A">
        <w:rPr>
          <w:rFonts w:ascii="Cambria" w:hAnsi="Cambria"/>
          <w:b/>
          <w:sz w:val="22"/>
          <w:szCs w:val="22"/>
        </w:rPr>
        <w:t>all existing old</w:t>
      </w:r>
      <w:r w:rsidR="003B6A67">
        <w:rPr>
          <w:rFonts w:ascii="Cambria" w:hAnsi="Cambria"/>
          <w:b/>
          <w:sz w:val="22"/>
          <w:szCs w:val="22"/>
        </w:rPr>
        <w:t>-</w:t>
      </w:r>
      <w:r w:rsidR="00454B8A">
        <w:rPr>
          <w:rFonts w:ascii="Cambria" w:hAnsi="Cambria"/>
          <w:b/>
          <w:sz w:val="22"/>
          <w:szCs w:val="22"/>
        </w:rPr>
        <w:t xml:space="preserve">age </w:t>
      </w:r>
      <w:r w:rsidRPr="0041654F">
        <w:rPr>
          <w:rFonts w:ascii="Cambria" w:hAnsi="Cambria"/>
          <w:b/>
          <w:sz w:val="22"/>
          <w:szCs w:val="22"/>
        </w:rPr>
        <w:t>pensioners are driven by benefits calculated at retirement and post-retirement indexation policy.</w:t>
      </w:r>
      <w:r w:rsidRPr="00C20EC5">
        <w:rPr>
          <w:rFonts w:ascii="Cambria" w:hAnsi="Cambria"/>
          <w:sz w:val="22"/>
          <w:szCs w:val="22"/>
        </w:rPr>
        <w:t xml:space="preserve"> In the baseline scenario, the pension indexation policy is assumed to continue to be in line with wage growth rates. The dominating factor in the short- to medium term is the fall of replacement rates for new retirees with the phase out of SP1. In the long run, once all </w:t>
      </w:r>
      <w:r w:rsidR="00A47C53">
        <w:rPr>
          <w:rFonts w:ascii="Cambria" w:hAnsi="Cambria"/>
          <w:sz w:val="22"/>
          <w:szCs w:val="22"/>
        </w:rPr>
        <w:t>old-age</w:t>
      </w:r>
      <w:r w:rsidRPr="00C20EC5">
        <w:rPr>
          <w:rFonts w:ascii="Cambria" w:hAnsi="Cambria"/>
          <w:sz w:val="22"/>
          <w:szCs w:val="22"/>
        </w:rPr>
        <w:t xml:space="preserve"> pensioners receiving SP1 quit the system, the relative value of average pensions stabilizes</w:t>
      </w:r>
      <w:r w:rsidR="008419EF">
        <w:rPr>
          <w:rFonts w:ascii="Cambria" w:hAnsi="Cambria"/>
          <w:sz w:val="22"/>
          <w:szCs w:val="22"/>
        </w:rPr>
        <w:t>,</w:t>
      </w:r>
      <w:r w:rsidRPr="00C20EC5">
        <w:rPr>
          <w:rFonts w:ascii="Cambria" w:hAnsi="Cambria"/>
          <w:sz w:val="22"/>
          <w:szCs w:val="22"/>
        </w:rPr>
        <w:t xml:space="preserve"> maintained by the wage indexation policy. Figure 9 presents the projected average replacement rates, excluding the funded component</w:t>
      </w:r>
      <w:r w:rsidR="008419EF">
        <w:rPr>
          <w:rFonts w:ascii="Cambria" w:hAnsi="Cambria"/>
          <w:sz w:val="22"/>
          <w:szCs w:val="22"/>
        </w:rPr>
        <w:t>,</w:t>
      </w:r>
      <w:r w:rsidR="00676D03" w:rsidRPr="00676D03">
        <w:rPr>
          <w:rFonts w:ascii="Cambria" w:hAnsi="Cambria"/>
          <w:sz w:val="22"/>
          <w:szCs w:val="22"/>
        </w:rPr>
        <w:t xml:space="preserve"> </w:t>
      </w:r>
      <w:r w:rsidR="00676D03" w:rsidRPr="00C20EC5">
        <w:rPr>
          <w:rFonts w:ascii="Cambria" w:hAnsi="Cambria"/>
          <w:sz w:val="22"/>
          <w:szCs w:val="22"/>
        </w:rPr>
        <w:t xml:space="preserve">for all existing </w:t>
      </w:r>
      <w:r w:rsidR="00676D03">
        <w:rPr>
          <w:rFonts w:ascii="Cambria" w:hAnsi="Cambria"/>
          <w:sz w:val="22"/>
          <w:szCs w:val="22"/>
        </w:rPr>
        <w:t>old-age</w:t>
      </w:r>
      <w:r w:rsidR="00676D03" w:rsidRPr="00C20EC5">
        <w:rPr>
          <w:rFonts w:ascii="Cambria" w:hAnsi="Cambria"/>
          <w:sz w:val="22"/>
          <w:szCs w:val="22"/>
        </w:rPr>
        <w:t xml:space="preserve"> pension recipients. Eventually, combined SP2 and basic pensions stabilize at low levels of about 25</w:t>
      </w:r>
      <w:r w:rsidR="00676D03">
        <w:rPr>
          <w:rFonts w:ascii="Cambria" w:hAnsi="Cambria"/>
          <w:sz w:val="22"/>
          <w:szCs w:val="22"/>
        </w:rPr>
        <w:t xml:space="preserve"> percent</w:t>
      </w:r>
      <w:r w:rsidR="00676D03" w:rsidRPr="00C20EC5">
        <w:rPr>
          <w:rFonts w:ascii="Cambria" w:hAnsi="Cambria"/>
          <w:sz w:val="22"/>
          <w:szCs w:val="22"/>
        </w:rPr>
        <w:t xml:space="preserve"> of the average contributor wage.</w:t>
      </w:r>
      <w:r w:rsidRPr="00C20EC5">
        <w:rPr>
          <w:rStyle w:val="FootnoteReference"/>
          <w:rFonts w:ascii="Cambria" w:hAnsi="Cambria"/>
          <w:sz w:val="22"/>
          <w:szCs w:val="22"/>
        </w:rPr>
        <w:footnoteReference w:id="12"/>
      </w:r>
      <w:r w:rsidRPr="00C20EC5">
        <w:rPr>
          <w:rFonts w:ascii="Cambria" w:hAnsi="Cambria"/>
          <w:sz w:val="22"/>
          <w:szCs w:val="22"/>
        </w:rPr>
        <w:t xml:space="preserve"> </w:t>
      </w:r>
      <w:r w:rsidR="00A12C28">
        <w:rPr>
          <w:rFonts w:ascii="Cambria" w:hAnsi="Cambria"/>
          <w:sz w:val="22"/>
          <w:szCs w:val="22"/>
        </w:rPr>
        <w:t xml:space="preserve"> </w:t>
      </w:r>
      <w:r w:rsidRPr="00C20EC5">
        <w:rPr>
          <w:rFonts w:ascii="Cambria" w:hAnsi="Cambria"/>
          <w:sz w:val="22"/>
          <w:szCs w:val="22"/>
        </w:rPr>
        <w:t>SP2 pension alone in the longer run can only provide an average pension of 10</w:t>
      </w:r>
      <w:r w:rsidR="002B409D">
        <w:rPr>
          <w:rFonts w:ascii="Cambria" w:hAnsi="Cambria"/>
          <w:sz w:val="22"/>
          <w:szCs w:val="22"/>
        </w:rPr>
        <w:t xml:space="preserve"> percent</w:t>
      </w:r>
      <w:r w:rsidR="008419EF">
        <w:rPr>
          <w:rFonts w:ascii="Cambria" w:hAnsi="Cambria"/>
          <w:sz w:val="22"/>
          <w:szCs w:val="22"/>
        </w:rPr>
        <w:t>,</w:t>
      </w:r>
      <w:r w:rsidRPr="00C20EC5">
        <w:rPr>
          <w:rFonts w:ascii="Cambria" w:hAnsi="Cambria"/>
          <w:sz w:val="22"/>
          <w:szCs w:val="22"/>
        </w:rPr>
        <w:t xml:space="preserve"> which is about the current level of the social pension relative to the average wage. The share of the basic pension increases from the current 37</w:t>
      </w:r>
      <w:r w:rsidR="002B409D">
        <w:rPr>
          <w:rFonts w:ascii="Cambria" w:hAnsi="Cambria"/>
          <w:sz w:val="22"/>
          <w:szCs w:val="22"/>
        </w:rPr>
        <w:t xml:space="preserve"> percent</w:t>
      </w:r>
      <w:r w:rsidRPr="00C20EC5">
        <w:rPr>
          <w:rFonts w:ascii="Cambria" w:hAnsi="Cambria"/>
          <w:sz w:val="22"/>
          <w:szCs w:val="22"/>
        </w:rPr>
        <w:t xml:space="preserve"> to about 60</w:t>
      </w:r>
      <w:r w:rsidR="002B409D">
        <w:rPr>
          <w:rFonts w:ascii="Cambria" w:hAnsi="Cambria"/>
          <w:sz w:val="22"/>
          <w:szCs w:val="22"/>
        </w:rPr>
        <w:t xml:space="preserve"> percent</w:t>
      </w:r>
      <w:r w:rsidRPr="00C20EC5">
        <w:rPr>
          <w:rFonts w:ascii="Cambria" w:hAnsi="Cambria"/>
          <w:sz w:val="22"/>
          <w:szCs w:val="22"/>
        </w:rPr>
        <w:t>.</w:t>
      </w:r>
    </w:p>
    <w:tbl>
      <w:tblPr>
        <w:tblStyle w:val="TableGrid"/>
        <w:tblpPr w:leftFromText="180" w:rightFromText="180" w:vertAnchor="text" w:horzAnchor="margin" w:tblpXSpec="right" w:tblpY="259"/>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tblGrid>
      <w:tr w:rsidR="00820882" w14:paraId="03EDF80E" w14:textId="77777777" w:rsidTr="00820882">
        <w:trPr>
          <w:jc w:val="right"/>
        </w:trPr>
        <w:tc>
          <w:tcPr>
            <w:tcW w:w="5868" w:type="dxa"/>
          </w:tcPr>
          <w:p w14:paraId="1CC6965C" w14:textId="77777777" w:rsidR="00820882" w:rsidRPr="00410E3C" w:rsidRDefault="00820882" w:rsidP="00820882">
            <w:pPr>
              <w:pStyle w:val="Caption"/>
              <w:spacing w:after="0"/>
              <w:rPr>
                <w:noProof/>
              </w:rPr>
            </w:pPr>
            <w:bookmarkStart w:id="19" w:name="_Toc378163842"/>
            <w:r>
              <w:t xml:space="preserve">Figure </w:t>
            </w:r>
            <w:r w:rsidR="00C646A3">
              <w:fldChar w:fldCharType="begin"/>
            </w:r>
            <w:r w:rsidR="00C646A3">
              <w:instrText xml:space="preserve"> SEQ Figure_ \* ARABIC </w:instrText>
            </w:r>
            <w:r w:rsidR="00C646A3">
              <w:fldChar w:fldCharType="separate"/>
            </w:r>
            <w:r w:rsidR="00C646A3">
              <w:rPr>
                <w:noProof/>
              </w:rPr>
              <w:t>9</w:t>
            </w:r>
            <w:r w:rsidR="00C646A3">
              <w:rPr>
                <w:noProof/>
              </w:rPr>
              <w:fldChar w:fldCharType="end"/>
            </w:r>
            <w:r>
              <w:t xml:space="preserve">. </w:t>
            </w:r>
            <w:r w:rsidRPr="00410E3C">
              <w:rPr>
                <w:noProof/>
              </w:rPr>
              <w:t xml:space="preserve">Average Replacement Rates for All Existing </w:t>
            </w:r>
            <w:r>
              <w:rPr>
                <w:noProof/>
              </w:rPr>
              <w:t>Old-Age</w:t>
            </w:r>
            <w:r w:rsidRPr="00410E3C">
              <w:rPr>
                <w:noProof/>
              </w:rPr>
              <w:t xml:space="preserve"> Pensioners</w:t>
            </w:r>
            <w:bookmarkEnd w:id="19"/>
          </w:p>
          <w:p w14:paraId="09830F48" w14:textId="20C4641D" w:rsidR="00820882" w:rsidRDefault="00820882" w:rsidP="00F22830">
            <w:pPr>
              <w:spacing w:after="40"/>
              <w:jc w:val="center"/>
              <w:rPr>
                <w:rFonts w:ascii="Cambria" w:hAnsi="Cambria"/>
                <w:b/>
              </w:rPr>
            </w:pPr>
            <w:r w:rsidRPr="00410E3C">
              <w:rPr>
                <w:rFonts w:ascii="Cambria" w:hAnsi="Cambria"/>
              </w:rPr>
              <w:t>(</w:t>
            </w:r>
            <w:r w:rsidR="00F419D2" w:rsidRPr="00410E3C">
              <w:rPr>
                <w:rFonts w:ascii="Cambria" w:hAnsi="Cambria"/>
              </w:rPr>
              <w:t xml:space="preserve">Percent </w:t>
            </w:r>
            <w:r w:rsidRPr="00410E3C">
              <w:rPr>
                <w:rFonts w:ascii="Cambria" w:hAnsi="Cambria"/>
              </w:rPr>
              <w:t>of average wage in the formal sector)</w:t>
            </w:r>
          </w:p>
        </w:tc>
      </w:tr>
      <w:tr w:rsidR="00820882" w14:paraId="6E67093E" w14:textId="77777777" w:rsidTr="00820882">
        <w:trPr>
          <w:trHeight w:val="3708"/>
          <w:jc w:val="right"/>
        </w:trPr>
        <w:tc>
          <w:tcPr>
            <w:tcW w:w="5868" w:type="dxa"/>
          </w:tcPr>
          <w:p w14:paraId="5B51DBB8" w14:textId="77777777" w:rsidR="00820882" w:rsidRDefault="00820882" w:rsidP="00820882">
            <w:pPr>
              <w:jc w:val="both"/>
              <w:rPr>
                <w:rFonts w:ascii="Cambria" w:hAnsi="Cambria"/>
                <w:b/>
              </w:rPr>
            </w:pPr>
            <w:r w:rsidRPr="00C20EC5">
              <w:rPr>
                <w:rFonts w:ascii="Cambria" w:hAnsi="Cambria"/>
                <w:noProof/>
              </w:rPr>
              <w:drawing>
                <wp:inline distT="0" distB="0" distL="0" distR="0" wp14:anchorId="334E2AF0" wp14:editId="58D2119A">
                  <wp:extent cx="3584448" cy="2340864"/>
                  <wp:effectExtent l="0" t="0" r="0" b="254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4448" cy="2340864"/>
                          </a:xfrm>
                          <a:prstGeom prst="rect">
                            <a:avLst/>
                          </a:prstGeom>
                          <a:noFill/>
                          <a:ln>
                            <a:noFill/>
                          </a:ln>
                        </pic:spPr>
                      </pic:pic>
                    </a:graphicData>
                  </a:graphic>
                </wp:inline>
              </w:drawing>
            </w:r>
          </w:p>
        </w:tc>
      </w:tr>
      <w:tr w:rsidR="00820882" w14:paraId="36DA3A90" w14:textId="77777777" w:rsidTr="00820882">
        <w:trPr>
          <w:jc w:val="right"/>
        </w:trPr>
        <w:tc>
          <w:tcPr>
            <w:tcW w:w="5868" w:type="dxa"/>
          </w:tcPr>
          <w:p w14:paraId="01DA82D8" w14:textId="77777777" w:rsidR="00820882" w:rsidRPr="00663267" w:rsidRDefault="00820882" w:rsidP="00F22830">
            <w:pPr>
              <w:spacing w:before="40" w:after="120"/>
              <w:jc w:val="both"/>
              <w:rPr>
                <w:rFonts w:ascii="Cambria" w:hAnsi="Cambria"/>
              </w:rPr>
            </w:pPr>
            <w:r w:rsidRPr="008419EF">
              <w:rPr>
                <w:i/>
                <w:sz w:val="18"/>
                <w:szCs w:val="18"/>
              </w:rPr>
              <w:t>Source</w:t>
            </w:r>
            <w:r w:rsidRPr="008419EF">
              <w:rPr>
                <w:sz w:val="18"/>
                <w:szCs w:val="18"/>
              </w:rPr>
              <w:t>:</w:t>
            </w:r>
            <w:r>
              <w:rPr>
                <w:sz w:val="18"/>
                <w:szCs w:val="18"/>
              </w:rPr>
              <w:t xml:space="preserve"> Staff projections using PROST.</w:t>
            </w:r>
          </w:p>
        </w:tc>
      </w:tr>
    </w:tbl>
    <w:p w14:paraId="45ED4193" w14:textId="0A31AAF3" w:rsidR="00B03578" w:rsidRPr="00C20EC5" w:rsidRDefault="008419EF" w:rsidP="00876F35">
      <w:pPr>
        <w:numPr>
          <w:ilvl w:val="0"/>
          <w:numId w:val="3"/>
        </w:numPr>
        <w:spacing w:before="240" w:after="240"/>
        <w:jc w:val="both"/>
        <w:rPr>
          <w:rFonts w:ascii="Cambria" w:hAnsi="Cambria"/>
          <w:sz w:val="22"/>
          <w:szCs w:val="22"/>
        </w:rPr>
      </w:pPr>
      <w:r w:rsidRPr="0041654F">
        <w:rPr>
          <w:rFonts w:ascii="Cambria" w:hAnsi="Cambria"/>
          <w:b/>
          <w:sz w:val="22"/>
          <w:szCs w:val="22"/>
        </w:rPr>
        <w:t xml:space="preserve">Since </w:t>
      </w:r>
      <w:r w:rsidR="00B03578" w:rsidRPr="0041654F">
        <w:rPr>
          <w:rFonts w:ascii="Cambria" w:hAnsi="Cambria"/>
          <w:b/>
          <w:sz w:val="22"/>
          <w:szCs w:val="22"/>
        </w:rPr>
        <w:t xml:space="preserve">the income position of </w:t>
      </w:r>
      <w:r w:rsidR="00A47C53" w:rsidRPr="0041654F">
        <w:rPr>
          <w:rFonts w:ascii="Cambria" w:hAnsi="Cambria"/>
          <w:b/>
          <w:sz w:val="22"/>
          <w:szCs w:val="22"/>
        </w:rPr>
        <w:t>old-age</w:t>
      </w:r>
      <w:r w:rsidR="00B03578" w:rsidRPr="0041654F">
        <w:rPr>
          <w:rFonts w:ascii="Cambria" w:hAnsi="Cambria"/>
          <w:b/>
          <w:sz w:val="22"/>
          <w:szCs w:val="22"/>
        </w:rPr>
        <w:t xml:space="preserve"> pensioners relative to </w:t>
      </w:r>
      <w:r w:rsidRPr="0041654F">
        <w:rPr>
          <w:rFonts w:ascii="Cambria" w:hAnsi="Cambria"/>
          <w:b/>
          <w:sz w:val="22"/>
          <w:szCs w:val="22"/>
        </w:rPr>
        <w:t xml:space="preserve">the </w:t>
      </w:r>
      <w:r w:rsidR="00B03578" w:rsidRPr="0041654F">
        <w:rPr>
          <w:rFonts w:ascii="Cambria" w:hAnsi="Cambria"/>
          <w:b/>
          <w:sz w:val="22"/>
          <w:szCs w:val="22"/>
        </w:rPr>
        <w:t xml:space="preserve">working population </w:t>
      </w:r>
      <w:r w:rsidR="0082592B" w:rsidRPr="0041654F">
        <w:rPr>
          <w:rFonts w:ascii="Cambria" w:hAnsi="Cambria"/>
          <w:b/>
          <w:sz w:val="22"/>
          <w:szCs w:val="22"/>
        </w:rPr>
        <w:t>is projected to</w:t>
      </w:r>
      <w:r w:rsidR="00B03578" w:rsidRPr="0041654F">
        <w:rPr>
          <w:rFonts w:ascii="Cambria" w:hAnsi="Cambria"/>
          <w:b/>
          <w:sz w:val="22"/>
          <w:szCs w:val="22"/>
        </w:rPr>
        <w:t xml:space="preserve"> deteriorate </w:t>
      </w:r>
      <w:r w:rsidR="0082592B" w:rsidRPr="0041654F">
        <w:rPr>
          <w:rFonts w:ascii="Cambria" w:hAnsi="Cambria"/>
          <w:b/>
          <w:sz w:val="22"/>
          <w:szCs w:val="22"/>
        </w:rPr>
        <w:t>substantially</w:t>
      </w:r>
      <w:r w:rsidRPr="0041654F">
        <w:rPr>
          <w:rFonts w:ascii="Cambria" w:hAnsi="Cambria"/>
          <w:b/>
          <w:sz w:val="22"/>
          <w:szCs w:val="22"/>
        </w:rPr>
        <w:t>,</w:t>
      </w:r>
      <w:r w:rsidR="0082592B" w:rsidRPr="0041654F">
        <w:rPr>
          <w:rFonts w:ascii="Cambria" w:hAnsi="Cambria"/>
          <w:b/>
          <w:sz w:val="22"/>
          <w:szCs w:val="22"/>
        </w:rPr>
        <w:t xml:space="preserve"> the system is unlikely to remain socially sustainable over a long period</w:t>
      </w:r>
      <w:r w:rsidR="00CA1C66">
        <w:rPr>
          <w:rFonts w:ascii="Cambria" w:hAnsi="Cambria"/>
          <w:sz w:val="22"/>
          <w:szCs w:val="22"/>
        </w:rPr>
        <w:t>.</w:t>
      </w:r>
      <w:r w:rsidR="0082592B" w:rsidRPr="00C20EC5">
        <w:rPr>
          <w:rFonts w:ascii="Cambria" w:hAnsi="Cambria"/>
          <w:sz w:val="22"/>
          <w:szCs w:val="22"/>
        </w:rPr>
        <w:t xml:space="preserve"> </w:t>
      </w:r>
      <w:r w:rsidR="00CA1C66">
        <w:rPr>
          <w:rFonts w:ascii="Cambria" w:hAnsi="Cambria"/>
          <w:sz w:val="22"/>
          <w:szCs w:val="22"/>
        </w:rPr>
        <w:t>T</w:t>
      </w:r>
      <w:r w:rsidR="00B03578" w:rsidRPr="00C20EC5">
        <w:rPr>
          <w:rFonts w:ascii="Cambria" w:hAnsi="Cambria"/>
          <w:sz w:val="22"/>
          <w:szCs w:val="22"/>
        </w:rPr>
        <w:t>he pressure on the government for ad hoc benefit adjustments</w:t>
      </w:r>
      <w:r w:rsidR="0082592B" w:rsidRPr="00C20EC5">
        <w:rPr>
          <w:rFonts w:ascii="Cambria" w:hAnsi="Cambria"/>
          <w:sz w:val="22"/>
          <w:szCs w:val="22"/>
        </w:rPr>
        <w:t xml:space="preserve"> may increase</w:t>
      </w:r>
      <w:r w:rsidR="00B03578" w:rsidRPr="00C20EC5">
        <w:rPr>
          <w:rFonts w:ascii="Cambria" w:hAnsi="Cambria"/>
          <w:sz w:val="22"/>
          <w:szCs w:val="22"/>
        </w:rPr>
        <w:t>. In addition</w:t>
      </w:r>
      <w:r w:rsidR="00B6624E" w:rsidRPr="00C20EC5">
        <w:rPr>
          <w:rFonts w:ascii="Cambria" w:hAnsi="Cambria"/>
          <w:sz w:val="22"/>
          <w:szCs w:val="22"/>
        </w:rPr>
        <w:t xml:space="preserve"> to adequacy</w:t>
      </w:r>
      <w:r w:rsidR="00B03578" w:rsidRPr="00C20EC5">
        <w:rPr>
          <w:rFonts w:ascii="Cambria" w:hAnsi="Cambria"/>
          <w:sz w:val="22"/>
          <w:szCs w:val="22"/>
        </w:rPr>
        <w:t>, the</w:t>
      </w:r>
      <w:r w:rsidR="00B6624E" w:rsidRPr="00C20EC5">
        <w:rPr>
          <w:rFonts w:ascii="Cambria" w:hAnsi="Cambria"/>
          <w:sz w:val="22"/>
          <w:szCs w:val="22"/>
        </w:rPr>
        <w:t>re is an issue</w:t>
      </w:r>
      <w:r w:rsidR="00B03578" w:rsidRPr="00C20EC5">
        <w:rPr>
          <w:rFonts w:ascii="Cambria" w:hAnsi="Cambria"/>
          <w:sz w:val="22"/>
          <w:szCs w:val="22"/>
        </w:rPr>
        <w:t xml:space="preserve"> </w:t>
      </w:r>
      <w:r w:rsidR="00B6624E" w:rsidRPr="00C20EC5">
        <w:rPr>
          <w:rFonts w:ascii="Cambria" w:hAnsi="Cambria"/>
          <w:sz w:val="22"/>
          <w:szCs w:val="22"/>
        </w:rPr>
        <w:t>of perverse</w:t>
      </w:r>
      <w:r w:rsidR="00B03578" w:rsidRPr="00C20EC5">
        <w:rPr>
          <w:rFonts w:ascii="Cambria" w:hAnsi="Cambria"/>
          <w:sz w:val="22"/>
          <w:szCs w:val="22"/>
        </w:rPr>
        <w:t xml:space="preserve"> incentives provided by the benefit structure. As mentioned above, the current structure is highly redistributive and the share of its redistributive component</w:t>
      </w:r>
      <w:r>
        <w:rPr>
          <w:rFonts w:ascii="Cambria" w:hAnsi="Cambria"/>
          <w:sz w:val="22"/>
          <w:szCs w:val="22"/>
        </w:rPr>
        <w:t xml:space="preserve"> — </w:t>
      </w:r>
      <w:r w:rsidR="00B03578" w:rsidRPr="00C20EC5">
        <w:rPr>
          <w:rFonts w:ascii="Cambria" w:hAnsi="Cambria"/>
          <w:sz w:val="22"/>
          <w:szCs w:val="22"/>
        </w:rPr>
        <w:t xml:space="preserve">the basic pension </w:t>
      </w:r>
      <w:r>
        <w:rPr>
          <w:rFonts w:ascii="Cambria" w:hAnsi="Cambria"/>
          <w:sz w:val="22"/>
          <w:szCs w:val="22"/>
        </w:rPr>
        <w:t>—</w:t>
      </w:r>
      <w:r w:rsidRPr="00C20EC5">
        <w:rPr>
          <w:rFonts w:ascii="Cambria" w:hAnsi="Cambria"/>
          <w:sz w:val="22"/>
          <w:szCs w:val="22"/>
        </w:rPr>
        <w:t xml:space="preserve"> </w:t>
      </w:r>
      <w:r w:rsidR="00B03578" w:rsidRPr="00C20EC5">
        <w:rPr>
          <w:rFonts w:ascii="Cambria" w:hAnsi="Cambria"/>
          <w:sz w:val="22"/>
          <w:szCs w:val="22"/>
        </w:rPr>
        <w:t>is projected to increase dramatically over time</w:t>
      </w:r>
      <w:r w:rsidR="001422DD" w:rsidRPr="00C20EC5">
        <w:rPr>
          <w:rFonts w:ascii="Cambria" w:hAnsi="Cambria"/>
          <w:sz w:val="22"/>
          <w:szCs w:val="22"/>
        </w:rPr>
        <w:t xml:space="preserve">. </w:t>
      </w:r>
      <w:r w:rsidR="00B03578" w:rsidRPr="00C20EC5">
        <w:rPr>
          <w:rFonts w:ascii="Cambria" w:hAnsi="Cambria"/>
          <w:sz w:val="22"/>
          <w:szCs w:val="22"/>
        </w:rPr>
        <w:t xml:space="preserve">That </w:t>
      </w:r>
      <w:r w:rsidR="00B6624E" w:rsidRPr="00C20EC5">
        <w:rPr>
          <w:rFonts w:ascii="Cambria" w:hAnsi="Cambria"/>
          <w:sz w:val="22"/>
          <w:szCs w:val="22"/>
        </w:rPr>
        <w:t>could</w:t>
      </w:r>
      <w:r w:rsidR="00B03578" w:rsidRPr="00C20EC5">
        <w:rPr>
          <w:rFonts w:ascii="Cambria" w:hAnsi="Cambria"/>
          <w:sz w:val="22"/>
          <w:szCs w:val="22"/>
        </w:rPr>
        <w:t xml:space="preserve"> further weaken the link between contributions and benefits, and</w:t>
      </w:r>
      <w:r>
        <w:rPr>
          <w:rFonts w:ascii="Cambria" w:hAnsi="Cambria"/>
          <w:sz w:val="22"/>
          <w:szCs w:val="22"/>
        </w:rPr>
        <w:t xml:space="preserve">, </w:t>
      </w:r>
      <w:r w:rsidR="00BD416A" w:rsidRPr="00C20EC5">
        <w:rPr>
          <w:rFonts w:ascii="Cambria" w:hAnsi="Cambria"/>
          <w:sz w:val="22"/>
          <w:szCs w:val="22"/>
        </w:rPr>
        <w:t>in conjunction</w:t>
      </w:r>
      <w:r w:rsidR="00B03578" w:rsidRPr="00C20EC5">
        <w:rPr>
          <w:rFonts w:ascii="Cambria" w:hAnsi="Cambria"/>
          <w:sz w:val="22"/>
          <w:szCs w:val="22"/>
        </w:rPr>
        <w:t xml:space="preserve"> with the high contribution rate</w:t>
      </w:r>
      <w:r>
        <w:rPr>
          <w:rFonts w:ascii="Cambria" w:hAnsi="Cambria"/>
          <w:sz w:val="22"/>
          <w:szCs w:val="22"/>
        </w:rPr>
        <w:t>,</w:t>
      </w:r>
      <w:r w:rsidR="00B03578" w:rsidRPr="00C20EC5">
        <w:rPr>
          <w:rFonts w:ascii="Cambria" w:hAnsi="Cambria"/>
          <w:sz w:val="22"/>
          <w:szCs w:val="22"/>
        </w:rPr>
        <w:t xml:space="preserve"> make the system even less attractive for workers.</w:t>
      </w:r>
    </w:p>
    <w:p w14:paraId="770CE8E6" w14:textId="614C4531" w:rsidR="004F272A" w:rsidRDefault="003A6E3C" w:rsidP="00876F35">
      <w:pPr>
        <w:numPr>
          <w:ilvl w:val="0"/>
          <w:numId w:val="3"/>
        </w:numPr>
        <w:spacing w:before="240" w:after="240"/>
        <w:jc w:val="both"/>
        <w:rPr>
          <w:rFonts w:ascii="Cambria" w:hAnsi="Cambria"/>
          <w:sz w:val="22"/>
          <w:szCs w:val="22"/>
        </w:rPr>
      </w:pPr>
      <w:r>
        <w:rPr>
          <w:rFonts w:ascii="Cambria" w:hAnsi="Cambria"/>
          <w:b/>
          <w:sz w:val="22"/>
          <w:szCs w:val="22"/>
        </w:rPr>
        <w:t>Overall, t</w:t>
      </w:r>
      <w:r w:rsidR="004F272A">
        <w:rPr>
          <w:rFonts w:ascii="Cambria" w:hAnsi="Cambria"/>
          <w:b/>
          <w:sz w:val="22"/>
          <w:szCs w:val="22"/>
        </w:rPr>
        <w:t xml:space="preserve">he </w:t>
      </w:r>
      <w:r w:rsidR="005F1EDD" w:rsidRPr="00810B6B">
        <w:rPr>
          <w:rFonts w:ascii="Cambria" w:hAnsi="Cambria"/>
          <w:b/>
          <w:sz w:val="22"/>
          <w:szCs w:val="22"/>
        </w:rPr>
        <w:t xml:space="preserve">Social Fund </w:t>
      </w:r>
      <w:r w:rsidR="004F272A">
        <w:rPr>
          <w:rFonts w:ascii="Cambria" w:hAnsi="Cambria"/>
          <w:b/>
          <w:sz w:val="22"/>
          <w:szCs w:val="22"/>
        </w:rPr>
        <w:t>is expected to remain financially sustainable over the whole simulation period.</w:t>
      </w:r>
      <w:r w:rsidR="005F1EDD">
        <w:rPr>
          <w:rFonts w:ascii="Cambria" w:hAnsi="Cambria"/>
          <w:sz w:val="22"/>
          <w:szCs w:val="22"/>
        </w:rPr>
        <w:t xml:space="preserve"> </w:t>
      </w:r>
      <w:r w:rsidR="00B661BC" w:rsidRPr="00663267">
        <w:rPr>
          <w:rFonts w:ascii="Cambria" w:hAnsi="Cambria"/>
          <w:sz w:val="22"/>
          <w:szCs w:val="22"/>
        </w:rPr>
        <w:t xml:space="preserve">Figure 10 shows the projected cash flows of the pay-as-you-go (PAYG) component of the Social Fund: contributions paid to the PAYG part and Social Fund expenditures, which include payments of SP1 and SP2 pensions (as well as some portion of basic pensions in 2011-2013) and administrative expenses. Starting from 2014, basic pension payments are not part of Social Fund expenditures as they are financed from the state budget. </w:t>
      </w:r>
      <w:r w:rsidR="00634C23">
        <w:rPr>
          <w:rFonts w:ascii="Cambria" w:hAnsi="Cambria"/>
          <w:sz w:val="22"/>
          <w:szCs w:val="22"/>
        </w:rPr>
        <w:t>The a</w:t>
      </w:r>
      <w:r w:rsidR="00B661BC" w:rsidRPr="00663267">
        <w:rPr>
          <w:rFonts w:ascii="Cambria" w:hAnsi="Cambria"/>
          <w:sz w:val="22"/>
          <w:szCs w:val="22"/>
        </w:rPr>
        <w:t xml:space="preserve">nnual current balance here is calculated as the difference between contributions and expenditures, excluding any potential investment income from accumulated assets in the pay-as-you-go component. </w:t>
      </w:r>
    </w:p>
    <w:p w14:paraId="39F96C69" w14:textId="270478B7" w:rsidR="00634C23" w:rsidRDefault="004F272A" w:rsidP="00876F35">
      <w:pPr>
        <w:numPr>
          <w:ilvl w:val="0"/>
          <w:numId w:val="3"/>
        </w:numPr>
        <w:spacing w:before="240" w:after="240"/>
        <w:jc w:val="both"/>
        <w:rPr>
          <w:rFonts w:ascii="Cambria" w:hAnsi="Cambria"/>
          <w:sz w:val="22"/>
          <w:szCs w:val="22"/>
        </w:rPr>
      </w:pPr>
      <w:r w:rsidRPr="00063CF9">
        <w:rPr>
          <w:rFonts w:ascii="Cambria" w:hAnsi="Cambria"/>
          <w:b/>
          <w:sz w:val="22"/>
          <w:szCs w:val="22"/>
        </w:rPr>
        <w:lastRenderedPageBreak/>
        <w:t>The major factor driving the dynamics of the Social Fund financial position over the next few years is the transfer of the basic pension financing to the state budget</w:t>
      </w:r>
      <w:r w:rsidRPr="00C20EC5">
        <w:rPr>
          <w:rFonts w:ascii="Cambria" w:hAnsi="Cambria"/>
          <w:sz w:val="22"/>
          <w:szCs w:val="22"/>
        </w:rPr>
        <w:t xml:space="preserve"> </w:t>
      </w:r>
      <w:r w:rsidRPr="00810B6B">
        <w:rPr>
          <w:rFonts w:ascii="Cambria" w:hAnsi="Cambria"/>
          <w:b/>
          <w:sz w:val="22"/>
          <w:szCs w:val="22"/>
        </w:rPr>
        <w:t>which slows down the growth of Social Fund expenditures</w:t>
      </w:r>
      <w:r w:rsidRPr="00C20EC5">
        <w:rPr>
          <w:rFonts w:ascii="Cambria" w:hAnsi="Cambria"/>
          <w:sz w:val="22"/>
          <w:szCs w:val="22"/>
        </w:rPr>
        <w:t xml:space="preserve">. The Fund starts generating surpluses </w:t>
      </w:r>
      <w:r>
        <w:rPr>
          <w:rFonts w:ascii="Cambria" w:hAnsi="Cambria"/>
          <w:sz w:val="22"/>
          <w:szCs w:val="22"/>
        </w:rPr>
        <w:t>that</w:t>
      </w:r>
      <w:r w:rsidRPr="00C20EC5">
        <w:rPr>
          <w:rFonts w:ascii="Cambria" w:hAnsi="Cambria"/>
          <w:sz w:val="22"/>
          <w:szCs w:val="22"/>
        </w:rPr>
        <w:t xml:space="preserve"> peak in 2014, the first year when basic pension is supposed to be fully paid for by the state budget. The reversal of</w:t>
      </w:r>
      <w:r>
        <w:rPr>
          <w:rFonts w:ascii="Cambria" w:hAnsi="Cambria"/>
          <w:sz w:val="22"/>
          <w:szCs w:val="22"/>
        </w:rPr>
        <w:t xml:space="preserve"> the</w:t>
      </w:r>
      <w:r w:rsidRPr="00C20EC5">
        <w:rPr>
          <w:rFonts w:ascii="Cambria" w:hAnsi="Cambria"/>
          <w:sz w:val="22"/>
          <w:szCs w:val="22"/>
        </w:rPr>
        <w:t xml:space="preserve"> 2</w:t>
      </w:r>
      <w:r>
        <w:rPr>
          <w:rFonts w:ascii="Cambria" w:hAnsi="Cambria"/>
          <w:sz w:val="22"/>
          <w:szCs w:val="22"/>
        </w:rPr>
        <w:t xml:space="preserve"> percent</w:t>
      </w:r>
      <w:r w:rsidRPr="00C20EC5">
        <w:rPr>
          <w:rFonts w:ascii="Cambria" w:hAnsi="Cambria"/>
          <w:sz w:val="22"/>
          <w:szCs w:val="22"/>
        </w:rPr>
        <w:t xml:space="preserve"> contribution rate of older workers from the FFDC component back to PAYG system in 2012 has an additional positive effect on the Social Fund finances.</w:t>
      </w:r>
      <w:r>
        <w:rPr>
          <w:rFonts w:ascii="Cambria" w:hAnsi="Cambria"/>
          <w:sz w:val="22"/>
          <w:szCs w:val="22"/>
        </w:rPr>
        <w:t xml:space="preserve"> </w:t>
      </w:r>
      <w:r w:rsidR="00B661BC" w:rsidRPr="004F272A">
        <w:rPr>
          <w:rFonts w:ascii="Cambria" w:hAnsi="Cambria"/>
          <w:sz w:val="22"/>
          <w:szCs w:val="22"/>
        </w:rPr>
        <w:t>The short-term projections of the Social Fund cash flows</w:t>
      </w:r>
      <w:r w:rsidR="00B661BC" w:rsidRPr="00663267">
        <w:rPr>
          <w:rFonts w:ascii="Cambria" w:hAnsi="Cambria"/>
          <w:sz w:val="22"/>
          <w:szCs w:val="22"/>
        </w:rPr>
        <w:t xml:space="preserve"> are presented </w:t>
      </w:r>
      <w:r w:rsidR="004775AC" w:rsidRPr="00663267">
        <w:rPr>
          <w:rFonts w:ascii="Cambria" w:hAnsi="Cambria"/>
          <w:sz w:val="22"/>
          <w:szCs w:val="22"/>
        </w:rPr>
        <w:t xml:space="preserve">in </w:t>
      </w:r>
      <w:r w:rsidR="00B661BC" w:rsidRPr="00663267">
        <w:rPr>
          <w:rFonts w:ascii="Cambria" w:hAnsi="Cambria"/>
          <w:sz w:val="22"/>
          <w:szCs w:val="22"/>
        </w:rPr>
        <w:t>Table 3. FFDC component is excluded from the analysis of the system finances since its revenues and expenses are segregated from the PAYG component and, with benefits paid out as lump sums, it is expected to be financially sustainable.</w:t>
      </w:r>
      <w:r>
        <w:rPr>
          <w:rFonts w:ascii="Cambria" w:hAnsi="Cambria"/>
          <w:sz w:val="22"/>
          <w:szCs w:val="22"/>
        </w:rPr>
        <w:t xml:space="preserve"> </w:t>
      </w:r>
      <w:r w:rsidRPr="00C20EC5">
        <w:rPr>
          <w:rFonts w:ascii="Cambria" w:hAnsi="Cambria"/>
          <w:sz w:val="22"/>
          <w:szCs w:val="22"/>
        </w:rPr>
        <w:t>Over the period between 2014 and early 2020s, contributions</w:t>
      </w:r>
      <w:r w:rsidR="00810B6B">
        <w:rPr>
          <w:rFonts w:ascii="Cambria" w:hAnsi="Cambria"/>
          <w:sz w:val="22"/>
          <w:szCs w:val="22"/>
        </w:rPr>
        <w:t xml:space="preserve"> </w:t>
      </w:r>
      <w:r>
        <w:rPr>
          <w:rFonts w:ascii="Cambria" w:hAnsi="Cambria"/>
          <w:sz w:val="22"/>
          <w:szCs w:val="22"/>
        </w:rPr>
        <w:t>—</w:t>
      </w:r>
      <w:r w:rsidR="00810B6B">
        <w:rPr>
          <w:rFonts w:ascii="Cambria" w:hAnsi="Cambria"/>
          <w:sz w:val="22"/>
          <w:szCs w:val="22"/>
        </w:rPr>
        <w:t xml:space="preserve"> </w:t>
      </w:r>
      <w:r w:rsidRPr="00C20EC5">
        <w:rPr>
          <w:rFonts w:ascii="Cambria" w:hAnsi="Cambria"/>
          <w:sz w:val="22"/>
          <w:szCs w:val="22"/>
        </w:rPr>
        <w:t>although they continue to grow in money terms</w:t>
      </w:r>
      <w:r w:rsidR="00810B6B">
        <w:rPr>
          <w:rFonts w:ascii="Cambria" w:hAnsi="Cambria"/>
          <w:sz w:val="22"/>
          <w:szCs w:val="22"/>
        </w:rPr>
        <w:t xml:space="preserve"> </w:t>
      </w:r>
      <w:r>
        <w:rPr>
          <w:rFonts w:ascii="Cambria" w:hAnsi="Cambria"/>
          <w:sz w:val="22"/>
          <w:szCs w:val="22"/>
        </w:rPr>
        <w:t>—</w:t>
      </w:r>
      <w:r w:rsidR="00810B6B">
        <w:rPr>
          <w:rFonts w:ascii="Cambria" w:hAnsi="Cambria"/>
          <w:sz w:val="22"/>
          <w:szCs w:val="22"/>
        </w:rPr>
        <w:t xml:space="preserve"> </w:t>
      </w:r>
      <w:r w:rsidRPr="00C20EC5">
        <w:rPr>
          <w:rFonts w:ascii="Cambria" w:hAnsi="Cambria"/>
          <w:sz w:val="22"/>
          <w:szCs w:val="22"/>
        </w:rPr>
        <w:t xml:space="preserve">decline as a share of GDP </w:t>
      </w:r>
      <w:r>
        <w:rPr>
          <w:rFonts w:ascii="Cambria" w:hAnsi="Cambria"/>
          <w:sz w:val="22"/>
          <w:szCs w:val="22"/>
        </w:rPr>
        <w:t>(see economic assumptions in Annex 2)</w:t>
      </w:r>
      <w:r w:rsidRPr="00C20EC5">
        <w:rPr>
          <w:rFonts w:ascii="Cambria" w:hAnsi="Cambria"/>
          <w:sz w:val="22"/>
          <w:szCs w:val="22"/>
        </w:rPr>
        <w:t xml:space="preserve">. On the other hand, the counteracting effects of fast-increasing number of beneficiaries and decreasing average replacement rates result in fairly stable levels of Social Fund expenditures relative to GDP. </w:t>
      </w:r>
      <w:r>
        <w:rPr>
          <w:rFonts w:ascii="Cambria" w:hAnsi="Cambria"/>
          <w:sz w:val="22"/>
          <w:szCs w:val="22"/>
        </w:rPr>
        <w:t>Therefore</w:t>
      </w:r>
      <w:r w:rsidRPr="00C20EC5">
        <w:rPr>
          <w:rFonts w:ascii="Cambria" w:hAnsi="Cambria"/>
          <w:sz w:val="22"/>
          <w:szCs w:val="22"/>
        </w:rPr>
        <w:t>, surpluses decrease and practically disappear</w:t>
      </w:r>
      <w:r w:rsidR="00810B6B">
        <w:rPr>
          <w:rFonts w:ascii="Cambria" w:hAnsi="Cambria"/>
          <w:sz w:val="22"/>
          <w:szCs w:val="22"/>
        </w:rPr>
        <w:t xml:space="preserve"> by around 2020</w:t>
      </w:r>
      <w:r w:rsidRPr="00C20EC5">
        <w:rPr>
          <w:rFonts w:ascii="Cambria" w:hAnsi="Cambria"/>
          <w:sz w:val="22"/>
          <w:szCs w:val="22"/>
        </w:rPr>
        <w:t>.</w:t>
      </w:r>
    </w:p>
    <w:tbl>
      <w:tblPr>
        <w:tblW w:w="9457" w:type="dxa"/>
        <w:tblInd w:w="108" w:type="dxa"/>
        <w:tblLook w:val="04A0" w:firstRow="1" w:lastRow="0" w:firstColumn="1" w:lastColumn="0" w:noHBand="0" w:noVBand="1"/>
      </w:tblPr>
      <w:tblGrid>
        <w:gridCol w:w="4590"/>
        <w:gridCol w:w="811"/>
        <w:gridCol w:w="811"/>
        <w:gridCol w:w="811"/>
        <w:gridCol w:w="811"/>
        <w:gridCol w:w="812"/>
        <w:gridCol w:w="811"/>
      </w:tblGrid>
      <w:tr w:rsidR="00622CDE" w:rsidRPr="00622CDE" w14:paraId="6DB7FF93" w14:textId="77777777" w:rsidTr="00810B6B">
        <w:trPr>
          <w:trHeight w:val="259"/>
        </w:trPr>
        <w:tc>
          <w:tcPr>
            <w:tcW w:w="9457" w:type="dxa"/>
            <w:gridSpan w:val="7"/>
            <w:tcBorders>
              <w:bottom w:val="single" w:sz="4" w:space="0" w:color="auto"/>
            </w:tcBorders>
            <w:shd w:val="clear" w:color="auto" w:fill="auto"/>
            <w:noWrap/>
            <w:vAlign w:val="bottom"/>
          </w:tcPr>
          <w:p w14:paraId="61D4E417" w14:textId="77777777" w:rsidR="00622CDE" w:rsidRDefault="00622CDE" w:rsidP="00A12C28">
            <w:pPr>
              <w:pStyle w:val="Caption"/>
              <w:rPr>
                <w:noProof/>
              </w:rPr>
            </w:pPr>
            <w:bookmarkStart w:id="20" w:name="_Toc378163812"/>
            <w:r>
              <w:t xml:space="preserve">Table </w:t>
            </w:r>
            <w:r w:rsidR="00C646A3">
              <w:fldChar w:fldCharType="begin"/>
            </w:r>
            <w:r w:rsidR="00C646A3">
              <w:instrText xml:space="preserve"> SEQ Table \* ARABIC </w:instrText>
            </w:r>
            <w:r w:rsidR="00C646A3">
              <w:fldChar w:fldCharType="separate"/>
            </w:r>
            <w:r w:rsidR="00C646A3">
              <w:rPr>
                <w:noProof/>
              </w:rPr>
              <w:t>4</w:t>
            </w:r>
            <w:r w:rsidR="00C646A3">
              <w:rPr>
                <w:noProof/>
              </w:rPr>
              <w:fldChar w:fldCharType="end"/>
            </w:r>
            <w:r>
              <w:rPr>
                <w:noProof/>
              </w:rPr>
              <w:t xml:space="preserve">. </w:t>
            </w:r>
            <w:r w:rsidRPr="00622CDE">
              <w:rPr>
                <w:noProof/>
              </w:rPr>
              <w:t>Pay-You-Go System Finances, 2012-2016 projections</w:t>
            </w:r>
            <w:bookmarkEnd w:id="20"/>
          </w:p>
          <w:p w14:paraId="30C0C0FA" w14:textId="1C719D0E" w:rsidR="00A12C28" w:rsidRPr="00A12C28" w:rsidRDefault="00A12C28" w:rsidP="00A32033">
            <w:pPr>
              <w:spacing w:after="40"/>
              <w:jc w:val="center"/>
              <w:rPr>
                <w:rFonts w:ascii="Cambria" w:hAnsi="Cambria"/>
                <w:sz w:val="20"/>
                <w:szCs w:val="20"/>
              </w:rPr>
            </w:pPr>
            <w:r w:rsidRPr="00A32033">
              <w:rPr>
                <w:rFonts w:ascii="Cambria" w:hAnsi="Cambria"/>
                <w:sz w:val="20"/>
                <w:szCs w:val="20"/>
              </w:rPr>
              <w:t>(</w:t>
            </w:r>
            <w:r w:rsidR="00A32033">
              <w:rPr>
                <w:rFonts w:ascii="Cambria" w:hAnsi="Cambria"/>
                <w:sz w:val="20"/>
                <w:szCs w:val="20"/>
              </w:rPr>
              <w:t>I</w:t>
            </w:r>
            <w:r w:rsidR="00A32033" w:rsidRPr="00A32033">
              <w:rPr>
                <w:rFonts w:ascii="Cambria" w:hAnsi="Cambria"/>
                <w:sz w:val="20"/>
                <w:szCs w:val="20"/>
              </w:rPr>
              <w:t xml:space="preserve">n Kyrgyz </w:t>
            </w:r>
            <w:proofErr w:type="spellStart"/>
            <w:r w:rsidR="00A32033" w:rsidRPr="00A32033">
              <w:rPr>
                <w:rFonts w:ascii="Cambria" w:hAnsi="Cambria"/>
                <w:sz w:val="20"/>
                <w:szCs w:val="20"/>
              </w:rPr>
              <w:t>som</w:t>
            </w:r>
            <w:proofErr w:type="spellEnd"/>
            <w:r w:rsidR="00A32033" w:rsidRPr="00A32033">
              <w:rPr>
                <w:rFonts w:ascii="Cambria" w:hAnsi="Cambria"/>
                <w:sz w:val="20"/>
                <w:szCs w:val="20"/>
              </w:rPr>
              <w:t xml:space="preserve"> million</w:t>
            </w:r>
            <w:r w:rsidR="00A32033">
              <w:rPr>
                <w:rFonts w:ascii="Cambria" w:hAnsi="Cambria"/>
                <w:sz w:val="20"/>
                <w:szCs w:val="20"/>
              </w:rPr>
              <w:t>, unless otherwise noted</w:t>
            </w:r>
            <w:r w:rsidRPr="00A32033">
              <w:rPr>
                <w:rFonts w:ascii="Cambria" w:hAnsi="Cambria"/>
                <w:sz w:val="20"/>
                <w:szCs w:val="20"/>
              </w:rPr>
              <w:t>)</w:t>
            </w:r>
          </w:p>
        </w:tc>
      </w:tr>
      <w:tr w:rsidR="00A074BE" w:rsidRPr="00622CDE" w14:paraId="793AEB51" w14:textId="77777777" w:rsidTr="00810B6B">
        <w:trPr>
          <w:trHeight w:val="259"/>
        </w:trPr>
        <w:tc>
          <w:tcPr>
            <w:tcW w:w="4590" w:type="dxa"/>
            <w:tcBorders>
              <w:top w:val="single" w:sz="4" w:space="0" w:color="auto"/>
              <w:bottom w:val="single" w:sz="4" w:space="0" w:color="auto"/>
            </w:tcBorders>
            <w:shd w:val="clear" w:color="auto" w:fill="auto"/>
            <w:noWrap/>
            <w:vAlign w:val="bottom"/>
            <w:hideMark/>
          </w:tcPr>
          <w:p w14:paraId="46D4928D" w14:textId="77777777" w:rsidR="00A074BE" w:rsidRPr="00622CDE" w:rsidRDefault="00A074BE" w:rsidP="006E4D9E">
            <w:pPr>
              <w:rPr>
                <w:rFonts w:ascii="Cambria" w:hAnsi="Cambria"/>
                <w:color w:val="000000"/>
                <w:sz w:val="20"/>
                <w:szCs w:val="20"/>
              </w:rPr>
            </w:pPr>
            <w:r w:rsidRPr="00622CDE">
              <w:rPr>
                <w:rFonts w:ascii="Cambria" w:hAnsi="Cambria"/>
                <w:color w:val="000000"/>
                <w:sz w:val="20"/>
                <w:szCs w:val="20"/>
              </w:rPr>
              <w:t> </w:t>
            </w:r>
          </w:p>
        </w:tc>
        <w:tc>
          <w:tcPr>
            <w:tcW w:w="811" w:type="dxa"/>
            <w:tcBorders>
              <w:top w:val="single" w:sz="4" w:space="0" w:color="auto"/>
              <w:bottom w:val="single" w:sz="4" w:space="0" w:color="auto"/>
            </w:tcBorders>
            <w:shd w:val="clear" w:color="auto" w:fill="auto"/>
            <w:noWrap/>
            <w:vAlign w:val="bottom"/>
            <w:hideMark/>
          </w:tcPr>
          <w:p w14:paraId="640717A4" w14:textId="77777777" w:rsidR="00A074BE" w:rsidRPr="006E4D9E" w:rsidRDefault="00A074BE" w:rsidP="006E4D9E">
            <w:pPr>
              <w:jc w:val="center"/>
              <w:rPr>
                <w:rFonts w:ascii="Cambria" w:hAnsi="Cambria"/>
                <w:bCs/>
                <w:color w:val="000000"/>
                <w:sz w:val="20"/>
                <w:szCs w:val="20"/>
              </w:rPr>
            </w:pPr>
            <w:r w:rsidRPr="006E4D9E">
              <w:rPr>
                <w:rFonts w:ascii="Cambria" w:hAnsi="Cambria"/>
                <w:bCs/>
                <w:color w:val="000000"/>
                <w:sz w:val="20"/>
                <w:szCs w:val="20"/>
              </w:rPr>
              <w:t>Actual</w:t>
            </w:r>
          </w:p>
        </w:tc>
        <w:tc>
          <w:tcPr>
            <w:tcW w:w="4056" w:type="dxa"/>
            <w:gridSpan w:val="5"/>
            <w:tcBorders>
              <w:top w:val="single" w:sz="4" w:space="0" w:color="auto"/>
              <w:bottom w:val="single" w:sz="4" w:space="0" w:color="auto"/>
            </w:tcBorders>
            <w:shd w:val="clear" w:color="auto" w:fill="auto"/>
            <w:noWrap/>
            <w:vAlign w:val="bottom"/>
            <w:hideMark/>
          </w:tcPr>
          <w:p w14:paraId="7F22E868" w14:textId="77777777" w:rsidR="00A074BE" w:rsidRPr="00622CDE" w:rsidRDefault="00A074BE" w:rsidP="00A074BE">
            <w:pPr>
              <w:jc w:val="center"/>
              <w:rPr>
                <w:rFonts w:ascii="Cambria" w:hAnsi="Cambria"/>
                <w:color w:val="000000"/>
                <w:sz w:val="16"/>
                <w:szCs w:val="16"/>
              </w:rPr>
            </w:pPr>
            <w:r w:rsidRPr="006E4D9E">
              <w:rPr>
                <w:rFonts w:ascii="Cambria" w:hAnsi="Cambria"/>
                <w:bCs/>
                <w:color w:val="000000"/>
                <w:sz w:val="20"/>
                <w:szCs w:val="20"/>
              </w:rPr>
              <w:t>Projected</w:t>
            </w:r>
          </w:p>
        </w:tc>
      </w:tr>
      <w:tr w:rsidR="00A074BE" w:rsidRPr="00622CDE" w14:paraId="3EB53500" w14:textId="77777777" w:rsidTr="00F22830">
        <w:trPr>
          <w:trHeight w:val="259"/>
        </w:trPr>
        <w:tc>
          <w:tcPr>
            <w:tcW w:w="4590" w:type="dxa"/>
            <w:tcBorders>
              <w:top w:val="single" w:sz="4" w:space="0" w:color="auto"/>
              <w:bottom w:val="single" w:sz="4" w:space="0" w:color="auto"/>
            </w:tcBorders>
            <w:shd w:val="clear" w:color="auto" w:fill="auto"/>
            <w:noWrap/>
            <w:vAlign w:val="bottom"/>
            <w:hideMark/>
          </w:tcPr>
          <w:p w14:paraId="64628746" w14:textId="77777777" w:rsidR="00A074BE" w:rsidRPr="00622CDE" w:rsidRDefault="00A074BE" w:rsidP="006E4D9E">
            <w:pPr>
              <w:rPr>
                <w:rFonts w:ascii="Cambria" w:hAnsi="Cambria"/>
                <w:color w:val="000000"/>
                <w:sz w:val="20"/>
                <w:szCs w:val="20"/>
              </w:rPr>
            </w:pPr>
            <w:r w:rsidRPr="00622CDE">
              <w:rPr>
                <w:rFonts w:ascii="Cambria" w:hAnsi="Cambria"/>
                <w:color w:val="000000"/>
                <w:sz w:val="20"/>
                <w:szCs w:val="20"/>
              </w:rPr>
              <w:t> </w:t>
            </w:r>
          </w:p>
        </w:tc>
        <w:tc>
          <w:tcPr>
            <w:tcW w:w="811" w:type="dxa"/>
            <w:tcBorders>
              <w:top w:val="single" w:sz="4" w:space="0" w:color="auto"/>
              <w:bottom w:val="single" w:sz="4" w:space="0" w:color="auto"/>
            </w:tcBorders>
            <w:shd w:val="clear" w:color="auto" w:fill="auto"/>
            <w:noWrap/>
            <w:vAlign w:val="bottom"/>
            <w:hideMark/>
          </w:tcPr>
          <w:p w14:paraId="32EC6438" w14:textId="77777777" w:rsidR="00A074BE" w:rsidRPr="006E4D9E" w:rsidRDefault="00A074BE" w:rsidP="000D0BF2">
            <w:pPr>
              <w:jc w:val="right"/>
              <w:rPr>
                <w:rFonts w:ascii="Cambria" w:hAnsi="Cambria"/>
                <w:bCs/>
                <w:color w:val="000000"/>
                <w:sz w:val="20"/>
                <w:szCs w:val="20"/>
              </w:rPr>
            </w:pPr>
            <w:r w:rsidRPr="006E4D9E">
              <w:rPr>
                <w:rFonts w:ascii="Cambria" w:hAnsi="Cambria"/>
                <w:bCs/>
                <w:color w:val="000000"/>
                <w:sz w:val="20"/>
                <w:szCs w:val="20"/>
              </w:rPr>
              <w:t>2011</w:t>
            </w:r>
          </w:p>
        </w:tc>
        <w:tc>
          <w:tcPr>
            <w:tcW w:w="811" w:type="dxa"/>
            <w:tcBorders>
              <w:top w:val="single" w:sz="4" w:space="0" w:color="auto"/>
              <w:bottom w:val="single" w:sz="4" w:space="0" w:color="auto"/>
            </w:tcBorders>
            <w:shd w:val="clear" w:color="auto" w:fill="auto"/>
            <w:noWrap/>
            <w:vAlign w:val="bottom"/>
            <w:hideMark/>
          </w:tcPr>
          <w:p w14:paraId="31CD7F61" w14:textId="77777777" w:rsidR="00A074BE" w:rsidRPr="006E4D9E" w:rsidRDefault="00A074BE" w:rsidP="000D0BF2">
            <w:pPr>
              <w:jc w:val="right"/>
              <w:rPr>
                <w:rFonts w:ascii="Cambria" w:hAnsi="Cambria"/>
                <w:bCs/>
                <w:color w:val="000000"/>
                <w:sz w:val="20"/>
                <w:szCs w:val="20"/>
              </w:rPr>
            </w:pPr>
            <w:r w:rsidRPr="006E4D9E">
              <w:rPr>
                <w:rFonts w:ascii="Cambria" w:hAnsi="Cambria"/>
                <w:bCs/>
                <w:color w:val="000000"/>
                <w:sz w:val="20"/>
                <w:szCs w:val="20"/>
              </w:rPr>
              <w:t>2012</w:t>
            </w:r>
          </w:p>
        </w:tc>
        <w:tc>
          <w:tcPr>
            <w:tcW w:w="811" w:type="dxa"/>
            <w:tcBorders>
              <w:top w:val="single" w:sz="4" w:space="0" w:color="auto"/>
              <w:bottom w:val="single" w:sz="4" w:space="0" w:color="auto"/>
            </w:tcBorders>
            <w:shd w:val="clear" w:color="auto" w:fill="auto"/>
            <w:noWrap/>
            <w:vAlign w:val="bottom"/>
            <w:hideMark/>
          </w:tcPr>
          <w:p w14:paraId="339C6735" w14:textId="77777777" w:rsidR="00A074BE" w:rsidRPr="006E4D9E" w:rsidRDefault="00A074BE" w:rsidP="000D0BF2">
            <w:pPr>
              <w:jc w:val="right"/>
              <w:rPr>
                <w:rFonts w:ascii="Cambria" w:hAnsi="Cambria"/>
                <w:bCs/>
                <w:color w:val="000000"/>
                <w:sz w:val="20"/>
                <w:szCs w:val="20"/>
              </w:rPr>
            </w:pPr>
            <w:r w:rsidRPr="006E4D9E">
              <w:rPr>
                <w:rFonts w:ascii="Cambria" w:hAnsi="Cambria"/>
                <w:bCs/>
                <w:color w:val="000000"/>
                <w:sz w:val="20"/>
                <w:szCs w:val="20"/>
              </w:rPr>
              <w:t>2013</w:t>
            </w:r>
          </w:p>
        </w:tc>
        <w:tc>
          <w:tcPr>
            <w:tcW w:w="811" w:type="dxa"/>
            <w:tcBorders>
              <w:top w:val="single" w:sz="4" w:space="0" w:color="auto"/>
              <w:bottom w:val="single" w:sz="4" w:space="0" w:color="auto"/>
            </w:tcBorders>
            <w:shd w:val="clear" w:color="auto" w:fill="auto"/>
            <w:noWrap/>
            <w:vAlign w:val="bottom"/>
            <w:hideMark/>
          </w:tcPr>
          <w:p w14:paraId="12303439" w14:textId="77777777" w:rsidR="00A074BE" w:rsidRPr="006E4D9E" w:rsidRDefault="00A074BE" w:rsidP="000D0BF2">
            <w:pPr>
              <w:jc w:val="right"/>
              <w:rPr>
                <w:rFonts w:ascii="Cambria" w:hAnsi="Cambria"/>
                <w:bCs/>
                <w:color w:val="000000"/>
                <w:sz w:val="20"/>
                <w:szCs w:val="20"/>
              </w:rPr>
            </w:pPr>
            <w:r w:rsidRPr="006E4D9E">
              <w:rPr>
                <w:rFonts w:ascii="Cambria" w:hAnsi="Cambria"/>
                <w:bCs/>
                <w:color w:val="000000"/>
                <w:sz w:val="20"/>
                <w:szCs w:val="20"/>
              </w:rPr>
              <w:t>2014</w:t>
            </w:r>
          </w:p>
        </w:tc>
        <w:tc>
          <w:tcPr>
            <w:tcW w:w="812" w:type="dxa"/>
            <w:tcBorders>
              <w:top w:val="single" w:sz="4" w:space="0" w:color="auto"/>
              <w:bottom w:val="single" w:sz="4" w:space="0" w:color="auto"/>
            </w:tcBorders>
            <w:shd w:val="clear" w:color="auto" w:fill="auto"/>
            <w:noWrap/>
            <w:vAlign w:val="bottom"/>
            <w:hideMark/>
          </w:tcPr>
          <w:p w14:paraId="5E502B9F" w14:textId="77777777" w:rsidR="00A074BE" w:rsidRPr="006E4D9E" w:rsidRDefault="00A074BE" w:rsidP="000D0BF2">
            <w:pPr>
              <w:jc w:val="right"/>
              <w:rPr>
                <w:rFonts w:ascii="Cambria" w:hAnsi="Cambria"/>
                <w:bCs/>
                <w:color w:val="000000"/>
                <w:sz w:val="20"/>
                <w:szCs w:val="20"/>
              </w:rPr>
            </w:pPr>
            <w:r w:rsidRPr="006E4D9E">
              <w:rPr>
                <w:rFonts w:ascii="Cambria" w:hAnsi="Cambria"/>
                <w:bCs/>
                <w:color w:val="000000"/>
                <w:sz w:val="20"/>
                <w:szCs w:val="20"/>
              </w:rPr>
              <w:t>2015</w:t>
            </w:r>
          </w:p>
        </w:tc>
        <w:tc>
          <w:tcPr>
            <w:tcW w:w="811" w:type="dxa"/>
            <w:tcBorders>
              <w:top w:val="single" w:sz="4" w:space="0" w:color="auto"/>
              <w:bottom w:val="single" w:sz="4" w:space="0" w:color="auto"/>
            </w:tcBorders>
            <w:shd w:val="clear" w:color="auto" w:fill="auto"/>
            <w:noWrap/>
            <w:vAlign w:val="bottom"/>
            <w:hideMark/>
          </w:tcPr>
          <w:p w14:paraId="44A66673" w14:textId="77777777" w:rsidR="00A074BE" w:rsidRPr="00622CDE" w:rsidRDefault="00A074BE" w:rsidP="000D0BF2">
            <w:pPr>
              <w:jc w:val="right"/>
              <w:rPr>
                <w:rFonts w:ascii="Cambria" w:hAnsi="Cambria"/>
                <w:color w:val="000000"/>
                <w:sz w:val="16"/>
                <w:szCs w:val="16"/>
              </w:rPr>
            </w:pPr>
            <w:r w:rsidRPr="006E4D9E">
              <w:rPr>
                <w:rFonts w:ascii="Cambria" w:hAnsi="Cambria"/>
                <w:bCs/>
                <w:color w:val="000000"/>
                <w:sz w:val="20"/>
                <w:szCs w:val="20"/>
              </w:rPr>
              <w:t>2016</w:t>
            </w:r>
          </w:p>
        </w:tc>
      </w:tr>
      <w:tr w:rsidR="00A074BE" w:rsidRPr="00622CDE" w14:paraId="4C21BBE3" w14:textId="77777777" w:rsidTr="00F22830">
        <w:trPr>
          <w:trHeight w:val="259"/>
        </w:trPr>
        <w:tc>
          <w:tcPr>
            <w:tcW w:w="4590" w:type="dxa"/>
            <w:tcBorders>
              <w:top w:val="single" w:sz="4" w:space="0" w:color="auto"/>
            </w:tcBorders>
            <w:shd w:val="clear" w:color="auto" w:fill="auto"/>
            <w:noWrap/>
            <w:vAlign w:val="bottom"/>
          </w:tcPr>
          <w:p w14:paraId="48BF1811" w14:textId="25B36D02" w:rsidR="00A074BE" w:rsidRPr="00B11DDA" w:rsidRDefault="00A074BE" w:rsidP="00A32033">
            <w:pPr>
              <w:rPr>
                <w:rFonts w:ascii="Cambria" w:hAnsi="Cambria"/>
                <w:bCs/>
                <w:iCs/>
                <w:color w:val="000000"/>
                <w:sz w:val="20"/>
                <w:szCs w:val="20"/>
              </w:rPr>
            </w:pPr>
            <w:r w:rsidRPr="00B11DDA">
              <w:rPr>
                <w:rFonts w:ascii="Cambria" w:hAnsi="Cambria"/>
                <w:bCs/>
                <w:iCs/>
                <w:color w:val="000000"/>
                <w:sz w:val="20"/>
                <w:szCs w:val="20"/>
              </w:rPr>
              <w:t>Social Fund revenues</w:t>
            </w:r>
          </w:p>
        </w:tc>
        <w:tc>
          <w:tcPr>
            <w:tcW w:w="811" w:type="dxa"/>
            <w:tcBorders>
              <w:top w:val="single" w:sz="4" w:space="0" w:color="auto"/>
            </w:tcBorders>
            <w:shd w:val="clear" w:color="auto" w:fill="auto"/>
            <w:noWrap/>
            <w:vAlign w:val="bottom"/>
          </w:tcPr>
          <w:p w14:paraId="660B208F"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13,886</w:t>
            </w:r>
          </w:p>
        </w:tc>
        <w:tc>
          <w:tcPr>
            <w:tcW w:w="811" w:type="dxa"/>
            <w:tcBorders>
              <w:top w:val="single" w:sz="4" w:space="0" w:color="auto"/>
            </w:tcBorders>
            <w:shd w:val="clear" w:color="auto" w:fill="auto"/>
            <w:noWrap/>
            <w:vAlign w:val="bottom"/>
          </w:tcPr>
          <w:p w14:paraId="53ED0CBA"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18,102</w:t>
            </w:r>
          </w:p>
        </w:tc>
        <w:tc>
          <w:tcPr>
            <w:tcW w:w="811" w:type="dxa"/>
            <w:tcBorders>
              <w:top w:val="single" w:sz="4" w:space="0" w:color="auto"/>
            </w:tcBorders>
            <w:shd w:val="clear" w:color="auto" w:fill="auto"/>
            <w:noWrap/>
            <w:vAlign w:val="bottom"/>
          </w:tcPr>
          <w:p w14:paraId="480E224C"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21,378</w:t>
            </w:r>
          </w:p>
        </w:tc>
        <w:tc>
          <w:tcPr>
            <w:tcW w:w="811" w:type="dxa"/>
            <w:tcBorders>
              <w:top w:val="single" w:sz="4" w:space="0" w:color="auto"/>
            </w:tcBorders>
            <w:shd w:val="clear" w:color="auto" w:fill="auto"/>
            <w:noWrap/>
            <w:vAlign w:val="bottom"/>
          </w:tcPr>
          <w:p w14:paraId="61469892"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25,151</w:t>
            </w:r>
          </w:p>
        </w:tc>
        <w:tc>
          <w:tcPr>
            <w:tcW w:w="812" w:type="dxa"/>
            <w:tcBorders>
              <w:top w:val="single" w:sz="4" w:space="0" w:color="auto"/>
            </w:tcBorders>
            <w:shd w:val="clear" w:color="auto" w:fill="auto"/>
            <w:noWrap/>
            <w:vAlign w:val="bottom"/>
          </w:tcPr>
          <w:p w14:paraId="6C580682"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27,247</w:t>
            </w:r>
          </w:p>
        </w:tc>
        <w:tc>
          <w:tcPr>
            <w:tcW w:w="811" w:type="dxa"/>
            <w:tcBorders>
              <w:top w:val="single" w:sz="4" w:space="0" w:color="auto"/>
            </w:tcBorders>
            <w:shd w:val="clear" w:color="auto" w:fill="auto"/>
            <w:noWrap/>
            <w:vAlign w:val="bottom"/>
          </w:tcPr>
          <w:p w14:paraId="07FE9188" w14:textId="77777777" w:rsidR="00A074BE" w:rsidRPr="00622CDE" w:rsidRDefault="00A074BE" w:rsidP="000D0BF2">
            <w:pPr>
              <w:jc w:val="right"/>
              <w:rPr>
                <w:rFonts w:ascii="Cambria" w:hAnsi="Cambria"/>
                <w:color w:val="000000"/>
                <w:sz w:val="16"/>
                <w:szCs w:val="16"/>
              </w:rPr>
            </w:pPr>
            <w:r>
              <w:rPr>
                <w:rFonts w:ascii="Cambria" w:hAnsi="Cambria"/>
                <w:bCs/>
                <w:iCs/>
                <w:color w:val="000000"/>
                <w:sz w:val="20"/>
                <w:szCs w:val="20"/>
              </w:rPr>
              <w:t>29,410</w:t>
            </w:r>
          </w:p>
        </w:tc>
      </w:tr>
      <w:tr w:rsidR="00A074BE" w:rsidRPr="00622CDE" w14:paraId="736693BA" w14:textId="77777777" w:rsidTr="00810B6B">
        <w:trPr>
          <w:trHeight w:val="259"/>
        </w:trPr>
        <w:tc>
          <w:tcPr>
            <w:tcW w:w="4590" w:type="dxa"/>
            <w:shd w:val="clear" w:color="auto" w:fill="auto"/>
            <w:noWrap/>
            <w:vAlign w:val="bottom"/>
          </w:tcPr>
          <w:p w14:paraId="4531D71F" w14:textId="77777777" w:rsidR="00A074BE" w:rsidRPr="00B11DDA" w:rsidRDefault="00A074BE" w:rsidP="006E4D9E">
            <w:pPr>
              <w:rPr>
                <w:rFonts w:ascii="Cambria" w:hAnsi="Cambria"/>
                <w:sz w:val="20"/>
                <w:szCs w:val="20"/>
              </w:rPr>
            </w:pPr>
            <w:r w:rsidRPr="00B11DDA">
              <w:rPr>
                <w:rFonts w:ascii="Cambria" w:hAnsi="Cambria"/>
                <w:sz w:val="20"/>
                <w:szCs w:val="20"/>
              </w:rPr>
              <w:t>Contributions to PAYG</w:t>
            </w:r>
          </w:p>
        </w:tc>
        <w:tc>
          <w:tcPr>
            <w:tcW w:w="811" w:type="dxa"/>
            <w:shd w:val="clear" w:color="auto" w:fill="auto"/>
            <w:noWrap/>
            <w:vAlign w:val="bottom"/>
          </w:tcPr>
          <w:p w14:paraId="24168A11"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13,886</w:t>
            </w:r>
          </w:p>
        </w:tc>
        <w:tc>
          <w:tcPr>
            <w:tcW w:w="811" w:type="dxa"/>
            <w:shd w:val="clear" w:color="auto" w:fill="auto"/>
            <w:noWrap/>
            <w:vAlign w:val="bottom"/>
          </w:tcPr>
          <w:p w14:paraId="0FBB84CC"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18,102</w:t>
            </w:r>
          </w:p>
        </w:tc>
        <w:tc>
          <w:tcPr>
            <w:tcW w:w="811" w:type="dxa"/>
            <w:shd w:val="clear" w:color="auto" w:fill="auto"/>
            <w:noWrap/>
            <w:vAlign w:val="bottom"/>
          </w:tcPr>
          <w:p w14:paraId="27E238B0"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21,378</w:t>
            </w:r>
          </w:p>
        </w:tc>
        <w:tc>
          <w:tcPr>
            <w:tcW w:w="811" w:type="dxa"/>
            <w:shd w:val="clear" w:color="auto" w:fill="auto"/>
            <w:noWrap/>
            <w:vAlign w:val="bottom"/>
          </w:tcPr>
          <w:p w14:paraId="2CA582B8"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25,151</w:t>
            </w:r>
          </w:p>
        </w:tc>
        <w:tc>
          <w:tcPr>
            <w:tcW w:w="812" w:type="dxa"/>
            <w:shd w:val="clear" w:color="auto" w:fill="auto"/>
            <w:noWrap/>
            <w:vAlign w:val="bottom"/>
          </w:tcPr>
          <w:p w14:paraId="64948AF5"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27,247</w:t>
            </w:r>
          </w:p>
        </w:tc>
        <w:tc>
          <w:tcPr>
            <w:tcW w:w="811" w:type="dxa"/>
            <w:shd w:val="clear" w:color="auto" w:fill="auto"/>
            <w:noWrap/>
            <w:vAlign w:val="bottom"/>
          </w:tcPr>
          <w:p w14:paraId="31A3C919" w14:textId="77777777" w:rsidR="00A074BE" w:rsidRPr="00622CDE" w:rsidRDefault="00A074BE" w:rsidP="000D0BF2">
            <w:pPr>
              <w:jc w:val="right"/>
              <w:rPr>
                <w:rFonts w:ascii="Cambria" w:hAnsi="Cambria"/>
                <w:color w:val="000000"/>
                <w:sz w:val="16"/>
                <w:szCs w:val="16"/>
              </w:rPr>
            </w:pPr>
            <w:r>
              <w:rPr>
                <w:rFonts w:ascii="Cambria" w:hAnsi="Cambria"/>
                <w:bCs/>
                <w:iCs/>
                <w:color w:val="000000"/>
                <w:sz w:val="20"/>
                <w:szCs w:val="20"/>
              </w:rPr>
              <w:t>29,410</w:t>
            </w:r>
          </w:p>
        </w:tc>
      </w:tr>
      <w:tr w:rsidR="00A074BE" w:rsidRPr="00622CDE" w14:paraId="16AEA1A7" w14:textId="77777777" w:rsidTr="00810B6B">
        <w:trPr>
          <w:trHeight w:val="259"/>
        </w:trPr>
        <w:tc>
          <w:tcPr>
            <w:tcW w:w="4590" w:type="dxa"/>
            <w:shd w:val="clear" w:color="auto" w:fill="auto"/>
            <w:noWrap/>
            <w:vAlign w:val="bottom"/>
          </w:tcPr>
          <w:p w14:paraId="413E49FF" w14:textId="6F699BF9" w:rsidR="00A074BE" w:rsidRPr="00B11DDA" w:rsidRDefault="00A074BE" w:rsidP="00A32033">
            <w:pPr>
              <w:rPr>
                <w:rFonts w:ascii="Cambria" w:hAnsi="Cambria"/>
                <w:bCs/>
                <w:color w:val="000000"/>
                <w:sz w:val="20"/>
                <w:szCs w:val="20"/>
              </w:rPr>
            </w:pPr>
            <w:r w:rsidRPr="00B11DDA">
              <w:rPr>
                <w:rFonts w:ascii="Cambria" w:hAnsi="Cambria"/>
                <w:bCs/>
                <w:color w:val="000000"/>
                <w:sz w:val="20"/>
                <w:szCs w:val="20"/>
              </w:rPr>
              <w:t>Social Fund expenditures</w:t>
            </w:r>
          </w:p>
        </w:tc>
        <w:tc>
          <w:tcPr>
            <w:tcW w:w="811" w:type="dxa"/>
            <w:shd w:val="clear" w:color="auto" w:fill="auto"/>
            <w:noWrap/>
            <w:vAlign w:val="bottom"/>
          </w:tcPr>
          <w:p w14:paraId="0DA98632"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14,786</w:t>
            </w:r>
          </w:p>
        </w:tc>
        <w:tc>
          <w:tcPr>
            <w:tcW w:w="811" w:type="dxa"/>
            <w:shd w:val="clear" w:color="auto" w:fill="auto"/>
            <w:noWrap/>
            <w:vAlign w:val="bottom"/>
          </w:tcPr>
          <w:p w14:paraId="3B8DD560"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18,873</w:t>
            </w:r>
          </w:p>
        </w:tc>
        <w:tc>
          <w:tcPr>
            <w:tcW w:w="811" w:type="dxa"/>
            <w:shd w:val="clear" w:color="auto" w:fill="auto"/>
            <w:noWrap/>
            <w:vAlign w:val="bottom"/>
          </w:tcPr>
          <w:p w14:paraId="4B3F99F8"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20,353</w:t>
            </w:r>
          </w:p>
        </w:tc>
        <w:tc>
          <w:tcPr>
            <w:tcW w:w="811" w:type="dxa"/>
            <w:shd w:val="clear" w:color="auto" w:fill="auto"/>
            <w:noWrap/>
            <w:vAlign w:val="bottom"/>
          </w:tcPr>
          <w:p w14:paraId="62028D9E"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21,554</w:t>
            </w:r>
          </w:p>
        </w:tc>
        <w:tc>
          <w:tcPr>
            <w:tcW w:w="812" w:type="dxa"/>
            <w:shd w:val="clear" w:color="auto" w:fill="auto"/>
            <w:noWrap/>
            <w:vAlign w:val="bottom"/>
          </w:tcPr>
          <w:p w14:paraId="16FFCE07"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25,473</w:t>
            </w:r>
          </w:p>
        </w:tc>
        <w:tc>
          <w:tcPr>
            <w:tcW w:w="811" w:type="dxa"/>
            <w:shd w:val="clear" w:color="auto" w:fill="auto"/>
            <w:noWrap/>
            <w:vAlign w:val="bottom"/>
          </w:tcPr>
          <w:p w14:paraId="6E8F9E09" w14:textId="77777777" w:rsidR="00A074BE" w:rsidRPr="00622CDE" w:rsidRDefault="00A074BE" w:rsidP="000D0BF2">
            <w:pPr>
              <w:jc w:val="right"/>
              <w:rPr>
                <w:rFonts w:ascii="Cambria" w:hAnsi="Cambria"/>
                <w:color w:val="000000"/>
                <w:sz w:val="16"/>
                <w:szCs w:val="16"/>
              </w:rPr>
            </w:pPr>
            <w:r>
              <w:rPr>
                <w:rFonts w:ascii="Cambria" w:hAnsi="Cambria"/>
                <w:bCs/>
                <w:iCs/>
                <w:color w:val="000000"/>
                <w:sz w:val="20"/>
                <w:szCs w:val="20"/>
              </w:rPr>
              <w:t>27,809</w:t>
            </w:r>
          </w:p>
        </w:tc>
      </w:tr>
      <w:tr w:rsidR="00A074BE" w:rsidRPr="00622CDE" w14:paraId="4CD38847" w14:textId="77777777" w:rsidTr="00810B6B">
        <w:trPr>
          <w:trHeight w:val="259"/>
        </w:trPr>
        <w:tc>
          <w:tcPr>
            <w:tcW w:w="4590" w:type="dxa"/>
            <w:shd w:val="clear" w:color="auto" w:fill="auto"/>
            <w:noWrap/>
            <w:vAlign w:val="bottom"/>
          </w:tcPr>
          <w:p w14:paraId="447C4A2D" w14:textId="77777777" w:rsidR="00A074BE" w:rsidRPr="00B11DDA" w:rsidRDefault="00A074BE" w:rsidP="006E4D9E">
            <w:pPr>
              <w:rPr>
                <w:rFonts w:ascii="Cambria" w:hAnsi="Cambria"/>
                <w:color w:val="000000"/>
                <w:sz w:val="20"/>
                <w:szCs w:val="20"/>
              </w:rPr>
            </w:pPr>
            <w:r w:rsidRPr="00B11DDA">
              <w:rPr>
                <w:rFonts w:ascii="Cambria" w:hAnsi="Cambria"/>
                <w:color w:val="000000"/>
                <w:sz w:val="20"/>
                <w:szCs w:val="20"/>
              </w:rPr>
              <w:t xml:space="preserve">Pension payments financed by </w:t>
            </w:r>
            <w:r>
              <w:rPr>
                <w:rFonts w:ascii="Cambria" w:hAnsi="Cambria"/>
                <w:color w:val="000000"/>
                <w:sz w:val="20"/>
                <w:szCs w:val="20"/>
              </w:rPr>
              <w:t>Social Fund*</w:t>
            </w:r>
          </w:p>
        </w:tc>
        <w:tc>
          <w:tcPr>
            <w:tcW w:w="811" w:type="dxa"/>
            <w:shd w:val="clear" w:color="auto" w:fill="auto"/>
            <w:noWrap/>
            <w:vAlign w:val="bottom"/>
          </w:tcPr>
          <w:p w14:paraId="6F367743"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13,582</w:t>
            </w:r>
          </w:p>
        </w:tc>
        <w:tc>
          <w:tcPr>
            <w:tcW w:w="811" w:type="dxa"/>
            <w:shd w:val="clear" w:color="auto" w:fill="auto"/>
            <w:noWrap/>
            <w:vAlign w:val="bottom"/>
          </w:tcPr>
          <w:p w14:paraId="178A3A28"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17,551</w:t>
            </w:r>
          </w:p>
        </w:tc>
        <w:tc>
          <w:tcPr>
            <w:tcW w:w="811" w:type="dxa"/>
            <w:shd w:val="clear" w:color="auto" w:fill="auto"/>
            <w:noWrap/>
            <w:vAlign w:val="bottom"/>
          </w:tcPr>
          <w:p w14:paraId="2CE5CAE7"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18,792</w:t>
            </w:r>
          </w:p>
        </w:tc>
        <w:tc>
          <w:tcPr>
            <w:tcW w:w="811" w:type="dxa"/>
            <w:shd w:val="clear" w:color="auto" w:fill="auto"/>
            <w:noWrap/>
            <w:vAlign w:val="bottom"/>
          </w:tcPr>
          <w:p w14:paraId="06A5C681"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19,718</w:t>
            </w:r>
          </w:p>
        </w:tc>
        <w:tc>
          <w:tcPr>
            <w:tcW w:w="812" w:type="dxa"/>
            <w:shd w:val="clear" w:color="auto" w:fill="auto"/>
            <w:noWrap/>
            <w:vAlign w:val="bottom"/>
          </w:tcPr>
          <w:p w14:paraId="20BCFA63"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23,483</w:t>
            </w:r>
          </w:p>
        </w:tc>
        <w:tc>
          <w:tcPr>
            <w:tcW w:w="811" w:type="dxa"/>
            <w:shd w:val="clear" w:color="auto" w:fill="auto"/>
            <w:noWrap/>
            <w:vAlign w:val="bottom"/>
          </w:tcPr>
          <w:p w14:paraId="0CDE724C" w14:textId="77777777" w:rsidR="00A074BE" w:rsidRPr="00622CDE" w:rsidRDefault="00A074BE" w:rsidP="000D0BF2">
            <w:pPr>
              <w:jc w:val="right"/>
              <w:rPr>
                <w:rFonts w:ascii="Cambria" w:hAnsi="Cambria"/>
                <w:color w:val="000000"/>
                <w:sz w:val="16"/>
                <w:szCs w:val="16"/>
              </w:rPr>
            </w:pPr>
            <w:r>
              <w:rPr>
                <w:rFonts w:ascii="Cambria" w:hAnsi="Cambria"/>
                <w:color w:val="000000"/>
                <w:sz w:val="20"/>
                <w:szCs w:val="20"/>
              </w:rPr>
              <w:t>25,662</w:t>
            </w:r>
          </w:p>
        </w:tc>
      </w:tr>
      <w:tr w:rsidR="00A074BE" w:rsidRPr="00622CDE" w14:paraId="6175AFDA" w14:textId="77777777" w:rsidTr="00810B6B">
        <w:trPr>
          <w:trHeight w:val="259"/>
        </w:trPr>
        <w:tc>
          <w:tcPr>
            <w:tcW w:w="4590" w:type="dxa"/>
            <w:shd w:val="clear" w:color="auto" w:fill="auto"/>
            <w:noWrap/>
            <w:vAlign w:val="bottom"/>
          </w:tcPr>
          <w:p w14:paraId="6A1FEE3F" w14:textId="77777777" w:rsidR="00A074BE" w:rsidRPr="00B11DDA" w:rsidRDefault="00A074BE" w:rsidP="006E4D9E">
            <w:pPr>
              <w:rPr>
                <w:rFonts w:ascii="Cambria" w:hAnsi="Cambria"/>
                <w:color w:val="000000"/>
                <w:sz w:val="20"/>
                <w:szCs w:val="20"/>
              </w:rPr>
            </w:pPr>
            <w:r>
              <w:rPr>
                <w:rFonts w:ascii="Cambria" w:hAnsi="Cambria"/>
                <w:color w:val="000000"/>
                <w:sz w:val="20"/>
                <w:szCs w:val="20"/>
              </w:rPr>
              <w:t>Admin. costs and other expenses</w:t>
            </w:r>
          </w:p>
        </w:tc>
        <w:tc>
          <w:tcPr>
            <w:tcW w:w="811" w:type="dxa"/>
            <w:shd w:val="clear" w:color="auto" w:fill="auto"/>
            <w:noWrap/>
            <w:vAlign w:val="bottom"/>
          </w:tcPr>
          <w:p w14:paraId="6603DAA6"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1,201</w:t>
            </w:r>
          </w:p>
        </w:tc>
        <w:tc>
          <w:tcPr>
            <w:tcW w:w="811" w:type="dxa"/>
            <w:shd w:val="clear" w:color="auto" w:fill="auto"/>
            <w:noWrap/>
            <w:vAlign w:val="bottom"/>
          </w:tcPr>
          <w:p w14:paraId="3CE8047F"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1,322</w:t>
            </w:r>
          </w:p>
        </w:tc>
        <w:tc>
          <w:tcPr>
            <w:tcW w:w="811" w:type="dxa"/>
            <w:shd w:val="clear" w:color="auto" w:fill="auto"/>
            <w:noWrap/>
            <w:vAlign w:val="bottom"/>
          </w:tcPr>
          <w:p w14:paraId="2C014F15"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1,561</w:t>
            </w:r>
          </w:p>
        </w:tc>
        <w:tc>
          <w:tcPr>
            <w:tcW w:w="811" w:type="dxa"/>
            <w:shd w:val="clear" w:color="auto" w:fill="auto"/>
            <w:noWrap/>
            <w:vAlign w:val="bottom"/>
          </w:tcPr>
          <w:p w14:paraId="4943B564"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1,836</w:t>
            </w:r>
          </w:p>
        </w:tc>
        <w:tc>
          <w:tcPr>
            <w:tcW w:w="812" w:type="dxa"/>
            <w:shd w:val="clear" w:color="auto" w:fill="auto"/>
            <w:noWrap/>
            <w:vAlign w:val="bottom"/>
          </w:tcPr>
          <w:p w14:paraId="45929239"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1,989</w:t>
            </w:r>
          </w:p>
        </w:tc>
        <w:tc>
          <w:tcPr>
            <w:tcW w:w="811" w:type="dxa"/>
            <w:shd w:val="clear" w:color="auto" w:fill="auto"/>
            <w:noWrap/>
            <w:vAlign w:val="bottom"/>
          </w:tcPr>
          <w:p w14:paraId="230066D5" w14:textId="77777777" w:rsidR="00A074BE" w:rsidRPr="00622CDE" w:rsidRDefault="00A074BE" w:rsidP="000D0BF2">
            <w:pPr>
              <w:jc w:val="right"/>
              <w:rPr>
                <w:rFonts w:ascii="Cambria" w:hAnsi="Cambria"/>
                <w:color w:val="000000"/>
                <w:sz w:val="16"/>
                <w:szCs w:val="16"/>
              </w:rPr>
            </w:pPr>
            <w:r>
              <w:rPr>
                <w:rFonts w:ascii="Cambria" w:hAnsi="Cambria"/>
                <w:color w:val="000000"/>
                <w:sz w:val="20"/>
                <w:szCs w:val="20"/>
              </w:rPr>
              <w:t>2,147</w:t>
            </w:r>
          </w:p>
        </w:tc>
      </w:tr>
      <w:tr w:rsidR="00A074BE" w:rsidRPr="00622CDE" w14:paraId="36F26CFA" w14:textId="77777777" w:rsidTr="00810B6B">
        <w:trPr>
          <w:trHeight w:val="259"/>
        </w:trPr>
        <w:tc>
          <w:tcPr>
            <w:tcW w:w="4590" w:type="dxa"/>
            <w:shd w:val="clear" w:color="auto" w:fill="auto"/>
            <w:noWrap/>
            <w:vAlign w:val="bottom"/>
          </w:tcPr>
          <w:p w14:paraId="7AE81A0E" w14:textId="4191A3C8" w:rsidR="00A074BE" w:rsidRPr="00B11DDA" w:rsidRDefault="00A074BE" w:rsidP="00A32033">
            <w:pPr>
              <w:rPr>
                <w:rFonts w:ascii="Cambria" w:hAnsi="Cambria"/>
                <w:bCs/>
                <w:iCs/>
                <w:color w:val="000000"/>
                <w:sz w:val="20"/>
                <w:szCs w:val="20"/>
              </w:rPr>
            </w:pPr>
            <w:r>
              <w:rPr>
                <w:rFonts w:ascii="Cambria" w:hAnsi="Cambria"/>
                <w:bCs/>
                <w:iCs/>
                <w:color w:val="000000"/>
                <w:sz w:val="20"/>
                <w:szCs w:val="20"/>
              </w:rPr>
              <w:t>Social fund annual balance</w:t>
            </w:r>
          </w:p>
        </w:tc>
        <w:tc>
          <w:tcPr>
            <w:tcW w:w="811" w:type="dxa"/>
            <w:shd w:val="clear" w:color="auto" w:fill="auto"/>
            <w:noWrap/>
            <w:vAlign w:val="bottom"/>
          </w:tcPr>
          <w:p w14:paraId="353C7F73"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(899)</w:t>
            </w:r>
          </w:p>
        </w:tc>
        <w:tc>
          <w:tcPr>
            <w:tcW w:w="811" w:type="dxa"/>
            <w:shd w:val="clear" w:color="auto" w:fill="auto"/>
            <w:noWrap/>
            <w:vAlign w:val="bottom"/>
          </w:tcPr>
          <w:p w14:paraId="6CF23C10"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(770)</w:t>
            </w:r>
          </w:p>
        </w:tc>
        <w:tc>
          <w:tcPr>
            <w:tcW w:w="811" w:type="dxa"/>
            <w:shd w:val="clear" w:color="auto" w:fill="auto"/>
            <w:noWrap/>
            <w:vAlign w:val="bottom"/>
          </w:tcPr>
          <w:p w14:paraId="23F71120"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1,024</w:t>
            </w:r>
          </w:p>
        </w:tc>
        <w:tc>
          <w:tcPr>
            <w:tcW w:w="811" w:type="dxa"/>
            <w:shd w:val="clear" w:color="auto" w:fill="auto"/>
            <w:noWrap/>
            <w:vAlign w:val="bottom"/>
          </w:tcPr>
          <w:p w14:paraId="5858ADE6"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3,597</w:t>
            </w:r>
          </w:p>
        </w:tc>
        <w:tc>
          <w:tcPr>
            <w:tcW w:w="812" w:type="dxa"/>
            <w:shd w:val="clear" w:color="auto" w:fill="auto"/>
            <w:noWrap/>
            <w:vAlign w:val="bottom"/>
          </w:tcPr>
          <w:p w14:paraId="5D143003" w14:textId="77777777" w:rsidR="00A074BE" w:rsidRPr="006E4D9E" w:rsidRDefault="00A074BE" w:rsidP="000D0BF2">
            <w:pPr>
              <w:jc w:val="right"/>
              <w:rPr>
                <w:rFonts w:ascii="Cambria" w:hAnsi="Cambria"/>
                <w:bCs/>
                <w:iCs/>
                <w:color w:val="000000"/>
                <w:sz w:val="20"/>
                <w:szCs w:val="20"/>
              </w:rPr>
            </w:pPr>
            <w:r>
              <w:rPr>
                <w:rFonts w:ascii="Cambria" w:hAnsi="Cambria"/>
                <w:bCs/>
                <w:iCs/>
                <w:color w:val="000000"/>
                <w:sz w:val="20"/>
                <w:szCs w:val="20"/>
              </w:rPr>
              <w:t>1,774</w:t>
            </w:r>
          </w:p>
        </w:tc>
        <w:tc>
          <w:tcPr>
            <w:tcW w:w="811" w:type="dxa"/>
            <w:shd w:val="clear" w:color="auto" w:fill="auto"/>
            <w:noWrap/>
            <w:vAlign w:val="bottom"/>
          </w:tcPr>
          <w:p w14:paraId="6A82CCA9" w14:textId="77777777" w:rsidR="00A074BE" w:rsidRPr="00622CDE" w:rsidRDefault="00A074BE" w:rsidP="000D0BF2">
            <w:pPr>
              <w:jc w:val="right"/>
              <w:rPr>
                <w:rFonts w:ascii="Cambria" w:hAnsi="Cambria"/>
                <w:color w:val="000000"/>
                <w:sz w:val="16"/>
                <w:szCs w:val="16"/>
              </w:rPr>
            </w:pPr>
            <w:r>
              <w:rPr>
                <w:rFonts w:ascii="Cambria" w:hAnsi="Cambria"/>
                <w:bCs/>
                <w:iCs/>
                <w:color w:val="000000"/>
                <w:sz w:val="20"/>
                <w:szCs w:val="20"/>
              </w:rPr>
              <w:t>1,600</w:t>
            </w:r>
          </w:p>
        </w:tc>
      </w:tr>
      <w:tr w:rsidR="00A074BE" w:rsidRPr="00622CDE" w14:paraId="0929A0BA" w14:textId="77777777" w:rsidTr="00810B6B">
        <w:trPr>
          <w:trHeight w:val="259"/>
        </w:trPr>
        <w:tc>
          <w:tcPr>
            <w:tcW w:w="4590" w:type="dxa"/>
            <w:shd w:val="clear" w:color="auto" w:fill="auto"/>
            <w:noWrap/>
            <w:vAlign w:val="bottom"/>
          </w:tcPr>
          <w:p w14:paraId="0D4B76C9" w14:textId="77777777" w:rsidR="00A074BE" w:rsidRPr="00B11DDA" w:rsidRDefault="00A074BE" w:rsidP="006E4D9E">
            <w:pPr>
              <w:rPr>
                <w:rFonts w:ascii="Cambria" w:hAnsi="Cambria"/>
                <w:color w:val="000000"/>
                <w:sz w:val="20"/>
                <w:szCs w:val="20"/>
              </w:rPr>
            </w:pPr>
            <w:r>
              <w:rPr>
                <w:rFonts w:ascii="Cambria" w:hAnsi="Cambria"/>
                <w:color w:val="000000"/>
                <w:sz w:val="20"/>
                <w:szCs w:val="20"/>
              </w:rPr>
              <w:t>Government spending on basic pension</w:t>
            </w:r>
          </w:p>
        </w:tc>
        <w:tc>
          <w:tcPr>
            <w:tcW w:w="811" w:type="dxa"/>
            <w:shd w:val="clear" w:color="auto" w:fill="auto"/>
            <w:noWrap/>
            <w:vAlign w:val="bottom"/>
          </w:tcPr>
          <w:p w14:paraId="2318A6D5"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2,812</w:t>
            </w:r>
          </w:p>
        </w:tc>
        <w:tc>
          <w:tcPr>
            <w:tcW w:w="811" w:type="dxa"/>
            <w:shd w:val="clear" w:color="auto" w:fill="auto"/>
            <w:noWrap/>
            <w:vAlign w:val="bottom"/>
          </w:tcPr>
          <w:p w14:paraId="03C4FA7F"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5,973</w:t>
            </w:r>
          </w:p>
        </w:tc>
        <w:tc>
          <w:tcPr>
            <w:tcW w:w="811" w:type="dxa"/>
            <w:shd w:val="clear" w:color="auto" w:fill="auto"/>
            <w:noWrap/>
            <w:vAlign w:val="bottom"/>
          </w:tcPr>
          <w:p w14:paraId="36CA87B2"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8,432</w:t>
            </w:r>
          </w:p>
        </w:tc>
        <w:tc>
          <w:tcPr>
            <w:tcW w:w="811" w:type="dxa"/>
            <w:shd w:val="clear" w:color="auto" w:fill="auto"/>
            <w:noWrap/>
            <w:vAlign w:val="bottom"/>
          </w:tcPr>
          <w:p w14:paraId="12C47BED"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11,753</w:t>
            </w:r>
          </w:p>
        </w:tc>
        <w:tc>
          <w:tcPr>
            <w:tcW w:w="812" w:type="dxa"/>
            <w:shd w:val="clear" w:color="auto" w:fill="auto"/>
            <w:noWrap/>
            <w:vAlign w:val="bottom"/>
          </w:tcPr>
          <w:p w14:paraId="16D2F8C9"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14,322</w:t>
            </w:r>
          </w:p>
        </w:tc>
        <w:tc>
          <w:tcPr>
            <w:tcW w:w="811" w:type="dxa"/>
            <w:shd w:val="clear" w:color="auto" w:fill="auto"/>
            <w:noWrap/>
            <w:vAlign w:val="bottom"/>
          </w:tcPr>
          <w:p w14:paraId="369EE7A6" w14:textId="77777777" w:rsidR="00A074BE" w:rsidRPr="00622CDE" w:rsidRDefault="00A074BE" w:rsidP="000D0BF2">
            <w:pPr>
              <w:jc w:val="right"/>
              <w:rPr>
                <w:rFonts w:ascii="Cambria" w:hAnsi="Cambria"/>
                <w:color w:val="000000"/>
                <w:sz w:val="16"/>
                <w:szCs w:val="16"/>
              </w:rPr>
            </w:pPr>
            <w:r>
              <w:rPr>
                <w:rFonts w:ascii="Cambria" w:hAnsi="Cambria"/>
                <w:color w:val="000000"/>
                <w:sz w:val="20"/>
                <w:szCs w:val="20"/>
              </w:rPr>
              <w:t>16,006</w:t>
            </w:r>
          </w:p>
        </w:tc>
      </w:tr>
      <w:tr w:rsidR="00A074BE" w:rsidRPr="00622CDE" w14:paraId="1C06E2A0" w14:textId="77777777" w:rsidTr="00810B6B">
        <w:trPr>
          <w:trHeight w:val="259"/>
        </w:trPr>
        <w:tc>
          <w:tcPr>
            <w:tcW w:w="4590" w:type="dxa"/>
            <w:tcBorders>
              <w:bottom w:val="single" w:sz="4" w:space="0" w:color="auto"/>
            </w:tcBorders>
            <w:shd w:val="clear" w:color="auto" w:fill="auto"/>
            <w:noWrap/>
            <w:vAlign w:val="bottom"/>
          </w:tcPr>
          <w:p w14:paraId="1D07B5BF" w14:textId="77777777" w:rsidR="00A074BE" w:rsidRPr="00B11DDA" w:rsidRDefault="00A074BE" w:rsidP="006E4D9E">
            <w:pPr>
              <w:rPr>
                <w:rFonts w:ascii="Cambria" w:hAnsi="Cambria"/>
                <w:color w:val="000000"/>
                <w:sz w:val="20"/>
                <w:szCs w:val="20"/>
              </w:rPr>
            </w:pPr>
            <w:r>
              <w:rPr>
                <w:rFonts w:ascii="Cambria" w:hAnsi="Cambria"/>
                <w:color w:val="000000"/>
                <w:sz w:val="20"/>
                <w:szCs w:val="20"/>
              </w:rPr>
              <w:t>Government share of pension payments (percent)</w:t>
            </w:r>
          </w:p>
        </w:tc>
        <w:tc>
          <w:tcPr>
            <w:tcW w:w="811" w:type="dxa"/>
            <w:tcBorders>
              <w:bottom w:val="single" w:sz="4" w:space="0" w:color="auto"/>
            </w:tcBorders>
            <w:shd w:val="clear" w:color="auto" w:fill="auto"/>
            <w:noWrap/>
            <w:vAlign w:val="bottom"/>
          </w:tcPr>
          <w:p w14:paraId="4BD42060"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17</w:t>
            </w:r>
          </w:p>
        </w:tc>
        <w:tc>
          <w:tcPr>
            <w:tcW w:w="811" w:type="dxa"/>
            <w:tcBorders>
              <w:bottom w:val="single" w:sz="4" w:space="0" w:color="auto"/>
            </w:tcBorders>
            <w:shd w:val="clear" w:color="auto" w:fill="auto"/>
            <w:noWrap/>
            <w:vAlign w:val="bottom"/>
          </w:tcPr>
          <w:p w14:paraId="23EAE15D"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25</w:t>
            </w:r>
          </w:p>
        </w:tc>
        <w:tc>
          <w:tcPr>
            <w:tcW w:w="811" w:type="dxa"/>
            <w:tcBorders>
              <w:bottom w:val="single" w:sz="4" w:space="0" w:color="auto"/>
            </w:tcBorders>
            <w:shd w:val="clear" w:color="auto" w:fill="auto"/>
            <w:noWrap/>
            <w:vAlign w:val="bottom"/>
          </w:tcPr>
          <w:p w14:paraId="04D46223"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31</w:t>
            </w:r>
          </w:p>
        </w:tc>
        <w:tc>
          <w:tcPr>
            <w:tcW w:w="811" w:type="dxa"/>
            <w:tcBorders>
              <w:bottom w:val="single" w:sz="4" w:space="0" w:color="auto"/>
            </w:tcBorders>
            <w:shd w:val="clear" w:color="auto" w:fill="auto"/>
            <w:noWrap/>
            <w:vAlign w:val="bottom"/>
          </w:tcPr>
          <w:p w14:paraId="62C598C7"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37</w:t>
            </w:r>
          </w:p>
        </w:tc>
        <w:tc>
          <w:tcPr>
            <w:tcW w:w="812" w:type="dxa"/>
            <w:tcBorders>
              <w:bottom w:val="single" w:sz="4" w:space="0" w:color="auto"/>
            </w:tcBorders>
            <w:shd w:val="clear" w:color="auto" w:fill="auto"/>
            <w:noWrap/>
            <w:vAlign w:val="bottom"/>
          </w:tcPr>
          <w:p w14:paraId="5182EFBF" w14:textId="77777777" w:rsidR="00A074BE" w:rsidRPr="006E4D9E" w:rsidRDefault="00A074BE" w:rsidP="000D0BF2">
            <w:pPr>
              <w:jc w:val="right"/>
              <w:rPr>
                <w:rFonts w:ascii="Cambria" w:hAnsi="Cambria"/>
                <w:color w:val="000000"/>
                <w:sz w:val="20"/>
                <w:szCs w:val="20"/>
              </w:rPr>
            </w:pPr>
            <w:r>
              <w:rPr>
                <w:rFonts w:ascii="Cambria" w:hAnsi="Cambria"/>
                <w:color w:val="000000"/>
                <w:sz w:val="20"/>
                <w:szCs w:val="20"/>
              </w:rPr>
              <w:t>38</w:t>
            </w:r>
          </w:p>
        </w:tc>
        <w:tc>
          <w:tcPr>
            <w:tcW w:w="811" w:type="dxa"/>
            <w:tcBorders>
              <w:bottom w:val="single" w:sz="4" w:space="0" w:color="auto"/>
            </w:tcBorders>
            <w:shd w:val="clear" w:color="auto" w:fill="auto"/>
            <w:noWrap/>
            <w:vAlign w:val="bottom"/>
          </w:tcPr>
          <w:p w14:paraId="273449FB" w14:textId="77777777" w:rsidR="00A074BE" w:rsidRPr="00622CDE" w:rsidRDefault="00A074BE" w:rsidP="000D0BF2">
            <w:pPr>
              <w:jc w:val="right"/>
              <w:rPr>
                <w:rFonts w:ascii="Cambria" w:hAnsi="Cambria"/>
                <w:color w:val="000000"/>
                <w:sz w:val="16"/>
                <w:szCs w:val="16"/>
              </w:rPr>
            </w:pPr>
            <w:r>
              <w:rPr>
                <w:rFonts w:ascii="Cambria" w:hAnsi="Cambria"/>
                <w:color w:val="000000"/>
                <w:sz w:val="20"/>
                <w:szCs w:val="20"/>
              </w:rPr>
              <w:t>38</w:t>
            </w:r>
          </w:p>
        </w:tc>
      </w:tr>
      <w:tr w:rsidR="00622CDE" w:rsidRPr="00622CDE" w14:paraId="7A18A2FA" w14:textId="77777777" w:rsidTr="00810B6B">
        <w:trPr>
          <w:trHeight w:val="259"/>
        </w:trPr>
        <w:tc>
          <w:tcPr>
            <w:tcW w:w="9457" w:type="dxa"/>
            <w:gridSpan w:val="7"/>
            <w:tcBorders>
              <w:top w:val="single" w:sz="4" w:space="0" w:color="auto"/>
            </w:tcBorders>
            <w:shd w:val="clear" w:color="auto" w:fill="auto"/>
            <w:noWrap/>
            <w:vAlign w:val="bottom"/>
          </w:tcPr>
          <w:p w14:paraId="5621F95C" w14:textId="680B75B8" w:rsidR="006E4D9E" w:rsidRPr="00975EB7" w:rsidRDefault="006E4D9E" w:rsidP="00F22830">
            <w:pPr>
              <w:spacing w:before="40"/>
              <w:rPr>
                <w:rFonts w:ascii="Cambria" w:hAnsi="Cambria"/>
                <w:color w:val="000000"/>
                <w:sz w:val="18"/>
                <w:szCs w:val="18"/>
              </w:rPr>
            </w:pPr>
            <w:r w:rsidRPr="00634C23">
              <w:rPr>
                <w:rFonts w:ascii="Cambria" w:hAnsi="Cambria"/>
                <w:i/>
                <w:color w:val="000000"/>
                <w:sz w:val="18"/>
                <w:szCs w:val="18"/>
              </w:rPr>
              <w:t>Source</w:t>
            </w:r>
            <w:r w:rsidRPr="00634C23">
              <w:rPr>
                <w:rFonts w:ascii="Cambria" w:hAnsi="Cambria"/>
                <w:color w:val="000000"/>
                <w:sz w:val="18"/>
                <w:szCs w:val="18"/>
              </w:rPr>
              <w:t>:</w:t>
            </w:r>
            <w:r w:rsidR="00BA4F20">
              <w:rPr>
                <w:rFonts w:ascii="Cambria" w:hAnsi="Cambria"/>
                <w:color w:val="000000"/>
                <w:sz w:val="18"/>
                <w:szCs w:val="18"/>
              </w:rPr>
              <w:t xml:space="preserve"> Social Fund data and </w:t>
            </w:r>
            <w:r w:rsidR="00975EB7">
              <w:rPr>
                <w:sz w:val="18"/>
                <w:szCs w:val="18"/>
              </w:rPr>
              <w:t>s</w:t>
            </w:r>
            <w:r w:rsidR="00975EB7" w:rsidRPr="00975EB7">
              <w:rPr>
                <w:sz w:val="18"/>
                <w:szCs w:val="18"/>
              </w:rPr>
              <w:t>taff projections using PROST.</w:t>
            </w:r>
          </w:p>
          <w:p w14:paraId="7068309C" w14:textId="681DC9FB" w:rsidR="0004305A" w:rsidRDefault="0004305A" w:rsidP="0004305A">
            <w:pPr>
              <w:rPr>
                <w:rFonts w:ascii="Cambria" w:hAnsi="Cambria"/>
                <w:color w:val="000000"/>
                <w:sz w:val="18"/>
                <w:szCs w:val="18"/>
              </w:rPr>
            </w:pPr>
            <w:r w:rsidRPr="0004305A">
              <w:rPr>
                <w:rFonts w:ascii="Cambria" w:hAnsi="Cambria"/>
                <w:i/>
                <w:color w:val="000000"/>
                <w:sz w:val="18"/>
                <w:szCs w:val="18"/>
              </w:rPr>
              <w:t>Note</w:t>
            </w:r>
            <w:r>
              <w:rPr>
                <w:rFonts w:ascii="Cambria" w:hAnsi="Cambria"/>
                <w:color w:val="000000"/>
                <w:sz w:val="18"/>
                <w:szCs w:val="18"/>
              </w:rPr>
              <w:t xml:space="preserve">: </w:t>
            </w:r>
            <w:r w:rsidRPr="006E4D9E">
              <w:rPr>
                <w:rFonts w:ascii="Cambria" w:hAnsi="Cambria"/>
                <w:color w:val="000000"/>
                <w:sz w:val="18"/>
                <w:szCs w:val="18"/>
              </w:rPr>
              <w:t>*SP1, SP2 and remaining share of basic pension</w:t>
            </w:r>
            <w:r>
              <w:rPr>
                <w:rFonts w:ascii="Cambria" w:hAnsi="Cambria"/>
                <w:color w:val="000000"/>
                <w:sz w:val="18"/>
                <w:szCs w:val="18"/>
              </w:rPr>
              <w:t>.</w:t>
            </w:r>
          </w:p>
          <w:p w14:paraId="1E9CA2A7" w14:textId="376C706E" w:rsidR="0004305A" w:rsidRPr="006E4D9E" w:rsidRDefault="0004305A" w:rsidP="006E4D9E">
            <w:pPr>
              <w:rPr>
                <w:rFonts w:ascii="Cambria" w:hAnsi="Cambria"/>
                <w:color w:val="000000"/>
                <w:sz w:val="18"/>
                <w:szCs w:val="18"/>
              </w:rPr>
            </w:pPr>
          </w:p>
        </w:tc>
      </w:tr>
    </w:tbl>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tblGrid>
      <w:tr w:rsidR="00E27DE4" w14:paraId="59959F90" w14:textId="77777777" w:rsidTr="00B21985">
        <w:tc>
          <w:tcPr>
            <w:tcW w:w="5688" w:type="dxa"/>
          </w:tcPr>
          <w:p w14:paraId="0F3016A4" w14:textId="77777777" w:rsidR="00E27DE4" w:rsidRDefault="00E27DE4" w:rsidP="00B21985">
            <w:pPr>
              <w:pStyle w:val="Caption"/>
              <w:spacing w:after="0"/>
              <w:rPr>
                <w:noProof/>
              </w:rPr>
            </w:pPr>
            <w:bookmarkStart w:id="21" w:name="_Toc378163843"/>
            <w:r>
              <w:t xml:space="preserve">Figure </w:t>
            </w:r>
            <w:r w:rsidR="00C646A3">
              <w:fldChar w:fldCharType="begin"/>
            </w:r>
            <w:r w:rsidR="00C646A3">
              <w:instrText xml:space="preserve"> SEQ Figure_ \* ARABIC </w:instrText>
            </w:r>
            <w:r w:rsidR="00C646A3">
              <w:fldChar w:fldCharType="separate"/>
            </w:r>
            <w:r w:rsidR="00C646A3">
              <w:rPr>
                <w:noProof/>
              </w:rPr>
              <w:t>10</w:t>
            </w:r>
            <w:r w:rsidR="00C646A3">
              <w:rPr>
                <w:noProof/>
              </w:rPr>
              <w:fldChar w:fldCharType="end"/>
            </w:r>
            <w:r>
              <w:t>.</w:t>
            </w:r>
            <w:r w:rsidRPr="00C20EC5">
              <w:rPr>
                <w:b w:val="0"/>
              </w:rPr>
              <w:t xml:space="preserve"> </w:t>
            </w:r>
            <w:r w:rsidRPr="00663267">
              <w:rPr>
                <w:noProof/>
              </w:rPr>
              <w:t>Pay-as-you-go System Financial Flows</w:t>
            </w:r>
            <w:bookmarkEnd w:id="21"/>
          </w:p>
          <w:p w14:paraId="42E15563" w14:textId="65737994" w:rsidR="00E27DE4" w:rsidRPr="00663267" w:rsidRDefault="00E27DE4" w:rsidP="00F22830">
            <w:pPr>
              <w:spacing w:after="40"/>
              <w:jc w:val="center"/>
              <w:rPr>
                <w:rFonts w:ascii="Cambria" w:hAnsi="Cambria"/>
                <w:sz w:val="22"/>
                <w:szCs w:val="22"/>
              </w:rPr>
            </w:pPr>
            <w:r w:rsidRPr="00663267">
              <w:rPr>
                <w:rFonts w:ascii="Cambria" w:hAnsi="Cambria"/>
              </w:rPr>
              <w:t>(</w:t>
            </w:r>
            <w:r w:rsidR="00A12C28" w:rsidRPr="00663267">
              <w:rPr>
                <w:rFonts w:ascii="Cambria" w:hAnsi="Cambria"/>
              </w:rPr>
              <w:t xml:space="preserve">Percent </w:t>
            </w:r>
            <w:r w:rsidRPr="00663267">
              <w:rPr>
                <w:rFonts w:ascii="Cambria" w:hAnsi="Cambria"/>
              </w:rPr>
              <w:t>of GDP)</w:t>
            </w:r>
          </w:p>
        </w:tc>
      </w:tr>
      <w:tr w:rsidR="00E27DE4" w14:paraId="040CD115" w14:textId="77777777" w:rsidTr="00B21985">
        <w:tc>
          <w:tcPr>
            <w:tcW w:w="5688" w:type="dxa"/>
          </w:tcPr>
          <w:p w14:paraId="5C174707" w14:textId="77777777" w:rsidR="00E27DE4" w:rsidRDefault="00E27DE4" w:rsidP="00B21985">
            <w:pPr>
              <w:jc w:val="both"/>
              <w:rPr>
                <w:rFonts w:ascii="Cambria" w:hAnsi="Cambria"/>
                <w:sz w:val="22"/>
                <w:szCs w:val="22"/>
              </w:rPr>
            </w:pPr>
            <w:r w:rsidRPr="00C20EC5">
              <w:rPr>
                <w:rFonts w:ascii="Cambria" w:hAnsi="Cambria"/>
                <w:noProof/>
              </w:rPr>
              <w:drawing>
                <wp:inline distT="0" distB="0" distL="0" distR="0" wp14:anchorId="13DFC84A" wp14:editId="0B136ACB">
                  <wp:extent cx="3457575" cy="2124075"/>
                  <wp:effectExtent l="0" t="0" r="9525"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5447" cy="2122768"/>
                          </a:xfrm>
                          <a:prstGeom prst="rect">
                            <a:avLst/>
                          </a:prstGeom>
                          <a:noFill/>
                          <a:ln>
                            <a:noFill/>
                          </a:ln>
                        </pic:spPr>
                      </pic:pic>
                    </a:graphicData>
                  </a:graphic>
                </wp:inline>
              </w:drawing>
            </w:r>
          </w:p>
        </w:tc>
      </w:tr>
      <w:tr w:rsidR="00E27DE4" w14:paraId="5B382491" w14:textId="77777777" w:rsidTr="00B21985">
        <w:tc>
          <w:tcPr>
            <w:tcW w:w="5688" w:type="dxa"/>
          </w:tcPr>
          <w:p w14:paraId="7ABDB791" w14:textId="3B3C1425" w:rsidR="00E27DE4" w:rsidRPr="00663267" w:rsidRDefault="00E27DE4" w:rsidP="00F22830">
            <w:pPr>
              <w:spacing w:before="40" w:after="120"/>
              <w:jc w:val="both"/>
              <w:rPr>
                <w:rFonts w:ascii="Cambria" w:hAnsi="Cambria"/>
                <w:sz w:val="18"/>
                <w:szCs w:val="18"/>
              </w:rPr>
            </w:pPr>
            <w:r w:rsidRPr="00634C23">
              <w:rPr>
                <w:rFonts w:ascii="Cambria" w:hAnsi="Cambria"/>
                <w:i/>
                <w:sz w:val="18"/>
                <w:szCs w:val="18"/>
              </w:rPr>
              <w:t>Source</w:t>
            </w:r>
            <w:r w:rsidRPr="00634C23">
              <w:rPr>
                <w:rFonts w:ascii="Cambria" w:hAnsi="Cambria"/>
                <w:sz w:val="18"/>
                <w:szCs w:val="18"/>
              </w:rPr>
              <w:t>:</w:t>
            </w:r>
            <w:r>
              <w:rPr>
                <w:rFonts w:ascii="Cambria" w:hAnsi="Cambria"/>
                <w:sz w:val="18"/>
                <w:szCs w:val="18"/>
              </w:rPr>
              <w:t xml:space="preserve"> </w:t>
            </w:r>
            <w:r w:rsidR="00975EB7">
              <w:rPr>
                <w:sz w:val="18"/>
                <w:szCs w:val="18"/>
              </w:rPr>
              <w:t>S</w:t>
            </w:r>
            <w:r w:rsidR="00975EB7" w:rsidRPr="00975EB7">
              <w:rPr>
                <w:sz w:val="18"/>
                <w:szCs w:val="18"/>
              </w:rPr>
              <w:t>taff projections using PROST.</w:t>
            </w:r>
            <w:r w:rsidRPr="00663267">
              <w:rPr>
                <w:rFonts w:ascii="Cambria" w:hAnsi="Cambria"/>
                <w:sz w:val="18"/>
                <w:szCs w:val="18"/>
              </w:rPr>
              <w:t xml:space="preserve"> </w:t>
            </w:r>
          </w:p>
        </w:tc>
      </w:tr>
    </w:tbl>
    <w:p w14:paraId="4FEA1078" w14:textId="5FF6941C" w:rsidR="00151EDB" w:rsidRPr="00C20EC5" w:rsidRDefault="00151EDB" w:rsidP="00876F35">
      <w:pPr>
        <w:numPr>
          <w:ilvl w:val="0"/>
          <w:numId w:val="3"/>
        </w:numPr>
        <w:spacing w:before="240" w:after="240"/>
        <w:jc w:val="both"/>
        <w:rPr>
          <w:rFonts w:ascii="Cambria" w:hAnsi="Cambria"/>
          <w:sz w:val="22"/>
          <w:szCs w:val="22"/>
        </w:rPr>
      </w:pPr>
      <w:r w:rsidRPr="00B21985">
        <w:rPr>
          <w:rFonts w:ascii="Cambria" w:hAnsi="Cambria"/>
          <w:b/>
          <w:sz w:val="22"/>
          <w:szCs w:val="22"/>
        </w:rPr>
        <w:t xml:space="preserve">In the longer run, </w:t>
      </w:r>
      <w:r w:rsidR="00463C52" w:rsidRPr="00B21985">
        <w:rPr>
          <w:rFonts w:ascii="Cambria" w:hAnsi="Cambria"/>
          <w:b/>
          <w:sz w:val="22"/>
          <w:szCs w:val="22"/>
        </w:rPr>
        <w:t>the system generates substantial surpluses</w:t>
      </w:r>
      <w:r w:rsidR="00463C52">
        <w:rPr>
          <w:rFonts w:ascii="Cambria" w:hAnsi="Cambria"/>
          <w:sz w:val="22"/>
          <w:szCs w:val="22"/>
        </w:rPr>
        <w:t xml:space="preserve">. </w:t>
      </w:r>
      <w:r w:rsidR="000E3C16">
        <w:rPr>
          <w:rFonts w:ascii="Cambria" w:hAnsi="Cambria"/>
          <w:sz w:val="22"/>
          <w:szCs w:val="22"/>
        </w:rPr>
        <w:t>T</w:t>
      </w:r>
      <w:r w:rsidRPr="00C20EC5">
        <w:rPr>
          <w:rFonts w:ascii="Cambria" w:hAnsi="Cambria"/>
          <w:sz w:val="22"/>
          <w:szCs w:val="22"/>
        </w:rPr>
        <w:t xml:space="preserve">he contribution revenues remain more or less stable as percentage of GDP due to the assumed constant contributor coverage rates and labor share of GDP. At the same time, the Social Fund expenditures relative to GDP decrease while the growth of the </w:t>
      </w:r>
      <w:r w:rsidR="00F63604" w:rsidRPr="00C20EC5">
        <w:rPr>
          <w:rFonts w:ascii="Cambria" w:hAnsi="Cambria"/>
          <w:sz w:val="22"/>
          <w:szCs w:val="22"/>
        </w:rPr>
        <w:t>number of beneficiaries</w:t>
      </w:r>
      <w:r w:rsidRPr="00C20EC5">
        <w:rPr>
          <w:rFonts w:ascii="Cambria" w:hAnsi="Cambria"/>
          <w:sz w:val="22"/>
          <w:szCs w:val="22"/>
        </w:rPr>
        <w:t xml:space="preserve"> slows down and the effect of falling replacement rates </w:t>
      </w:r>
      <w:r w:rsidR="00BA5DBE" w:rsidRPr="00C20EC5">
        <w:rPr>
          <w:rFonts w:ascii="Cambria" w:hAnsi="Cambria"/>
          <w:sz w:val="22"/>
          <w:szCs w:val="22"/>
        </w:rPr>
        <w:t xml:space="preserve">begins to </w:t>
      </w:r>
      <w:r w:rsidRPr="00C20EC5">
        <w:rPr>
          <w:rFonts w:ascii="Cambria" w:hAnsi="Cambria"/>
          <w:sz w:val="22"/>
          <w:szCs w:val="22"/>
        </w:rPr>
        <w:t>dominat</w:t>
      </w:r>
      <w:r w:rsidR="00BA5DBE" w:rsidRPr="00C20EC5">
        <w:rPr>
          <w:rFonts w:ascii="Cambria" w:hAnsi="Cambria"/>
          <w:sz w:val="22"/>
          <w:szCs w:val="22"/>
        </w:rPr>
        <w:t>e</w:t>
      </w:r>
      <w:r w:rsidRPr="00C20EC5">
        <w:rPr>
          <w:rFonts w:ascii="Cambria" w:hAnsi="Cambria"/>
          <w:sz w:val="22"/>
          <w:szCs w:val="22"/>
        </w:rPr>
        <w:t>. As a result, surplus</w:t>
      </w:r>
      <w:r w:rsidR="0083075B" w:rsidRPr="00C20EC5">
        <w:rPr>
          <w:rFonts w:ascii="Cambria" w:hAnsi="Cambria"/>
          <w:sz w:val="22"/>
          <w:szCs w:val="22"/>
        </w:rPr>
        <w:t>es reach 2</w:t>
      </w:r>
      <w:r w:rsidR="002B409D">
        <w:rPr>
          <w:rFonts w:ascii="Cambria" w:hAnsi="Cambria"/>
          <w:sz w:val="22"/>
          <w:szCs w:val="22"/>
        </w:rPr>
        <w:t xml:space="preserve"> percent</w:t>
      </w:r>
      <w:r w:rsidR="0083075B" w:rsidRPr="00C20EC5">
        <w:rPr>
          <w:rFonts w:ascii="Cambria" w:hAnsi="Cambria"/>
          <w:sz w:val="22"/>
          <w:szCs w:val="22"/>
        </w:rPr>
        <w:t xml:space="preserve"> of GDP by 2040s </w:t>
      </w:r>
      <w:r w:rsidR="000E3C16">
        <w:rPr>
          <w:rFonts w:ascii="Cambria" w:hAnsi="Cambria"/>
          <w:sz w:val="22"/>
          <w:szCs w:val="22"/>
        </w:rPr>
        <w:t xml:space="preserve">and </w:t>
      </w:r>
      <w:r w:rsidR="0083075B" w:rsidRPr="00C20EC5">
        <w:rPr>
          <w:rFonts w:ascii="Cambria" w:hAnsi="Cambria"/>
          <w:sz w:val="22"/>
          <w:szCs w:val="22"/>
        </w:rPr>
        <w:t xml:space="preserve">stabilize once replacement rates become constant. </w:t>
      </w:r>
      <w:r w:rsidRPr="00C20EC5">
        <w:rPr>
          <w:rFonts w:ascii="Cambria" w:hAnsi="Cambria"/>
          <w:sz w:val="22"/>
          <w:szCs w:val="22"/>
        </w:rPr>
        <w:t>Because the PAYG system in its current form pays low benefits compared with what pension system members contribute</w:t>
      </w:r>
      <w:r w:rsidR="00BA5DBE" w:rsidRPr="00C20EC5">
        <w:rPr>
          <w:rFonts w:ascii="Cambria" w:hAnsi="Cambria"/>
          <w:sz w:val="22"/>
          <w:szCs w:val="22"/>
        </w:rPr>
        <w:t>,</w:t>
      </w:r>
      <w:r w:rsidRPr="00C20EC5">
        <w:rPr>
          <w:rFonts w:ascii="Cambria" w:hAnsi="Cambria"/>
          <w:sz w:val="22"/>
          <w:szCs w:val="22"/>
        </w:rPr>
        <w:t xml:space="preserve"> </w:t>
      </w:r>
      <w:r w:rsidR="009A03C3" w:rsidRPr="00C20EC5">
        <w:rPr>
          <w:rFonts w:ascii="Cambria" w:hAnsi="Cambria"/>
          <w:sz w:val="22"/>
          <w:szCs w:val="22"/>
        </w:rPr>
        <w:t>it</w:t>
      </w:r>
      <w:r w:rsidRPr="00C20EC5">
        <w:rPr>
          <w:rFonts w:ascii="Cambria" w:hAnsi="Cambria"/>
          <w:sz w:val="22"/>
          <w:szCs w:val="22"/>
        </w:rPr>
        <w:t xml:space="preserve"> </w:t>
      </w:r>
      <w:r w:rsidR="00CB5957" w:rsidRPr="00C20EC5">
        <w:rPr>
          <w:rFonts w:ascii="Cambria" w:hAnsi="Cambria"/>
          <w:sz w:val="22"/>
          <w:szCs w:val="22"/>
        </w:rPr>
        <w:t>becomes overfunded</w:t>
      </w:r>
      <w:r w:rsidR="00BA5DBE" w:rsidRPr="00C20EC5">
        <w:rPr>
          <w:rFonts w:ascii="Cambria" w:hAnsi="Cambria"/>
          <w:sz w:val="22"/>
          <w:szCs w:val="22"/>
        </w:rPr>
        <w:t>.  However, it may not be</w:t>
      </w:r>
      <w:r w:rsidRPr="00C20EC5">
        <w:rPr>
          <w:rFonts w:ascii="Cambria" w:hAnsi="Cambria"/>
          <w:sz w:val="22"/>
          <w:szCs w:val="22"/>
        </w:rPr>
        <w:t xml:space="preserve"> </w:t>
      </w:r>
      <w:r w:rsidR="009A03C3" w:rsidRPr="00C20EC5">
        <w:rPr>
          <w:rFonts w:ascii="Cambria" w:hAnsi="Cambria"/>
          <w:sz w:val="22"/>
          <w:szCs w:val="22"/>
        </w:rPr>
        <w:t xml:space="preserve">sustainable </w:t>
      </w:r>
      <w:r w:rsidRPr="00C20EC5">
        <w:rPr>
          <w:rFonts w:ascii="Cambria" w:hAnsi="Cambria"/>
          <w:sz w:val="22"/>
          <w:szCs w:val="22"/>
        </w:rPr>
        <w:t>from the social standpoint.</w:t>
      </w:r>
    </w:p>
    <w:p w14:paraId="52D60158" w14:textId="1F70D63A" w:rsidR="00634C23" w:rsidRDefault="009C6E7C" w:rsidP="00F22830">
      <w:pPr>
        <w:numPr>
          <w:ilvl w:val="0"/>
          <w:numId w:val="3"/>
        </w:numPr>
        <w:spacing w:before="240" w:after="240"/>
        <w:jc w:val="both"/>
      </w:pPr>
      <w:r w:rsidRPr="00F22830">
        <w:rPr>
          <w:rFonts w:ascii="Cambria" w:hAnsi="Cambria"/>
          <w:b/>
          <w:sz w:val="22"/>
          <w:szCs w:val="22"/>
        </w:rPr>
        <w:lastRenderedPageBreak/>
        <w:t>While the Social Fund is projected to run surpluses, government expenditures on basic pension</w:t>
      </w:r>
      <w:r w:rsidR="00B022F2" w:rsidRPr="00F22830">
        <w:rPr>
          <w:rFonts w:ascii="Cambria" w:hAnsi="Cambria"/>
          <w:b/>
          <w:sz w:val="22"/>
          <w:szCs w:val="22"/>
        </w:rPr>
        <w:t>s</w:t>
      </w:r>
      <w:r w:rsidR="00434785" w:rsidRPr="00F22830">
        <w:rPr>
          <w:rFonts w:ascii="Cambria" w:hAnsi="Cambria"/>
          <w:b/>
          <w:sz w:val="22"/>
          <w:szCs w:val="22"/>
        </w:rPr>
        <w:t xml:space="preserve"> grow fast</w:t>
      </w:r>
      <w:r w:rsidR="00434785" w:rsidRPr="00F22830">
        <w:rPr>
          <w:rFonts w:ascii="Cambria" w:hAnsi="Cambria"/>
          <w:sz w:val="22"/>
          <w:szCs w:val="22"/>
        </w:rPr>
        <w:t xml:space="preserve"> (Figure </w:t>
      </w:r>
      <w:r w:rsidR="00BA6CE2" w:rsidRPr="00F22830">
        <w:rPr>
          <w:rFonts w:ascii="Cambria" w:hAnsi="Cambria"/>
          <w:sz w:val="22"/>
          <w:szCs w:val="22"/>
        </w:rPr>
        <w:t>11</w:t>
      </w:r>
      <w:r w:rsidR="00434785" w:rsidRPr="00F22830">
        <w:rPr>
          <w:rFonts w:ascii="Cambria" w:hAnsi="Cambria"/>
          <w:sz w:val="22"/>
          <w:szCs w:val="22"/>
        </w:rPr>
        <w:t>). They triple just over the next 3 years: from the current 1</w:t>
      </w:r>
      <w:r w:rsidR="002B409D" w:rsidRPr="00F22830">
        <w:rPr>
          <w:rFonts w:ascii="Cambria" w:hAnsi="Cambria"/>
          <w:sz w:val="22"/>
          <w:szCs w:val="22"/>
        </w:rPr>
        <w:t xml:space="preserve"> percent</w:t>
      </w:r>
      <w:r w:rsidR="00434785" w:rsidRPr="00F22830">
        <w:rPr>
          <w:rFonts w:ascii="Cambria" w:hAnsi="Cambria"/>
          <w:sz w:val="22"/>
          <w:szCs w:val="22"/>
        </w:rPr>
        <w:t xml:space="preserve"> of GDP to 3.1</w:t>
      </w:r>
      <w:r w:rsidR="002B409D" w:rsidRPr="00F22830">
        <w:rPr>
          <w:rFonts w:ascii="Cambria" w:hAnsi="Cambria"/>
          <w:sz w:val="22"/>
          <w:szCs w:val="22"/>
        </w:rPr>
        <w:t xml:space="preserve"> percent</w:t>
      </w:r>
      <w:r w:rsidR="00434785" w:rsidRPr="00F22830">
        <w:rPr>
          <w:rFonts w:ascii="Cambria" w:hAnsi="Cambria"/>
          <w:sz w:val="22"/>
          <w:szCs w:val="22"/>
        </w:rPr>
        <w:t xml:space="preserve"> in 2014, then continue</w:t>
      </w:r>
      <w:r w:rsidRPr="00F22830">
        <w:rPr>
          <w:rFonts w:ascii="Cambria" w:hAnsi="Cambria"/>
          <w:sz w:val="22"/>
          <w:szCs w:val="22"/>
        </w:rPr>
        <w:t xml:space="preserve"> </w:t>
      </w:r>
      <w:r w:rsidR="00183E3A" w:rsidRPr="00F22830">
        <w:rPr>
          <w:rFonts w:ascii="Cambria" w:hAnsi="Cambria"/>
          <w:sz w:val="22"/>
          <w:szCs w:val="22"/>
        </w:rPr>
        <w:t xml:space="preserve">to </w:t>
      </w:r>
      <w:r w:rsidR="00434785" w:rsidRPr="00F22830">
        <w:rPr>
          <w:rFonts w:ascii="Cambria" w:hAnsi="Cambria"/>
          <w:sz w:val="22"/>
          <w:szCs w:val="22"/>
        </w:rPr>
        <w:t>increase reaching</w:t>
      </w:r>
      <w:r w:rsidR="000F6FE4" w:rsidRPr="00F22830">
        <w:rPr>
          <w:rFonts w:ascii="Cambria" w:hAnsi="Cambria"/>
          <w:sz w:val="22"/>
          <w:szCs w:val="22"/>
        </w:rPr>
        <w:t xml:space="preserve"> 5</w:t>
      </w:r>
      <w:r w:rsidR="002B409D" w:rsidRPr="00F22830">
        <w:rPr>
          <w:rFonts w:ascii="Cambria" w:hAnsi="Cambria"/>
          <w:sz w:val="22"/>
          <w:szCs w:val="22"/>
        </w:rPr>
        <w:t xml:space="preserve"> percent</w:t>
      </w:r>
      <w:r w:rsidR="000F6FE4" w:rsidRPr="00F22830">
        <w:rPr>
          <w:rFonts w:ascii="Cambria" w:hAnsi="Cambria"/>
          <w:sz w:val="22"/>
          <w:szCs w:val="22"/>
        </w:rPr>
        <w:t xml:space="preserve"> in 2050 and 6</w:t>
      </w:r>
      <w:r w:rsidR="002B409D" w:rsidRPr="00F22830">
        <w:rPr>
          <w:rFonts w:ascii="Cambria" w:hAnsi="Cambria"/>
          <w:sz w:val="22"/>
          <w:szCs w:val="22"/>
        </w:rPr>
        <w:t xml:space="preserve"> percent</w:t>
      </w:r>
      <w:r w:rsidR="00EE4576" w:rsidRPr="00F22830">
        <w:rPr>
          <w:rFonts w:ascii="Cambria" w:hAnsi="Cambria"/>
          <w:sz w:val="22"/>
          <w:szCs w:val="22"/>
        </w:rPr>
        <w:t xml:space="preserve"> in the long</w:t>
      </w:r>
      <w:r w:rsidR="000F6FE4" w:rsidRPr="00F22830">
        <w:rPr>
          <w:rFonts w:ascii="Cambria" w:hAnsi="Cambria"/>
          <w:sz w:val="22"/>
          <w:szCs w:val="22"/>
        </w:rPr>
        <w:t>er</w:t>
      </w:r>
      <w:r w:rsidR="00EE4576" w:rsidRPr="00F22830">
        <w:rPr>
          <w:rFonts w:ascii="Cambria" w:hAnsi="Cambria"/>
          <w:sz w:val="22"/>
          <w:szCs w:val="22"/>
        </w:rPr>
        <w:t xml:space="preserve"> run</w:t>
      </w:r>
      <w:r w:rsidR="00634C23" w:rsidRPr="00F22830">
        <w:rPr>
          <w:rFonts w:ascii="Cambria" w:hAnsi="Cambria"/>
          <w:sz w:val="22"/>
          <w:szCs w:val="22"/>
        </w:rPr>
        <w:t xml:space="preserve">, </w:t>
      </w:r>
      <w:r w:rsidR="00EE4576" w:rsidRPr="00F22830">
        <w:rPr>
          <w:rFonts w:ascii="Cambria" w:hAnsi="Cambria"/>
          <w:sz w:val="22"/>
          <w:szCs w:val="22"/>
        </w:rPr>
        <w:t xml:space="preserve">driven by aging of the </w:t>
      </w:r>
      <w:r w:rsidR="00183E3A" w:rsidRPr="00F22830">
        <w:rPr>
          <w:rFonts w:ascii="Cambria" w:hAnsi="Cambria"/>
          <w:sz w:val="22"/>
          <w:szCs w:val="22"/>
        </w:rPr>
        <w:t xml:space="preserve">covered </w:t>
      </w:r>
      <w:r w:rsidR="00EE4576" w:rsidRPr="00F22830">
        <w:rPr>
          <w:rFonts w:ascii="Cambria" w:hAnsi="Cambria"/>
          <w:sz w:val="22"/>
          <w:szCs w:val="22"/>
        </w:rPr>
        <w:t>population</w:t>
      </w:r>
      <w:r w:rsidRPr="00F22830">
        <w:rPr>
          <w:rFonts w:ascii="Cambria" w:hAnsi="Cambria"/>
          <w:sz w:val="22"/>
          <w:szCs w:val="22"/>
        </w:rPr>
        <w:t xml:space="preserve">. </w:t>
      </w:r>
      <w:r w:rsidR="005F0F9B" w:rsidRPr="00F22830">
        <w:rPr>
          <w:rFonts w:ascii="Cambria" w:hAnsi="Cambria"/>
          <w:sz w:val="22"/>
          <w:szCs w:val="22"/>
        </w:rPr>
        <w:t>In less than 3 decades</w:t>
      </w:r>
      <w:r w:rsidR="00D92D9D" w:rsidRPr="00F22830">
        <w:rPr>
          <w:rFonts w:ascii="Cambria" w:hAnsi="Cambria"/>
          <w:sz w:val="22"/>
          <w:szCs w:val="22"/>
        </w:rPr>
        <w:t xml:space="preserve">, basic pension payments </w:t>
      </w:r>
      <w:r w:rsidR="005F0F9B" w:rsidRPr="00F22830">
        <w:rPr>
          <w:rFonts w:ascii="Cambria" w:hAnsi="Cambria"/>
          <w:sz w:val="22"/>
          <w:szCs w:val="22"/>
        </w:rPr>
        <w:t xml:space="preserve">are projected to </w:t>
      </w:r>
      <w:r w:rsidR="00D92D9D" w:rsidRPr="00F22830">
        <w:rPr>
          <w:rFonts w:ascii="Cambria" w:hAnsi="Cambria"/>
          <w:sz w:val="22"/>
          <w:szCs w:val="22"/>
        </w:rPr>
        <w:t xml:space="preserve">exceed the levels of insurance pension payments </w:t>
      </w:r>
      <w:r w:rsidR="00183E3A" w:rsidRPr="00F22830">
        <w:rPr>
          <w:rFonts w:ascii="Cambria" w:hAnsi="Cambria"/>
          <w:sz w:val="22"/>
          <w:szCs w:val="22"/>
        </w:rPr>
        <w:t>financed</w:t>
      </w:r>
      <w:r w:rsidR="00D92D9D" w:rsidRPr="00F22830">
        <w:rPr>
          <w:rFonts w:ascii="Cambria" w:hAnsi="Cambria"/>
          <w:sz w:val="22"/>
          <w:szCs w:val="22"/>
        </w:rPr>
        <w:t xml:space="preserve"> by the Social Fund</w:t>
      </w:r>
      <w:r w:rsidR="005F0F9B" w:rsidRPr="00F22830">
        <w:rPr>
          <w:rFonts w:ascii="Cambria" w:hAnsi="Cambria"/>
          <w:sz w:val="22"/>
          <w:szCs w:val="22"/>
        </w:rPr>
        <w:t xml:space="preserve"> (compare </w:t>
      </w:r>
      <w:r w:rsidR="003B4732" w:rsidRPr="00F22830">
        <w:rPr>
          <w:rFonts w:ascii="Cambria" w:hAnsi="Cambria"/>
          <w:sz w:val="22"/>
          <w:szCs w:val="22"/>
        </w:rPr>
        <w:t xml:space="preserve">Figure </w:t>
      </w:r>
      <w:r w:rsidR="00B6346F" w:rsidRPr="00F22830">
        <w:rPr>
          <w:rFonts w:ascii="Cambria" w:hAnsi="Cambria"/>
          <w:sz w:val="22"/>
          <w:szCs w:val="22"/>
        </w:rPr>
        <w:t>11</w:t>
      </w:r>
      <w:r w:rsidR="003B4732" w:rsidRPr="00F22830">
        <w:rPr>
          <w:rFonts w:ascii="Cambria" w:hAnsi="Cambria"/>
          <w:sz w:val="22"/>
          <w:szCs w:val="22"/>
        </w:rPr>
        <w:t xml:space="preserve"> </w:t>
      </w:r>
      <w:r w:rsidR="005F0F9B" w:rsidRPr="00F22830">
        <w:rPr>
          <w:rFonts w:ascii="Cambria" w:hAnsi="Cambria"/>
          <w:sz w:val="22"/>
          <w:szCs w:val="22"/>
        </w:rPr>
        <w:t xml:space="preserve">with the projected Social Fund expenditures in Figure </w:t>
      </w:r>
      <w:r w:rsidR="00B6346F" w:rsidRPr="00F22830">
        <w:rPr>
          <w:rFonts w:ascii="Cambria" w:hAnsi="Cambria"/>
          <w:sz w:val="22"/>
          <w:szCs w:val="22"/>
        </w:rPr>
        <w:t>10</w:t>
      </w:r>
      <w:r w:rsidR="005F0F9B" w:rsidRPr="00F22830">
        <w:rPr>
          <w:rFonts w:ascii="Cambria" w:hAnsi="Cambria"/>
          <w:sz w:val="22"/>
          <w:szCs w:val="22"/>
        </w:rPr>
        <w:t>)</w:t>
      </w:r>
      <w:r w:rsidR="00D92D9D" w:rsidRPr="00F22830">
        <w:rPr>
          <w:rFonts w:ascii="Cambria" w:hAnsi="Cambria"/>
          <w:sz w:val="22"/>
          <w:szCs w:val="22"/>
        </w:rPr>
        <w:t xml:space="preserve">. If all </w:t>
      </w:r>
      <w:r w:rsidR="009A4369" w:rsidRPr="00F22830">
        <w:rPr>
          <w:rFonts w:ascii="Cambria" w:hAnsi="Cambria"/>
          <w:sz w:val="22"/>
          <w:szCs w:val="22"/>
        </w:rPr>
        <w:t xml:space="preserve">benefit payments were financed by contributions the Social Fund would </w:t>
      </w:r>
      <w:r w:rsidR="00E55D28" w:rsidRPr="00F22830">
        <w:rPr>
          <w:rFonts w:ascii="Cambria" w:hAnsi="Cambria"/>
          <w:sz w:val="22"/>
          <w:szCs w:val="22"/>
        </w:rPr>
        <w:t xml:space="preserve">have </w:t>
      </w:r>
      <w:r w:rsidR="009A4369" w:rsidRPr="00F22830">
        <w:rPr>
          <w:rFonts w:ascii="Cambria" w:hAnsi="Cambria"/>
          <w:sz w:val="22"/>
          <w:szCs w:val="22"/>
        </w:rPr>
        <w:t>run deficits amounting up to 4</w:t>
      </w:r>
      <w:r w:rsidR="002B409D" w:rsidRPr="00F22830">
        <w:rPr>
          <w:rFonts w:ascii="Cambria" w:hAnsi="Cambria"/>
          <w:sz w:val="22"/>
          <w:szCs w:val="22"/>
        </w:rPr>
        <w:t xml:space="preserve"> percent</w:t>
      </w:r>
      <w:r w:rsidR="009A4369" w:rsidRPr="00F22830">
        <w:rPr>
          <w:rFonts w:ascii="Cambria" w:hAnsi="Cambria"/>
          <w:sz w:val="22"/>
          <w:szCs w:val="22"/>
        </w:rPr>
        <w:t xml:space="preserve"> of GDP.</w:t>
      </w:r>
    </w:p>
    <w:tbl>
      <w:tblPr>
        <w:tblStyle w:val="TableGrid"/>
        <w:tblpPr w:leftFromText="180" w:rightFromText="180" w:vertAnchor="text" w:horzAnchor="margin" w:tblpXSpec="right" w:tblpY="2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4"/>
      </w:tblGrid>
      <w:tr w:rsidR="000B2CD8" w14:paraId="014B7E38" w14:textId="77777777" w:rsidTr="000B2CD8">
        <w:trPr>
          <w:trHeight w:val="537"/>
        </w:trPr>
        <w:tc>
          <w:tcPr>
            <w:tcW w:w="5904" w:type="dxa"/>
          </w:tcPr>
          <w:p w14:paraId="082606BD" w14:textId="12BC09F0" w:rsidR="000B2CD8" w:rsidRDefault="000B2CD8" w:rsidP="000B2CD8">
            <w:pPr>
              <w:pStyle w:val="Caption"/>
              <w:spacing w:after="0"/>
            </w:pPr>
            <w:bookmarkStart w:id="22" w:name="_Toc378163844"/>
            <w:r>
              <w:t xml:space="preserve">Figure </w:t>
            </w:r>
            <w:r w:rsidR="00C646A3">
              <w:fldChar w:fldCharType="begin"/>
            </w:r>
            <w:r w:rsidR="00C646A3">
              <w:instrText xml:space="preserve"> SEQ Figure_ \* ARABIC </w:instrText>
            </w:r>
            <w:r w:rsidR="00C646A3">
              <w:fldChar w:fldCharType="separate"/>
            </w:r>
            <w:r w:rsidR="00C646A3">
              <w:rPr>
                <w:noProof/>
              </w:rPr>
              <w:t>11</w:t>
            </w:r>
            <w:r w:rsidR="00C646A3">
              <w:rPr>
                <w:noProof/>
              </w:rPr>
              <w:fldChar w:fldCharType="end"/>
            </w:r>
            <w:r>
              <w:t>.</w:t>
            </w:r>
            <w:r w:rsidRPr="00C20EC5">
              <w:t xml:space="preserve"> Government Spending on Basic and Social Pensions</w:t>
            </w:r>
            <w:bookmarkEnd w:id="22"/>
          </w:p>
          <w:p w14:paraId="35DD2E71" w14:textId="0A109CC2" w:rsidR="000B2CD8" w:rsidRPr="00CC7958" w:rsidRDefault="000B2CD8" w:rsidP="000B2CD8">
            <w:pPr>
              <w:jc w:val="center"/>
              <w:rPr>
                <w:rFonts w:ascii="Cambria" w:hAnsi="Cambria"/>
              </w:rPr>
            </w:pPr>
            <w:r w:rsidRPr="00CC7958">
              <w:rPr>
                <w:rFonts w:ascii="Cambria" w:hAnsi="Cambria"/>
              </w:rPr>
              <w:t>(</w:t>
            </w:r>
            <w:r w:rsidR="00A12C28" w:rsidRPr="00CC7958">
              <w:rPr>
                <w:rFonts w:ascii="Cambria" w:hAnsi="Cambria"/>
              </w:rPr>
              <w:t xml:space="preserve">Percent </w:t>
            </w:r>
            <w:r w:rsidRPr="00CC7958">
              <w:rPr>
                <w:rFonts w:ascii="Cambria" w:hAnsi="Cambria"/>
              </w:rPr>
              <w:t>of GDP)</w:t>
            </w:r>
          </w:p>
        </w:tc>
      </w:tr>
      <w:tr w:rsidR="000B2CD8" w14:paraId="566BC8E0" w14:textId="77777777" w:rsidTr="000B2CD8">
        <w:tc>
          <w:tcPr>
            <w:tcW w:w="5904" w:type="dxa"/>
          </w:tcPr>
          <w:p w14:paraId="4835E3AA" w14:textId="77777777" w:rsidR="000B2CD8" w:rsidRDefault="000B2CD8" w:rsidP="000B2CD8">
            <w:pPr>
              <w:pStyle w:val="Caption"/>
            </w:pPr>
            <w:r>
              <w:rPr>
                <w:noProof/>
              </w:rPr>
              <w:drawing>
                <wp:inline distT="0" distB="0" distL="0" distR="0" wp14:anchorId="1C2E22E3" wp14:editId="7C034F33">
                  <wp:extent cx="3498574" cy="2067339"/>
                  <wp:effectExtent l="0" t="0" r="2603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B2CD8" w14:paraId="0394DCBC" w14:textId="77777777" w:rsidTr="000B2CD8">
        <w:tc>
          <w:tcPr>
            <w:tcW w:w="5904" w:type="dxa"/>
          </w:tcPr>
          <w:p w14:paraId="00060FB2" w14:textId="73AF8679" w:rsidR="000B2CD8" w:rsidRPr="00E74643" w:rsidRDefault="000B2CD8" w:rsidP="00EB2A88">
            <w:pPr>
              <w:pStyle w:val="Caption"/>
              <w:spacing w:before="40" w:after="240"/>
              <w:jc w:val="left"/>
              <w:rPr>
                <w:b w:val="0"/>
                <w:sz w:val="18"/>
                <w:szCs w:val="18"/>
              </w:rPr>
            </w:pPr>
            <w:r w:rsidRPr="00634C23">
              <w:rPr>
                <w:b w:val="0"/>
                <w:i/>
                <w:sz w:val="18"/>
                <w:szCs w:val="18"/>
              </w:rPr>
              <w:t>Source</w:t>
            </w:r>
            <w:r w:rsidRPr="00634C23">
              <w:rPr>
                <w:b w:val="0"/>
                <w:sz w:val="18"/>
                <w:szCs w:val="18"/>
              </w:rPr>
              <w:t>:</w:t>
            </w:r>
            <w:r w:rsidRPr="00E74643">
              <w:rPr>
                <w:b w:val="0"/>
                <w:sz w:val="18"/>
                <w:szCs w:val="18"/>
              </w:rPr>
              <w:t xml:space="preserve"> </w:t>
            </w:r>
            <w:r w:rsidR="00975EB7">
              <w:rPr>
                <w:sz w:val="18"/>
                <w:szCs w:val="18"/>
              </w:rPr>
              <w:t xml:space="preserve"> </w:t>
            </w:r>
            <w:r w:rsidR="00975EB7" w:rsidRPr="00975EB7">
              <w:rPr>
                <w:b w:val="0"/>
                <w:sz w:val="18"/>
                <w:szCs w:val="18"/>
              </w:rPr>
              <w:t>Staff projections using PROST.</w:t>
            </w:r>
          </w:p>
        </w:tc>
      </w:tr>
    </w:tbl>
    <w:p w14:paraId="00E4CD34" w14:textId="41FE1499" w:rsidR="00E86A23" w:rsidRPr="00C20EC5" w:rsidRDefault="00784B18" w:rsidP="00876F35">
      <w:pPr>
        <w:numPr>
          <w:ilvl w:val="0"/>
          <w:numId w:val="3"/>
        </w:numPr>
        <w:spacing w:before="240" w:after="240"/>
        <w:jc w:val="both"/>
        <w:rPr>
          <w:rFonts w:ascii="Cambria" w:hAnsi="Cambria"/>
          <w:sz w:val="22"/>
          <w:szCs w:val="22"/>
        </w:rPr>
      </w:pPr>
      <w:r w:rsidRPr="00B21985">
        <w:rPr>
          <w:rFonts w:ascii="Cambria" w:hAnsi="Cambria"/>
          <w:b/>
          <w:sz w:val="22"/>
          <w:szCs w:val="22"/>
        </w:rPr>
        <w:t>Government spending on social pensions also increases substantially.</w:t>
      </w:r>
      <w:r>
        <w:rPr>
          <w:rFonts w:ascii="Cambria" w:hAnsi="Cambria"/>
          <w:sz w:val="22"/>
          <w:szCs w:val="22"/>
        </w:rPr>
        <w:t xml:space="preserve"> </w:t>
      </w:r>
      <w:r w:rsidR="00F24C7E" w:rsidRPr="00C20EC5">
        <w:rPr>
          <w:rFonts w:ascii="Cambria" w:hAnsi="Cambria"/>
          <w:sz w:val="22"/>
          <w:szCs w:val="22"/>
        </w:rPr>
        <w:t xml:space="preserve">In addition to basic pensions paid to the covered population, the government – as mentioned in the previous section – will also face the need to deal with an increasing share of the uncovered </w:t>
      </w:r>
      <w:r w:rsidR="00A47C53">
        <w:rPr>
          <w:rFonts w:ascii="Cambria" w:hAnsi="Cambria"/>
          <w:sz w:val="22"/>
          <w:szCs w:val="22"/>
        </w:rPr>
        <w:t>old-age</w:t>
      </w:r>
      <w:r w:rsidR="00F24C7E" w:rsidRPr="00C20EC5">
        <w:rPr>
          <w:rFonts w:ascii="Cambria" w:hAnsi="Cambria"/>
          <w:sz w:val="22"/>
          <w:szCs w:val="22"/>
        </w:rPr>
        <w:t xml:space="preserve"> once the current working age population evading participation in the national pension system reach the retirement age. The number of old</w:t>
      </w:r>
      <w:r w:rsidR="00BA5DBE" w:rsidRPr="00C20EC5">
        <w:rPr>
          <w:rFonts w:ascii="Cambria" w:hAnsi="Cambria"/>
          <w:sz w:val="22"/>
          <w:szCs w:val="22"/>
        </w:rPr>
        <w:t>er persons</w:t>
      </w:r>
      <w:r w:rsidR="00F24C7E" w:rsidRPr="00C20EC5">
        <w:rPr>
          <w:rFonts w:ascii="Cambria" w:hAnsi="Cambria"/>
          <w:sz w:val="22"/>
          <w:szCs w:val="22"/>
        </w:rPr>
        <w:t xml:space="preserve"> claiming social pension is projected to rise substantially in about 25-30 years, by when the cohorts with pre-transition pension rights will have mostly retired, and then continue to grow in line with increasing longevity. </w:t>
      </w:r>
      <w:r w:rsidR="00634C23">
        <w:rPr>
          <w:rFonts w:ascii="Cambria" w:hAnsi="Cambria"/>
          <w:sz w:val="22"/>
          <w:szCs w:val="22"/>
        </w:rPr>
        <w:t>Projections indicate that e</w:t>
      </w:r>
      <w:r w:rsidR="00F24C7E" w:rsidRPr="00C20EC5">
        <w:rPr>
          <w:rFonts w:ascii="Cambria" w:hAnsi="Cambria"/>
          <w:sz w:val="22"/>
          <w:szCs w:val="22"/>
        </w:rPr>
        <w:t>ventually, about 40</w:t>
      </w:r>
      <w:r w:rsidR="002B409D">
        <w:rPr>
          <w:rFonts w:ascii="Cambria" w:hAnsi="Cambria"/>
          <w:sz w:val="22"/>
          <w:szCs w:val="22"/>
        </w:rPr>
        <w:t xml:space="preserve"> percent</w:t>
      </w:r>
      <w:r w:rsidR="00F24C7E" w:rsidRPr="00C20EC5">
        <w:rPr>
          <w:rFonts w:ascii="Cambria" w:hAnsi="Cambria"/>
          <w:sz w:val="22"/>
          <w:szCs w:val="22"/>
        </w:rPr>
        <w:t xml:space="preserve"> of </w:t>
      </w:r>
      <w:r w:rsidR="00BA5DBE" w:rsidRPr="00C20EC5">
        <w:rPr>
          <w:rFonts w:ascii="Cambria" w:hAnsi="Cambria"/>
          <w:sz w:val="22"/>
          <w:szCs w:val="22"/>
        </w:rPr>
        <w:t>the elderly</w:t>
      </w:r>
      <w:r w:rsidR="00540F3C" w:rsidRPr="00C20EC5">
        <w:rPr>
          <w:rFonts w:ascii="Cambria" w:hAnsi="Cambria"/>
          <w:sz w:val="22"/>
          <w:szCs w:val="22"/>
        </w:rPr>
        <w:t xml:space="preserve"> </w:t>
      </w:r>
      <w:r w:rsidR="00634C23">
        <w:rPr>
          <w:rFonts w:ascii="Cambria" w:hAnsi="Cambria"/>
          <w:sz w:val="22"/>
          <w:szCs w:val="22"/>
        </w:rPr>
        <w:t>will</w:t>
      </w:r>
      <w:r w:rsidR="00F24C7E" w:rsidRPr="00C20EC5">
        <w:rPr>
          <w:rFonts w:ascii="Cambria" w:hAnsi="Cambria"/>
          <w:sz w:val="22"/>
          <w:szCs w:val="22"/>
        </w:rPr>
        <w:t xml:space="preserve"> rely on</w:t>
      </w:r>
      <w:r w:rsidR="00BA5DBE" w:rsidRPr="00C20EC5">
        <w:rPr>
          <w:rFonts w:ascii="Cambria" w:hAnsi="Cambria"/>
          <w:sz w:val="22"/>
          <w:szCs w:val="22"/>
        </w:rPr>
        <w:t xml:space="preserve"> the</w:t>
      </w:r>
      <w:r w:rsidR="00F24C7E" w:rsidRPr="00C20EC5">
        <w:rPr>
          <w:rFonts w:ascii="Cambria" w:hAnsi="Cambria"/>
          <w:sz w:val="22"/>
          <w:szCs w:val="22"/>
        </w:rPr>
        <w:t xml:space="preserve"> social pension. </w:t>
      </w:r>
      <w:r w:rsidR="00E86A23" w:rsidRPr="00C20EC5">
        <w:rPr>
          <w:rFonts w:ascii="Cambria" w:hAnsi="Cambria"/>
          <w:sz w:val="22"/>
          <w:szCs w:val="22"/>
        </w:rPr>
        <w:t xml:space="preserve">If the social pension (currently 1,000 </w:t>
      </w:r>
      <w:proofErr w:type="spellStart"/>
      <w:r w:rsidR="00E86A23" w:rsidRPr="00C20EC5">
        <w:rPr>
          <w:rFonts w:ascii="Cambria" w:hAnsi="Cambria"/>
          <w:sz w:val="22"/>
          <w:szCs w:val="22"/>
        </w:rPr>
        <w:t>soms</w:t>
      </w:r>
      <w:proofErr w:type="spellEnd"/>
      <w:r w:rsidR="00E86A23" w:rsidRPr="00C20EC5">
        <w:rPr>
          <w:rFonts w:ascii="Cambria" w:hAnsi="Cambria"/>
          <w:sz w:val="22"/>
          <w:szCs w:val="22"/>
        </w:rPr>
        <w:t>) remains the same relative to basic pension, its cost to the government may reach 1</w:t>
      </w:r>
      <w:r w:rsidR="002B409D">
        <w:rPr>
          <w:rFonts w:ascii="Cambria" w:hAnsi="Cambria"/>
          <w:sz w:val="22"/>
          <w:szCs w:val="22"/>
        </w:rPr>
        <w:t xml:space="preserve"> percent</w:t>
      </w:r>
      <w:r w:rsidR="00E86A23" w:rsidRPr="00C20EC5">
        <w:rPr>
          <w:rFonts w:ascii="Cambria" w:hAnsi="Cambria"/>
          <w:sz w:val="22"/>
          <w:szCs w:val="22"/>
        </w:rPr>
        <w:t xml:space="preserve"> of GDP in 2050 and 1.8</w:t>
      </w:r>
      <w:r w:rsidR="002B409D">
        <w:rPr>
          <w:rFonts w:ascii="Cambria" w:hAnsi="Cambria"/>
          <w:sz w:val="22"/>
          <w:szCs w:val="22"/>
        </w:rPr>
        <w:t xml:space="preserve"> percent</w:t>
      </w:r>
      <w:r w:rsidR="00E86A23" w:rsidRPr="00C20EC5">
        <w:rPr>
          <w:rFonts w:ascii="Cambria" w:hAnsi="Cambria"/>
          <w:sz w:val="22"/>
          <w:szCs w:val="22"/>
        </w:rPr>
        <w:t xml:space="preserve"> by the end of the projection period bringing up the total government spending on basic and social pensions to 6.2</w:t>
      </w:r>
      <w:r w:rsidR="002B409D">
        <w:rPr>
          <w:rFonts w:ascii="Cambria" w:hAnsi="Cambria"/>
          <w:sz w:val="22"/>
          <w:szCs w:val="22"/>
        </w:rPr>
        <w:t xml:space="preserve"> percent</w:t>
      </w:r>
      <w:r w:rsidR="00E86A23" w:rsidRPr="00C20EC5">
        <w:rPr>
          <w:rFonts w:ascii="Cambria" w:hAnsi="Cambria"/>
          <w:sz w:val="22"/>
          <w:szCs w:val="22"/>
        </w:rPr>
        <w:t xml:space="preserve"> and 7.6</w:t>
      </w:r>
      <w:r w:rsidR="002B409D">
        <w:rPr>
          <w:rFonts w:ascii="Cambria" w:hAnsi="Cambria"/>
          <w:sz w:val="22"/>
          <w:szCs w:val="22"/>
        </w:rPr>
        <w:t xml:space="preserve"> percent</w:t>
      </w:r>
      <w:r w:rsidR="00E86A23" w:rsidRPr="00C20EC5">
        <w:rPr>
          <w:rFonts w:ascii="Cambria" w:hAnsi="Cambria"/>
          <w:sz w:val="22"/>
          <w:szCs w:val="22"/>
        </w:rPr>
        <w:t xml:space="preserve"> of GDP respectively (Figure 11). </w:t>
      </w:r>
    </w:p>
    <w:tbl>
      <w:tblPr>
        <w:tblStyle w:val="TableGrid"/>
        <w:tblpPr w:leftFromText="180" w:rightFromText="180" w:vertAnchor="text" w:horzAnchor="margin" w:tblpXSpec="right" w:tblpY="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tblGrid>
      <w:tr w:rsidR="00B441B4" w14:paraId="1654C86B" w14:textId="77777777" w:rsidTr="00B441B4">
        <w:trPr>
          <w:trHeight w:val="530"/>
        </w:trPr>
        <w:tc>
          <w:tcPr>
            <w:tcW w:w="6606" w:type="dxa"/>
          </w:tcPr>
          <w:p w14:paraId="64A0E7CC" w14:textId="77777777" w:rsidR="00B441B4" w:rsidRPr="00E74643" w:rsidRDefault="00B441B4" w:rsidP="00B441B4">
            <w:pPr>
              <w:pStyle w:val="Caption"/>
              <w:spacing w:after="0"/>
              <w:rPr>
                <w:noProof/>
              </w:rPr>
            </w:pPr>
            <w:bookmarkStart w:id="23" w:name="_Toc378163845"/>
            <w:r>
              <w:t xml:space="preserve">Figure </w:t>
            </w:r>
            <w:r w:rsidR="00C646A3">
              <w:fldChar w:fldCharType="begin"/>
            </w:r>
            <w:r w:rsidR="00C646A3">
              <w:instrText xml:space="preserve"> SEQ Figure_ \* ARABIC </w:instrText>
            </w:r>
            <w:r w:rsidR="00C646A3">
              <w:fldChar w:fldCharType="separate"/>
            </w:r>
            <w:r w:rsidR="00C646A3">
              <w:rPr>
                <w:noProof/>
              </w:rPr>
              <w:t>12</w:t>
            </w:r>
            <w:r w:rsidR="00C646A3">
              <w:rPr>
                <w:noProof/>
              </w:rPr>
              <w:fldChar w:fldCharType="end"/>
            </w:r>
            <w:r>
              <w:t>.</w:t>
            </w:r>
            <w:r w:rsidRPr="00C20EC5">
              <w:rPr>
                <w:b w:val="0"/>
              </w:rPr>
              <w:t xml:space="preserve"> </w:t>
            </w:r>
            <w:r w:rsidRPr="00E74643">
              <w:rPr>
                <w:noProof/>
              </w:rPr>
              <w:t>Consolidated Public Pension Expenditures</w:t>
            </w:r>
            <w:bookmarkEnd w:id="23"/>
          </w:p>
          <w:p w14:paraId="0BE975B1" w14:textId="3A59B4BF" w:rsidR="00B441B4" w:rsidRDefault="00B441B4" w:rsidP="00B441B4">
            <w:pPr>
              <w:jc w:val="center"/>
              <w:rPr>
                <w:rFonts w:ascii="Cambria" w:hAnsi="Cambria"/>
                <w:sz w:val="22"/>
                <w:szCs w:val="22"/>
              </w:rPr>
            </w:pPr>
            <w:r w:rsidRPr="00E74643">
              <w:rPr>
                <w:rFonts w:ascii="Cambria" w:hAnsi="Cambria"/>
              </w:rPr>
              <w:t>(</w:t>
            </w:r>
            <w:r w:rsidR="00A12C28" w:rsidRPr="00E74643">
              <w:rPr>
                <w:rFonts w:ascii="Cambria" w:hAnsi="Cambria"/>
              </w:rPr>
              <w:t xml:space="preserve">Percent </w:t>
            </w:r>
            <w:r w:rsidRPr="00E74643">
              <w:rPr>
                <w:rFonts w:ascii="Cambria" w:hAnsi="Cambria"/>
              </w:rPr>
              <w:t>of GDP)</w:t>
            </w:r>
          </w:p>
        </w:tc>
      </w:tr>
      <w:tr w:rsidR="00B441B4" w14:paraId="0FC86639" w14:textId="77777777" w:rsidTr="00B441B4">
        <w:tc>
          <w:tcPr>
            <w:tcW w:w="6606" w:type="dxa"/>
          </w:tcPr>
          <w:p w14:paraId="4D995E6D" w14:textId="77777777" w:rsidR="00B441B4" w:rsidRDefault="00B441B4" w:rsidP="00B441B4">
            <w:pPr>
              <w:jc w:val="both"/>
              <w:rPr>
                <w:rFonts w:ascii="Cambria" w:hAnsi="Cambria"/>
                <w:sz w:val="22"/>
                <w:szCs w:val="22"/>
              </w:rPr>
            </w:pPr>
            <w:r>
              <w:rPr>
                <w:noProof/>
              </w:rPr>
              <w:drawing>
                <wp:inline distT="0" distB="0" distL="0" distR="0" wp14:anchorId="7AA2B9D2" wp14:editId="6ADE918B">
                  <wp:extent cx="4038600" cy="1981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441B4" w14:paraId="0D5FF953" w14:textId="77777777" w:rsidTr="00B441B4">
        <w:tc>
          <w:tcPr>
            <w:tcW w:w="6606" w:type="dxa"/>
          </w:tcPr>
          <w:p w14:paraId="16065E65" w14:textId="60979C76" w:rsidR="00B441B4" w:rsidRPr="00E74643" w:rsidRDefault="00B441B4" w:rsidP="00EB2A88">
            <w:pPr>
              <w:spacing w:before="40" w:after="120"/>
              <w:jc w:val="both"/>
              <w:rPr>
                <w:rFonts w:ascii="Cambria" w:hAnsi="Cambria"/>
                <w:sz w:val="18"/>
                <w:szCs w:val="18"/>
              </w:rPr>
            </w:pPr>
            <w:r w:rsidRPr="00634C23">
              <w:rPr>
                <w:rFonts w:ascii="Cambria" w:hAnsi="Cambria"/>
                <w:i/>
                <w:sz w:val="18"/>
                <w:szCs w:val="18"/>
              </w:rPr>
              <w:t>Source</w:t>
            </w:r>
            <w:r w:rsidRPr="00634C23">
              <w:rPr>
                <w:rFonts w:ascii="Cambria" w:hAnsi="Cambria"/>
                <w:sz w:val="18"/>
                <w:szCs w:val="18"/>
              </w:rPr>
              <w:t>:</w:t>
            </w:r>
            <w:r w:rsidRPr="00E74643">
              <w:rPr>
                <w:rFonts w:ascii="Cambria" w:hAnsi="Cambria"/>
                <w:sz w:val="18"/>
                <w:szCs w:val="18"/>
              </w:rPr>
              <w:t xml:space="preserve"> </w:t>
            </w:r>
            <w:r w:rsidR="00975EB7" w:rsidRPr="00975EB7">
              <w:rPr>
                <w:b/>
                <w:sz w:val="18"/>
                <w:szCs w:val="18"/>
              </w:rPr>
              <w:t xml:space="preserve"> </w:t>
            </w:r>
            <w:r w:rsidR="00975EB7" w:rsidRPr="00975EB7">
              <w:rPr>
                <w:sz w:val="18"/>
                <w:szCs w:val="18"/>
              </w:rPr>
              <w:t>Staff projections using PROST.</w:t>
            </w:r>
          </w:p>
        </w:tc>
      </w:tr>
    </w:tbl>
    <w:p w14:paraId="4FFE91CA" w14:textId="6CE092EA" w:rsidR="006321CC" w:rsidRPr="00024C8A" w:rsidRDefault="000C7D52" w:rsidP="00024C8A">
      <w:pPr>
        <w:numPr>
          <w:ilvl w:val="0"/>
          <w:numId w:val="3"/>
        </w:numPr>
        <w:spacing w:before="240" w:after="240"/>
        <w:jc w:val="both"/>
        <w:rPr>
          <w:rFonts w:ascii="Cambria" w:hAnsi="Cambria"/>
          <w:sz w:val="22"/>
          <w:szCs w:val="22"/>
        </w:rPr>
      </w:pPr>
      <w:r w:rsidRPr="00024C8A">
        <w:rPr>
          <w:rFonts w:ascii="Cambria" w:hAnsi="Cambria"/>
          <w:b/>
          <w:sz w:val="22"/>
          <w:szCs w:val="22"/>
        </w:rPr>
        <w:t>The consolidated public pension spending will increase to almost 12</w:t>
      </w:r>
      <w:r w:rsidR="00B21985">
        <w:rPr>
          <w:rFonts w:ascii="Cambria" w:hAnsi="Cambria"/>
          <w:b/>
          <w:sz w:val="22"/>
          <w:szCs w:val="22"/>
        </w:rPr>
        <w:t xml:space="preserve"> percent</w:t>
      </w:r>
      <w:r w:rsidRPr="00024C8A">
        <w:rPr>
          <w:rFonts w:ascii="Cambria" w:hAnsi="Cambria"/>
          <w:b/>
          <w:sz w:val="22"/>
          <w:szCs w:val="22"/>
        </w:rPr>
        <w:t xml:space="preserve"> of GDP. </w:t>
      </w:r>
      <w:r w:rsidR="001E1003" w:rsidRPr="00024C8A">
        <w:rPr>
          <w:rFonts w:ascii="Cambria" w:hAnsi="Cambria"/>
          <w:sz w:val="22"/>
          <w:szCs w:val="22"/>
        </w:rPr>
        <w:t>The consolidated public pension spending on benefits to the covered by the national pension system (basic+SP1+SP2) and social pensions is presented in Figure 12. Government’s share will grow from 35</w:t>
      </w:r>
      <w:r w:rsidR="002B409D" w:rsidRPr="00024C8A">
        <w:rPr>
          <w:rFonts w:ascii="Cambria" w:hAnsi="Cambria"/>
          <w:sz w:val="22"/>
          <w:szCs w:val="22"/>
        </w:rPr>
        <w:t xml:space="preserve"> percent</w:t>
      </w:r>
      <w:r w:rsidR="001E1003" w:rsidRPr="00024C8A">
        <w:rPr>
          <w:rFonts w:ascii="Cambria" w:hAnsi="Cambria"/>
          <w:sz w:val="22"/>
          <w:szCs w:val="22"/>
        </w:rPr>
        <w:t xml:space="preserve"> in 2014 (when the state budget assumes full responsibility for financing </w:t>
      </w:r>
      <w:r w:rsidR="001E1003" w:rsidRPr="00024C8A">
        <w:rPr>
          <w:rFonts w:ascii="Cambria" w:hAnsi="Cambria"/>
          <w:sz w:val="22"/>
          <w:szCs w:val="22"/>
        </w:rPr>
        <w:lastRenderedPageBreak/>
        <w:t>the basic pension) to 65-66</w:t>
      </w:r>
      <w:r w:rsidR="002B409D" w:rsidRPr="00024C8A">
        <w:rPr>
          <w:rFonts w:ascii="Cambria" w:hAnsi="Cambria"/>
          <w:sz w:val="22"/>
          <w:szCs w:val="22"/>
        </w:rPr>
        <w:t xml:space="preserve"> percent</w:t>
      </w:r>
      <w:r w:rsidR="001E1003" w:rsidRPr="00024C8A">
        <w:rPr>
          <w:rFonts w:ascii="Cambria" w:hAnsi="Cambria"/>
          <w:sz w:val="22"/>
          <w:szCs w:val="22"/>
        </w:rPr>
        <w:t xml:space="preserve"> by 2050 and remain stable after that.</w:t>
      </w:r>
      <w:r w:rsidR="00024C8A" w:rsidRPr="00024C8A">
        <w:rPr>
          <w:rFonts w:ascii="Cambria" w:hAnsi="Cambria"/>
          <w:sz w:val="22"/>
          <w:szCs w:val="22"/>
        </w:rPr>
        <w:t xml:space="preserve"> This estimate excludes government expenditures on military and privileged group pensions as well as energy compensation for pensioners, which all together currently stand at 1.8 percent of GDP. If those are maintained at least at current levels, the total public pension spending (government and Social Fund) may increase from the current 8.2 percent to 11-12 percent in 2050 and 13-14 percent in the following several decades, so the overall pension system will become very costly and at the same time pay low benefits.</w:t>
      </w:r>
      <w:r w:rsidR="00024C8A" w:rsidRPr="00C20EC5">
        <w:rPr>
          <w:rStyle w:val="FootnoteReference"/>
          <w:rFonts w:ascii="Cambria" w:hAnsi="Cambria"/>
          <w:sz w:val="22"/>
          <w:szCs w:val="22"/>
        </w:rPr>
        <w:footnoteReference w:id="13"/>
      </w:r>
    </w:p>
    <w:p w14:paraId="742BD8BB" w14:textId="77777777" w:rsidR="00743155" w:rsidRPr="00C20EC5" w:rsidRDefault="00161A64" w:rsidP="00E74643">
      <w:pPr>
        <w:pStyle w:val="Heading1"/>
      </w:pPr>
      <w:bookmarkStart w:id="24" w:name="_Toc387325521"/>
      <w:r w:rsidRPr="00C20EC5">
        <w:t>Possible Reform Options</w:t>
      </w:r>
      <w:bookmarkEnd w:id="24"/>
    </w:p>
    <w:p w14:paraId="512682C8" w14:textId="52FD868D" w:rsidR="00310320" w:rsidRPr="00C20EC5" w:rsidRDefault="00CF27A8" w:rsidP="00876F35">
      <w:pPr>
        <w:numPr>
          <w:ilvl w:val="0"/>
          <w:numId w:val="3"/>
        </w:numPr>
        <w:spacing w:before="240" w:after="240"/>
        <w:jc w:val="both"/>
        <w:rPr>
          <w:rFonts w:ascii="Cambria" w:hAnsi="Cambria"/>
          <w:sz w:val="22"/>
          <w:szCs w:val="22"/>
        </w:rPr>
      </w:pPr>
      <w:r w:rsidRPr="00B21985">
        <w:rPr>
          <w:rFonts w:ascii="Cambria" w:hAnsi="Cambria"/>
          <w:b/>
          <w:sz w:val="22"/>
          <w:szCs w:val="22"/>
        </w:rPr>
        <w:t xml:space="preserve">There are various possible approaches to reforming the </w:t>
      </w:r>
      <w:r w:rsidR="00BB474C" w:rsidRPr="00B21985">
        <w:rPr>
          <w:rFonts w:ascii="Cambria" w:hAnsi="Cambria"/>
          <w:b/>
          <w:sz w:val="22"/>
          <w:szCs w:val="22"/>
        </w:rPr>
        <w:t xml:space="preserve">Kyrgyz </w:t>
      </w:r>
      <w:r w:rsidR="008A0515" w:rsidRPr="00B21985">
        <w:rPr>
          <w:rFonts w:ascii="Cambria" w:hAnsi="Cambria"/>
          <w:b/>
          <w:sz w:val="22"/>
          <w:szCs w:val="22"/>
        </w:rPr>
        <w:t xml:space="preserve">national </w:t>
      </w:r>
      <w:r w:rsidRPr="00B21985">
        <w:rPr>
          <w:rFonts w:ascii="Cambria" w:hAnsi="Cambria"/>
          <w:b/>
          <w:sz w:val="22"/>
          <w:szCs w:val="22"/>
        </w:rPr>
        <w:t>pension system</w:t>
      </w:r>
      <w:r w:rsidRPr="00C20EC5">
        <w:rPr>
          <w:rFonts w:ascii="Cambria" w:hAnsi="Cambria"/>
          <w:sz w:val="22"/>
          <w:szCs w:val="22"/>
        </w:rPr>
        <w:t xml:space="preserve">. This section presents </w:t>
      </w:r>
      <w:r w:rsidR="00852CFC" w:rsidRPr="00C20EC5">
        <w:rPr>
          <w:rFonts w:ascii="Cambria" w:hAnsi="Cambria"/>
          <w:sz w:val="22"/>
          <w:szCs w:val="22"/>
        </w:rPr>
        <w:t>some</w:t>
      </w:r>
      <w:r w:rsidRPr="00C20EC5">
        <w:rPr>
          <w:rFonts w:ascii="Cambria" w:hAnsi="Cambria"/>
          <w:sz w:val="22"/>
          <w:szCs w:val="22"/>
        </w:rPr>
        <w:t xml:space="preserve"> broad option</w:t>
      </w:r>
      <w:r w:rsidR="00852CFC" w:rsidRPr="00C20EC5">
        <w:rPr>
          <w:rFonts w:ascii="Cambria" w:hAnsi="Cambria"/>
          <w:sz w:val="22"/>
          <w:szCs w:val="22"/>
        </w:rPr>
        <w:t>s</w:t>
      </w:r>
      <w:r w:rsidRPr="00C20EC5">
        <w:rPr>
          <w:rFonts w:ascii="Cambria" w:hAnsi="Cambria"/>
          <w:sz w:val="22"/>
          <w:szCs w:val="22"/>
        </w:rPr>
        <w:t xml:space="preserve"> </w:t>
      </w:r>
      <w:r w:rsidR="00634C23">
        <w:rPr>
          <w:rFonts w:ascii="Cambria" w:hAnsi="Cambria"/>
          <w:sz w:val="22"/>
          <w:szCs w:val="22"/>
        </w:rPr>
        <w:t>that</w:t>
      </w:r>
      <w:r w:rsidR="00634C23" w:rsidRPr="00C20EC5">
        <w:rPr>
          <w:rFonts w:ascii="Cambria" w:hAnsi="Cambria"/>
          <w:sz w:val="22"/>
          <w:szCs w:val="22"/>
        </w:rPr>
        <w:t xml:space="preserve"> </w:t>
      </w:r>
      <w:r w:rsidRPr="00C20EC5">
        <w:rPr>
          <w:rFonts w:ascii="Cambria" w:hAnsi="Cambria"/>
          <w:sz w:val="22"/>
          <w:szCs w:val="22"/>
        </w:rPr>
        <w:t xml:space="preserve">can be further fine-tuned based on </w:t>
      </w:r>
      <w:r w:rsidR="00634C23">
        <w:rPr>
          <w:rFonts w:ascii="Cambria" w:hAnsi="Cambria"/>
          <w:sz w:val="22"/>
          <w:szCs w:val="22"/>
        </w:rPr>
        <w:t xml:space="preserve">the </w:t>
      </w:r>
      <w:r w:rsidRPr="00C20EC5">
        <w:rPr>
          <w:rFonts w:ascii="Cambria" w:hAnsi="Cambria"/>
          <w:sz w:val="22"/>
          <w:szCs w:val="22"/>
        </w:rPr>
        <w:t>government’s preferences and social policy choices with respect to the target replacement rates, acceptable retirement age</w:t>
      </w:r>
      <w:r w:rsidR="00634C23">
        <w:rPr>
          <w:rFonts w:ascii="Cambria" w:hAnsi="Cambria"/>
          <w:sz w:val="22"/>
          <w:szCs w:val="22"/>
        </w:rPr>
        <w:t>,</w:t>
      </w:r>
      <w:r w:rsidRPr="00C20EC5">
        <w:rPr>
          <w:rFonts w:ascii="Cambria" w:hAnsi="Cambria"/>
          <w:sz w:val="22"/>
          <w:szCs w:val="22"/>
        </w:rPr>
        <w:t xml:space="preserve"> and contribution rate.</w:t>
      </w:r>
    </w:p>
    <w:p w14:paraId="4D740E71" w14:textId="77777777" w:rsidR="00B15C84" w:rsidRPr="00C20EC5" w:rsidRDefault="00786596" w:rsidP="00876F35">
      <w:pPr>
        <w:numPr>
          <w:ilvl w:val="0"/>
          <w:numId w:val="3"/>
        </w:numPr>
        <w:spacing w:before="240" w:after="240"/>
        <w:jc w:val="both"/>
        <w:rPr>
          <w:rFonts w:ascii="Cambria" w:hAnsi="Cambria"/>
          <w:sz w:val="22"/>
          <w:szCs w:val="22"/>
          <w:u w:val="single"/>
        </w:rPr>
      </w:pPr>
      <w:r w:rsidRPr="00B21985">
        <w:rPr>
          <w:rFonts w:ascii="Cambria" w:hAnsi="Cambria"/>
          <w:b/>
          <w:sz w:val="22"/>
          <w:szCs w:val="22"/>
        </w:rPr>
        <w:t>The main objective of the proposed reform</w:t>
      </w:r>
      <w:r w:rsidR="00852CFC" w:rsidRPr="00B21985">
        <w:rPr>
          <w:rFonts w:ascii="Cambria" w:hAnsi="Cambria"/>
          <w:b/>
          <w:sz w:val="22"/>
          <w:szCs w:val="22"/>
        </w:rPr>
        <w:t>s</w:t>
      </w:r>
      <w:r w:rsidRPr="00B21985">
        <w:rPr>
          <w:rFonts w:ascii="Cambria" w:hAnsi="Cambria"/>
          <w:b/>
          <w:sz w:val="22"/>
          <w:szCs w:val="22"/>
        </w:rPr>
        <w:t xml:space="preserve"> </w:t>
      </w:r>
      <w:r w:rsidR="00210AB9" w:rsidRPr="00B21985">
        <w:rPr>
          <w:rFonts w:ascii="Cambria" w:hAnsi="Cambria"/>
          <w:b/>
          <w:sz w:val="22"/>
          <w:szCs w:val="22"/>
        </w:rPr>
        <w:t>is</w:t>
      </w:r>
      <w:r w:rsidRPr="00B21985">
        <w:rPr>
          <w:rFonts w:ascii="Cambria" w:hAnsi="Cambria"/>
          <w:b/>
          <w:sz w:val="22"/>
          <w:szCs w:val="22"/>
        </w:rPr>
        <w:t xml:space="preserve"> </w:t>
      </w:r>
      <w:r w:rsidR="008A0515" w:rsidRPr="00B21985">
        <w:rPr>
          <w:rFonts w:ascii="Cambria" w:hAnsi="Cambria"/>
          <w:b/>
          <w:sz w:val="22"/>
          <w:szCs w:val="22"/>
        </w:rPr>
        <w:t>adequacy of</w:t>
      </w:r>
      <w:r w:rsidRPr="00B21985">
        <w:rPr>
          <w:rFonts w:ascii="Cambria" w:hAnsi="Cambria"/>
          <w:b/>
          <w:sz w:val="22"/>
          <w:szCs w:val="22"/>
        </w:rPr>
        <w:t xml:space="preserve"> benefits</w:t>
      </w:r>
      <w:r w:rsidR="006233D1" w:rsidRPr="00B21985">
        <w:rPr>
          <w:rFonts w:ascii="Cambria" w:hAnsi="Cambria"/>
          <w:b/>
          <w:sz w:val="22"/>
          <w:szCs w:val="22"/>
        </w:rPr>
        <w:t>, better incentives to contribute</w:t>
      </w:r>
      <w:r w:rsidR="00852CFC" w:rsidRPr="00B21985">
        <w:rPr>
          <w:rFonts w:ascii="Cambria" w:hAnsi="Cambria"/>
          <w:b/>
          <w:sz w:val="22"/>
          <w:szCs w:val="22"/>
        </w:rPr>
        <w:t>,</w:t>
      </w:r>
      <w:r w:rsidRPr="00B21985">
        <w:rPr>
          <w:rFonts w:ascii="Cambria" w:hAnsi="Cambria"/>
          <w:b/>
          <w:sz w:val="22"/>
          <w:szCs w:val="22"/>
        </w:rPr>
        <w:t xml:space="preserve"> maintaining financial sustainability of the </w:t>
      </w:r>
      <w:r w:rsidR="00321795" w:rsidRPr="00B21985">
        <w:rPr>
          <w:rFonts w:ascii="Cambria" w:hAnsi="Cambria"/>
          <w:b/>
          <w:sz w:val="22"/>
          <w:szCs w:val="22"/>
        </w:rPr>
        <w:t>PAYG component</w:t>
      </w:r>
      <w:r w:rsidR="00852CFC" w:rsidRPr="00B21985">
        <w:rPr>
          <w:rFonts w:ascii="Cambria" w:hAnsi="Cambria"/>
          <w:b/>
          <w:sz w:val="22"/>
          <w:szCs w:val="22"/>
        </w:rPr>
        <w:t xml:space="preserve"> and containing the cost of the system to the government</w:t>
      </w:r>
      <w:r w:rsidRPr="00C20EC5">
        <w:rPr>
          <w:rFonts w:ascii="Cambria" w:hAnsi="Cambria"/>
          <w:sz w:val="22"/>
          <w:szCs w:val="22"/>
        </w:rPr>
        <w:t>.</w:t>
      </w:r>
      <w:r w:rsidR="008A0515" w:rsidRPr="00C20EC5">
        <w:rPr>
          <w:rFonts w:ascii="Cambria" w:hAnsi="Cambria"/>
          <w:sz w:val="22"/>
          <w:szCs w:val="22"/>
        </w:rPr>
        <w:t xml:space="preserve"> </w:t>
      </w:r>
      <w:r w:rsidR="00321795" w:rsidRPr="00C20EC5">
        <w:rPr>
          <w:rFonts w:ascii="Cambria" w:hAnsi="Cambria"/>
          <w:sz w:val="22"/>
          <w:szCs w:val="22"/>
        </w:rPr>
        <w:t>Reforms 1-3 is a</w:t>
      </w:r>
      <w:r w:rsidR="008A0515" w:rsidRPr="00C20EC5">
        <w:rPr>
          <w:rFonts w:ascii="Cambria" w:hAnsi="Cambria"/>
          <w:sz w:val="22"/>
          <w:szCs w:val="22"/>
        </w:rPr>
        <w:t xml:space="preserve"> reform package </w:t>
      </w:r>
      <w:r w:rsidR="00321795" w:rsidRPr="00C20EC5">
        <w:rPr>
          <w:rFonts w:ascii="Cambria" w:hAnsi="Cambria"/>
          <w:sz w:val="22"/>
          <w:szCs w:val="22"/>
        </w:rPr>
        <w:t xml:space="preserve">for the insurance component (SP1+SP2) </w:t>
      </w:r>
      <w:r w:rsidR="008A0515" w:rsidRPr="00C20EC5">
        <w:rPr>
          <w:rFonts w:ascii="Cambria" w:hAnsi="Cambria"/>
          <w:sz w:val="22"/>
          <w:szCs w:val="22"/>
        </w:rPr>
        <w:t>modeled in</w:t>
      </w:r>
      <w:r w:rsidR="009E7B5F" w:rsidRPr="00C20EC5">
        <w:rPr>
          <w:rFonts w:ascii="Cambria" w:hAnsi="Cambria"/>
          <w:sz w:val="22"/>
          <w:szCs w:val="22"/>
        </w:rPr>
        <w:t xml:space="preserve"> three steps by adding changes in different parameters on an incremental basis to show the effects of each policy va</w:t>
      </w:r>
      <w:r w:rsidR="006A185F" w:rsidRPr="00C20EC5">
        <w:rPr>
          <w:rFonts w:ascii="Cambria" w:hAnsi="Cambria"/>
          <w:sz w:val="22"/>
          <w:szCs w:val="22"/>
        </w:rPr>
        <w:t>riable on benefits and finances</w:t>
      </w:r>
      <w:r w:rsidR="00321795" w:rsidRPr="00C20EC5">
        <w:rPr>
          <w:rFonts w:ascii="Cambria" w:hAnsi="Cambria"/>
          <w:sz w:val="22"/>
          <w:szCs w:val="22"/>
        </w:rPr>
        <w:t>. This package addresses the issue of benefit adequacy while maintaining financial sustainability of the PAYG component. Reform 4 aims at containing government spending on pensions for the covered and uncovered population</w:t>
      </w:r>
      <w:r w:rsidR="00CE4B47" w:rsidRPr="00C20EC5">
        <w:rPr>
          <w:rFonts w:ascii="Cambria" w:hAnsi="Cambria"/>
          <w:sz w:val="22"/>
          <w:szCs w:val="22"/>
        </w:rPr>
        <w:t>; to some extent, it also addresses the coverage issue.</w:t>
      </w:r>
    </w:p>
    <w:p w14:paraId="785AF271" w14:textId="7CEDDBB9" w:rsidR="00F63692" w:rsidRPr="00C20EC5" w:rsidRDefault="00A4044A" w:rsidP="006D70DF">
      <w:pPr>
        <w:ind w:firstLine="720"/>
        <w:jc w:val="both"/>
        <w:rPr>
          <w:rFonts w:ascii="Cambria" w:hAnsi="Cambria"/>
          <w:sz w:val="22"/>
          <w:szCs w:val="22"/>
        </w:rPr>
      </w:pPr>
      <w:r w:rsidRPr="00C20EC5">
        <w:rPr>
          <w:rFonts w:ascii="Cambria" w:hAnsi="Cambria"/>
          <w:sz w:val="22"/>
          <w:szCs w:val="22"/>
          <w:u w:val="single"/>
        </w:rPr>
        <w:t>Reform 1</w:t>
      </w:r>
      <w:r w:rsidR="00F63692" w:rsidRPr="00C20EC5">
        <w:rPr>
          <w:rFonts w:ascii="Cambria" w:hAnsi="Cambria"/>
          <w:sz w:val="22"/>
          <w:szCs w:val="22"/>
        </w:rPr>
        <w:t>:</w:t>
      </w:r>
    </w:p>
    <w:p w14:paraId="5413E0BF" w14:textId="77777777" w:rsidR="00F63692" w:rsidRPr="00C20EC5" w:rsidRDefault="00F63692" w:rsidP="00A251DD">
      <w:pPr>
        <w:pStyle w:val="ListParagraph"/>
        <w:numPr>
          <w:ilvl w:val="0"/>
          <w:numId w:val="18"/>
        </w:numPr>
        <w:jc w:val="both"/>
        <w:rPr>
          <w:rFonts w:ascii="Cambria" w:hAnsi="Cambria"/>
          <w:sz w:val="22"/>
          <w:szCs w:val="22"/>
        </w:rPr>
      </w:pPr>
      <w:r w:rsidRPr="00C20EC5">
        <w:rPr>
          <w:rFonts w:ascii="Cambria" w:hAnsi="Cambria"/>
          <w:sz w:val="22"/>
          <w:szCs w:val="22"/>
        </w:rPr>
        <w:t xml:space="preserve">Contribution indexation is applied to the entire balance and is equal to </w:t>
      </w:r>
      <w:r w:rsidR="00BB474C" w:rsidRPr="00C20EC5">
        <w:rPr>
          <w:rFonts w:ascii="Cambria" w:hAnsi="Cambria"/>
          <w:sz w:val="22"/>
          <w:szCs w:val="22"/>
        </w:rPr>
        <w:t xml:space="preserve">the </w:t>
      </w:r>
      <w:r w:rsidRPr="00C20EC5">
        <w:rPr>
          <w:rFonts w:ascii="Cambria" w:hAnsi="Cambria"/>
          <w:sz w:val="22"/>
          <w:szCs w:val="22"/>
        </w:rPr>
        <w:t>aver</w:t>
      </w:r>
      <w:r w:rsidR="00FC1CEA" w:rsidRPr="00C20EC5">
        <w:rPr>
          <w:rFonts w:ascii="Cambria" w:hAnsi="Cambria"/>
          <w:sz w:val="22"/>
          <w:szCs w:val="22"/>
        </w:rPr>
        <w:t>age wage growth rate.</w:t>
      </w:r>
    </w:p>
    <w:p w14:paraId="19A1D76E" w14:textId="77777777" w:rsidR="00A44294" w:rsidRPr="00C20EC5" w:rsidRDefault="00A44294" w:rsidP="006D70DF">
      <w:pPr>
        <w:ind w:firstLine="720"/>
        <w:jc w:val="both"/>
        <w:rPr>
          <w:rFonts w:ascii="Cambria" w:hAnsi="Cambria"/>
          <w:sz w:val="22"/>
          <w:szCs w:val="22"/>
          <w:u w:val="single"/>
        </w:rPr>
      </w:pPr>
    </w:p>
    <w:p w14:paraId="70D25AD8" w14:textId="710F2811" w:rsidR="00A4044A" w:rsidRPr="00C20EC5" w:rsidRDefault="00A4044A" w:rsidP="006D70DF">
      <w:pPr>
        <w:ind w:firstLine="720"/>
        <w:jc w:val="both"/>
        <w:rPr>
          <w:rFonts w:ascii="Cambria" w:hAnsi="Cambria"/>
          <w:sz w:val="22"/>
          <w:szCs w:val="22"/>
        </w:rPr>
      </w:pPr>
      <w:r w:rsidRPr="00C20EC5">
        <w:rPr>
          <w:rFonts w:ascii="Cambria" w:hAnsi="Cambria"/>
          <w:sz w:val="22"/>
          <w:szCs w:val="22"/>
          <w:u w:val="single"/>
        </w:rPr>
        <w:t>Reform 2</w:t>
      </w:r>
      <w:r w:rsidRPr="00C20EC5">
        <w:rPr>
          <w:rFonts w:ascii="Cambria" w:hAnsi="Cambria"/>
          <w:sz w:val="22"/>
          <w:szCs w:val="22"/>
        </w:rPr>
        <w:t>:</w:t>
      </w:r>
    </w:p>
    <w:p w14:paraId="50F40009" w14:textId="443D5B9D" w:rsidR="00A4044A" w:rsidRPr="00C20EC5" w:rsidRDefault="00FF0C11" w:rsidP="00A251DD">
      <w:pPr>
        <w:pStyle w:val="ListParagraph"/>
        <w:numPr>
          <w:ilvl w:val="0"/>
          <w:numId w:val="18"/>
        </w:numPr>
        <w:jc w:val="both"/>
        <w:rPr>
          <w:rFonts w:ascii="Cambria" w:hAnsi="Cambria"/>
          <w:sz w:val="22"/>
          <w:szCs w:val="22"/>
        </w:rPr>
      </w:pPr>
      <w:r w:rsidRPr="00C20EC5">
        <w:rPr>
          <w:rFonts w:ascii="Cambria" w:hAnsi="Cambria"/>
          <w:sz w:val="22"/>
          <w:szCs w:val="22"/>
        </w:rPr>
        <w:t>Same changes as in Reform 1;</w:t>
      </w:r>
    </w:p>
    <w:p w14:paraId="3BB244F1" w14:textId="77777777" w:rsidR="00A4044A" w:rsidRPr="00C20EC5" w:rsidRDefault="00FF0C11" w:rsidP="00A251DD">
      <w:pPr>
        <w:pStyle w:val="ListParagraph"/>
        <w:numPr>
          <w:ilvl w:val="0"/>
          <w:numId w:val="18"/>
        </w:numPr>
        <w:jc w:val="both"/>
        <w:rPr>
          <w:rFonts w:ascii="Cambria" w:hAnsi="Cambria"/>
          <w:sz w:val="22"/>
          <w:szCs w:val="22"/>
        </w:rPr>
      </w:pPr>
      <w:r w:rsidRPr="00C20EC5">
        <w:rPr>
          <w:rFonts w:ascii="Cambria" w:hAnsi="Cambria"/>
          <w:sz w:val="22"/>
          <w:szCs w:val="22"/>
        </w:rPr>
        <w:t>Post-retirement pensions are fully indexed to inflation.</w:t>
      </w:r>
    </w:p>
    <w:p w14:paraId="410BAC10" w14:textId="77777777" w:rsidR="00A44294" w:rsidRPr="00C20EC5" w:rsidRDefault="00A44294" w:rsidP="006D70DF">
      <w:pPr>
        <w:ind w:firstLine="720"/>
        <w:jc w:val="both"/>
        <w:rPr>
          <w:rFonts w:ascii="Cambria" w:hAnsi="Cambria"/>
          <w:sz w:val="22"/>
          <w:szCs w:val="22"/>
          <w:u w:val="single"/>
        </w:rPr>
      </w:pPr>
    </w:p>
    <w:p w14:paraId="77D4CBD5" w14:textId="51C5175A" w:rsidR="00FF0C11" w:rsidRPr="00C20EC5" w:rsidRDefault="00FF0C11" w:rsidP="006D70DF">
      <w:pPr>
        <w:ind w:firstLine="720"/>
        <w:jc w:val="both"/>
        <w:rPr>
          <w:rFonts w:ascii="Cambria" w:hAnsi="Cambria"/>
          <w:sz w:val="22"/>
          <w:szCs w:val="22"/>
        </w:rPr>
      </w:pPr>
      <w:r w:rsidRPr="00C20EC5">
        <w:rPr>
          <w:rFonts w:ascii="Cambria" w:hAnsi="Cambria"/>
          <w:sz w:val="22"/>
          <w:szCs w:val="22"/>
          <w:u w:val="single"/>
        </w:rPr>
        <w:t>Reform 3</w:t>
      </w:r>
      <w:r w:rsidRPr="00C20EC5">
        <w:rPr>
          <w:rFonts w:ascii="Cambria" w:hAnsi="Cambria"/>
          <w:sz w:val="22"/>
          <w:szCs w:val="22"/>
        </w:rPr>
        <w:t>:</w:t>
      </w:r>
    </w:p>
    <w:p w14:paraId="399CAB68" w14:textId="779BF67A" w:rsidR="00FF0C11" w:rsidRPr="00C20EC5" w:rsidRDefault="00FF0C11" w:rsidP="00A251DD">
      <w:pPr>
        <w:pStyle w:val="ListParagraph"/>
        <w:numPr>
          <w:ilvl w:val="0"/>
          <w:numId w:val="18"/>
        </w:numPr>
        <w:jc w:val="both"/>
        <w:rPr>
          <w:rFonts w:ascii="Cambria" w:hAnsi="Cambria"/>
          <w:sz w:val="22"/>
          <w:szCs w:val="22"/>
        </w:rPr>
      </w:pPr>
      <w:r w:rsidRPr="00C20EC5">
        <w:rPr>
          <w:rFonts w:ascii="Cambria" w:hAnsi="Cambria"/>
          <w:sz w:val="22"/>
          <w:szCs w:val="22"/>
        </w:rPr>
        <w:t xml:space="preserve">Same changes as in Reform </w:t>
      </w:r>
      <w:r w:rsidR="001178B3" w:rsidRPr="00C20EC5">
        <w:rPr>
          <w:rFonts w:ascii="Cambria" w:hAnsi="Cambria"/>
          <w:sz w:val="22"/>
          <w:szCs w:val="22"/>
        </w:rPr>
        <w:t>2</w:t>
      </w:r>
      <w:r w:rsidRPr="00C20EC5">
        <w:rPr>
          <w:rFonts w:ascii="Cambria" w:hAnsi="Cambria"/>
          <w:sz w:val="22"/>
          <w:szCs w:val="22"/>
        </w:rPr>
        <w:t>;</w:t>
      </w:r>
    </w:p>
    <w:p w14:paraId="4A688687" w14:textId="77777777" w:rsidR="00FF0C11" w:rsidRPr="00C20EC5" w:rsidRDefault="001178B3" w:rsidP="00A251DD">
      <w:pPr>
        <w:pStyle w:val="ListParagraph"/>
        <w:numPr>
          <w:ilvl w:val="0"/>
          <w:numId w:val="18"/>
        </w:numPr>
        <w:jc w:val="both"/>
        <w:rPr>
          <w:rFonts w:ascii="Cambria" w:hAnsi="Cambria"/>
          <w:sz w:val="22"/>
          <w:szCs w:val="22"/>
        </w:rPr>
      </w:pPr>
      <w:r w:rsidRPr="00C20EC5">
        <w:rPr>
          <w:rFonts w:ascii="Cambria" w:hAnsi="Cambria"/>
          <w:sz w:val="22"/>
          <w:szCs w:val="22"/>
        </w:rPr>
        <w:t xml:space="preserve">Statutory retirement age </w:t>
      </w:r>
      <w:r w:rsidR="006E27E6" w:rsidRPr="00C20EC5">
        <w:rPr>
          <w:rFonts w:ascii="Cambria" w:hAnsi="Cambria"/>
          <w:sz w:val="22"/>
          <w:szCs w:val="22"/>
        </w:rPr>
        <w:t xml:space="preserve">is gradually raised </w:t>
      </w:r>
      <w:r w:rsidR="00613218" w:rsidRPr="00C20EC5">
        <w:rPr>
          <w:rFonts w:ascii="Cambria" w:hAnsi="Cambria"/>
          <w:sz w:val="22"/>
          <w:szCs w:val="22"/>
        </w:rPr>
        <w:t>in line with life expectancy changes (</w:t>
      </w:r>
      <w:r w:rsidR="006E27E6" w:rsidRPr="00C20EC5">
        <w:rPr>
          <w:rFonts w:ascii="Cambria" w:hAnsi="Cambria"/>
          <w:sz w:val="22"/>
          <w:szCs w:val="22"/>
        </w:rPr>
        <w:t xml:space="preserve">to 68 for both genders </w:t>
      </w:r>
      <w:r w:rsidR="00431FBD" w:rsidRPr="00C20EC5">
        <w:rPr>
          <w:rFonts w:ascii="Cambria" w:hAnsi="Cambria"/>
          <w:sz w:val="22"/>
          <w:szCs w:val="22"/>
        </w:rPr>
        <w:t>by 2080</w:t>
      </w:r>
      <w:r w:rsidR="006B4E1B" w:rsidRPr="00C20EC5">
        <w:rPr>
          <w:rFonts w:ascii="Cambria" w:hAnsi="Cambria"/>
          <w:sz w:val="22"/>
          <w:szCs w:val="22"/>
        </w:rPr>
        <w:t>, or roughly by 1 year every 13-14 years for men and every 7 years for women</w:t>
      </w:r>
      <w:r w:rsidR="00CB4242" w:rsidRPr="00C20EC5">
        <w:rPr>
          <w:rFonts w:ascii="Cambria" w:hAnsi="Cambria"/>
          <w:sz w:val="22"/>
          <w:szCs w:val="22"/>
        </w:rPr>
        <w:t>, so that the average life expectancy for both genders at retirement age maintains at around 16.5 years</w:t>
      </w:r>
      <w:r w:rsidR="00561013" w:rsidRPr="00C20EC5">
        <w:rPr>
          <w:rStyle w:val="FootnoteReference"/>
          <w:rFonts w:ascii="Cambria" w:hAnsi="Cambria"/>
          <w:sz w:val="22"/>
          <w:szCs w:val="22"/>
        </w:rPr>
        <w:footnoteReference w:id="14"/>
      </w:r>
      <w:r w:rsidR="00431FBD" w:rsidRPr="00C20EC5">
        <w:rPr>
          <w:rFonts w:ascii="Cambria" w:hAnsi="Cambria"/>
          <w:sz w:val="22"/>
          <w:szCs w:val="22"/>
        </w:rPr>
        <w:t>);</w:t>
      </w:r>
    </w:p>
    <w:p w14:paraId="26FDC967" w14:textId="77777777" w:rsidR="00431FBD" w:rsidRDefault="00BB474C" w:rsidP="00A251DD">
      <w:pPr>
        <w:pStyle w:val="ListParagraph"/>
        <w:numPr>
          <w:ilvl w:val="0"/>
          <w:numId w:val="18"/>
        </w:numPr>
        <w:jc w:val="both"/>
        <w:rPr>
          <w:rFonts w:ascii="Cambria" w:hAnsi="Cambria"/>
          <w:sz w:val="22"/>
          <w:szCs w:val="22"/>
        </w:rPr>
      </w:pPr>
      <w:r w:rsidRPr="00C20EC5">
        <w:rPr>
          <w:rFonts w:ascii="Cambria" w:hAnsi="Cambria"/>
          <w:sz w:val="22"/>
          <w:szCs w:val="22"/>
        </w:rPr>
        <w:t>C</w:t>
      </w:r>
      <w:r w:rsidR="00431FBD" w:rsidRPr="00C20EC5">
        <w:rPr>
          <w:rFonts w:ascii="Cambria" w:hAnsi="Cambria"/>
          <w:sz w:val="22"/>
          <w:szCs w:val="22"/>
        </w:rPr>
        <w:t xml:space="preserve">urrent actuarial coefficients </w:t>
      </w:r>
      <w:r w:rsidRPr="00C20EC5">
        <w:rPr>
          <w:rFonts w:ascii="Cambria" w:hAnsi="Cambria"/>
          <w:sz w:val="22"/>
          <w:szCs w:val="22"/>
        </w:rPr>
        <w:t xml:space="preserve">are replaced </w:t>
      </w:r>
      <w:r w:rsidR="00431FBD" w:rsidRPr="00C20EC5">
        <w:rPr>
          <w:rFonts w:ascii="Cambria" w:hAnsi="Cambria"/>
          <w:sz w:val="22"/>
          <w:szCs w:val="22"/>
        </w:rPr>
        <w:t xml:space="preserve">with </w:t>
      </w:r>
      <w:r w:rsidRPr="00C20EC5">
        <w:rPr>
          <w:rFonts w:ascii="Cambria" w:hAnsi="Cambria"/>
          <w:sz w:val="22"/>
          <w:szCs w:val="22"/>
        </w:rPr>
        <w:t>coefficients based on</w:t>
      </w:r>
      <w:r w:rsidR="00431FBD" w:rsidRPr="00C20EC5">
        <w:rPr>
          <w:rFonts w:ascii="Cambria" w:hAnsi="Cambria"/>
          <w:sz w:val="22"/>
          <w:szCs w:val="22"/>
        </w:rPr>
        <w:t xml:space="preserve"> estimated actuarially fair annuity factors.</w:t>
      </w:r>
    </w:p>
    <w:p w14:paraId="71243E85" w14:textId="77777777" w:rsidR="00A251DD" w:rsidRPr="00A251DD" w:rsidRDefault="00A251DD" w:rsidP="00A251DD">
      <w:pPr>
        <w:ind w:left="720"/>
        <w:jc w:val="both"/>
        <w:rPr>
          <w:rFonts w:ascii="Cambria" w:hAnsi="Cambria"/>
          <w:sz w:val="22"/>
          <w:szCs w:val="22"/>
        </w:rPr>
      </w:pPr>
    </w:p>
    <w:p w14:paraId="3097DBA8" w14:textId="2CF93788" w:rsidR="007C2C7B" w:rsidRPr="00C20EC5" w:rsidRDefault="007C2C7B" w:rsidP="007C2C7B">
      <w:pPr>
        <w:ind w:firstLine="720"/>
        <w:jc w:val="both"/>
        <w:rPr>
          <w:rFonts w:ascii="Cambria" w:hAnsi="Cambria"/>
          <w:sz w:val="22"/>
          <w:szCs w:val="22"/>
        </w:rPr>
      </w:pPr>
      <w:r w:rsidRPr="00C20EC5">
        <w:rPr>
          <w:rFonts w:ascii="Cambria" w:hAnsi="Cambria"/>
          <w:sz w:val="22"/>
          <w:szCs w:val="22"/>
          <w:u w:val="single"/>
        </w:rPr>
        <w:lastRenderedPageBreak/>
        <w:t xml:space="preserve">Reform </w:t>
      </w:r>
      <w:r w:rsidR="00775333">
        <w:rPr>
          <w:rFonts w:ascii="Cambria" w:hAnsi="Cambria"/>
          <w:sz w:val="22"/>
          <w:szCs w:val="22"/>
          <w:u w:val="single"/>
        </w:rPr>
        <w:t>4</w:t>
      </w:r>
      <w:r w:rsidR="005627AF" w:rsidRPr="00C20EC5">
        <w:rPr>
          <w:rFonts w:ascii="Cambria" w:hAnsi="Cambria"/>
          <w:sz w:val="22"/>
          <w:szCs w:val="22"/>
          <w:u w:val="single"/>
        </w:rPr>
        <w:t>, variants (</w:t>
      </w:r>
      <w:r w:rsidR="00775333">
        <w:rPr>
          <w:rFonts w:ascii="Cambria" w:hAnsi="Cambria"/>
          <w:sz w:val="22"/>
          <w:szCs w:val="22"/>
          <w:u w:val="single"/>
        </w:rPr>
        <w:t>a</w:t>
      </w:r>
      <w:r w:rsidR="005627AF" w:rsidRPr="00C20EC5">
        <w:rPr>
          <w:rFonts w:ascii="Cambria" w:hAnsi="Cambria"/>
          <w:sz w:val="22"/>
          <w:szCs w:val="22"/>
          <w:u w:val="single"/>
        </w:rPr>
        <w:t>)</w:t>
      </w:r>
      <w:r w:rsidR="009C65DE" w:rsidRPr="00C20EC5">
        <w:rPr>
          <w:rFonts w:ascii="Cambria" w:hAnsi="Cambria"/>
          <w:sz w:val="22"/>
          <w:szCs w:val="22"/>
          <w:u w:val="single"/>
        </w:rPr>
        <w:t>,</w:t>
      </w:r>
      <w:r w:rsidR="005627AF" w:rsidRPr="00C20EC5">
        <w:rPr>
          <w:rFonts w:ascii="Cambria" w:hAnsi="Cambria"/>
          <w:sz w:val="22"/>
          <w:szCs w:val="22"/>
          <w:u w:val="single"/>
        </w:rPr>
        <w:t xml:space="preserve"> (</w:t>
      </w:r>
      <w:r w:rsidR="00775333">
        <w:rPr>
          <w:rFonts w:ascii="Cambria" w:hAnsi="Cambria"/>
          <w:sz w:val="22"/>
          <w:szCs w:val="22"/>
          <w:u w:val="single"/>
        </w:rPr>
        <w:t>b</w:t>
      </w:r>
      <w:r w:rsidR="005627AF" w:rsidRPr="00C20EC5">
        <w:rPr>
          <w:rFonts w:ascii="Cambria" w:hAnsi="Cambria"/>
          <w:sz w:val="22"/>
          <w:szCs w:val="22"/>
          <w:u w:val="single"/>
        </w:rPr>
        <w:t>)</w:t>
      </w:r>
      <w:r w:rsidRPr="00C20EC5">
        <w:rPr>
          <w:rFonts w:ascii="Cambria" w:hAnsi="Cambria"/>
          <w:sz w:val="22"/>
          <w:szCs w:val="22"/>
        </w:rPr>
        <w:t>:</w:t>
      </w:r>
    </w:p>
    <w:p w14:paraId="4CD2884F" w14:textId="77777777" w:rsidR="007C2C7B" w:rsidRPr="00C20EC5" w:rsidRDefault="007C2C7B" w:rsidP="00A251DD">
      <w:pPr>
        <w:pStyle w:val="ListParagraph"/>
        <w:numPr>
          <w:ilvl w:val="0"/>
          <w:numId w:val="18"/>
        </w:numPr>
        <w:jc w:val="both"/>
        <w:rPr>
          <w:rFonts w:ascii="Cambria" w:hAnsi="Cambria"/>
          <w:sz w:val="22"/>
          <w:szCs w:val="22"/>
        </w:rPr>
      </w:pPr>
      <w:r w:rsidRPr="00C20EC5">
        <w:rPr>
          <w:rFonts w:ascii="Cambria" w:hAnsi="Cambria"/>
          <w:sz w:val="22"/>
          <w:szCs w:val="22"/>
        </w:rPr>
        <w:t>Same as the no-reform scenario with respect to the insurance and funded components;</w:t>
      </w:r>
    </w:p>
    <w:p w14:paraId="43C41517" w14:textId="77777777" w:rsidR="007C2C7B" w:rsidRPr="00C20EC5" w:rsidRDefault="007C2C7B" w:rsidP="00A251DD">
      <w:pPr>
        <w:pStyle w:val="ListParagraph"/>
        <w:numPr>
          <w:ilvl w:val="0"/>
          <w:numId w:val="18"/>
        </w:numPr>
        <w:jc w:val="both"/>
        <w:rPr>
          <w:rFonts w:ascii="Cambria" w:hAnsi="Cambria"/>
          <w:sz w:val="22"/>
          <w:szCs w:val="22"/>
        </w:rPr>
      </w:pPr>
      <w:r w:rsidRPr="00C20EC5">
        <w:rPr>
          <w:rFonts w:ascii="Cambria" w:hAnsi="Cambria"/>
          <w:sz w:val="22"/>
          <w:szCs w:val="22"/>
        </w:rPr>
        <w:t xml:space="preserve">Basic </w:t>
      </w:r>
      <w:r w:rsidR="00CE4B47" w:rsidRPr="00C20EC5">
        <w:rPr>
          <w:rFonts w:ascii="Cambria" w:hAnsi="Cambria"/>
          <w:sz w:val="22"/>
          <w:szCs w:val="22"/>
        </w:rPr>
        <w:t xml:space="preserve">and social </w:t>
      </w:r>
      <w:r w:rsidRPr="00C20EC5">
        <w:rPr>
          <w:rFonts w:ascii="Cambria" w:hAnsi="Cambria"/>
          <w:sz w:val="22"/>
          <w:szCs w:val="22"/>
        </w:rPr>
        <w:t>pension</w:t>
      </w:r>
      <w:r w:rsidR="00CE4B47" w:rsidRPr="00C20EC5">
        <w:rPr>
          <w:rFonts w:ascii="Cambria" w:hAnsi="Cambria"/>
          <w:sz w:val="22"/>
          <w:szCs w:val="22"/>
        </w:rPr>
        <w:t>s</w:t>
      </w:r>
      <w:r w:rsidRPr="00C20EC5">
        <w:rPr>
          <w:rFonts w:ascii="Cambria" w:hAnsi="Cambria"/>
          <w:sz w:val="22"/>
          <w:szCs w:val="22"/>
        </w:rPr>
        <w:t xml:space="preserve"> </w:t>
      </w:r>
      <w:r w:rsidR="00CE4B47" w:rsidRPr="00C20EC5">
        <w:rPr>
          <w:rFonts w:ascii="Cambria" w:hAnsi="Cambria"/>
          <w:sz w:val="22"/>
          <w:szCs w:val="22"/>
        </w:rPr>
        <w:t xml:space="preserve">are eliminated and replaced with a </w:t>
      </w:r>
      <w:proofErr w:type="spellStart"/>
      <w:r w:rsidR="00CE4B47" w:rsidRPr="00C20EC5">
        <w:rPr>
          <w:rFonts w:ascii="Cambria" w:hAnsi="Cambria"/>
          <w:sz w:val="22"/>
          <w:szCs w:val="22"/>
        </w:rPr>
        <w:t>demogrant</w:t>
      </w:r>
      <w:proofErr w:type="spellEnd"/>
      <w:r w:rsidR="00CE4B47" w:rsidRPr="00C20EC5">
        <w:rPr>
          <w:rFonts w:ascii="Cambria" w:hAnsi="Cambria"/>
          <w:sz w:val="22"/>
          <w:szCs w:val="22"/>
        </w:rPr>
        <w:t>, a universal flat benefit with eligibility based solely on age and residency</w:t>
      </w:r>
      <w:r w:rsidR="009C65DE" w:rsidRPr="00C20EC5">
        <w:rPr>
          <w:rFonts w:ascii="Cambria" w:hAnsi="Cambria"/>
          <w:sz w:val="22"/>
          <w:szCs w:val="22"/>
        </w:rPr>
        <w:t>;</w:t>
      </w:r>
    </w:p>
    <w:p w14:paraId="5469FDC1" w14:textId="77777777" w:rsidR="009C65DE" w:rsidRPr="00C20EC5" w:rsidRDefault="009C65DE" w:rsidP="00A251DD">
      <w:pPr>
        <w:pStyle w:val="ListParagraph"/>
        <w:numPr>
          <w:ilvl w:val="0"/>
          <w:numId w:val="18"/>
        </w:numPr>
        <w:jc w:val="both"/>
        <w:rPr>
          <w:rFonts w:ascii="Cambria" w:hAnsi="Cambria"/>
          <w:sz w:val="22"/>
          <w:szCs w:val="22"/>
        </w:rPr>
      </w:pPr>
      <w:r w:rsidRPr="00C20EC5">
        <w:rPr>
          <w:rFonts w:ascii="Cambria" w:hAnsi="Cambria"/>
          <w:sz w:val="22"/>
          <w:szCs w:val="22"/>
        </w:rPr>
        <w:t>Eligible age set at 65;</w:t>
      </w:r>
    </w:p>
    <w:p w14:paraId="0138AC42" w14:textId="77777777" w:rsidR="005F21E8" w:rsidRPr="00C20EC5" w:rsidRDefault="005F21E8" w:rsidP="00A251DD">
      <w:pPr>
        <w:pStyle w:val="ListParagraph"/>
        <w:numPr>
          <w:ilvl w:val="0"/>
          <w:numId w:val="18"/>
        </w:numPr>
        <w:jc w:val="both"/>
        <w:rPr>
          <w:rFonts w:ascii="Cambria" w:hAnsi="Cambria"/>
          <w:sz w:val="22"/>
          <w:szCs w:val="22"/>
        </w:rPr>
      </w:pPr>
      <w:r w:rsidRPr="00C20EC5">
        <w:rPr>
          <w:rFonts w:ascii="Cambria" w:hAnsi="Cambria"/>
          <w:sz w:val="22"/>
          <w:szCs w:val="22"/>
        </w:rPr>
        <w:t xml:space="preserve">Disability pensioners receiving pensions from the Social Fund also receive the </w:t>
      </w:r>
      <w:proofErr w:type="spellStart"/>
      <w:r w:rsidRPr="00C20EC5">
        <w:rPr>
          <w:rFonts w:ascii="Cambria" w:hAnsi="Cambria"/>
          <w:sz w:val="22"/>
          <w:szCs w:val="22"/>
        </w:rPr>
        <w:t>demogrant</w:t>
      </w:r>
      <w:proofErr w:type="spellEnd"/>
      <w:r w:rsidRPr="00C20EC5">
        <w:rPr>
          <w:rFonts w:ascii="Cambria" w:hAnsi="Cambria"/>
          <w:sz w:val="22"/>
          <w:szCs w:val="22"/>
        </w:rPr>
        <w:t xml:space="preserve"> regardless of age, whereas survivor pension recipients become eligible for the </w:t>
      </w:r>
      <w:proofErr w:type="spellStart"/>
      <w:r w:rsidRPr="00C20EC5">
        <w:rPr>
          <w:rFonts w:ascii="Cambria" w:hAnsi="Cambria"/>
          <w:sz w:val="22"/>
          <w:szCs w:val="22"/>
        </w:rPr>
        <w:t>demogrant</w:t>
      </w:r>
      <w:proofErr w:type="spellEnd"/>
      <w:r w:rsidRPr="00C20EC5">
        <w:rPr>
          <w:rFonts w:ascii="Cambria" w:hAnsi="Cambria"/>
          <w:sz w:val="22"/>
          <w:szCs w:val="22"/>
        </w:rPr>
        <w:t xml:space="preserve"> only upon reaching the eligible age;</w:t>
      </w:r>
    </w:p>
    <w:p w14:paraId="76351CF7" w14:textId="05BC8C7E" w:rsidR="009C65DE" w:rsidRDefault="009C65DE" w:rsidP="00A251DD">
      <w:pPr>
        <w:pStyle w:val="ListParagraph"/>
        <w:numPr>
          <w:ilvl w:val="0"/>
          <w:numId w:val="18"/>
        </w:numPr>
        <w:jc w:val="both"/>
        <w:rPr>
          <w:rFonts w:ascii="Cambria" w:hAnsi="Cambria"/>
          <w:sz w:val="22"/>
          <w:szCs w:val="22"/>
        </w:rPr>
      </w:pPr>
      <w:proofErr w:type="spellStart"/>
      <w:r w:rsidRPr="00C20EC5">
        <w:rPr>
          <w:rFonts w:ascii="Cambria" w:hAnsi="Cambria"/>
          <w:sz w:val="22"/>
          <w:szCs w:val="22"/>
        </w:rPr>
        <w:t>Demogrant</w:t>
      </w:r>
      <w:proofErr w:type="spellEnd"/>
      <w:r w:rsidRPr="00C20EC5">
        <w:rPr>
          <w:rFonts w:ascii="Cambria" w:hAnsi="Cambria"/>
          <w:sz w:val="22"/>
          <w:szCs w:val="22"/>
        </w:rPr>
        <w:t xml:space="preserve"> amount initially set at the basic pension level, further indexed to </w:t>
      </w:r>
      <w:r w:rsidR="00C55783" w:rsidRPr="00C20EC5">
        <w:rPr>
          <w:rFonts w:ascii="Cambria" w:hAnsi="Cambria"/>
          <w:sz w:val="22"/>
          <w:szCs w:val="22"/>
        </w:rPr>
        <w:t>wage growth</w:t>
      </w:r>
      <w:r w:rsidR="00D654E5">
        <w:rPr>
          <w:rFonts w:ascii="Cambria" w:hAnsi="Cambria"/>
          <w:sz w:val="22"/>
          <w:szCs w:val="22"/>
        </w:rPr>
        <w:t xml:space="preserve"> in variant (</w:t>
      </w:r>
      <w:r w:rsidR="00775333">
        <w:rPr>
          <w:rFonts w:ascii="Cambria" w:hAnsi="Cambria"/>
          <w:sz w:val="22"/>
          <w:szCs w:val="22"/>
        </w:rPr>
        <w:t>a</w:t>
      </w:r>
      <w:r w:rsidR="00D654E5">
        <w:rPr>
          <w:rFonts w:ascii="Cambria" w:hAnsi="Cambria"/>
          <w:sz w:val="22"/>
          <w:szCs w:val="22"/>
        </w:rPr>
        <w:t>)</w:t>
      </w:r>
      <w:r w:rsidR="00C55783" w:rsidRPr="00C20EC5">
        <w:rPr>
          <w:rFonts w:ascii="Cambria" w:hAnsi="Cambria"/>
          <w:sz w:val="22"/>
          <w:szCs w:val="22"/>
        </w:rPr>
        <w:t xml:space="preserve"> and inflation</w:t>
      </w:r>
      <w:r w:rsidR="00D654E5">
        <w:rPr>
          <w:rFonts w:ascii="Cambria" w:hAnsi="Cambria"/>
          <w:sz w:val="22"/>
          <w:szCs w:val="22"/>
        </w:rPr>
        <w:t xml:space="preserve"> in variant (</w:t>
      </w:r>
      <w:r w:rsidR="00775333">
        <w:rPr>
          <w:rFonts w:ascii="Cambria" w:hAnsi="Cambria"/>
          <w:sz w:val="22"/>
          <w:szCs w:val="22"/>
        </w:rPr>
        <w:t>b</w:t>
      </w:r>
      <w:r w:rsidR="00D654E5">
        <w:rPr>
          <w:rFonts w:ascii="Cambria" w:hAnsi="Cambria"/>
          <w:sz w:val="22"/>
          <w:szCs w:val="22"/>
        </w:rPr>
        <w:t>)</w:t>
      </w:r>
      <w:r w:rsidR="00C55783" w:rsidRPr="00C20EC5">
        <w:rPr>
          <w:rFonts w:ascii="Cambria" w:hAnsi="Cambria"/>
          <w:sz w:val="22"/>
          <w:szCs w:val="22"/>
        </w:rPr>
        <w:t>.</w:t>
      </w:r>
    </w:p>
    <w:p w14:paraId="6EA52A63" w14:textId="77777777" w:rsidR="00A251DD" w:rsidRPr="00A251DD" w:rsidRDefault="00A251DD" w:rsidP="00A251DD">
      <w:pPr>
        <w:ind w:left="720"/>
        <w:jc w:val="both"/>
        <w:rPr>
          <w:rFonts w:ascii="Cambria" w:hAnsi="Cambria"/>
          <w:sz w:val="22"/>
          <w:szCs w:val="22"/>
        </w:rPr>
      </w:pPr>
    </w:p>
    <w:tbl>
      <w:tblPr>
        <w:tblStyle w:val="TableGrid"/>
        <w:tblpPr w:leftFromText="180" w:rightFromText="180" w:vertAnchor="text" w:horzAnchor="margin" w:tblpXSpec="right" w:tblpY="272"/>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tblGrid>
      <w:tr w:rsidR="00A251DD" w14:paraId="136CB131" w14:textId="77777777" w:rsidTr="004D11CC">
        <w:trPr>
          <w:trHeight w:val="773"/>
          <w:jc w:val="right"/>
        </w:trPr>
        <w:tc>
          <w:tcPr>
            <w:tcW w:w="6066" w:type="dxa"/>
          </w:tcPr>
          <w:p w14:paraId="51580AAE" w14:textId="631FBCC4" w:rsidR="00A251DD" w:rsidRPr="00C20EC5" w:rsidRDefault="00A251DD" w:rsidP="004D11CC">
            <w:pPr>
              <w:pStyle w:val="Caption"/>
              <w:spacing w:after="0"/>
              <w:rPr>
                <w:b w:val="0"/>
              </w:rPr>
            </w:pPr>
            <w:bookmarkStart w:id="25" w:name="_Toc378163846"/>
            <w:r>
              <w:t xml:space="preserve">Figure </w:t>
            </w:r>
            <w:r w:rsidR="00C646A3">
              <w:fldChar w:fldCharType="begin"/>
            </w:r>
            <w:r w:rsidR="00C646A3">
              <w:instrText xml:space="preserve"> SEQ Figure_ \* ARABIC </w:instrText>
            </w:r>
            <w:r w:rsidR="00C646A3">
              <w:fldChar w:fldCharType="separate"/>
            </w:r>
            <w:r w:rsidR="00C646A3">
              <w:rPr>
                <w:noProof/>
              </w:rPr>
              <w:t>13</w:t>
            </w:r>
            <w:r w:rsidR="00C646A3">
              <w:rPr>
                <w:noProof/>
              </w:rPr>
              <w:fldChar w:fldCharType="end"/>
            </w:r>
            <w:r>
              <w:t>.</w:t>
            </w:r>
            <w:r w:rsidRPr="00C20EC5">
              <w:rPr>
                <w:b w:val="0"/>
              </w:rPr>
              <w:t xml:space="preserve"> </w:t>
            </w:r>
            <w:r w:rsidRPr="00A251DD">
              <w:rPr>
                <w:noProof/>
              </w:rPr>
              <w:t xml:space="preserve">Average Replacement Rates for New </w:t>
            </w:r>
            <w:r w:rsidR="002009D0">
              <w:rPr>
                <w:noProof/>
              </w:rPr>
              <w:t>Old-A</w:t>
            </w:r>
            <w:r w:rsidR="00A47C53">
              <w:rPr>
                <w:noProof/>
              </w:rPr>
              <w:t>ge</w:t>
            </w:r>
            <w:r w:rsidRPr="00A251DD">
              <w:rPr>
                <w:noProof/>
              </w:rPr>
              <w:t xml:space="preserve"> Pensioners, Salaried Workers</w:t>
            </w:r>
            <w:bookmarkEnd w:id="25"/>
          </w:p>
          <w:p w14:paraId="399E92A6" w14:textId="748EECD9" w:rsidR="00A251DD" w:rsidRDefault="00A251DD" w:rsidP="004D11CC">
            <w:pPr>
              <w:jc w:val="center"/>
            </w:pPr>
            <w:r w:rsidRPr="00A251DD">
              <w:rPr>
                <w:rFonts w:ascii="Cambria" w:hAnsi="Cambria"/>
              </w:rPr>
              <w:t>(</w:t>
            </w:r>
            <w:r w:rsidR="00A12C28" w:rsidRPr="00A251DD">
              <w:rPr>
                <w:rFonts w:ascii="Cambria" w:hAnsi="Cambria"/>
              </w:rPr>
              <w:t xml:space="preserve">Full </w:t>
            </w:r>
            <w:r w:rsidRPr="00A251DD">
              <w:rPr>
                <w:rFonts w:ascii="Cambria" w:hAnsi="Cambria"/>
              </w:rPr>
              <w:t>pension, percent of average wage in the formal sector)</w:t>
            </w:r>
          </w:p>
        </w:tc>
      </w:tr>
      <w:tr w:rsidR="00A251DD" w14:paraId="780E3895" w14:textId="77777777" w:rsidTr="004D11CC">
        <w:trPr>
          <w:jc w:val="right"/>
        </w:trPr>
        <w:tc>
          <w:tcPr>
            <w:tcW w:w="6066" w:type="dxa"/>
          </w:tcPr>
          <w:p w14:paraId="4BD651D5" w14:textId="0CA15B02" w:rsidR="00A251DD" w:rsidRDefault="002D418A" w:rsidP="004D11CC">
            <w:pPr>
              <w:pStyle w:val="Caption"/>
              <w:spacing w:after="0"/>
            </w:pPr>
            <w:r w:rsidRPr="00B21985">
              <w:rPr>
                <w:b w:val="0"/>
                <w:noProof/>
                <w:sz w:val="18"/>
                <w:szCs w:val="18"/>
              </w:rPr>
              <w:drawing>
                <wp:inline distT="0" distB="0" distL="0" distR="0" wp14:anchorId="759A54BC" wp14:editId="66A0DFEB">
                  <wp:extent cx="3681428" cy="2695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1607" cy="2695623"/>
                          </a:xfrm>
                          <a:prstGeom prst="rect">
                            <a:avLst/>
                          </a:prstGeom>
                          <a:noFill/>
                          <a:ln>
                            <a:noFill/>
                          </a:ln>
                        </pic:spPr>
                      </pic:pic>
                    </a:graphicData>
                  </a:graphic>
                </wp:inline>
              </w:drawing>
            </w:r>
          </w:p>
        </w:tc>
      </w:tr>
      <w:tr w:rsidR="00A251DD" w14:paraId="41367BA0" w14:textId="77777777" w:rsidTr="004D11CC">
        <w:trPr>
          <w:jc w:val="right"/>
        </w:trPr>
        <w:tc>
          <w:tcPr>
            <w:tcW w:w="6066" w:type="dxa"/>
          </w:tcPr>
          <w:p w14:paraId="549DB506" w14:textId="60F71ABE" w:rsidR="00A251DD" w:rsidRPr="00A251DD" w:rsidRDefault="00A251DD" w:rsidP="00EB2A88">
            <w:pPr>
              <w:pStyle w:val="Caption"/>
              <w:spacing w:before="40" w:after="120"/>
              <w:jc w:val="left"/>
              <w:rPr>
                <w:b w:val="0"/>
                <w:sz w:val="18"/>
                <w:szCs w:val="18"/>
              </w:rPr>
            </w:pPr>
            <w:r w:rsidRPr="002009D0">
              <w:rPr>
                <w:b w:val="0"/>
                <w:i/>
                <w:sz w:val="18"/>
                <w:szCs w:val="18"/>
              </w:rPr>
              <w:t>Source</w:t>
            </w:r>
            <w:r w:rsidRPr="002009D0">
              <w:rPr>
                <w:b w:val="0"/>
                <w:sz w:val="18"/>
                <w:szCs w:val="18"/>
              </w:rPr>
              <w:t>:</w:t>
            </w:r>
            <w:r w:rsidR="00C93163">
              <w:rPr>
                <w:b w:val="0"/>
                <w:sz w:val="18"/>
                <w:szCs w:val="18"/>
              </w:rPr>
              <w:t xml:space="preserve"> </w:t>
            </w:r>
            <w:r w:rsidR="00975EB7" w:rsidRPr="00975EB7">
              <w:rPr>
                <w:sz w:val="18"/>
                <w:szCs w:val="18"/>
              </w:rPr>
              <w:t xml:space="preserve"> </w:t>
            </w:r>
            <w:r w:rsidR="00975EB7" w:rsidRPr="00975EB7">
              <w:rPr>
                <w:b w:val="0"/>
                <w:sz w:val="18"/>
                <w:szCs w:val="18"/>
              </w:rPr>
              <w:t>Staff projections using PROST.</w:t>
            </w:r>
            <w:r w:rsidRPr="002009D0">
              <w:rPr>
                <w:b w:val="0"/>
                <w:sz w:val="18"/>
                <w:szCs w:val="18"/>
              </w:rPr>
              <w:t xml:space="preserve"> </w:t>
            </w:r>
          </w:p>
        </w:tc>
      </w:tr>
    </w:tbl>
    <w:p w14:paraId="623177CC" w14:textId="4F6C6667" w:rsidR="00320803" w:rsidRPr="00C20EC5" w:rsidRDefault="002D10F7" w:rsidP="00876F35">
      <w:pPr>
        <w:numPr>
          <w:ilvl w:val="0"/>
          <w:numId w:val="3"/>
        </w:numPr>
        <w:spacing w:before="240" w:after="240"/>
        <w:jc w:val="both"/>
        <w:rPr>
          <w:rFonts w:ascii="Cambria" w:hAnsi="Cambria"/>
          <w:sz w:val="22"/>
          <w:szCs w:val="22"/>
        </w:rPr>
      </w:pPr>
      <w:r w:rsidRPr="00B21985">
        <w:rPr>
          <w:rFonts w:ascii="Cambria" w:hAnsi="Cambria"/>
          <w:b/>
          <w:sz w:val="22"/>
          <w:szCs w:val="22"/>
        </w:rPr>
        <w:t>All parametric reforms in the contributory system have a positive effect on pensions</w:t>
      </w:r>
      <w:r w:rsidR="001527D4">
        <w:rPr>
          <w:rFonts w:ascii="Cambria" w:hAnsi="Cambria"/>
          <w:b/>
          <w:sz w:val="22"/>
          <w:szCs w:val="22"/>
        </w:rPr>
        <w:t xml:space="preserve"> at retirement</w:t>
      </w:r>
      <w:r w:rsidRPr="00B21985">
        <w:rPr>
          <w:rFonts w:ascii="Cambria" w:hAnsi="Cambria"/>
          <w:b/>
          <w:sz w:val="22"/>
          <w:szCs w:val="22"/>
        </w:rPr>
        <w:t>.</w:t>
      </w:r>
      <w:r>
        <w:rPr>
          <w:rFonts w:ascii="Cambria" w:hAnsi="Cambria"/>
          <w:sz w:val="22"/>
          <w:szCs w:val="22"/>
        </w:rPr>
        <w:t xml:space="preserve"> </w:t>
      </w:r>
      <w:r w:rsidR="00320803" w:rsidRPr="00C20EC5">
        <w:rPr>
          <w:rFonts w:ascii="Cambria" w:hAnsi="Cambria"/>
          <w:sz w:val="22"/>
          <w:szCs w:val="22"/>
        </w:rPr>
        <w:t xml:space="preserve">Figure 13 illustrates the effects of the reform on the average replacement rates for new </w:t>
      </w:r>
      <w:r w:rsidR="00A47C53">
        <w:rPr>
          <w:rFonts w:ascii="Cambria" w:hAnsi="Cambria"/>
          <w:sz w:val="22"/>
          <w:szCs w:val="22"/>
        </w:rPr>
        <w:t>old-age</w:t>
      </w:r>
      <w:r w:rsidR="00320803" w:rsidRPr="00C20EC5">
        <w:rPr>
          <w:rFonts w:ascii="Cambria" w:hAnsi="Cambria"/>
          <w:sz w:val="22"/>
          <w:szCs w:val="22"/>
        </w:rPr>
        <w:t xml:space="preserve"> pensioners (full pension from all components). Just correcting the contribution indexation mechanism (Reforms 1 and 2) doubles SP2 pensions compared </w:t>
      </w:r>
      <w:r w:rsidR="005F0BFB" w:rsidRPr="00C20EC5">
        <w:rPr>
          <w:rFonts w:ascii="Cambria" w:hAnsi="Cambria"/>
          <w:sz w:val="22"/>
          <w:szCs w:val="22"/>
        </w:rPr>
        <w:t>with</w:t>
      </w:r>
      <w:r w:rsidR="00320803" w:rsidRPr="00C20EC5">
        <w:rPr>
          <w:rFonts w:ascii="Cambria" w:hAnsi="Cambria"/>
          <w:sz w:val="22"/>
          <w:szCs w:val="22"/>
        </w:rPr>
        <w:t xml:space="preserve"> the base case in the longer run, so the average replacement rate for new retirees may reach 60</w:t>
      </w:r>
      <w:r w:rsidR="002B409D">
        <w:rPr>
          <w:rFonts w:ascii="Cambria" w:hAnsi="Cambria"/>
          <w:sz w:val="22"/>
          <w:szCs w:val="22"/>
        </w:rPr>
        <w:t xml:space="preserve"> percent</w:t>
      </w:r>
      <w:r w:rsidR="00320803" w:rsidRPr="00C20EC5">
        <w:rPr>
          <w:rFonts w:ascii="Cambria" w:hAnsi="Cambria"/>
          <w:sz w:val="22"/>
          <w:szCs w:val="22"/>
        </w:rPr>
        <w:t xml:space="preserve"> of the average wage. Reform 3 makes the insurance portion of pensions at retirement even higher bringing </w:t>
      </w:r>
      <w:r w:rsidR="00F35398" w:rsidRPr="00C20EC5">
        <w:rPr>
          <w:rFonts w:ascii="Cambria" w:hAnsi="Cambria"/>
          <w:sz w:val="22"/>
          <w:szCs w:val="22"/>
        </w:rPr>
        <w:t xml:space="preserve">the </w:t>
      </w:r>
      <w:r w:rsidR="00EF2025" w:rsidRPr="00C20EC5">
        <w:rPr>
          <w:rFonts w:ascii="Cambria" w:hAnsi="Cambria"/>
          <w:sz w:val="22"/>
          <w:szCs w:val="22"/>
        </w:rPr>
        <w:t xml:space="preserve">average </w:t>
      </w:r>
      <w:r w:rsidR="00F35398" w:rsidRPr="00C20EC5">
        <w:rPr>
          <w:rFonts w:ascii="Cambria" w:hAnsi="Cambria"/>
          <w:sz w:val="22"/>
          <w:szCs w:val="22"/>
        </w:rPr>
        <w:t>full pension</w:t>
      </w:r>
      <w:r w:rsidR="00320803" w:rsidRPr="00C20EC5">
        <w:rPr>
          <w:rFonts w:ascii="Cambria" w:hAnsi="Cambria"/>
          <w:sz w:val="22"/>
          <w:szCs w:val="22"/>
        </w:rPr>
        <w:t xml:space="preserve"> up to around 70</w:t>
      </w:r>
      <w:r w:rsidR="002B409D">
        <w:rPr>
          <w:rFonts w:ascii="Cambria" w:hAnsi="Cambria"/>
          <w:sz w:val="22"/>
          <w:szCs w:val="22"/>
        </w:rPr>
        <w:t xml:space="preserve"> percent</w:t>
      </w:r>
      <w:r w:rsidR="00320803" w:rsidRPr="00C20EC5">
        <w:rPr>
          <w:rFonts w:ascii="Cambria" w:hAnsi="Cambria"/>
          <w:sz w:val="22"/>
          <w:szCs w:val="22"/>
        </w:rPr>
        <w:t xml:space="preserve"> </w:t>
      </w:r>
      <w:r w:rsidR="00F35398" w:rsidRPr="00C20EC5">
        <w:rPr>
          <w:rFonts w:ascii="Cambria" w:hAnsi="Cambria"/>
          <w:sz w:val="22"/>
          <w:szCs w:val="22"/>
        </w:rPr>
        <w:t xml:space="preserve">of the average wage </w:t>
      </w:r>
      <w:r w:rsidR="00320803" w:rsidRPr="00C20EC5">
        <w:rPr>
          <w:rFonts w:ascii="Cambria" w:hAnsi="Cambria"/>
          <w:sz w:val="22"/>
          <w:szCs w:val="22"/>
        </w:rPr>
        <w:t>by 2050. Here</w:t>
      </w:r>
      <w:r w:rsidR="00EF2025" w:rsidRPr="00C20EC5">
        <w:rPr>
          <w:rFonts w:ascii="Cambria" w:hAnsi="Cambria"/>
          <w:sz w:val="22"/>
          <w:szCs w:val="22"/>
        </w:rPr>
        <w:t>,</w:t>
      </w:r>
      <w:r w:rsidR="00320803" w:rsidRPr="00C20EC5">
        <w:rPr>
          <w:rFonts w:ascii="Cambria" w:hAnsi="Cambria"/>
          <w:sz w:val="22"/>
          <w:szCs w:val="22"/>
        </w:rPr>
        <w:t xml:space="preserve"> initially </w:t>
      </w:r>
      <w:r w:rsidR="00C93163">
        <w:rPr>
          <w:rFonts w:ascii="Cambria" w:hAnsi="Cambria"/>
          <w:sz w:val="22"/>
          <w:szCs w:val="22"/>
        </w:rPr>
        <w:t xml:space="preserve">the average replacement rates grow due to </w:t>
      </w:r>
      <w:r w:rsidR="00320803" w:rsidRPr="00C20EC5">
        <w:rPr>
          <w:rFonts w:ascii="Cambria" w:hAnsi="Cambria"/>
          <w:sz w:val="22"/>
          <w:szCs w:val="22"/>
        </w:rPr>
        <w:t xml:space="preserve">more favorable actuarial coefficients. Later on the impact of increasing retirement age kicks in: as workers retire later they contribute for longer periods and accumulate larger notional capital, then at retirement their pension is calculated using more favorable actuarial coefficients set for older ages. Under Reform </w:t>
      </w:r>
      <w:r w:rsidR="00775333">
        <w:rPr>
          <w:rFonts w:ascii="Cambria" w:hAnsi="Cambria"/>
          <w:sz w:val="22"/>
          <w:szCs w:val="22"/>
        </w:rPr>
        <w:t>4</w:t>
      </w:r>
      <w:r w:rsidR="00320803" w:rsidRPr="00C20EC5">
        <w:rPr>
          <w:rFonts w:ascii="Cambria" w:hAnsi="Cambria"/>
          <w:sz w:val="22"/>
          <w:szCs w:val="22"/>
        </w:rPr>
        <w:t xml:space="preserve">, insurance and FDC pensions are the same as in the base case but new retirees will not get the </w:t>
      </w:r>
      <w:proofErr w:type="spellStart"/>
      <w:r w:rsidR="00320803" w:rsidRPr="00C20EC5">
        <w:rPr>
          <w:rFonts w:ascii="Cambria" w:hAnsi="Cambria"/>
          <w:sz w:val="22"/>
          <w:szCs w:val="22"/>
        </w:rPr>
        <w:t>demogrant</w:t>
      </w:r>
      <w:proofErr w:type="spellEnd"/>
      <w:r w:rsidR="00320803" w:rsidRPr="00C20EC5">
        <w:rPr>
          <w:rFonts w:ascii="Cambria" w:hAnsi="Cambria"/>
          <w:sz w:val="22"/>
          <w:szCs w:val="22"/>
        </w:rPr>
        <w:t xml:space="preserve"> at retirement, it will be added to their pension only upon reaching age 65. </w:t>
      </w:r>
    </w:p>
    <w:p w14:paraId="1ECDC2AD" w14:textId="3476E02F" w:rsidR="00A251DD" w:rsidRPr="00C20EC5" w:rsidRDefault="002573E9" w:rsidP="00A251DD">
      <w:pPr>
        <w:numPr>
          <w:ilvl w:val="0"/>
          <w:numId w:val="3"/>
        </w:numPr>
        <w:spacing w:before="240" w:after="240"/>
        <w:jc w:val="both"/>
        <w:rPr>
          <w:rFonts w:ascii="Cambria" w:hAnsi="Cambria"/>
          <w:sz w:val="22"/>
          <w:szCs w:val="22"/>
        </w:rPr>
      </w:pPr>
      <w:r>
        <w:rPr>
          <w:rFonts w:ascii="Cambria" w:hAnsi="Cambria"/>
          <w:b/>
          <w:sz w:val="22"/>
          <w:szCs w:val="22"/>
        </w:rPr>
        <w:t>In Reforms 1-3 h</w:t>
      </w:r>
      <w:r w:rsidR="00AD52A8">
        <w:rPr>
          <w:rFonts w:ascii="Cambria" w:hAnsi="Cambria"/>
          <w:b/>
          <w:sz w:val="22"/>
          <w:szCs w:val="22"/>
        </w:rPr>
        <w:t xml:space="preserve">igher pensions at retirement generate higher post-retirement pensions even with a move to price indexation. </w:t>
      </w:r>
      <w:r w:rsidR="00A251DD" w:rsidRPr="00C20EC5">
        <w:rPr>
          <w:rFonts w:ascii="Cambria" w:hAnsi="Cambria"/>
          <w:sz w:val="22"/>
          <w:szCs w:val="22"/>
        </w:rPr>
        <w:t>The projected average post-retirement pensions (excluding the funded component) and their composition are shown in Figures 14a,</w:t>
      </w:r>
      <w:r w:rsidR="002009D0">
        <w:rPr>
          <w:rFonts w:ascii="Cambria" w:hAnsi="Cambria"/>
          <w:sz w:val="22"/>
          <w:szCs w:val="22"/>
        </w:rPr>
        <w:t xml:space="preserve"> </w:t>
      </w:r>
      <w:r w:rsidR="00A251DD" w:rsidRPr="00C20EC5">
        <w:rPr>
          <w:rFonts w:ascii="Cambria" w:hAnsi="Cambria"/>
          <w:sz w:val="22"/>
          <w:szCs w:val="22"/>
        </w:rPr>
        <w:t>b,</w:t>
      </w:r>
      <w:r w:rsidR="002009D0">
        <w:rPr>
          <w:rFonts w:ascii="Cambria" w:hAnsi="Cambria"/>
          <w:sz w:val="22"/>
          <w:szCs w:val="22"/>
        </w:rPr>
        <w:t xml:space="preserve"> </w:t>
      </w:r>
      <w:r w:rsidR="00A251DD" w:rsidRPr="00C20EC5">
        <w:rPr>
          <w:rFonts w:ascii="Cambria" w:hAnsi="Cambria"/>
          <w:sz w:val="22"/>
          <w:szCs w:val="22"/>
        </w:rPr>
        <w:t>c,</w:t>
      </w:r>
      <w:r w:rsidR="002009D0">
        <w:rPr>
          <w:rFonts w:ascii="Cambria" w:hAnsi="Cambria"/>
          <w:sz w:val="22"/>
          <w:szCs w:val="22"/>
        </w:rPr>
        <w:t xml:space="preserve"> </w:t>
      </w:r>
      <w:r w:rsidR="00A251DD" w:rsidRPr="00C20EC5">
        <w:rPr>
          <w:rFonts w:ascii="Cambria" w:hAnsi="Cambria"/>
          <w:sz w:val="22"/>
          <w:szCs w:val="22"/>
        </w:rPr>
        <w:t>d,</w:t>
      </w:r>
      <w:r w:rsidR="002009D0">
        <w:rPr>
          <w:rFonts w:ascii="Cambria" w:hAnsi="Cambria"/>
          <w:sz w:val="22"/>
          <w:szCs w:val="22"/>
        </w:rPr>
        <w:t xml:space="preserve"> and </w:t>
      </w:r>
      <w:r w:rsidR="00A251DD" w:rsidRPr="00C20EC5">
        <w:rPr>
          <w:rFonts w:ascii="Cambria" w:hAnsi="Cambria"/>
          <w:sz w:val="22"/>
          <w:szCs w:val="22"/>
        </w:rPr>
        <w:t xml:space="preserve">e for each reform scenario. Reform 1 boosts post-retirement pensions through increasing pensions at retirement while keeping wage indexation. In Reform 2, though pensions at retirement are the same as in Reform 1, less generous price indexation reduces post-retirement pensions as compared with Reform 1, but still they remain higher than in the no-reform scenario. The raising of the retirement age in Reform 3 helps achieve almost the same levels as in Reform 1 despite price indexation of pensions. </w:t>
      </w:r>
    </w:p>
    <w:p w14:paraId="56B21A19" w14:textId="406A1F43" w:rsidR="00A251DD" w:rsidRPr="00C20EC5" w:rsidRDefault="00A251DD" w:rsidP="00A251DD">
      <w:pPr>
        <w:numPr>
          <w:ilvl w:val="0"/>
          <w:numId w:val="3"/>
        </w:numPr>
        <w:spacing w:before="240" w:after="240"/>
        <w:jc w:val="both"/>
        <w:rPr>
          <w:rFonts w:ascii="Cambria" w:hAnsi="Cambria"/>
          <w:sz w:val="22"/>
          <w:szCs w:val="22"/>
        </w:rPr>
      </w:pPr>
      <w:r w:rsidRPr="00B21985">
        <w:rPr>
          <w:rFonts w:ascii="Cambria" w:hAnsi="Cambria"/>
          <w:b/>
          <w:sz w:val="22"/>
          <w:szCs w:val="22"/>
        </w:rPr>
        <w:lastRenderedPageBreak/>
        <w:t>In Reform 4 insurance pensions at retirement and post-retirement are the same as in the no-reform scenario, however total benefits are lower</w:t>
      </w:r>
      <w:r w:rsidRPr="00C20EC5">
        <w:rPr>
          <w:rFonts w:ascii="Cambria" w:hAnsi="Cambria"/>
          <w:sz w:val="22"/>
          <w:szCs w:val="22"/>
        </w:rPr>
        <w:t xml:space="preserve"> </w:t>
      </w:r>
      <w:r w:rsidRPr="00B21985">
        <w:rPr>
          <w:rFonts w:ascii="Cambria" w:hAnsi="Cambria"/>
          <w:b/>
          <w:sz w:val="22"/>
          <w:szCs w:val="22"/>
        </w:rPr>
        <w:t xml:space="preserve">because only pensioners age 65 and older receive the </w:t>
      </w:r>
      <w:proofErr w:type="spellStart"/>
      <w:r w:rsidRPr="00B21985">
        <w:rPr>
          <w:rFonts w:ascii="Cambria" w:hAnsi="Cambria"/>
          <w:b/>
          <w:sz w:val="22"/>
          <w:szCs w:val="22"/>
        </w:rPr>
        <w:t>demogrant</w:t>
      </w:r>
      <w:proofErr w:type="spellEnd"/>
      <w:r w:rsidRPr="00C20EC5">
        <w:rPr>
          <w:rFonts w:ascii="Cambria" w:hAnsi="Cambria"/>
          <w:sz w:val="22"/>
          <w:szCs w:val="22"/>
        </w:rPr>
        <w:t>. Even with wage indexation in Reform 4a benefits are projected to decrease to very low levels of about 20</w:t>
      </w:r>
      <w:r w:rsidR="002B409D">
        <w:rPr>
          <w:rFonts w:ascii="Cambria" w:hAnsi="Cambria"/>
          <w:sz w:val="22"/>
          <w:szCs w:val="22"/>
        </w:rPr>
        <w:t xml:space="preserve"> percent</w:t>
      </w:r>
      <w:r w:rsidRPr="00C20EC5">
        <w:rPr>
          <w:rFonts w:ascii="Cambria" w:hAnsi="Cambria"/>
          <w:sz w:val="22"/>
          <w:szCs w:val="22"/>
        </w:rPr>
        <w:t xml:space="preserve"> </w:t>
      </w:r>
      <w:r w:rsidR="002009D0">
        <w:rPr>
          <w:rFonts w:ascii="Cambria" w:hAnsi="Cambria"/>
          <w:sz w:val="22"/>
          <w:szCs w:val="22"/>
        </w:rPr>
        <w:t xml:space="preserve">on </w:t>
      </w:r>
      <w:r w:rsidRPr="00C20EC5">
        <w:rPr>
          <w:rFonts w:ascii="Cambria" w:hAnsi="Cambria"/>
          <w:sz w:val="22"/>
          <w:szCs w:val="22"/>
        </w:rPr>
        <w:t>average</w:t>
      </w:r>
      <w:r w:rsidR="002009D0">
        <w:rPr>
          <w:rFonts w:ascii="Cambria" w:hAnsi="Cambria"/>
          <w:sz w:val="22"/>
          <w:szCs w:val="22"/>
        </w:rPr>
        <w:t>,</w:t>
      </w:r>
      <w:r w:rsidRPr="00C20EC5">
        <w:rPr>
          <w:rFonts w:ascii="Cambria" w:hAnsi="Cambria"/>
          <w:sz w:val="22"/>
          <w:szCs w:val="22"/>
        </w:rPr>
        <w:t xml:space="preserve"> which may be socially and politically unacceptable. If the </w:t>
      </w:r>
      <w:proofErr w:type="spellStart"/>
      <w:r w:rsidRPr="00C20EC5">
        <w:rPr>
          <w:rFonts w:ascii="Cambria" w:hAnsi="Cambria"/>
          <w:sz w:val="22"/>
          <w:szCs w:val="22"/>
        </w:rPr>
        <w:t>demogrant</w:t>
      </w:r>
      <w:proofErr w:type="spellEnd"/>
      <w:r w:rsidRPr="00C20EC5">
        <w:rPr>
          <w:rFonts w:ascii="Cambria" w:hAnsi="Cambria"/>
          <w:sz w:val="22"/>
          <w:szCs w:val="22"/>
        </w:rPr>
        <w:t xml:space="preserve"> is indexed to prices (Reform 4b) benefits become even lower. So, the </w:t>
      </w:r>
      <w:proofErr w:type="spellStart"/>
      <w:r w:rsidRPr="00C20EC5">
        <w:rPr>
          <w:rFonts w:ascii="Cambria" w:hAnsi="Cambria"/>
          <w:sz w:val="22"/>
          <w:szCs w:val="22"/>
        </w:rPr>
        <w:t>demogrant</w:t>
      </w:r>
      <w:proofErr w:type="spellEnd"/>
      <w:r w:rsidRPr="00C20EC5">
        <w:rPr>
          <w:rFonts w:ascii="Cambria" w:hAnsi="Cambria"/>
          <w:sz w:val="22"/>
          <w:szCs w:val="22"/>
        </w:rPr>
        <w:t xml:space="preserve"> option</w:t>
      </w:r>
      <w:r w:rsidR="006D2B69">
        <w:rPr>
          <w:rFonts w:ascii="Cambria" w:hAnsi="Cambria"/>
          <w:sz w:val="22"/>
          <w:szCs w:val="22"/>
        </w:rPr>
        <w:t>—</w:t>
      </w:r>
      <w:r w:rsidRPr="00C20EC5">
        <w:rPr>
          <w:rFonts w:ascii="Cambria" w:hAnsi="Cambria"/>
          <w:sz w:val="22"/>
          <w:szCs w:val="22"/>
        </w:rPr>
        <w:t>if considered</w:t>
      </w:r>
      <w:r w:rsidR="006D2B69">
        <w:rPr>
          <w:rFonts w:ascii="Cambria" w:hAnsi="Cambria"/>
          <w:sz w:val="22"/>
          <w:szCs w:val="22"/>
        </w:rPr>
        <w:t>—</w:t>
      </w:r>
      <w:r w:rsidRPr="00C20EC5">
        <w:rPr>
          <w:rFonts w:ascii="Cambria" w:hAnsi="Cambria"/>
          <w:sz w:val="22"/>
          <w:szCs w:val="22"/>
        </w:rPr>
        <w:t>should be combined with some parametric reforms in the insurance component that would increase insurance pension levels, similar to the proposed Reforms 1, 2, and 3.</w:t>
      </w:r>
    </w:p>
    <w:tbl>
      <w:tblPr>
        <w:tblStyle w:val="TableGrid"/>
        <w:tblW w:w="1030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286"/>
      </w:tblGrid>
      <w:tr w:rsidR="00731B5E" w14:paraId="38BCA69D" w14:textId="77777777" w:rsidTr="00A60B08">
        <w:trPr>
          <w:trHeight w:val="503"/>
        </w:trPr>
        <w:tc>
          <w:tcPr>
            <w:tcW w:w="10302" w:type="dxa"/>
            <w:gridSpan w:val="2"/>
          </w:tcPr>
          <w:p w14:paraId="09A01437" w14:textId="423E2648" w:rsidR="00731B5E" w:rsidRPr="00C20EC5" w:rsidRDefault="00731B5E" w:rsidP="00A60B08">
            <w:pPr>
              <w:pStyle w:val="Caption"/>
              <w:spacing w:after="0"/>
              <w:rPr>
                <w:sz w:val="22"/>
                <w:szCs w:val="22"/>
              </w:rPr>
            </w:pPr>
            <w:bookmarkStart w:id="26" w:name="_Toc378163847"/>
            <w:r>
              <w:t xml:space="preserve">Figure </w:t>
            </w:r>
            <w:r w:rsidR="00C646A3">
              <w:fldChar w:fldCharType="begin"/>
            </w:r>
            <w:r w:rsidR="00C646A3">
              <w:instrText xml:space="preserve"> SEQ Figu</w:instrText>
            </w:r>
            <w:r w:rsidR="00C646A3">
              <w:instrText xml:space="preserve">re_ \* ARABIC </w:instrText>
            </w:r>
            <w:r w:rsidR="00C646A3">
              <w:fldChar w:fldCharType="separate"/>
            </w:r>
            <w:r w:rsidR="00C646A3">
              <w:rPr>
                <w:noProof/>
              </w:rPr>
              <w:t>14</w:t>
            </w:r>
            <w:r w:rsidR="00C646A3">
              <w:rPr>
                <w:noProof/>
              </w:rPr>
              <w:fldChar w:fldCharType="end"/>
            </w:r>
            <w:r>
              <w:t>.</w:t>
            </w:r>
            <w:r w:rsidRPr="00C20EC5">
              <w:rPr>
                <w:b w:val="0"/>
              </w:rPr>
              <w:t xml:space="preserve"> </w:t>
            </w:r>
            <w:r w:rsidRPr="00A251DD">
              <w:rPr>
                <w:noProof/>
              </w:rPr>
              <w:t xml:space="preserve">Average Replacement Rates for All Existing </w:t>
            </w:r>
            <w:r w:rsidR="00A47C53">
              <w:rPr>
                <w:noProof/>
              </w:rPr>
              <w:t>Old-</w:t>
            </w:r>
            <w:r w:rsidR="006D2B69">
              <w:rPr>
                <w:noProof/>
              </w:rPr>
              <w:t>A</w:t>
            </w:r>
            <w:r w:rsidR="00A47C53">
              <w:rPr>
                <w:noProof/>
              </w:rPr>
              <w:t>ge</w:t>
            </w:r>
            <w:r w:rsidRPr="00A251DD">
              <w:rPr>
                <w:noProof/>
              </w:rPr>
              <w:t xml:space="preserve"> Pensioners</w:t>
            </w:r>
            <w:bookmarkEnd w:id="26"/>
          </w:p>
          <w:p w14:paraId="5D34415E" w14:textId="55D7A9E6" w:rsidR="00731B5E" w:rsidRPr="00731B5E" w:rsidRDefault="00731B5E" w:rsidP="00A60B08">
            <w:pPr>
              <w:jc w:val="center"/>
              <w:rPr>
                <w:rFonts w:ascii="Cambria" w:hAnsi="Cambria"/>
              </w:rPr>
            </w:pPr>
            <w:r w:rsidRPr="00731B5E">
              <w:rPr>
                <w:rFonts w:ascii="Cambria" w:hAnsi="Cambria"/>
              </w:rPr>
              <w:t>(</w:t>
            </w:r>
            <w:r w:rsidR="00A12C28" w:rsidRPr="00731B5E">
              <w:rPr>
                <w:rFonts w:ascii="Cambria" w:hAnsi="Cambria"/>
              </w:rPr>
              <w:t xml:space="preserve">Percent </w:t>
            </w:r>
            <w:r w:rsidRPr="00731B5E">
              <w:rPr>
                <w:rFonts w:ascii="Cambria" w:hAnsi="Cambria"/>
              </w:rPr>
              <w:t>of average wage in the formal sector)</w:t>
            </w:r>
          </w:p>
        </w:tc>
      </w:tr>
      <w:tr w:rsidR="00731B5E" w14:paraId="387BC9E3" w14:textId="77777777" w:rsidTr="00A60B08">
        <w:trPr>
          <w:trHeight w:val="152"/>
        </w:trPr>
        <w:tc>
          <w:tcPr>
            <w:tcW w:w="4986" w:type="dxa"/>
          </w:tcPr>
          <w:p w14:paraId="3850AB5A" w14:textId="77777777" w:rsidR="00731B5E" w:rsidRPr="00731B5E" w:rsidRDefault="00731B5E" w:rsidP="00A60B08">
            <w:pPr>
              <w:pStyle w:val="Caption"/>
              <w:spacing w:after="0"/>
              <w:rPr>
                <w:b w:val="0"/>
              </w:rPr>
            </w:pPr>
            <w:r w:rsidRPr="00731B5E">
              <w:rPr>
                <w:b w:val="0"/>
              </w:rPr>
              <w:t>Figure 14a. Reform 1</w:t>
            </w:r>
          </w:p>
        </w:tc>
        <w:tc>
          <w:tcPr>
            <w:tcW w:w="5316" w:type="dxa"/>
          </w:tcPr>
          <w:p w14:paraId="09CA7F21" w14:textId="77777777" w:rsidR="00731B5E" w:rsidRPr="00731B5E" w:rsidRDefault="00731B5E" w:rsidP="00A60B08">
            <w:pPr>
              <w:pStyle w:val="Caption"/>
              <w:spacing w:after="0"/>
              <w:rPr>
                <w:b w:val="0"/>
              </w:rPr>
            </w:pPr>
            <w:r w:rsidRPr="00731B5E">
              <w:rPr>
                <w:b w:val="0"/>
              </w:rPr>
              <w:t>Figure 14b. Reform 2</w:t>
            </w:r>
          </w:p>
        </w:tc>
      </w:tr>
      <w:tr w:rsidR="00731B5E" w14:paraId="31F411C7" w14:textId="77777777" w:rsidTr="00EF1B17">
        <w:trPr>
          <w:trHeight w:val="3078"/>
        </w:trPr>
        <w:tc>
          <w:tcPr>
            <w:tcW w:w="4986" w:type="dxa"/>
          </w:tcPr>
          <w:p w14:paraId="7FFCEC71" w14:textId="77777777" w:rsidR="00731B5E" w:rsidRDefault="00731B5E" w:rsidP="00A60B08">
            <w:pPr>
              <w:jc w:val="center"/>
              <w:rPr>
                <w:rFonts w:ascii="Cambria" w:hAnsi="Cambria"/>
              </w:rPr>
            </w:pPr>
            <w:r>
              <w:rPr>
                <w:noProof/>
              </w:rPr>
              <w:drawing>
                <wp:inline distT="0" distB="0" distL="0" distR="0" wp14:anchorId="1C287C20" wp14:editId="76F6E2ED">
                  <wp:extent cx="2934031" cy="1741336"/>
                  <wp:effectExtent l="0" t="0" r="190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316" w:type="dxa"/>
          </w:tcPr>
          <w:p w14:paraId="2507A93B" w14:textId="77777777" w:rsidR="00731B5E" w:rsidRDefault="00731B5E" w:rsidP="00A60B08">
            <w:pPr>
              <w:jc w:val="center"/>
              <w:rPr>
                <w:rFonts w:ascii="Cambria" w:hAnsi="Cambria"/>
              </w:rPr>
            </w:pPr>
            <w:r>
              <w:rPr>
                <w:noProof/>
              </w:rPr>
              <w:drawing>
                <wp:inline distT="0" distB="0" distL="0" distR="0" wp14:anchorId="0DA68A18" wp14:editId="5E6019AB">
                  <wp:extent cx="3116911" cy="1741336"/>
                  <wp:effectExtent l="0" t="0" r="2667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31B5E" w14:paraId="5F278EE0" w14:textId="77777777" w:rsidTr="00A60B08">
        <w:tc>
          <w:tcPr>
            <w:tcW w:w="4986" w:type="dxa"/>
          </w:tcPr>
          <w:p w14:paraId="7B5AD4DC" w14:textId="77777777" w:rsidR="00731B5E" w:rsidRDefault="00AC2E80" w:rsidP="00A60B08">
            <w:pPr>
              <w:jc w:val="center"/>
              <w:rPr>
                <w:rFonts w:ascii="Cambria" w:hAnsi="Cambria"/>
              </w:rPr>
            </w:pPr>
            <w:r>
              <w:rPr>
                <w:rFonts w:ascii="Cambria" w:hAnsi="Cambria"/>
              </w:rPr>
              <w:t>Figure 14c. Reform 3</w:t>
            </w:r>
          </w:p>
        </w:tc>
        <w:tc>
          <w:tcPr>
            <w:tcW w:w="5316" w:type="dxa"/>
          </w:tcPr>
          <w:p w14:paraId="66A4E665" w14:textId="77777777" w:rsidR="00731B5E" w:rsidRDefault="00AC2E80" w:rsidP="00A60B08">
            <w:pPr>
              <w:jc w:val="center"/>
              <w:rPr>
                <w:rFonts w:ascii="Cambria" w:hAnsi="Cambria"/>
              </w:rPr>
            </w:pPr>
            <w:r>
              <w:rPr>
                <w:rFonts w:ascii="Cambria" w:hAnsi="Cambria"/>
              </w:rPr>
              <w:t>Figure 14d. Reform 4a</w:t>
            </w:r>
          </w:p>
        </w:tc>
      </w:tr>
      <w:tr w:rsidR="00731B5E" w14:paraId="638F5C04" w14:textId="77777777" w:rsidTr="00EF1B17">
        <w:trPr>
          <w:trHeight w:val="3105"/>
        </w:trPr>
        <w:tc>
          <w:tcPr>
            <w:tcW w:w="4986" w:type="dxa"/>
          </w:tcPr>
          <w:p w14:paraId="0BA10D95" w14:textId="77777777" w:rsidR="00731B5E" w:rsidRDefault="00AC2E80" w:rsidP="00A60B08">
            <w:pPr>
              <w:jc w:val="center"/>
              <w:rPr>
                <w:rFonts w:ascii="Cambria" w:hAnsi="Cambria"/>
              </w:rPr>
            </w:pPr>
            <w:r>
              <w:rPr>
                <w:noProof/>
              </w:rPr>
              <w:drawing>
                <wp:inline distT="0" distB="0" distL="0" distR="0" wp14:anchorId="7CE965F6" wp14:editId="03173DC1">
                  <wp:extent cx="2973788" cy="1828800"/>
                  <wp:effectExtent l="0" t="0" r="1714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316" w:type="dxa"/>
          </w:tcPr>
          <w:p w14:paraId="3C92B750" w14:textId="77777777" w:rsidR="00731B5E" w:rsidRDefault="00AC2E80" w:rsidP="00A60B08">
            <w:pPr>
              <w:jc w:val="center"/>
              <w:rPr>
                <w:rFonts w:ascii="Cambria" w:hAnsi="Cambria"/>
              </w:rPr>
            </w:pPr>
            <w:r>
              <w:rPr>
                <w:noProof/>
              </w:rPr>
              <w:drawing>
                <wp:inline distT="0" distB="0" distL="0" distR="0" wp14:anchorId="216C2260" wp14:editId="2E2012FB">
                  <wp:extent cx="3116911" cy="1828800"/>
                  <wp:effectExtent l="0" t="0" r="2667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31B5E" w14:paraId="5299987C" w14:textId="77777777" w:rsidTr="00A60B08">
        <w:tc>
          <w:tcPr>
            <w:tcW w:w="4986" w:type="dxa"/>
          </w:tcPr>
          <w:p w14:paraId="0DC9EB22" w14:textId="77777777" w:rsidR="00731B5E" w:rsidRDefault="00AC2E80" w:rsidP="00A60B08">
            <w:pPr>
              <w:jc w:val="center"/>
              <w:rPr>
                <w:rFonts w:ascii="Cambria" w:hAnsi="Cambria"/>
              </w:rPr>
            </w:pPr>
            <w:r>
              <w:rPr>
                <w:rFonts w:ascii="Cambria" w:hAnsi="Cambria"/>
              </w:rPr>
              <w:t>Figure 14e. Reform 4b</w:t>
            </w:r>
          </w:p>
        </w:tc>
        <w:tc>
          <w:tcPr>
            <w:tcW w:w="5316" w:type="dxa"/>
          </w:tcPr>
          <w:p w14:paraId="164E3D7D" w14:textId="77777777" w:rsidR="00731B5E" w:rsidRDefault="00731B5E" w:rsidP="00A60B08">
            <w:pPr>
              <w:jc w:val="center"/>
              <w:rPr>
                <w:rFonts w:ascii="Cambria" w:hAnsi="Cambria"/>
              </w:rPr>
            </w:pPr>
          </w:p>
        </w:tc>
      </w:tr>
      <w:tr w:rsidR="00AC2E80" w14:paraId="60520CA7" w14:textId="77777777" w:rsidTr="00A60B08">
        <w:tc>
          <w:tcPr>
            <w:tcW w:w="4986" w:type="dxa"/>
          </w:tcPr>
          <w:p w14:paraId="697BB01A" w14:textId="77777777" w:rsidR="00AC2E80" w:rsidRDefault="00AC2E80" w:rsidP="00A60B08">
            <w:pPr>
              <w:jc w:val="center"/>
              <w:rPr>
                <w:rFonts w:ascii="Cambria" w:hAnsi="Cambria"/>
              </w:rPr>
            </w:pPr>
            <w:r>
              <w:rPr>
                <w:noProof/>
              </w:rPr>
              <w:drawing>
                <wp:inline distT="0" distB="0" distL="0" distR="0" wp14:anchorId="6E606E62" wp14:editId="6D819523">
                  <wp:extent cx="3021496" cy="1749287"/>
                  <wp:effectExtent l="0" t="0" r="26670" b="228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316" w:type="dxa"/>
          </w:tcPr>
          <w:p w14:paraId="491FB43B" w14:textId="77777777" w:rsidR="00AC2E80" w:rsidRDefault="00AC2E80" w:rsidP="00A60B08">
            <w:pPr>
              <w:jc w:val="center"/>
              <w:rPr>
                <w:rFonts w:ascii="Cambria" w:hAnsi="Cambria"/>
              </w:rPr>
            </w:pPr>
          </w:p>
        </w:tc>
      </w:tr>
      <w:tr w:rsidR="004C6089" w14:paraId="43945D69" w14:textId="77777777" w:rsidTr="00A60B08">
        <w:tc>
          <w:tcPr>
            <w:tcW w:w="10302" w:type="dxa"/>
            <w:gridSpan w:val="2"/>
          </w:tcPr>
          <w:p w14:paraId="46BC5EF9" w14:textId="50D978CF" w:rsidR="004C6089" w:rsidRPr="00FB4D5A" w:rsidRDefault="004C6089" w:rsidP="00A60B08">
            <w:pPr>
              <w:rPr>
                <w:rFonts w:asciiTheme="majorHAnsi" w:hAnsiTheme="majorHAnsi"/>
                <w:sz w:val="18"/>
                <w:szCs w:val="18"/>
              </w:rPr>
            </w:pPr>
            <w:r w:rsidRPr="00FB4D5A">
              <w:rPr>
                <w:rFonts w:asciiTheme="majorHAnsi" w:hAnsiTheme="majorHAnsi"/>
                <w:i/>
                <w:sz w:val="18"/>
                <w:szCs w:val="18"/>
              </w:rPr>
              <w:t>Source</w:t>
            </w:r>
            <w:r w:rsidRPr="00FB4D5A">
              <w:rPr>
                <w:rFonts w:asciiTheme="majorHAnsi" w:hAnsiTheme="majorHAnsi"/>
                <w:sz w:val="18"/>
                <w:szCs w:val="18"/>
              </w:rPr>
              <w:t xml:space="preserve">: </w:t>
            </w:r>
            <w:r w:rsidR="00D849C3" w:rsidRPr="00FB4D5A">
              <w:rPr>
                <w:rFonts w:asciiTheme="majorHAnsi" w:hAnsiTheme="majorHAnsi"/>
                <w:sz w:val="18"/>
                <w:szCs w:val="18"/>
              </w:rPr>
              <w:t>Staff projections using PROST.</w:t>
            </w:r>
          </w:p>
        </w:tc>
      </w:tr>
    </w:tbl>
    <w:p w14:paraId="2DD04EA7" w14:textId="77777777" w:rsidR="00731B5E" w:rsidRPr="00A251DD" w:rsidRDefault="00731B5E" w:rsidP="00A251DD">
      <w:pPr>
        <w:jc w:val="center"/>
        <w:rPr>
          <w:rFonts w:ascii="Cambria" w:hAnsi="Cambria"/>
          <w:sz w:val="20"/>
          <w:szCs w:val="20"/>
        </w:rPr>
      </w:pPr>
    </w:p>
    <w:p w14:paraId="2B66176A" w14:textId="49CD2A07" w:rsidR="00F24B3E" w:rsidRPr="00C20EC5" w:rsidRDefault="008626FF" w:rsidP="00876F35">
      <w:pPr>
        <w:numPr>
          <w:ilvl w:val="0"/>
          <w:numId w:val="3"/>
        </w:numPr>
        <w:spacing w:before="240" w:after="240"/>
        <w:jc w:val="both"/>
        <w:rPr>
          <w:rFonts w:ascii="Cambria" w:hAnsi="Cambria"/>
          <w:sz w:val="22"/>
          <w:szCs w:val="22"/>
        </w:rPr>
      </w:pPr>
      <w:r w:rsidRPr="00B21985">
        <w:rPr>
          <w:rFonts w:ascii="Cambria" w:hAnsi="Cambria"/>
          <w:b/>
          <w:sz w:val="22"/>
          <w:szCs w:val="22"/>
        </w:rPr>
        <w:lastRenderedPageBreak/>
        <w:t>T</w:t>
      </w:r>
      <w:r w:rsidR="00F24B3E" w:rsidRPr="00B21985">
        <w:rPr>
          <w:rFonts w:ascii="Cambria" w:hAnsi="Cambria"/>
          <w:b/>
          <w:sz w:val="22"/>
          <w:szCs w:val="22"/>
        </w:rPr>
        <w:t>he target pension level is a policy choice</w:t>
      </w:r>
      <w:r w:rsidR="00F24B3E" w:rsidRPr="00C20EC5">
        <w:rPr>
          <w:rFonts w:ascii="Cambria" w:hAnsi="Cambria"/>
          <w:sz w:val="22"/>
          <w:szCs w:val="22"/>
        </w:rPr>
        <w:t>. There is a wide range of replacement rates provided by mandatory pension systems across countries. Some countries mandate higher replacement rates, some low</w:t>
      </w:r>
      <w:r w:rsidR="00BE75E6" w:rsidRPr="00C20EC5">
        <w:rPr>
          <w:rFonts w:ascii="Cambria" w:hAnsi="Cambria"/>
          <w:sz w:val="22"/>
          <w:szCs w:val="22"/>
        </w:rPr>
        <w:t>er</w:t>
      </w:r>
      <w:r w:rsidR="00F24B3E" w:rsidRPr="00C20EC5">
        <w:rPr>
          <w:rFonts w:ascii="Cambria" w:hAnsi="Cambria"/>
          <w:sz w:val="22"/>
          <w:szCs w:val="22"/>
        </w:rPr>
        <w:t xml:space="preserve"> but leaving room for voluntary pensions. For example, in Europe and Central Asia the average pension as percentage of the average wage varies from 70-80</w:t>
      </w:r>
      <w:r w:rsidR="002B409D">
        <w:rPr>
          <w:rFonts w:ascii="Cambria" w:hAnsi="Cambria"/>
          <w:sz w:val="22"/>
          <w:szCs w:val="22"/>
        </w:rPr>
        <w:t xml:space="preserve"> percent</w:t>
      </w:r>
      <w:r w:rsidR="00F24B3E" w:rsidRPr="00C20EC5">
        <w:rPr>
          <w:rFonts w:ascii="Cambria" w:hAnsi="Cambria"/>
          <w:sz w:val="22"/>
          <w:szCs w:val="22"/>
        </w:rPr>
        <w:t xml:space="preserve"> (Italy, Luxemburg, Spain) to as low as 13</w:t>
      </w:r>
      <w:r w:rsidR="002B409D">
        <w:rPr>
          <w:rFonts w:ascii="Cambria" w:hAnsi="Cambria"/>
          <w:sz w:val="22"/>
          <w:szCs w:val="22"/>
        </w:rPr>
        <w:t xml:space="preserve"> percent</w:t>
      </w:r>
      <w:r w:rsidR="00F24B3E" w:rsidRPr="00C20EC5">
        <w:rPr>
          <w:rFonts w:ascii="Cambria" w:hAnsi="Cambria"/>
          <w:sz w:val="22"/>
          <w:szCs w:val="22"/>
        </w:rPr>
        <w:t xml:space="preserve"> (Georgia), averaging between 40</w:t>
      </w:r>
      <w:r w:rsidR="006D2B69">
        <w:rPr>
          <w:rFonts w:ascii="Cambria" w:hAnsi="Cambria"/>
          <w:sz w:val="22"/>
          <w:szCs w:val="22"/>
        </w:rPr>
        <w:t>-</w:t>
      </w:r>
      <w:r w:rsidR="00F24B3E" w:rsidRPr="00C20EC5">
        <w:rPr>
          <w:rFonts w:ascii="Cambria" w:hAnsi="Cambria"/>
          <w:sz w:val="22"/>
          <w:szCs w:val="22"/>
        </w:rPr>
        <w:t>50</w:t>
      </w:r>
      <w:r w:rsidR="002B409D">
        <w:rPr>
          <w:rFonts w:ascii="Cambria" w:hAnsi="Cambria"/>
          <w:sz w:val="22"/>
          <w:szCs w:val="22"/>
        </w:rPr>
        <w:t xml:space="preserve"> percent</w:t>
      </w:r>
      <w:r w:rsidR="00F24B3E" w:rsidRPr="00C20EC5">
        <w:rPr>
          <w:rFonts w:ascii="Cambria" w:hAnsi="Cambria"/>
          <w:sz w:val="22"/>
          <w:szCs w:val="22"/>
        </w:rPr>
        <w:t xml:space="preserve"> – see Figure 15. When considering a target replacement rate, one should also take into account not only gross but also net replacement rates, i.e. the ratio of net pensions to net wages. As pensions in </w:t>
      </w:r>
      <w:r w:rsidR="00C03B72">
        <w:rPr>
          <w:rFonts w:ascii="Cambria" w:hAnsi="Cambria"/>
          <w:sz w:val="22"/>
          <w:szCs w:val="22"/>
        </w:rPr>
        <w:t xml:space="preserve">the </w:t>
      </w:r>
      <w:r w:rsidR="00C03B72" w:rsidRPr="00C20EC5">
        <w:rPr>
          <w:rFonts w:ascii="Cambria" w:hAnsi="Cambria"/>
          <w:sz w:val="22"/>
          <w:szCs w:val="22"/>
        </w:rPr>
        <w:t>Kyrgyz</w:t>
      </w:r>
      <w:r w:rsidR="00C03B72">
        <w:rPr>
          <w:rFonts w:ascii="Cambria" w:hAnsi="Cambria"/>
          <w:sz w:val="22"/>
          <w:szCs w:val="22"/>
        </w:rPr>
        <w:t xml:space="preserve"> Republic</w:t>
      </w:r>
      <w:r w:rsidR="00C03B72" w:rsidRPr="00C20EC5">
        <w:rPr>
          <w:rFonts w:ascii="Cambria" w:hAnsi="Cambria"/>
          <w:sz w:val="22"/>
          <w:szCs w:val="22"/>
        </w:rPr>
        <w:t xml:space="preserve"> </w:t>
      </w:r>
      <w:r w:rsidR="00F24B3E" w:rsidRPr="00C20EC5">
        <w:rPr>
          <w:rFonts w:ascii="Cambria" w:hAnsi="Cambria"/>
          <w:sz w:val="22"/>
          <w:szCs w:val="22"/>
        </w:rPr>
        <w:t>are exempted from the income tax, net replacement rates are higher than the gross ones, especially for higher wage earners. If replacement rates expected under reform scenarios are substantially higher than the target levels, there is some room for further adjustments aimed at containing system costs. These options could include reducing the contribution rate, inflation-indexing the basic pension or even means-testing it,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F6365" w14:paraId="502BAA51" w14:textId="77777777" w:rsidTr="00FF6365">
        <w:tc>
          <w:tcPr>
            <w:tcW w:w="9576" w:type="dxa"/>
          </w:tcPr>
          <w:p w14:paraId="4D9DC275" w14:textId="44B0DBD4" w:rsidR="00FF6365" w:rsidRDefault="00FF6365" w:rsidP="00FF6365">
            <w:pPr>
              <w:pStyle w:val="Caption"/>
              <w:rPr>
                <w:noProof/>
              </w:rPr>
            </w:pPr>
            <w:bookmarkStart w:id="27" w:name="_Toc378163848"/>
            <w:r>
              <w:t xml:space="preserve">Figure </w:t>
            </w:r>
            <w:r w:rsidR="00C646A3">
              <w:fldChar w:fldCharType="begin"/>
            </w:r>
            <w:r w:rsidR="00C646A3">
              <w:instrText xml:space="preserve"> SEQ Figure_ \* ARABIC </w:instrText>
            </w:r>
            <w:r w:rsidR="00C646A3">
              <w:fldChar w:fldCharType="separate"/>
            </w:r>
            <w:r w:rsidR="00C646A3">
              <w:rPr>
                <w:noProof/>
              </w:rPr>
              <w:t>15</w:t>
            </w:r>
            <w:r w:rsidR="00C646A3">
              <w:rPr>
                <w:noProof/>
              </w:rPr>
              <w:fldChar w:fldCharType="end"/>
            </w:r>
            <w:r>
              <w:t>.</w:t>
            </w:r>
            <w:r w:rsidRPr="00C20EC5">
              <w:rPr>
                <w:b w:val="0"/>
              </w:rPr>
              <w:t xml:space="preserve"> </w:t>
            </w:r>
            <w:r w:rsidRPr="00FF6365">
              <w:rPr>
                <w:noProof/>
              </w:rPr>
              <w:t xml:space="preserve">Average </w:t>
            </w:r>
            <w:r w:rsidR="006D2B69">
              <w:rPr>
                <w:noProof/>
              </w:rPr>
              <w:t>Old-A</w:t>
            </w:r>
            <w:r w:rsidR="00A47C53">
              <w:rPr>
                <w:noProof/>
              </w:rPr>
              <w:t>ge</w:t>
            </w:r>
            <w:r w:rsidRPr="00FF6365">
              <w:rPr>
                <w:noProof/>
              </w:rPr>
              <w:t xml:space="preserve"> Pension </w:t>
            </w:r>
            <w:r w:rsidR="00A32033">
              <w:rPr>
                <w:noProof/>
              </w:rPr>
              <w:t xml:space="preserve">in </w:t>
            </w:r>
            <w:r w:rsidRPr="00FF6365">
              <w:rPr>
                <w:noProof/>
              </w:rPr>
              <w:t>Europe and Central Asia</w:t>
            </w:r>
            <w:bookmarkEnd w:id="27"/>
          </w:p>
          <w:p w14:paraId="069D0093" w14:textId="5C4B5794" w:rsidR="00A12C28" w:rsidRPr="00A12C28" w:rsidRDefault="00A12C28" w:rsidP="00A32033">
            <w:pPr>
              <w:spacing w:after="40"/>
              <w:jc w:val="center"/>
              <w:rPr>
                <w:rFonts w:ascii="Cambria" w:hAnsi="Cambria"/>
              </w:rPr>
            </w:pPr>
            <w:r w:rsidRPr="00A32033">
              <w:rPr>
                <w:rFonts w:ascii="Cambria" w:hAnsi="Cambria"/>
              </w:rPr>
              <w:t>(</w:t>
            </w:r>
            <w:r w:rsidR="00A32033" w:rsidRPr="00A32033">
              <w:rPr>
                <w:rFonts w:ascii="Cambria" w:hAnsi="Cambria"/>
              </w:rPr>
              <w:t>Percent of Average Wage</w:t>
            </w:r>
            <w:r w:rsidRPr="00A32033">
              <w:rPr>
                <w:rFonts w:ascii="Cambria" w:hAnsi="Cambria"/>
              </w:rPr>
              <w:t>)</w:t>
            </w:r>
          </w:p>
        </w:tc>
      </w:tr>
      <w:tr w:rsidR="00FF6365" w14:paraId="3137FAB3" w14:textId="77777777" w:rsidTr="00FF6365">
        <w:tc>
          <w:tcPr>
            <w:tcW w:w="9576" w:type="dxa"/>
          </w:tcPr>
          <w:p w14:paraId="3631D7FE" w14:textId="77777777" w:rsidR="00FF6365" w:rsidRDefault="00FF6365" w:rsidP="00FF6365">
            <w:pPr>
              <w:pStyle w:val="Caption"/>
            </w:pPr>
            <w:r>
              <w:rPr>
                <w:noProof/>
              </w:rPr>
              <w:drawing>
                <wp:inline distT="0" distB="0" distL="0" distR="0" wp14:anchorId="7DE6F895" wp14:editId="12B6EF1F">
                  <wp:extent cx="5943600" cy="2981960"/>
                  <wp:effectExtent l="0" t="0" r="19050" b="279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F6365" w14:paraId="57FE7AD7" w14:textId="77777777" w:rsidTr="00FF6365">
        <w:tc>
          <w:tcPr>
            <w:tcW w:w="9576" w:type="dxa"/>
          </w:tcPr>
          <w:p w14:paraId="4B996D2F" w14:textId="41FC6DAC" w:rsidR="00FF6365" w:rsidRDefault="00FF6365" w:rsidP="00EB2A88">
            <w:pPr>
              <w:spacing w:before="40" w:after="120"/>
              <w:jc w:val="both"/>
            </w:pPr>
            <w:r w:rsidRPr="00FF6365">
              <w:rPr>
                <w:rFonts w:ascii="Cambria" w:hAnsi="Cambria"/>
                <w:i/>
                <w:sz w:val="18"/>
                <w:szCs w:val="18"/>
              </w:rPr>
              <w:t>Source</w:t>
            </w:r>
            <w:r w:rsidRPr="00FF6365">
              <w:rPr>
                <w:rFonts w:ascii="Cambria" w:hAnsi="Cambria"/>
                <w:sz w:val="18"/>
                <w:szCs w:val="18"/>
              </w:rPr>
              <w:t>: World Bank</w:t>
            </w:r>
            <w:r w:rsidR="00D849C3">
              <w:rPr>
                <w:rFonts w:ascii="Cambria" w:hAnsi="Cambria"/>
                <w:sz w:val="18"/>
                <w:szCs w:val="18"/>
              </w:rPr>
              <w:t xml:space="preserve"> Pension Database</w:t>
            </w:r>
            <w:r>
              <w:rPr>
                <w:rFonts w:ascii="Cambria" w:hAnsi="Cambria"/>
                <w:sz w:val="18"/>
                <w:szCs w:val="18"/>
              </w:rPr>
              <w:t>.</w:t>
            </w:r>
          </w:p>
        </w:tc>
      </w:tr>
    </w:tbl>
    <w:p w14:paraId="29EA3616" w14:textId="2BFEC5E4" w:rsidR="00FF6365" w:rsidRPr="00B21985" w:rsidRDefault="006972E9" w:rsidP="00B21985">
      <w:pPr>
        <w:numPr>
          <w:ilvl w:val="0"/>
          <w:numId w:val="3"/>
        </w:numPr>
        <w:spacing w:before="240" w:after="240"/>
        <w:jc w:val="both"/>
        <w:rPr>
          <w:rFonts w:ascii="Cambria" w:hAnsi="Cambria"/>
          <w:sz w:val="22"/>
          <w:szCs w:val="22"/>
        </w:rPr>
      </w:pPr>
      <w:r w:rsidRPr="00B21985">
        <w:rPr>
          <w:rFonts w:ascii="Cambria" w:hAnsi="Cambria"/>
          <w:b/>
          <w:sz w:val="22"/>
          <w:szCs w:val="22"/>
        </w:rPr>
        <w:t xml:space="preserve">Higher benefits come at a </w:t>
      </w:r>
      <w:proofErr w:type="gramStart"/>
      <w:r w:rsidRPr="00B21985">
        <w:rPr>
          <w:rFonts w:ascii="Cambria" w:hAnsi="Cambria"/>
          <w:b/>
          <w:sz w:val="22"/>
          <w:szCs w:val="22"/>
        </w:rPr>
        <w:t>cost</w:t>
      </w:r>
      <w:r w:rsidR="00281FAA" w:rsidRPr="00B21985">
        <w:rPr>
          <w:rFonts w:ascii="Cambria" w:hAnsi="Cambria"/>
          <w:b/>
          <w:sz w:val="22"/>
          <w:szCs w:val="22"/>
        </w:rPr>
        <w:t>,</w:t>
      </w:r>
      <w:proofErr w:type="gramEnd"/>
      <w:r w:rsidR="00281FAA" w:rsidRPr="00B21985">
        <w:rPr>
          <w:rFonts w:ascii="Cambria" w:hAnsi="Cambria"/>
          <w:b/>
          <w:sz w:val="22"/>
          <w:szCs w:val="22"/>
        </w:rPr>
        <w:t xml:space="preserve"> however some reforms mitigate this effect</w:t>
      </w:r>
      <w:r w:rsidRPr="00C20EC5">
        <w:rPr>
          <w:rFonts w:ascii="Cambria" w:hAnsi="Cambria"/>
          <w:sz w:val="22"/>
          <w:szCs w:val="22"/>
        </w:rPr>
        <w:t>. As presented in Figure 16, addressing only the issue of pension adequacy under Reform 1 makes the Social Fund financially unsustainable and requires government intervention to cover deficits: the annual current balance turns negative in few years after the reform and deficits grow to 0.8</w:t>
      </w:r>
      <w:r w:rsidR="002B409D">
        <w:rPr>
          <w:rFonts w:ascii="Cambria" w:hAnsi="Cambria"/>
          <w:sz w:val="22"/>
          <w:szCs w:val="22"/>
        </w:rPr>
        <w:t xml:space="preserve"> percent</w:t>
      </w:r>
      <w:r w:rsidRPr="00C20EC5">
        <w:rPr>
          <w:rFonts w:ascii="Cambria" w:hAnsi="Cambria"/>
          <w:sz w:val="22"/>
          <w:szCs w:val="22"/>
        </w:rPr>
        <w:t xml:space="preserve"> of GDP by 2025, then further up to 1.5</w:t>
      </w:r>
      <w:r w:rsidR="002B409D">
        <w:rPr>
          <w:rFonts w:ascii="Cambria" w:hAnsi="Cambria"/>
          <w:sz w:val="22"/>
          <w:szCs w:val="22"/>
        </w:rPr>
        <w:t xml:space="preserve"> percent</w:t>
      </w:r>
      <w:r w:rsidRPr="00C20EC5">
        <w:rPr>
          <w:rFonts w:ascii="Cambria" w:hAnsi="Cambria"/>
          <w:sz w:val="22"/>
          <w:szCs w:val="22"/>
        </w:rPr>
        <w:t xml:space="preserve"> of GDP in the longer run. To offset this negative effect, Reform 2 proposes a switch from the current policy of indexing pensions in line with wage growth to less expensive inflation indexation. Under the latter, post-retirement pensions are protected against the risk of inflation and their real value is maintained; at the same time it helps contain system expenditures making the system financially sustainable. </w:t>
      </w:r>
    </w:p>
    <w:p w14:paraId="6BD754C9" w14:textId="77777777" w:rsidR="00EB2A88" w:rsidRDefault="00EB2A88">
      <w:r>
        <w:rPr>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F6365" w14:paraId="1F19A77A" w14:textId="77777777" w:rsidTr="00785264">
        <w:trPr>
          <w:trHeight w:val="540"/>
          <w:jc w:val="center"/>
        </w:trPr>
        <w:tc>
          <w:tcPr>
            <w:tcW w:w="9576" w:type="dxa"/>
          </w:tcPr>
          <w:p w14:paraId="1929A8DC" w14:textId="77777777" w:rsidR="00FF6365" w:rsidRDefault="00FF6365" w:rsidP="00FF6365">
            <w:pPr>
              <w:pStyle w:val="Caption"/>
            </w:pPr>
            <w:bookmarkStart w:id="28" w:name="_Toc378163849"/>
            <w:r>
              <w:lastRenderedPageBreak/>
              <w:t xml:space="preserve">Figure </w:t>
            </w:r>
            <w:r w:rsidR="00C646A3">
              <w:fldChar w:fldCharType="begin"/>
            </w:r>
            <w:r w:rsidR="00C646A3">
              <w:instrText xml:space="preserve"> SEQ Figure_ \* ARABIC </w:instrText>
            </w:r>
            <w:r w:rsidR="00C646A3">
              <w:fldChar w:fldCharType="separate"/>
            </w:r>
            <w:r w:rsidR="00C646A3">
              <w:rPr>
                <w:noProof/>
              </w:rPr>
              <w:t>16</w:t>
            </w:r>
            <w:r w:rsidR="00C646A3">
              <w:rPr>
                <w:noProof/>
              </w:rPr>
              <w:fldChar w:fldCharType="end"/>
            </w:r>
            <w:r>
              <w:t xml:space="preserve">. </w:t>
            </w:r>
            <w:r w:rsidRPr="00FF6365">
              <w:t>Social Fund (PAYG System) Annual Current Balance</w:t>
            </w:r>
            <w:bookmarkEnd w:id="28"/>
          </w:p>
          <w:p w14:paraId="6E3FC29B" w14:textId="30461072" w:rsidR="00FF6365" w:rsidRPr="00FF6365" w:rsidRDefault="00FF6365" w:rsidP="00A12C28">
            <w:pPr>
              <w:spacing w:after="40"/>
              <w:jc w:val="center"/>
              <w:rPr>
                <w:rFonts w:ascii="Cambria" w:hAnsi="Cambria"/>
              </w:rPr>
            </w:pPr>
            <w:r w:rsidRPr="00FF6365">
              <w:rPr>
                <w:rFonts w:ascii="Cambria" w:hAnsi="Cambria"/>
              </w:rPr>
              <w:t>(</w:t>
            </w:r>
            <w:r w:rsidR="00A12C28" w:rsidRPr="00FF6365">
              <w:rPr>
                <w:rFonts w:ascii="Cambria" w:hAnsi="Cambria"/>
              </w:rPr>
              <w:t xml:space="preserve">Percent </w:t>
            </w:r>
            <w:r w:rsidRPr="00FF6365">
              <w:rPr>
                <w:rFonts w:ascii="Cambria" w:hAnsi="Cambria"/>
              </w:rPr>
              <w:t>of GDP)</w:t>
            </w:r>
          </w:p>
        </w:tc>
      </w:tr>
      <w:tr w:rsidR="00FF6365" w14:paraId="042BE5A1" w14:textId="77777777" w:rsidTr="00785264">
        <w:trPr>
          <w:jc w:val="center"/>
        </w:trPr>
        <w:tc>
          <w:tcPr>
            <w:tcW w:w="9576" w:type="dxa"/>
          </w:tcPr>
          <w:p w14:paraId="363AADD7" w14:textId="77777777" w:rsidR="00FF6365" w:rsidRDefault="00FF6365" w:rsidP="00FF6365">
            <w:pPr>
              <w:jc w:val="both"/>
              <w:rPr>
                <w:rFonts w:ascii="Cambria" w:hAnsi="Cambria"/>
                <w:sz w:val="22"/>
                <w:szCs w:val="22"/>
              </w:rPr>
            </w:pPr>
            <w:r w:rsidRPr="007E1F1E">
              <w:rPr>
                <w:b/>
                <w:noProof/>
              </w:rPr>
              <w:drawing>
                <wp:inline distT="0" distB="0" distL="0" distR="0" wp14:anchorId="1A6806C4" wp14:editId="23D85A15">
                  <wp:extent cx="5800725" cy="1981200"/>
                  <wp:effectExtent l="0" t="0" r="9525"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F6365" w14:paraId="77CB50A4" w14:textId="77777777" w:rsidTr="00785264">
        <w:trPr>
          <w:jc w:val="center"/>
        </w:trPr>
        <w:tc>
          <w:tcPr>
            <w:tcW w:w="9576" w:type="dxa"/>
          </w:tcPr>
          <w:p w14:paraId="231500C5" w14:textId="3304B165" w:rsidR="00FF6365" w:rsidRPr="00FF6365" w:rsidRDefault="00FF6365" w:rsidP="00EB2A88">
            <w:pPr>
              <w:spacing w:before="40" w:after="120"/>
              <w:jc w:val="both"/>
              <w:rPr>
                <w:rFonts w:ascii="Cambria" w:hAnsi="Cambria"/>
                <w:sz w:val="18"/>
                <w:szCs w:val="18"/>
              </w:rPr>
            </w:pPr>
            <w:r w:rsidRPr="00FB4D5A">
              <w:rPr>
                <w:rFonts w:asciiTheme="majorHAnsi" w:hAnsiTheme="majorHAnsi"/>
                <w:i/>
                <w:sz w:val="18"/>
                <w:szCs w:val="18"/>
              </w:rPr>
              <w:t>Source</w:t>
            </w:r>
            <w:r w:rsidRPr="00FB4D5A">
              <w:rPr>
                <w:rFonts w:asciiTheme="majorHAnsi" w:hAnsiTheme="majorHAnsi"/>
                <w:sz w:val="18"/>
                <w:szCs w:val="18"/>
              </w:rPr>
              <w:t xml:space="preserve">: </w:t>
            </w:r>
            <w:r w:rsidR="00D849C3" w:rsidRPr="00FB4D5A">
              <w:rPr>
                <w:rFonts w:asciiTheme="majorHAnsi" w:hAnsiTheme="majorHAnsi"/>
                <w:sz w:val="18"/>
                <w:szCs w:val="18"/>
              </w:rPr>
              <w:t>Staff projections using PROST</w:t>
            </w:r>
            <w:r w:rsidR="00D849C3" w:rsidRPr="00D849C3">
              <w:rPr>
                <w:sz w:val="18"/>
                <w:szCs w:val="18"/>
              </w:rPr>
              <w:t>.</w:t>
            </w:r>
          </w:p>
        </w:tc>
      </w:tr>
    </w:tbl>
    <w:p w14:paraId="4DE1A3EE" w14:textId="77777777" w:rsidR="00366DCE" w:rsidRPr="00C20EC5" w:rsidRDefault="00366DCE" w:rsidP="006D70DF">
      <w:pPr>
        <w:jc w:val="both"/>
        <w:rPr>
          <w:rFonts w:ascii="Cambria" w:hAnsi="Cambria"/>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F6365" w14:paraId="7640B8CD" w14:textId="77777777" w:rsidTr="00785264">
        <w:trPr>
          <w:trHeight w:val="540"/>
          <w:jc w:val="center"/>
        </w:trPr>
        <w:tc>
          <w:tcPr>
            <w:tcW w:w="9576" w:type="dxa"/>
          </w:tcPr>
          <w:p w14:paraId="645AC124" w14:textId="77777777" w:rsidR="00FF6365" w:rsidRPr="00C20EC5" w:rsidRDefault="00FF6365" w:rsidP="00FF6365">
            <w:pPr>
              <w:pStyle w:val="Caption"/>
              <w:rPr>
                <w:b w:val="0"/>
              </w:rPr>
            </w:pPr>
            <w:bookmarkStart w:id="29" w:name="_Toc378163850"/>
            <w:r>
              <w:t xml:space="preserve">Figure </w:t>
            </w:r>
            <w:r w:rsidR="00C646A3">
              <w:fldChar w:fldCharType="begin"/>
            </w:r>
            <w:r w:rsidR="00C646A3">
              <w:instrText xml:space="preserve"> SEQ Figure_ \* ARABIC </w:instrText>
            </w:r>
            <w:r w:rsidR="00C646A3">
              <w:fldChar w:fldCharType="separate"/>
            </w:r>
            <w:r w:rsidR="00C646A3">
              <w:rPr>
                <w:noProof/>
              </w:rPr>
              <w:t>17</w:t>
            </w:r>
            <w:r w:rsidR="00C646A3">
              <w:rPr>
                <w:noProof/>
              </w:rPr>
              <w:fldChar w:fldCharType="end"/>
            </w:r>
            <w:r>
              <w:rPr>
                <w:noProof/>
              </w:rPr>
              <w:t xml:space="preserve">. </w:t>
            </w:r>
            <w:r w:rsidRPr="00FF6365">
              <w:rPr>
                <w:noProof/>
              </w:rPr>
              <w:t>System Dependency Rate</w:t>
            </w:r>
            <w:bookmarkEnd w:id="29"/>
            <w:r w:rsidRPr="00C20EC5">
              <w:rPr>
                <w:b w:val="0"/>
              </w:rPr>
              <w:t xml:space="preserve"> </w:t>
            </w:r>
          </w:p>
          <w:p w14:paraId="08B08090" w14:textId="6A01AE59" w:rsidR="00FF6365" w:rsidRPr="00FF6365" w:rsidRDefault="00FF6365" w:rsidP="00393FB1">
            <w:pPr>
              <w:spacing w:after="40"/>
              <w:jc w:val="center"/>
              <w:rPr>
                <w:rFonts w:ascii="Cambria" w:hAnsi="Cambria"/>
              </w:rPr>
            </w:pPr>
            <w:r w:rsidRPr="00FF6365">
              <w:rPr>
                <w:rFonts w:ascii="Cambria" w:hAnsi="Cambria"/>
              </w:rPr>
              <w:t>(</w:t>
            </w:r>
            <w:r w:rsidR="00A12C28" w:rsidRPr="00FF6365">
              <w:rPr>
                <w:rFonts w:ascii="Cambria" w:hAnsi="Cambria"/>
              </w:rPr>
              <w:t xml:space="preserve">Number </w:t>
            </w:r>
            <w:r w:rsidRPr="00FF6365">
              <w:rPr>
                <w:rFonts w:ascii="Cambria" w:hAnsi="Cambria"/>
              </w:rPr>
              <w:t>of beneficiaries/number of contributors)</w:t>
            </w:r>
          </w:p>
        </w:tc>
      </w:tr>
      <w:tr w:rsidR="00FF6365" w14:paraId="5CE4D27E" w14:textId="77777777" w:rsidTr="00785264">
        <w:trPr>
          <w:jc w:val="center"/>
        </w:trPr>
        <w:tc>
          <w:tcPr>
            <w:tcW w:w="9576" w:type="dxa"/>
          </w:tcPr>
          <w:p w14:paraId="2BFE7BEC" w14:textId="77777777" w:rsidR="00FF6365" w:rsidRDefault="00FF6365" w:rsidP="006D70DF">
            <w:pPr>
              <w:jc w:val="both"/>
              <w:rPr>
                <w:rFonts w:ascii="Cambria" w:hAnsi="Cambria"/>
                <w:b/>
              </w:rPr>
            </w:pPr>
            <w:r>
              <w:rPr>
                <w:noProof/>
              </w:rPr>
              <w:drawing>
                <wp:inline distT="0" distB="0" distL="0" distR="0" wp14:anchorId="3E04990B" wp14:editId="5170046D">
                  <wp:extent cx="5800725" cy="2228850"/>
                  <wp:effectExtent l="0" t="0" r="9525"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FF6365" w14:paraId="38BE4298" w14:textId="77777777" w:rsidTr="00785264">
        <w:trPr>
          <w:jc w:val="center"/>
        </w:trPr>
        <w:tc>
          <w:tcPr>
            <w:tcW w:w="9576" w:type="dxa"/>
          </w:tcPr>
          <w:p w14:paraId="516C09BC" w14:textId="2D0D5ABD" w:rsidR="00FF6365" w:rsidRPr="00FB4D5A" w:rsidRDefault="00FF6365" w:rsidP="00EB2A88">
            <w:pPr>
              <w:spacing w:before="40" w:after="120"/>
              <w:jc w:val="both"/>
              <w:rPr>
                <w:rFonts w:asciiTheme="majorHAnsi" w:hAnsiTheme="majorHAnsi"/>
                <w:b/>
              </w:rPr>
            </w:pPr>
            <w:r w:rsidRPr="00FB4D5A">
              <w:rPr>
                <w:rFonts w:asciiTheme="majorHAnsi" w:hAnsiTheme="majorHAnsi"/>
                <w:i/>
                <w:sz w:val="18"/>
                <w:szCs w:val="18"/>
              </w:rPr>
              <w:t>Source</w:t>
            </w:r>
            <w:r w:rsidRPr="00FB4D5A">
              <w:rPr>
                <w:rFonts w:asciiTheme="majorHAnsi" w:hAnsiTheme="majorHAnsi"/>
                <w:sz w:val="18"/>
                <w:szCs w:val="18"/>
              </w:rPr>
              <w:t>:</w:t>
            </w:r>
            <w:r w:rsidR="000B4024" w:rsidRPr="00FB4D5A">
              <w:rPr>
                <w:rFonts w:asciiTheme="majorHAnsi" w:hAnsiTheme="majorHAnsi"/>
                <w:sz w:val="18"/>
                <w:szCs w:val="18"/>
              </w:rPr>
              <w:t xml:space="preserve"> </w:t>
            </w:r>
            <w:r w:rsidR="00D849C3" w:rsidRPr="00FB4D5A">
              <w:rPr>
                <w:rFonts w:asciiTheme="majorHAnsi" w:hAnsiTheme="majorHAnsi"/>
                <w:sz w:val="18"/>
                <w:szCs w:val="18"/>
              </w:rPr>
              <w:t>Staff projections using PROST.</w:t>
            </w:r>
          </w:p>
        </w:tc>
      </w:tr>
    </w:tbl>
    <w:p w14:paraId="760D9E20" w14:textId="77777777" w:rsidR="006972E9" w:rsidRPr="00C20EC5" w:rsidRDefault="006972E9" w:rsidP="004F666F">
      <w:pPr>
        <w:jc w:val="both"/>
        <w:rPr>
          <w:rFonts w:ascii="Cambria" w:hAnsi="Cambria"/>
          <w:b/>
        </w:rPr>
      </w:pPr>
    </w:p>
    <w:p w14:paraId="03783AD3" w14:textId="3D3BEC6D" w:rsidR="005B6B5E" w:rsidRPr="00C20EC5" w:rsidRDefault="008842E8" w:rsidP="004F666F">
      <w:pPr>
        <w:numPr>
          <w:ilvl w:val="0"/>
          <w:numId w:val="3"/>
        </w:numPr>
        <w:spacing w:after="240"/>
        <w:jc w:val="both"/>
        <w:rPr>
          <w:rFonts w:ascii="Cambria" w:hAnsi="Cambria"/>
          <w:b/>
        </w:rPr>
      </w:pPr>
      <w:r w:rsidRPr="00B21985">
        <w:rPr>
          <w:rFonts w:ascii="Cambria" w:hAnsi="Cambria"/>
          <w:b/>
          <w:sz w:val="22"/>
          <w:szCs w:val="22"/>
        </w:rPr>
        <w:t xml:space="preserve">Raising retirement age in </w:t>
      </w:r>
      <w:r w:rsidR="005B6B5E" w:rsidRPr="00B21985">
        <w:rPr>
          <w:rFonts w:ascii="Cambria" w:hAnsi="Cambria"/>
          <w:b/>
          <w:sz w:val="22"/>
          <w:szCs w:val="22"/>
        </w:rPr>
        <w:t xml:space="preserve">Reform 3 has a multiple effect on </w:t>
      </w:r>
      <w:r w:rsidR="001A565D" w:rsidRPr="00B21985">
        <w:rPr>
          <w:rFonts w:ascii="Cambria" w:hAnsi="Cambria"/>
          <w:b/>
          <w:sz w:val="22"/>
          <w:szCs w:val="22"/>
        </w:rPr>
        <w:t>Social Fund</w:t>
      </w:r>
      <w:r w:rsidR="005B6B5E" w:rsidRPr="00B21985">
        <w:rPr>
          <w:rFonts w:ascii="Cambria" w:hAnsi="Cambria"/>
          <w:b/>
          <w:sz w:val="22"/>
          <w:szCs w:val="22"/>
        </w:rPr>
        <w:t xml:space="preserve"> finances</w:t>
      </w:r>
      <w:r w:rsidR="005B6B5E" w:rsidRPr="00C20EC5">
        <w:rPr>
          <w:rFonts w:ascii="Cambria" w:hAnsi="Cambria"/>
          <w:sz w:val="22"/>
          <w:szCs w:val="22"/>
        </w:rPr>
        <w:t xml:space="preserve">. On the one hand, pensions become higher pushing expenditures up. On the other hand, </w:t>
      </w:r>
      <w:r w:rsidR="00A574D9">
        <w:rPr>
          <w:rFonts w:ascii="Cambria" w:hAnsi="Cambria"/>
          <w:sz w:val="22"/>
          <w:szCs w:val="22"/>
        </w:rPr>
        <w:t>increasing the</w:t>
      </w:r>
      <w:r w:rsidR="00A574D9" w:rsidRPr="00C20EC5">
        <w:rPr>
          <w:rFonts w:ascii="Cambria" w:hAnsi="Cambria"/>
          <w:sz w:val="22"/>
          <w:szCs w:val="22"/>
        </w:rPr>
        <w:t xml:space="preserve"> </w:t>
      </w:r>
      <w:r w:rsidR="005B6B5E" w:rsidRPr="00C20EC5">
        <w:rPr>
          <w:rFonts w:ascii="Cambria" w:hAnsi="Cambria"/>
          <w:sz w:val="22"/>
          <w:szCs w:val="22"/>
        </w:rPr>
        <w:t xml:space="preserve">retirement age suppresses the growth of the system dependency rate (Figure 17) by reducing the number of </w:t>
      </w:r>
      <w:r w:rsidR="00A47C53">
        <w:rPr>
          <w:rFonts w:ascii="Cambria" w:hAnsi="Cambria"/>
          <w:sz w:val="22"/>
          <w:szCs w:val="22"/>
        </w:rPr>
        <w:t>old-age</w:t>
      </w:r>
      <w:r w:rsidR="005B6B5E" w:rsidRPr="00C20EC5">
        <w:rPr>
          <w:rFonts w:ascii="Cambria" w:hAnsi="Cambria"/>
          <w:sz w:val="22"/>
          <w:szCs w:val="22"/>
        </w:rPr>
        <w:t xml:space="preserve"> pensioners receiving benefits and simultaneously increasing the number of contributors</w:t>
      </w:r>
      <w:r w:rsidR="00CB5299">
        <w:rPr>
          <w:rFonts w:ascii="Cambria" w:hAnsi="Cambria"/>
          <w:sz w:val="22"/>
          <w:szCs w:val="22"/>
        </w:rPr>
        <w:t>.</w:t>
      </w:r>
      <w:r w:rsidR="005B6B5E" w:rsidRPr="00C20EC5">
        <w:rPr>
          <w:rStyle w:val="FootnoteReference"/>
          <w:rFonts w:ascii="Cambria" w:hAnsi="Cambria"/>
          <w:sz w:val="22"/>
          <w:szCs w:val="22"/>
        </w:rPr>
        <w:footnoteReference w:id="15"/>
      </w:r>
      <w:r w:rsidR="005B6B5E" w:rsidRPr="00C20EC5">
        <w:rPr>
          <w:rFonts w:ascii="Cambria" w:hAnsi="Cambria"/>
          <w:sz w:val="22"/>
          <w:szCs w:val="22"/>
        </w:rPr>
        <w:t xml:space="preserve"> So, pensions are higher but they are paid to a smaller number of pensioners, and contribution revenues are also higher since people contribute longer to the system. As shown in Figure 16, the overall effect of Reform 3 is a significant improvement of system finances compared with both Reform 1 and Reform 2. Similar to Reform 2, the system becomes financially sustainable </w:t>
      </w:r>
      <w:r w:rsidR="005B6B5E" w:rsidRPr="00C20EC5">
        <w:rPr>
          <w:rFonts w:ascii="Cambria" w:hAnsi="Cambria"/>
          <w:sz w:val="22"/>
          <w:szCs w:val="22"/>
        </w:rPr>
        <w:lastRenderedPageBreak/>
        <w:t>and even generates significant surpluses; but at the same time pensions at retirement are substantially higher in Reform 3.</w:t>
      </w:r>
    </w:p>
    <w:p w14:paraId="3675543F" w14:textId="51FC97C1" w:rsidR="005B6B5E" w:rsidRPr="00C20EC5" w:rsidRDefault="005B6B5E" w:rsidP="00876F35">
      <w:pPr>
        <w:numPr>
          <w:ilvl w:val="0"/>
          <w:numId w:val="3"/>
        </w:numPr>
        <w:spacing w:before="240" w:after="240"/>
        <w:jc w:val="both"/>
        <w:rPr>
          <w:rFonts w:ascii="Cambria" w:hAnsi="Cambria"/>
          <w:sz w:val="22"/>
          <w:szCs w:val="22"/>
        </w:rPr>
      </w:pPr>
      <w:r w:rsidRPr="00B21985">
        <w:rPr>
          <w:rFonts w:ascii="Cambria" w:hAnsi="Cambria"/>
          <w:b/>
          <w:sz w:val="22"/>
          <w:szCs w:val="22"/>
        </w:rPr>
        <w:t>Coupled with high replacement rates, surpluses generated under Reforms 2 and 3 allow for some further adjustments</w:t>
      </w:r>
      <w:r w:rsidR="00611822">
        <w:rPr>
          <w:rFonts w:ascii="Cambria" w:hAnsi="Cambria"/>
          <w:sz w:val="22"/>
          <w:szCs w:val="22"/>
        </w:rPr>
        <w:t>. For example,</w:t>
      </w:r>
      <w:r w:rsidRPr="00C20EC5">
        <w:rPr>
          <w:rFonts w:ascii="Cambria" w:hAnsi="Cambria"/>
          <w:sz w:val="22"/>
          <w:szCs w:val="22"/>
        </w:rPr>
        <w:t xml:space="preserve"> the system </w:t>
      </w:r>
      <w:r w:rsidR="00611822">
        <w:rPr>
          <w:rFonts w:ascii="Cambria" w:hAnsi="Cambria"/>
          <w:sz w:val="22"/>
          <w:szCs w:val="22"/>
        </w:rPr>
        <w:t xml:space="preserve">can be made </w:t>
      </w:r>
      <w:r w:rsidRPr="00C20EC5">
        <w:rPr>
          <w:rFonts w:ascii="Cambria" w:hAnsi="Cambria"/>
          <w:sz w:val="22"/>
          <w:szCs w:val="22"/>
        </w:rPr>
        <w:t xml:space="preserve">more affordable for contributors and </w:t>
      </w:r>
      <w:r w:rsidR="00A574D9">
        <w:rPr>
          <w:rFonts w:ascii="Cambria" w:hAnsi="Cambria"/>
          <w:sz w:val="22"/>
          <w:szCs w:val="22"/>
        </w:rPr>
        <w:t xml:space="preserve">the </w:t>
      </w:r>
      <w:r w:rsidRPr="00C20EC5">
        <w:rPr>
          <w:rFonts w:ascii="Cambria" w:hAnsi="Cambria"/>
          <w:sz w:val="22"/>
          <w:szCs w:val="22"/>
        </w:rPr>
        <w:t xml:space="preserve">economy (via lower contribution rate) and/or for the government (via reducing basic pension costs as previously discussed). Reform 4 does not affect </w:t>
      </w:r>
      <w:r w:rsidR="000F6438" w:rsidRPr="00C20EC5">
        <w:rPr>
          <w:rFonts w:ascii="Cambria" w:hAnsi="Cambria"/>
          <w:sz w:val="22"/>
          <w:szCs w:val="22"/>
        </w:rPr>
        <w:t>Social Fund</w:t>
      </w:r>
      <w:r w:rsidR="00A349F8" w:rsidRPr="00C20EC5">
        <w:rPr>
          <w:rFonts w:ascii="Cambria" w:hAnsi="Cambria"/>
          <w:sz w:val="22"/>
          <w:szCs w:val="22"/>
        </w:rPr>
        <w:t xml:space="preserve"> finances</w:t>
      </w:r>
      <w:r w:rsidRPr="00C20EC5">
        <w:rPr>
          <w:rFonts w:ascii="Cambria" w:hAnsi="Cambria"/>
          <w:sz w:val="22"/>
          <w:szCs w:val="22"/>
        </w:rPr>
        <w:t xml:space="preserve"> </w:t>
      </w:r>
      <w:r w:rsidR="00A349F8" w:rsidRPr="00C20EC5">
        <w:rPr>
          <w:rFonts w:ascii="Cambria" w:hAnsi="Cambria"/>
          <w:sz w:val="22"/>
          <w:szCs w:val="22"/>
        </w:rPr>
        <w:t>but</w:t>
      </w:r>
      <w:r w:rsidRPr="00C20EC5">
        <w:rPr>
          <w:rFonts w:ascii="Cambria" w:hAnsi="Cambria"/>
          <w:sz w:val="22"/>
          <w:szCs w:val="22"/>
        </w:rPr>
        <w:t xml:space="preserve"> has a significant impact on the cost of the pension system</w:t>
      </w:r>
      <w:r w:rsidR="000F6438" w:rsidRPr="00C20EC5">
        <w:rPr>
          <w:rFonts w:ascii="Cambria" w:hAnsi="Cambria"/>
          <w:sz w:val="22"/>
          <w:szCs w:val="22"/>
        </w:rPr>
        <w:t xml:space="preserve"> to the government</w:t>
      </w:r>
      <w:r w:rsidRPr="00C20EC5">
        <w:rPr>
          <w:rFonts w:ascii="Cambria" w:hAnsi="Cambria"/>
          <w:sz w:val="22"/>
          <w:szCs w:val="22"/>
        </w:rPr>
        <w:t>.</w:t>
      </w:r>
    </w:p>
    <w:p w14:paraId="4A3BD6F7" w14:textId="12618FEB" w:rsidR="004E6880" w:rsidRPr="00946C9F" w:rsidRDefault="00B21985" w:rsidP="00946C9F">
      <w:pPr>
        <w:numPr>
          <w:ilvl w:val="0"/>
          <w:numId w:val="3"/>
        </w:numPr>
        <w:spacing w:before="240" w:after="240"/>
        <w:jc w:val="both"/>
        <w:rPr>
          <w:rFonts w:ascii="Cambria" w:hAnsi="Cambria"/>
          <w:sz w:val="22"/>
          <w:szCs w:val="22"/>
        </w:rPr>
      </w:pPr>
      <w:r>
        <w:rPr>
          <w:rFonts w:ascii="Cambria" w:hAnsi="Cambria"/>
          <w:b/>
          <w:sz w:val="22"/>
          <w:szCs w:val="22"/>
        </w:rPr>
        <w:t>Increasing the</w:t>
      </w:r>
      <w:r w:rsidR="000B3649" w:rsidRPr="00B21985">
        <w:rPr>
          <w:rFonts w:ascii="Cambria" w:hAnsi="Cambria"/>
          <w:b/>
          <w:sz w:val="22"/>
          <w:szCs w:val="22"/>
        </w:rPr>
        <w:t xml:space="preserve"> retirement age reduces the cost of the system to the government</w:t>
      </w:r>
      <w:r w:rsidR="000B3649">
        <w:rPr>
          <w:rFonts w:ascii="Cambria" w:hAnsi="Cambria"/>
          <w:sz w:val="22"/>
          <w:szCs w:val="22"/>
        </w:rPr>
        <w:t xml:space="preserve">. </w:t>
      </w:r>
      <w:r w:rsidR="00A57E76" w:rsidRPr="00C20EC5">
        <w:rPr>
          <w:rFonts w:ascii="Cambria" w:hAnsi="Cambria"/>
          <w:sz w:val="22"/>
          <w:szCs w:val="22"/>
        </w:rPr>
        <w:t>The projected government liabilities with respect to the national pension system are presented in Figure 1</w:t>
      </w:r>
      <w:r w:rsidR="00D80454" w:rsidRPr="00C20EC5">
        <w:rPr>
          <w:rFonts w:ascii="Cambria" w:hAnsi="Cambria"/>
          <w:sz w:val="22"/>
          <w:szCs w:val="22"/>
        </w:rPr>
        <w:t>8</w:t>
      </w:r>
      <w:r w:rsidR="00A57E76" w:rsidRPr="00C20EC5">
        <w:rPr>
          <w:rFonts w:ascii="Cambria" w:hAnsi="Cambria"/>
          <w:sz w:val="22"/>
          <w:szCs w:val="22"/>
        </w:rPr>
        <w:t>. Under Reform 1, because of deficits, the cost of the system to the government increases substantially, reaching 5</w:t>
      </w:r>
      <w:r w:rsidR="002B409D">
        <w:rPr>
          <w:rFonts w:ascii="Cambria" w:hAnsi="Cambria"/>
          <w:sz w:val="22"/>
          <w:szCs w:val="22"/>
        </w:rPr>
        <w:t xml:space="preserve"> percent</w:t>
      </w:r>
      <w:r w:rsidR="00A57E76" w:rsidRPr="00C20EC5">
        <w:rPr>
          <w:rFonts w:ascii="Cambria" w:hAnsi="Cambria"/>
          <w:sz w:val="22"/>
          <w:szCs w:val="22"/>
        </w:rPr>
        <w:t xml:space="preserve"> of GDP already by 2025, going up further to 6</w:t>
      </w:r>
      <w:r w:rsidR="002B409D">
        <w:rPr>
          <w:rFonts w:ascii="Cambria" w:hAnsi="Cambria"/>
          <w:sz w:val="22"/>
          <w:szCs w:val="22"/>
        </w:rPr>
        <w:t xml:space="preserve"> percent</w:t>
      </w:r>
      <w:r w:rsidR="00A57E76" w:rsidRPr="00C20EC5">
        <w:rPr>
          <w:rFonts w:ascii="Cambria" w:hAnsi="Cambria"/>
          <w:sz w:val="22"/>
          <w:szCs w:val="22"/>
        </w:rPr>
        <w:t xml:space="preserve"> in 2050 and above 7</w:t>
      </w:r>
      <w:r w:rsidR="002B409D">
        <w:rPr>
          <w:rFonts w:ascii="Cambria" w:hAnsi="Cambria"/>
          <w:sz w:val="22"/>
          <w:szCs w:val="22"/>
        </w:rPr>
        <w:t xml:space="preserve"> percent</w:t>
      </w:r>
      <w:r w:rsidR="00A57E76" w:rsidRPr="00C20EC5">
        <w:rPr>
          <w:rFonts w:ascii="Cambria" w:hAnsi="Cambria"/>
          <w:sz w:val="22"/>
          <w:szCs w:val="22"/>
        </w:rPr>
        <w:t xml:space="preserve"> by 2080. Under Reform 2, the projected government costs are the same as in the base case since the annual current balance stays in the positive area throughout the projection period, the government only needs to pay for basic pensions and the projected number of pensioners is the same as in the base case. Under Reform 3, there are also no projected deficits as in Reform 2 but the number of pensioners is smaller which result</w:t>
      </w:r>
      <w:r w:rsidR="00DF33B4" w:rsidRPr="00C20EC5">
        <w:rPr>
          <w:rFonts w:ascii="Cambria" w:hAnsi="Cambria"/>
          <w:sz w:val="22"/>
          <w:szCs w:val="22"/>
        </w:rPr>
        <w:t>s</w:t>
      </w:r>
      <w:r w:rsidR="00A57E76" w:rsidRPr="00C20EC5">
        <w:rPr>
          <w:rFonts w:ascii="Cambria" w:hAnsi="Cambria"/>
          <w:sz w:val="22"/>
          <w:szCs w:val="22"/>
        </w:rPr>
        <w:t xml:space="preserve"> in </w:t>
      </w:r>
      <w:r w:rsidR="005712E0" w:rsidRPr="00C20EC5">
        <w:rPr>
          <w:rFonts w:ascii="Cambria" w:hAnsi="Cambria"/>
          <w:sz w:val="22"/>
          <w:szCs w:val="22"/>
        </w:rPr>
        <w:t xml:space="preserve">budget </w:t>
      </w:r>
      <w:r w:rsidR="005F02AA" w:rsidRPr="00C20EC5">
        <w:rPr>
          <w:rFonts w:ascii="Cambria" w:hAnsi="Cambria"/>
          <w:sz w:val="22"/>
          <w:szCs w:val="22"/>
        </w:rPr>
        <w:t>savings reaching 1 percentage point of GDP</w:t>
      </w:r>
      <w:r w:rsidR="00A57E76" w:rsidRPr="00C20EC5">
        <w:rPr>
          <w:rFonts w:ascii="Cambria" w:hAnsi="Cambria"/>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B12B0" w14:paraId="00E1FA6B" w14:textId="77777777" w:rsidTr="007B12B0">
        <w:trPr>
          <w:jc w:val="center"/>
        </w:trPr>
        <w:tc>
          <w:tcPr>
            <w:tcW w:w="9576" w:type="dxa"/>
          </w:tcPr>
          <w:p w14:paraId="5BDEED05" w14:textId="77777777" w:rsidR="006A4D34" w:rsidRDefault="007B12B0" w:rsidP="006A4D34">
            <w:pPr>
              <w:pStyle w:val="Caption"/>
              <w:spacing w:after="0"/>
            </w:pPr>
            <w:bookmarkStart w:id="30" w:name="_Toc378163851"/>
            <w:r>
              <w:t xml:space="preserve">Figure </w:t>
            </w:r>
            <w:r w:rsidR="00C646A3">
              <w:fldChar w:fldCharType="begin"/>
            </w:r>
            <w:r w:rsidR="00C646A3">
              <w:instrText xml:space="preserve"> SEQ Figure_ \* ARABIC </w:instrText>
            </w:r>
            <w:r w:rsidR="00C646A3">
              <w:fldChar w:fldCharType="separate"/>
            </w:r>
            <w:r w:rsidR="00C646A3">
              <w:rPr>
                <w:noProof/>
              </w:rPr>
              <w:t>18</w:t>
            </w:r>
            <w:r w:rsidR="00C646A3">
              <w:rPr>
                <w:noProof/>
              </w:rPr>
              <w:fldChar w:fldCharType="end"/>
            </w:r>
            <w:r>
              <w:t>.</w:t>
            </w:r>
            <w:r w:rsidRPr="002113E3">
              <w:t xml:space="preserve"> Cost to the Government</w:t>
            </w:r>
            <w:r>
              <w:t>:</w:t>
            </w:r>
            <w:r w:rsidRPr="007B12B0">
              <w:t xml:space="preserve"> Basic</w:t>
            </w:r>
            <w:r>
              <w:t xml:space="preserve"> and </w:t>
            </w:r>
            <w:r w:rsidRPr="007B12B0">
              <w:t xml:space="preserve">Social Pension or </w:t>
            </w:r>
            <w:proofErr w:type="spellStart"/>
            <w:r w:rsidRPr="007B12B0">
              <w:t>Demogrant</w:t>
            </w:r>
            <w:proofErr w:type="spellEnd"/>
            <w:r w:rsidRPr="007B12B0">
              <w:t xml:space="preserve"> + PAYG Deficit Financing</w:t>
            </w:r>
            <w:bookmarkEnd w:id="30"/>
          </w:p>
          <w:p w14:paraId="74B28D41" w14:textId="11A2CD3E" w:rsidR="007B12B0" w:rsidRPr="006A4D34" w:rsidRDefault="007B12B0" w:rsidP="00C31BC2">
            <w:pPr>
              <w:spacing w:after="40"/>
              <w:jc w:val="center"/>
              <w:rPr>
                <w:rFonts w:ascii="Cambria" w:hAnsi="Cambria"/>
              </w:rPr>
            </w:pPr>
            <w:r w:rsidRPr="006A4D34">
              <w:rPr>
                <w:rFonts w:ascii="Cambria" w:hAnsi="Cambria"/>
              </w:rPr>
              <w:t>(</w:t>
            </w:r>
            <w:r w:rsidR="00393FB1" w:rsidRPr="006A4D34">
              <w:rPr>
                <w:rFonts w:ascii="Cambria" w:hAnsi="Cambria"/>
              </w:rPr>
              <w:t xml:space="preserve">Percent </w:t>
            </w:r>
            <w:r w:rsidRPr="006A4D34">
              <w:rPr>
                <w:rFonts w:ascii="Cambria" w:hAnsi="Cambria"/>
              </w:rPr>
              <w:t>of GDP)</w:t>
            </w:r>
          </w:p>
        </w:tc>
      </w:tr>
      <w:tr w:rsidR="007B12B0" w14:paraId="429D5E98" w14:textId="77777777" w:rsidTr="007B12B0">
        <w:trPr>
          <w:jc w:val="center"/>
        </w:trPr>
        <w:tc>
          <w:tcPr>
            <w:tcW w:w="9576" w:type="dxa"/>
          </w:tcPr>
          <w:p w14:paraId="78507B76" w14:textId="77777777" w:rsidR="007B12B0" w:rsidRDefault="007B12B0" w:rsidP="002113E3">
            <w:pPr>
              <w:pStyle w:val="Caption"/>
            </w:pPr>
            <w:r w:rsidRPr="0079227A">
              <w:rPr>
                <w:b w:val="0"/>
                <w:noProof/>
              </w:rPr>
              <w:drawing>
                <wp:inline distT="0" distB="0" distL="0" distR="0" wp14:anchorId="5166A3BC" wp14:editId="69A450D7">
                  <wp:extent cx="5686425" cy="2533650"/>
                  <wp:effectExtent l="0" t="0" r="9525"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7B12B0" w14:paraId="60EC4453" w14:textId="77777777" w:rsidTr="007B12B0">
        <w:trPr>
          <w:jc w:val="center"/>
        </w:trPr>
        <w:tc>
          <w:tcPr>
            <w:tcW w:w="9576" w:type="dxa"/>
          </w:tcPr>
          <w:p w14:paraId="2A42D4D9" w14:textId="7542F4E9" w:rsidR="007B12B0" w:rsidRPr="007B12B0" w:rsidRDefault="007B12B0" w:rsidP="00C31BC2">
            <w:pPr>
              <w:pStyle w:val="Caption"/>
              <w:spacing w:before="40" w:after="120"/>
              <w:ind w:left="187"/>
              <w:jc w:val="left"/>
              <w:rPr>
                <w:b w:val="0"/>
              </w:rPr>
            </w:pPr>
            <w:r w:rsidRPr="001A4DE8">
              <w:rPr>
                <w:b w:val="0"/>
                <w:i/>
                <w:sz w:val="18"/>
                <w:szCs w:val="18"/>
              </w:rPr>
              <w:t>Source</w:t>
            </w:r>
            <w:r w:rsidRPr="001A4DE8">
              <w:rPr>
                <w:b w:val="0"/>
                <w:sz w:val="18"/>
                <w:szCs w:val="18"/>
              </w:rPr>
              <w:t>:</w:t>
            </w:r>
            <w:r w:rsidR="00037BDC">
              <w:rPr>
                <w:b w:val="0"/>
                <w:sz w:val="18"/>
                <w:szCs w:val="18"/>
              </w:rPr>
              <w:t xml:space="preserve"> </w:t>
            </w:r>
            <w:r w:rsidR="00D849C3" w:rsidRPr="00975EB7">
              <w:rPr>
                <w:b w:val="0"/>
                <w:sz w:val="18"/>
                <w:szCs w:val="18"/>
              </w:rPr>
              <w:t>Staff projections using PROST.</w:t>
            </w:r>
          </w:p>
        </w:tc>
      </w:tr>
    </w:tbl>
    <w:p w14:paraId="43DAF5AB" w14:textId="420F7CE4" w:rsidR="00946C9F" w:rsidRDefault="00946C9F" w:rsidP="00876F35">
      <w:pPr>
        <w:numPr>
          <w:ilvl w:val="0"/>
          <w:numId w:val="3"/>
        </w:numPr>
        <w:spacing w:before="240" w:after="240"/>
        <w:jc w:val="both"/>
        <w:rPr>
          <w:rFonts w:ascii="Cambria" w:hAnsi="Cambria"/>
          <w:sz w:val="22"/>
          <w:szCs w:val="22"/>
        </w:rPr>
      </w:pPr>
      <w:r w:rsidRPr="00B21985">
        <w:rPr>
          <w:rFonts w:ascii="Cambria" w:hAnsi="Cambria"/>
          <w:b/>
          <w:sz w:val="22"/>
          <w:szCs w:val="22"/>
        </w:rPr>
        <w:t>Reform 4 can achieve a more significant reduction in government pension spending</w:t>
      </w:r>
      <w:r w:rsidRPr="00C20EC5">
        <w:rPr>
          <w:rFonts w:ascii="Cambria" w:hAnsi="Cambria"/>
          <w:sz w:val="22"/>
          <w:szCs w:val="22"/>
        </w:rPr>
        <w:t xml:space="preserve">.  The magnitude of savings will depend on the </w:t>
      </w:r>
      <w:proofErr w:type="spellStart"/>
      <w:r w:rsidRPr="00C20EC5">
        <w:rPr>
          <w:rFonts w:ascii="Cambria" w:hAnsi="Cambria"/>
          <w:sz w:val="22"/>
          <w:szCs w:val="22"/>
        </w:rPr>
        <w:t>demogrant</w:t>
      </w:r>
      <w:proofErr w:type="spellEnd"/>
      <w:r w:rsidRPr="00C20EC5">
        <w:rPr>
          <w:rFonts w:ascii="Cambria" w:hAnsi="Cambria"/>
          <w:sz w:val="22"/>
          <w:szCs w:val="22"/>
        </w:rPr>
        <w:t xml:space="preserve"> indexation policy. The two variants of indexation policy considered in this study</w:t>
      </w:r>
      <w:r>
        <w:rPr>
          <w:rFonts w:ascii="Cambria" w:hAnsi="Cambria"/>
          <w:sz w:val="22"/>
          <w:szCs w:val="22"/>
        </w:rPr>
        <w:t>—</w:t>
      </w:r>
      <w:r w:rsidRPr="00C20EC5">
        <w:rPr>
          <w:rFonts w:ascii="Cambria" w:hAnsi="Cambria"/>
          <w:sz w:val="22"/>
          <w:szCs w:val="22"/>
        </w:rPr>
        <w:t>Reforms 4a and 4b</w:t>
      </w:r>
      <w:r>
        <w:rPr>
          <w:rFonts w:ascii="Cambria" w:hAnsi="Cambria"/>
          <w:sz w:val="22"/>
          <w:szCs w:val="22"/>
        </w:rPr>
        <w:t>—</w:t>
      </w:r>
      <w:r w:rsidRPr="00C20EC5">
        <w:rPr>
          <w:rFonts w:ascii="Cambria" w:hAnsi="Cambria"/>
          <w:sz w:val="22"/>
          <w:szCs w:val="22"/>
        </w:rPr>
        <w:t xml:space="preserve">are rather extreme cases that would show an upper and lower bound. Wage indexation of the </w:t>
      </w:r>
      <w:proofErr w:type="spellStart"/>
      <w:r w:rsidRPr="00C20EC5">
        <w:rPr>
          <w:rFonts w:ascii="Cambria" w:hAnsi="Cambria"/>
          <w:sz w:val="22"/>
          <w:szCs w:val="22"/>
        </w:rPr>
        <w:t>demogrant</w:t>
      </w:r>
      <w:proofErr w:type="spellEnd"/>
      <w:r w:rsidRPr="00C20EC5">
        <w:rPr>
          <w:rFonts w:ascii="Cambria" w:hAnsi="Cambria"/>
          <w:sz w:val="22"/>
          <w:szCs w:val="22"/>
        </w:rPr>
        <w:t xml:space="preserve"> (Reform 4a) is more expensive, hence reduces government spending to a lesser extent but provides higher benefits compared with price indexation (Reform 4b). Other variants of indexation policy can be modeled to help find an acceptable cost-benefit balance.</w:t>
      </w:r>
    </w:p>
    <w:p w14:paraId="79357C33" w14:textId="4A1A1078" w:rsidR="005B6B5E" w:rsidRDefault="004F666F" w:rsidP="00876F35">
      <w:pPr>
        <w:numPr>
          <w:ilvl w:val="0"/>
          <w:numId w:val="3"/>
        </w:numPr>
        <w:spacing w:before="240" w:after="240"/>
        <w:jc w:val="both"/>
        <w:rPr>
          <w:rFonts w:ascii="Cambria" w:hAnsi="Cambria"/>
          <w:sz w:val="22"/>
          <w:szCs w:val="22"/>
        </w:rPr>
      </w:pPr>
      <w:r>
        <w:rPr>
          <w:rFonts w:ascii="Cambria" w:hAnsi="Cambria"/>
          <w:sz w:val="22"/>
          <w:szCs w:val="22"/>
        </w:rPr>
        <w:t xml:space="preserve">The consolidated public spending and it’s composition under each reform scenario is presented in </w:t>
      </w:r>
      <w:r w:rsidR="00301BB4" w:rsidRPr="00C20EC5">
        <w:rPr>
          <w:rFonts w:ascii="Cambria" w:hAnsi="Cambria"/>
          <w:sz w:val="22"/>
          <w:szCs w:val="22"/>
        </w:rPr>
        <w:t xml:space="preserve">Figure </w:t>
      </w:r>
      <w:r w:rsidR="001C65A2" w:rsidRPr="00C20EC5">
        <w:rPr>
          <w:rFonts w:ascii="Cambria" w:hAnsi="Cambria"/>
          <w:sz w:val="22"/>
          <w:szCs w:val="22"/>
        </w:rPr>
        <w:t>19</w:t>
      </w:r>
      <w:r w:rsidR="00301BB4" w:rsidRPr="00C20EC5">
        <w:rPr>
          <w:rFonts w:ascii="Cambria" w:hAnsi="Cambria"/>
          <w:sz w:val="22"/>
          <w:szCs w:val="22"/>
        </w:rPr>
        <w:t xml:space="preserve"> a,</w:t>
      </w:r>
      <w:r w:rsidR="001A4DE8">
        <w:rPr>
          <w:rFonts w:ascii="Cambria" w:hAnsi="Cambria"/>
          <w:sz w:val="22"/>
          <w:szCs w:val="22"/>
        </w:rPr>
        <w:t xml:space="preserve"> </w:t>
      </w:r>
      <w:r w:rsidR="00301BB4" w:rsidRPr="00C20EC5">
        <w:rPr>
          <w:rFonts w:ascii="Cambria" w:hAnsi="Cambria"/>
          <w:sz w:val="22"/>
          <w:szCs w:val="22"/>
        </w:rPr>
        <w:t>b,</w:t>
      </w:r>
      <w:r w:rsidR="001A4DE8">
        <w:rPr>
          <w:rFonts w:ascii="Cambria" w:hAnsi="Cambria"/>
          <w:sz w:val="22"/>
          <w:szCs w:val="22"/>
        </w:rPr>
        <w:t xml:space="preserve"> </w:t>
      </w:r>
      <w:r w:rsidR="00301BB4" w:rsidRPr="00C20EC5">
        <w:rPr>
          <w:rFonts w:ascii="Cambria" w:hAnsi="Cambria"/>
          <w:sz w:val="22"/>
          <w:szCs w:val="22"/>
        </w:rPr>
        <w:t>c,</w:t>
      </w:r>
      <w:r w:rsidR="001A4DE8">
        <w:rPr>
          <w:rFonts w:ascii="Cambria" w:hAnsi="Cambria"/>
          <w:sz w:val="22"/>
          <w:szCs w:val="22"/>
        </w:rPr>
        <w:t xml:space="preserve"> </w:t>
      </w:r>
      <w:r w:rsidR="00301BB4" w:rsidRPr="00C20EC5">
        <w:rPr>
          <w:rFonts w:ascii="Cambria" w:hAnsi="Cambria"/>
          <w:sz w:val="22"/>
          <w:szCs w:val="22"/>
        </w:rPr>
        <w:t>d,</w:t>
      </w:r>
      <w:r w:rsidR="001A4DE8">
        <w:rPr>
          <w:rFonts w:ascii="Cambria" w:hAnsi="Cambria"/>
          <w:sz w:val="22"/>
          <w:szCs w:val="22"/>
        </w:rPr>
        <w:t xml:space="preserve"> and </w:t>
      </w:r>
      <w:r w:rsidR="00301BB4" w:rsidRPr="00C20EC5">
        <w:rPr>
          <w:rFonts w:ascii="Cambria" w:hAnsi="Cambria"/>
          <w:sz w:val="22"/>
          <w:szCs w:val="22"/>
        </w:rPr>
        <w:t xml:space="preserve">e </w:t>
      </w:r>
      <w:r>
        <w:rPr>
          <w:rFonts w:ascii="Cambria" w:hAnsi="Cambria"/>
          <w:sz w:val="22"/>
          <w:szCs w:val="22"/>
        </w:rPr>
        <w:t>below.</w:t>
      </w:r>
    </w:p>
    <w:p w14:paraId="729853C2" w14:textId="77777777" w:rsidR="00FB4D5A" w:rsidRDefault="00FB4D5A" w:rsidP="00FB4D5A">
      <w:pPr>
        <w:spacing w:before="240" w:after="240"/>
        <w:jc w:val="both"/>
        <w:rPr>
          <w:rFonts w:ascii="Cambria" w:hAnsi="Cambria"/>
          <w:sz w:val="22"/>
          <w:szCs w:val="22"/>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76"/>
      </w:tblGrid>
      <w:tr w:rsidR="007B12B0" w14:paraId="3CE2D661" w14:textId="77777777" w:rsidTr="00F4760E">
        <w:trPr>
          <w:trHeight w:val="630"/>
        </w:trPr>
        <w:tc>
          <w:tcPr>
            <w:tcW w:w="10098" w:type="dxa"/>
            <w:gridSpan w:val="2"/>
          </w:tcPr>
          <w:p w14:paraId="2C0F58C1" w14:textId="77777777" w:rsidR="007B12B0" w:rsidRDefault="007B12B0" w:rsidP="007B12B0">
            <w:pPr>
              <w:pStyle w:val="Caption"/>
            </w:pPr>
            <w:bookmarkStart w:id="31" w:name="_Toc378163852"/>
            <w:r>
              <w:t xml:space="preserve">Figure </w:t>
            </w:r>
            <w:r w:rsidR="00C646A3">
              <w:fldChar w:fldCharType="begin"/>
            </w:r>
            <w:r w:rsidR="00C646A3">
              <w:instrText xml:space="preserve"> SEQ Figure_ \* ARABIC </w:instrText>
            </w:r>
            <w:r w:rsidR="00C646A3">
              <w:fldChar w:fldCharType="separate"/>
            </w:r>
            <w:r w:rsidR="00C646A3">
              <w:rPr>
                <w:noProof/>
              </w:rPr>
              <w:t>19</w:t>
            </w:r>
            <w:r w:rsidR="00C646A3">
              <w:rPr>
                <w:noProof/>
              </w:rPr>
              <w:fldChar w:fldCharType="end"/>
            </w:r>
            <w:r>
              <w:t xml:space="preserve">. </w:t>
            </w:r>
            <w:r w:rsidRPr="007B12B0">
              <w:t>Consolidated Public Pension Expenditures</w:t>
            </w:r>
            <w:bookmarkEnd w:id="31"/>
          </w:p>
          <w:p w14:paraId="63CCA500" w14:textId="1ED6117C" w:rsidR="007B12B0" w:rsidRPr="007B12B0" w:rsidRDefault="007B12B0" w:rsidP="00393FB1">
            <w:pPr>
              <w:spacing w:after="40"/>
              <w:jc w:val="center"/>
              <w:rPr>
                <w:rFonts w:ascii="Cambria" w:hAnsi="Cambria"/>
              </w:rPr>
            </w:pPr>
            <w:r w:rsidRPr="007B12B0">
              <w:rPr>
                <w:rFonts w:ascii="Cambria" w:hAnsi="Cambria"/>
              </w:rPr>
              <w:t>(</w:t>
            </w:r>
            <w:r w:rsidR="00393FB1" w:rsidRPr="007B12B0">
              <w:rPr>
                <w:rFonts w:ascii="Cambria" w:hAnsi="Cambria"/>
              </w:rPr>
              <w:t xml:space="preserve">Percent </w:t>
            </w:r>
            <w:r w:rsidRPr="007B12B0">
              <w:rPr>
                <w:rFonts w:ascii="Cambria" w:hAnsi="Cambria"/>
              </w:rPr>
              <w:t>of GDP)</w:t>
            </w:r>
          </w:p>
        </w:tc>
      </w:tr>
      <w:tr w:rsidR="007B12B0" w14:paraId="74306906" w14:textId="77777777" w:rsidTr="00F4760E">
        <w:trPr>
          <w:trHeight w:val="3608"/>
        </w:trPr>
        <w:tc>
          <w:tcPr>
            <w:tcW w:w="5106" w:type="dxa"/>
          </w:tcPr>
          <w:p w14:paraId="654717DC" w14:textId="77777777" w:rsidR="007B12B0" w:rsidRDefault="00CB5299" w:rsidP="00CB5299">
            <w:pPr>
              <w:pStyle w:val="Caption"/>
            </w:pPr>
            <w:r w:rsidRPr="00C20EC5">
              <w:rPr>
                <w:noProof/>
              </w:rPr>
              <w:drawing>
                <wp:inline distT="0" distB="0" distL="0" distR="0" wp14:anchorId="5FBE375F" wp14:editId="1F5F2D9A">
                  <wp:extent cx="3048000" cy="218122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2878" cy="2184716"/>
                          </a:xfrm>
                          <a:prstGeom prst="rect">
                            <a:avLst/>
                          </a:prstGeom>
                          <a:noFill/>
                          <a:ln>
                            <a:noFill/>
                          </a:ln>
                        </pic:spPr>
                      </pic:pic>
                    </a:graphicData>
                  </a:graphic>
                </wp:inline>
              </w:drawing>
            </w:r>
          </w:p>
        </w:tc>
        <w:tc>
          <w:tcPr>
            <w:tcW w:w="4992" w:type="dxa"/>
          </w:tcPr>
          <w:p w14:paraId="736B3DD7" w14:textId="77777777" w:rsidR="007B12B0" w:rsidRDefault="00CB5299" w:rsidP="007B12B0">
            <w:pPr>
              <w:pStyle w:val="Caption"/>
            </w:pPr>
            <w:r w:rsidRPr="00C20EC5">
              <w:rPr>
                <w:noProof/>
              </w:rPr>
              <w:drawing>
                <wp:inline distT="0" distB="0" distL="0" distR="0" wp14:anchorId="21652A9D" wp14:editId="46C269EF">
                  <wp:extent cx="3077155" cy="2186609"/>
                  <wp:effectExtent l="0" t="0" r="9525" b="44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8050" cy="2187245"/>
                          </a:xfrm>
                          <a:prstGeom prst="rect">
                            <a:avLst/>
                          </a:prstGeom>
                          <a:noFill/>
                          <a:ln>
                            <a:noFill/>
                          </a:ln>
                        </pic:spPr>
                      </pic:pic>
                    </a:graphicData>
                  </a:graphic>
                </wp:inline>
              </w:drawing>
            </w:r>
          </w:p>
        </w:tc>
      </w:tr>
      <w:tr w:rsidR="007B12B0" w14:paraId="7F85D2AE" w14:textId="77777777" w:rsidTr="00F4760E">
        <w:trPr>
          <w:trHeight w:val="3680"/>
        </w:trPr>
        <w:tc>
          <w:tcPr>
            <w:tcW w:w="5106" w:type="dxa"/>
          </w:tcPr>
          <w:p w14:paraId="0039F834" w14:textId="77777777" w:rsidR="007B12B0" w:rsidRDefault="00CB5299" w:rsidP="007B12B0">
            <w:pPr>
              <w:pStyle w:val="Caption"/>
            </w:pPr>
            <w:r w:rsidRPr="00C20EC5">
              <w:rPr>
                <w:noProof/>
              </w:rPr>
              <w:drawing>
                <wp:inline distT="0" distB="0" distL="0" distR="0" wp14:anchorId="1926FECE" wp14:editId="0809D94A">
                  <wp:extent cx="3095625" cy="2266950"/>
                  <wp:effectExtent l="0" t="0" r="952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5625" cy="2266950"/>
                          </a:xfrm>
                          <a:prstGeom prst="rect">
                            <a:avLst/>
                          </a:prstGeom>
                          <a:noFill/>
                          <a:ln>
                            <a:noFill/>
                          </a:ln>
                        </pic:spPr>
                      </pic:pic>
                    </a:graphicData>
                  </a:graphic>
                </wp:inline>
              </w:drawing>
            </w:r>
          </w:p>
        </w:tc>
        <w:tc>
          <w:tcPr>
            <w:tcW w:w="4992" w:type="dxa"/>
          </w:tcPr>
          <w:p w14:paraId="4AF3A175" w14:textId="77777777" w:rsidR="007B12B0" w:rsidRDefault="00CB5299" w:rsidP="007B12B0">
            <w:pPr>
              <w:pStyle w:val="Caption"/>
            </w:pPr>
            <w:r w:rsidRPr="00C20EC5">
              <w:rPr>
                <w:noProof/>
              </w:rPr>
              <w:drawing>
                <wp:inline distT="0" distB="0" distL="0" distR="0" wp14:anchorId="7CE1A50D" wp14:editId="7785D443">
                  <wp:extent cx="3076575" cy="2266950"/>
                  <wp:effectExtent l="0" t="0" r="9525"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1498" cy="2270577"/>
                          </a:xfrm>
                          <a:prstGeom prst="rect">
                            <a:avLst/>
                          </a:prstGeom>
                          <a:noFill/>
                          <a:ln>
                            <a:noFill/>
                          </a:ln>
                        </pic:spPr>
                      </pic:pic>
                    </a:graphicData>
                  </a:graphic>
                </wp:inline>
              </w:drawing>
            </w:r>
          </w:p>
        </w:tc>
      </w:tr>
      <w:tr w:rsidR="007B12B0" w14:paraId="2740B0EE" w14:textId="77777777" w:rsidTr="00F4760E">
        <w:trPr>
          <w:trHeight w:val="3590"/>
        </w:trPr>
        <w:tc>
          <w:tcPr>
            <w:tcW w:w="5106" w:type="dxa"/>
          </w:tcPr>
          <w:p w14:paraId="4BF048E2" w14:textId="77777777" w:rsidR="007B12B0" w:rsidRDefault="00CB5299" w:rsidP="007B12B0">
            <w:pPr>
              <w:pStyle w:val="Caption"/>
            </w:pPr>
            <w:r w:rsidRPr="00C20EC5">
              <w:rPr>
                <w:noProof/>
              </w:rPr>
              <w:drawing>
                <wp:inline distT="0" distB="0" distL="0" distR="0" wp14:anchorId="642D07F2" wp14:editId="2E96C7A0">
                  <wp:extent cx="3086100" cy="22288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1038" cy="2232416"/>
                          </a:xfrm>
                          <a:prstGeom prst="rect">
                            <a:avLst/>
                          </a:prstGeom>
                          <a:noFill/>
                          <a:ln>
                            <a:noFill/>
                          </a:ln>
                        </pic:spPr>
                      </pic:pic>
                    </a:graphicData>
                  </a:graphic>
                </wp:inline>
              </w:drawing>
            </w:r>
          </w:p>
        </w:tc>
        <w:tc>
          <w:tcPr>
            <w:tcW w:w="4992" w:type="dxa"/>
          </w:tcPr>
          <w:p w14:paraId="5C28E0B0" w14:textId="77777777" w:rsidR="007B12B0" w:rsidRDefault="007B12B0" w:rsidP="007B12B0">
            <w:pPr>
              <w:pStyle w:val="Caption"/>
            </w:pPr>
          </w:p>
        </w:tc>
      </w:tr>
      <w:tr w:rsidR="00CB5299" w14:paraId="128C0557" w14:textId="77777777" w:rsidTr="00F4760E">
        <w:tc>
          <w:tcPr>
            <w:tcW w:w="10098" w:type="dxa"/>
            <w:gridSpan w:val="2"/>
          </w:tcPr>
          <w:p w14:paraId="77D07100" w14:textId="255FDD10" w:rsidR="00CB5299" w:rsidRDefault="00CB5299" w:rsidP="00CB5299">
            <w:pPr>
              <w:pStyle w:val="Caption"/>
              <w:jc w:val="left"/>
            </w:pPr>
            <w:r w:rsidRPr="001A4DE8">
              <w:rPr>
                <w:b w:val="0"/>
                <w:i/>
                <w:sz w:val="18"/>
                <w:szCs w:val="18"/>
              </w:rPr>
              <w:t>Source</w:t>
            </w:r>
            <w:r w:rsidRPr="001A4DE8">
              <w:rPr>
                <w:b w:val="0"/>
                <w:sz w:val="18"/>
                <w:szCs w:val="18"/>
              </w:rPr>
              <w:t>:</w:t>
            </w:r>
            <w:r w:rsidR="002463FE">
              <w:rPr>
                <w:b w:val="0"/>
                <w:sz w:val="18"/>
                <w:szCs w:val="18"/>
              </w:rPr>
              <w:t xml:space="preserve"> </w:t>
            </w:r>
            <w:r w:rsidR="00D849C3" w:rsidRPr="00975EB7">
              <w:rPr>
                <w:b w:val="0"/>
                <w:sz w:val="18"/>
                <w:szCs w:val="18"/>
              </w:rPr>
              <w:t>Staff projections using PROST.</w:t>
            </w:r>
          </w:p>
        </w:tc>
      </w:tr>
    </w:tbl>
    <w:p w14:paraId="20B5834B" w14:textId="77777777" w:rsidR="007B12B0" w:rsidRDefault="007B12B0" w:rsidP="00946C9F"/>
    <w:p w14:paraId="2BD47D75" w14:textId="3FFC2595" w:rsidR="00EE501A" w:rsidRPr="00C20EC5" w:rsidRDefault="009E742D" w:rsidP="004F666F">
      <w:pPr>
        <w:numPr>
          <w:ilvl w:val="0"/>
          <w:numId w:val="3"/>
        </w:numPr>
        <w:spacing w:after="240"/>
        <w:jc w:val="both"/>
        <w:rPr>
          <w:rFonts w:ascii="Cambria" w:hAnsi="Cambria"/>
          <w:sz w:val="22"/>
          <w:szCs w:val="22"/>
        </w:rPr>
      </w:pPr>
      <w:r w:rsidRPr="004F666F">
        <w:rPr>
          <w:rFonts w:ascii="Cambria" w:hAnsi="Cambria"/>
          <w:b/>
          <w:sz w:val="22"/>
          <w:szCs w:val="22"/>
        </w:rPr>
        <w:lastRenderedPageBreak/>
        <w:t>It is worth mentioning a fundamentally different approach to pension reform used in some countries</w:t>
      </w:r>
      <w:r>
        <w:rPr>
          <w:rFonts w:ascii="Cambria" w:hAnsi="Cambria"/>
          <w:sz w:val="22"/>
          <w:szCs w:val="22"/>
        </w:rPr>
        <w:t xml:space="preserve">. </w:t>
      </w:r>
      <w:r w:rsidR="00CB5299" w:rsidRPr="00C20EC5">
        <w:rPr>
          <w:rFonts w:ascii="Cambria" w:hAnsi="Cambria"/>
          <w:sz w:val="22"/>
          <w:szCs w:val="22"/>
        </w:rPr>
        <w:t xml:space="preserve">All options considered above assume that the national pension system remains contributory and earnings-related as </w:t>
      </w:r>
      <w:r w:rsidR="001A4DE8">
        <w:rPr>
          <w:rFonts w:ascii="Cambria" w:hAnsi="Cambria"/>
          <w:sz w:val="22"/>
          <w:szCs w:val="22"/>
        </w:rPr>
        <w:t>understood to</w:t>
      </w:r>
      <w:r w:rsidR="00CB5299" w:rsidRPr="00C20EC5">
        <w:rPr>
          <w:rFonts w:ascii="Cambria" w:hAnsi="Cambria"/>
          <w:sz w:val="22"/>
          <w:szCs w:val="22"/>
        </w:rPr>
        <w:t xml:space="preserve"> be the </w:t>
      </w:r>
      <w:r w:rsidR="001A4DE8">
        <w:rPr>
          <w:rFonts w:ascii="Cambria" w:hAnsi="Cambria"/>
          <w:sz w:val="22"/>
          <w:szCs w:val="22"/>
        </w:rPr>
        <w:t>g</w:t>
      </w:r>
      <w:r w:rsidR="00CB5299" w:rsidRPr="00C20EC5">
        <w:rPr>
          <w:rFonts w:ascii="Cambria" w:hAnsi="Cambria"/>
          <w:sz w:val="22"/>
          <w:szCs w:val="22"/>
        </w:rPr>
        <w:t>overnment’s preferences. However, under similar circumstances</w:t>
      </w:r>
      <w:r w:rsidR="001A4DE8">
        <w:rPr>
          <w:rFonts w:ascii="Cambria" w:hAnsi="Cambria"/>
          <w:sz w:val="22"/>
          <w:szCs w:val="22"/>
        </w:rPr>
        <w:t>—</w:t>
      </w:r>
      <w:r w:rsidR="00CB5299" w:rsidRPr="00C20EC5">
        <w:rPr>
          <w:rFonts w:ascii="Cambria" w:hAnsi="Cambria"/>
          <w:sz w:val="22"/>
          <w:szCs w:val="22"/>
        </w:rPr>
        <w:t>pensions becoming more and more compressed, fast growing share of the non-contributory component (increasing share of the basic pension for the covered population, increasing share of the uncovered population claiming social pensions</w:t>
      </w:r>
      <w:r w:rsidR="00CB5299" w:rsidRPr="00C20EC5">
        <w:rPr>
          <w:rStyle w:val="FootnoteReference"/>
          <w:rFonts w:ascii="Cambria" w:hAnsi="Cambria"/>
          <w:sz w:val="22"/>
          <w:szCs w:val="22"/>
        </w:rPr>
        <w:footnoteReference w:id="16"/>
      </w:r>
      <w:r w:rsidR="00CB5299" w:rsidRPr="00C20EC5">
        <w:rPr>
          <w:rFonts w:ascii="Cambria" w:hAnsi="Cambria"/>
          <w:sz w:val="22"/>
          <w:szCs w:val="22"/>
        </w:rPr>
        <w:t>)</w:t>
      </w:r>
      <w:r w:rsidR="001A4DE8">
        <w:rPr>
          <w:rFonts w:ascii="Cambria" w:hAnsi="Cambria"/>
          <w:sz w:val="22"/>
          <w:szCs w:val="22"/>
        </w:rPr>
        <w:t>—</w:t>
      </w:r>
      <w:r w:rsidR="00CB5299" w:rsidRPr="00C20EC5">
        <w:rPr>
          <w:rFonts w:ascii="Cambria" w:hAnsi="Cambria"/>
          <w:sz w:val="22"/>
          <w:szCs w:val="22"/>
        </w:rPr>
        <w:t>some countries, e.g. Georgia, decided to make their system noncontributory.</w:t>
      </w:r>
      <w:r w:rsidR="00EE501A">
        <w:rPr>
          <w:rFonts w:ascii="Cambria" w:hAnsi="Cambria"/>
          <w:sz w:val="22"/>
          <w:szCs w:val="22"/>
        </w:rPr>
        <w:t xml:space="preserve"> </w:t>
      </w:r>
      <w:r>
        <w:rPr>
          <w:rFonts w:ascii="Cambria" w:hAnsi="Cambria"/>
          <w:sz w:val="22"/>
          <w:szCs w:val="22"/>
        </w:rPr>
        <w:t xml:space="preserve">Under </w:t>
      </w:r>
      <w:r w:rsidR="00C5318C">
        <w:rPr>
          <w:rFonts w:ascii="Cambria" w:hAnsi="Cambria"/>
          <w:sz w:val="22"/>
          <w:szCs w:val="22"/>
        </w:rPr>
        <w:t>this</w:t>
      </w:r>
      <w:r>
        <w:rPr>
          <w:rFonts w:ascii="Cambria" w:hAnsi="Cambria"/>
          <w:sz w:val="22"/>
          <w:szCs w:val="22"/>
        </w:rPr>
        <w:t xml:space="preserve"> system everybody receives a</w:t>
      </w:r>
      <w:r w:rsidR="00EE501A" w:rsidRPr="00C20EC5">
        <w:rPr>
          <w:rFonts w:ascii="Cambria" w:hAnsi="Cambria"/>
          <w:sz w:val="22"/>
          <w:szCs w:val="22"/>
        </w:rPr>
        <w:t xml:space="preserve"> </w:t>
      </w:r>
      <w:r w:rsidR="00EB49D5">
        <w:rPr>
          <w:rFonts w:ascii="Cambria" w:hAnsi="Cambria"/>
          <w:sz w:val="22"/>
          <w:szCs w:val="22"/>
        </w:rPr>
        <w:t xml:space="preserve">modest </w:t>
      </w:r>
      <w:r w:rsidR="00EE501A" w:rsidRPr="00C20EC5">
        <w:rPr>
          <w:rFonts w:ascii="Cambria" w:hAnsi="Cambria"/>
          <w:sz w:val="22"/>
          <w:szCs w:val="22"/>
        </w:rPr>
        <w:t xml:space="preserve">flat benefit </w:t>
      </w:r>
      <w:r>
        <w:rPr>
          <w:rFonts w:ascii="Cambria" w:hAnsi="Cambria"/>
          <w:sz w:val="22"/>
          <w:szCs w:val="22"/>
        </w:rPr>
        <w:t>upon</w:t>
      </w:r>
      <w:r w:rsidR="00EE501A" w:rsidRPr="00C20EC5">
        <w:rPr>
          <w:rFonts w:ascii="Cambria" w:hAnsi="Cambria"/>
          <w:sz w:val="22"/>
          <w:szCs w:val="22"/>
        </w:rPr>
        <w:t xml:space="preserve"> reaching a certain age</w:t>
      </w:r>
      <w:r>
        <w:rPr>
          <w:rFonts w:ascii="Cambria" w:hAnsi="Cambria"/>
          <w:sz w:val="22"/>
          <w:szCs w:val="22"/>
        </w:rPr>
        <w:t>,</w:t>
      </w:r>
      <w:r w:rsidR="00EE501A" w:rsidRPr="00C20EC5">
        <w:rPr>
          <w:rFonts w:ascii="Cambria" w:hAnsi="Cambria"/>
          <w:sz w:val="22"/>
          <w:szCs w:val="22"/>
        </w:rPr>
        <w:t xml:space="preserve"> financed from the general budget, i.e. a </w:t>
      </w:r>
      <w:proofErr w:type="spellStart"/>
      <w:r w:rsidR="00EE501A" w:rsidRPr="00C20EC5">
        <w:rPr>
          <w:rFonts w:ascii="Cambria" w:hAnsi="Cambria"/>
          <w:sz w:val="22"/>
          <w:szCs w:val="22"/>
        </w:rPr>
        <w:t>demogrant</w:t>
      </w:r>
      <w:proofErr w:type="spellEnd"/>
      <w:r w:rsidR="00EE501A" w:rsidRPr="00C20EC5">
        <w:rPr>
          <w:rFonts w:ascii="Cambria" w:hAnsi="Cambria"/>
          <w:sz w:val="22"/>
          <w:szCs w:val="22"/>
        </w:rPr>
        <w:t xml:space="preserve">-only option. </w:t>
      </w:r>
      <w:r w:rsidR="00C5318C">
        <w:rPr>
          <w:rFonts w:ascii="Cambria" w:hAnsi="Cambria"/>
          <w:sz w:val="22"/>
          <w:szCs w:val="22"/>
        </w:rPr>
        <w:t xml:space="preserve">The focus of such a system would be </w:t>
      </w:r>
      <w:r w:rsidR="00F8598F">
        <w:rPr>
          <w:rFonts w:ascii="Cambria" w:hAnsi="Cambria"/>
          <w:sz w:val="22"/>
          <w:szCs w:val="22"/>
        </w:rPr>
        <w:t xml:space="preserve">on </w:t>
      </w:r>
      <w:r w:rsidR="00C5318C">
        <w:rPr>
          <w:rFonts w:ascii="Cambria" w:hAnsi="Cambria"/>
          <w:sz w:val="22"/>
          <w:szCs w:val="22"/>
        </w:rPr>
        <w:t>poverty alleviation among the elderly</w:t>
      </w:r>
      <w:r w:rsidR="00944EBB">
        <w:rPr>
          <w:rFonts w:ascii="Cambria" w:hAnsi="Cambria"/>
          <w:sz w:val="22"/>
          <w:szCs w:val="22"/>
        </w:rPr>
        <w:t xml:space="preserve"> </w:t>
      </w:r>
      <w:r w:rsidR="00F8598F">
        <w:rPr>
          <w:rFonts w:ascii="Cambria" w:hAnsi="Cambria"/>
          <w:sz w:val="22"/>
          <w:szCs w:val="22"/>
        </w:rPr>
        <w:t>rather than</w:t>
      </w:r>
      <w:r w:rsidR="00C5318C">
        <w:rPr>
          <w:rFonts w:ascii="Cambria" w:hAnsi="Cambria"/>
          <w:sz w:val="22"/>
          <w:szCs w:val="22"/>
        </w:rPr>
        <w:t xml:space="preserve"> </w:t>
      </w:r>
      <w:r w:rsidR="008220B9">
        <w:rPr>
          <w:rFonts w:ascii="Cambria" w:hAnsi="Cambria"/>
          <w:sz w:val="22"/>
          <w:szCs w:val="22"/>
        </w:rPr>
        <w:t>f</w:t>
      </w:r>
      <w:r w:rsidR="00F8598F">
        <w:rPr>
          <w:rFonts w:ascii="Cambria" w:hAnsi="Cambria"/>
          <w:sz w:val="22"/>
          <w:szCs w:val="22"/>
        </w:rPr>
        <w:t xml:space="preserve">acilitating </w:t>
      </w:r>
      <w:r w:rsidR="00944EBB">
        <w:rPr>
          <w:rFonts w:ascii="Cambria" w:hAnsi="Cambria"/>
          <w:sz w:val="22"/>
          <w:szCs w:val="22"/>
        </w:rPr>
        <w:t>consumption</w:t>
      </w:r>
      <w:r w:rsidR="008220B9">
        <w:rPr>
          <w:rFonts w:ascii="Cambria" w:hAnsi="Cambria"/>
          <w:sz w:val="22"/>
          <w:szCs w:val="22"/>
        </w:rPr>
        <w:t xml:space="preserve"> </w:t>
      </w:r>
      <w:r w:rsidR="00C5318C">
        <w:rPr>
          <w:rFonts w:ascii="Cambria" w:hAnsi="Cambria"/>
          <w:sz w:val="22"/>
          <w:szCs w:val="22"/>
        </w:rPr>
        <w:t>smoothing</w:t>
      </w:r>
      <w:r w:rsidR="00944EBB">
        <w:rPr>
          <w:rFonts w:ascii="Cambria" w:hAnsi="Cambria"/>
          <w:sz w:val="22"/>
          <w:szCs w:val="22"/>
        </w:rPr>
        <w:t xml:space="preserve"> in old age</w:t>
      </w:r>
      <w:r w:rsidR="008220B9">
        <w:rPr>
          <w:rFonts w:ascii="Cambria" w:hAnsi="Cambria"/>
          <w:sz w:val="22"/>
          <w:szCs w:val="22"/>
        </w:rPr>
        <w:t>.</w:t>
      </w:r>
      <w:r w:rsidR="00C5318C">
        <w:rPr>
          <w:rFonts w:ascii="Cambria" w:hAnsi="Cambria"/>
          <w:sz w:val="22"/>
          <w:szCs w:val="22"/>
        </w:rPr>
        <w:t xml:space="preserve"> But t</w:t>
      </w:r>
      <w:r w:rsidR="00EE501A" w:rsidRPr="00C20EC5">
        <w:rPr>
          <w:rFonts w:ascii="Cambria" w:hAnsi="Cambria"/>
          <w:sz w:val="22"/>
          <w:szCs w:val="22"/>
        </w:rPr>
        <w:t xml:space="preserve">here are some potential pros for this approach: (i) full coverage of the elderly while the costs are contained; (ii) reduction of labor market distortions and improvement of country competitiveness through elimination of the high payroll tax; (iii) room for voluntary savings for those who want a higher pension; </w:t>
      </w:r>
      <w:proofErr w:type="gramStart"/>
      <w:r w:rsidR="00EE501A" w:rsidRPr="00C20EC5">
        <w:rPr>
          <w:rFonts w:ascii="Cambria" w:hAnsi="Cambria"/>
          <w:sz w:val="22"/>
          <w:szCs w:val="22"/>
        </w:rPr>
        <w:t>(iv) simplicity</w:t>
      </w:r>
      <w:proofErr w:type="gramEnd"/>
      <w:r w:rsidR="00EE501A" w:rsidRPr="00C20EC5">
        <w:rPr>
          <w:rFonts w:ascii="Cambria" w:hAnsi="Cambria"/>
          <w:sz w:val="22"/>
          <w:szCs w:val="22"/>
        </w:rPr>
        <w:t xml:space="preserve"> and low administration costs. Different variants of non-contributory system parameters as well as the transition path should be explored further if this approach is chosen.</w:t>
      </w:r>
    </w:p>
    <w:p w14:paraId="6B617BA6" w14:textId="77777777" w:rsidR="00FB436A" w:rsidRPr="00C20EC5" w:rsidRDefault="00FB436A" w:rsidP="00E5771D">
      <w:pPr>
        <w:pStyle w:val="Heading2"/>
      </w:pPr>
      <w:bookmarkStart w:id="32" w:name="_Toc387325522"/>
      <w:r w:rsidRPr="00C20EC5">
        <w:t>Main Results of Proposed Reforms</w:t>
      </w:r>
      <w:bookmarkEnd w:id="32"/>
      <w:r w:rsidRPr="00C20EC5">
        <w:t xml:space="preserve"> </w:t>
      </w:r>
    </w:p>
    <w:p w14:paraId="15D191AF" w14:textId="19E6442E" w:rsidR="006D25A7" w:rsidRPr="00C20EC5" w:rsidRDefault="006D25A7" w:rsidP="00876F35">
      <w:pPr>
        <w:numPr>
          <w:ilvl w:val="0"/>
          <w:numId w:val="3"/>
        </w:numPr>
        <w:spacing w:before="240" w:after="240"/>
        <w:jc w:val="both"/>
        <w:rPr>
          <w:rFonts w:ascii="Cambria" w:hAnsi="Cambria"/>
          <w:sz w:val="22"/>
          <w:szCs w:val="22"/>
        </w:rPr>
      </w:pPr>
      <w:r w:rsidRPr="00C20EC5">
        <w:rPr>
          <w:rFonts w:ascii="Cambria" w:hAnsi="Cambria"/>
          <w:sz w:val="22"/>
          <w:szCs w:val="22"/>
        </w:rPr>
        <w:t xml:space="preserve">The main outcomes of the proposed broad reform options </w:t>
      </w:r>
      <w:r w:rsidR="00F72B12" w:rsidRPr="00C20EC5">
        <w:rPr>
          <w:rFonts w:ascii="Cambria" w:hAnsi="Cambria"/>
          <w:sz w:val="22"/>
          <w:szCs w:val="22"/>
        </w:rPr>
        <w:t xml:space="preserve">are presented in </w:t>
      </w:r>
      <w:r w:rsidR="00681D7E" w:rsidRPr="00C20EC5">
        <w:rPr>
          <w:rFonts w:ascii="Cambria" w:hAnsi="Cambria"/>
          <w:sz w:val="22"/>
          <w:szCs w:val="22"/>
        </w:rPr>
        <w:t xml:space="preserve">Table </w:t>
      </w:r>
      <w:r w:rsidR="00134C8A">
        <w:rPr>
          <w:rFonts w:ascii="Cambria" w:hAnsi="Cambria"/>
          <w:sz w:val="22"/>
          <w:szCs w:val="22"/>
        </w:rPr>
        <w:t>5</w:t>
      </w:r>
      <w:r w:rsidR="00134C8A" w:rsidRPr="00C20EC5">
        <w:rPr>
          <w:rFonts w:ascii="Cambria" w:hAnsi="Cambria"/>
          <w:sz w:val="22"/>
          <w:szCs w:val="22"/>
        </w:rPr>
        <w:t xml:space="preserve"> </w:t>
      </w:r>
      <w:r w:rsidR="00F72B12" w:rsidRPr="00C20EC5">
        <w:rPr>
          <w:rFonts w:ascii="Cambria" w:hAnsi="Cambria"/>
          <w:sz w:val="22"/>
          <w:szCs w:val="22"/>
        </w:rPr>
        <w:t>and</w:t>
      </w:r>
      <w:r w:rsidR="00681D7E" w:rsidRPr="00C20EC5">
        <w:rPr>
          <w:rFonts w:ascii="Cambria" w:hAnsi="Cambria"/>
          <w:sz w:val="22"/>
          <w:szCs w:val="22"/>
        </w:rPr>
        <w:t xml:space="preserve"> </w:t>
      </w:r>
      <w:r w:rsidRPr="00C20EC5">
        <w:rPr>
          <w:rFonts w:ascii="Cambria" w:hAnsi="Cambria"/>
          <w:sz w:val="22"/>
          <w:szCs w:val="22"/>
        </w:rPr>
        <w:t>can be summarized as follows:</w:t>
      </w:r>
    </w:p>
    <w:p w14:paraId="23CE9C26" w14:textId="77777777" w:rsidR="006D25A7" w:rsidRPr="00C20EC5" w:rsidRDefault="006D25A7" w:rsidP="003D6175">
      <w:pPr>
        <w:numPr>
          <w:ilvl w:val="1"/>
          <w:numId w:val="27"/>
        </w:numPr>
        <w:spacing w:after="120"/>
        <w:ind w:left="1080"/>
        <w:jc w:val="both"/>
        <w:rPr>
          <w:rFonts w:ascii="Cambria" w:hAnsi="Cambria"/>
          <w:sz w:val="22"/>
          <w:szCs w:val="22"/>
        </w:rPr>
      </w:pPr>
      <w:r w:rsidRPr="00C20EC5">
        <w:rPr>
          <w:rFonts w:ascii="Cambria" w:hAnsi="Cambria"/>
          <w:sz w:val="22"/>
          <w:szCs w:val="22"/>
        </w:rPr>
        <w:t xml:space="preserve">Reform 1 addresses </w:t>
      </w:r>
      <w:r w:rsidR="004A6628" w:rsidRPr="00C20EC5">
        <w:rPr>
          <w:rFonts w:ascii="Cambria" w:hAnsi="Cambria"/>
          <w:sz w:val="22"/>
          <w:szCs w:val="22"/>
        </w:rPr>
        <w:t xml:space="preserve">the </w:t>
      </w:r>
      <w:r w:rsidRPr="00C20EC5">
        <w:rPr>
          <w:rFonts w:ascii="Cambria" w:hAnsi="Cambria"/>
          <w:sz w:val="22"/>
          <w:szCs w:val="22"/>
        </w:rPr>
        <w:t xml:space="preserve">issue </w:t>
      </w:r>
      <w:r w:rsidR="004A6628" w:rsidRPr="00C20EC5">
        <w:rPr>
          <w:rFonts w:ascii="Cambria" w:hAnsi="Cambria"/>
          <w:sz w:val="22"/>
          <w:szCs w:val="22"/>
        </w:rPr>
        <w:t xml:space="preserve">of benefit adequacy </w:t>
      </w:r>
      <w:r w:rsidR="004074CD" w:rsidRPr="00C20EC5">
        <w:rPr>
          <w:rFonts w:ascii="Cambria" w:hAnsi="Cambria"/>
          <w:sz w:val="22"/>
          <w:szCs w:val="22"/>
        </w:rPr>
        <w:t>and also</w:t>
      </w:r>
      <w:r w:rsidRPr="00C20EC5">
        <w:rPr>
          <w:rFonts w:ascii="Cambria" w:hAnsi="Cambria"/>
          <w:sz w:val="22"/>
          <w:szCs w:val="22"/>
        </w:rPr>
        <w:t xml:space="preserve"> improv</w:t>
      </w:r>
      <w:r w:rsidR="004074CD" w:rsidRPr="00C20EC5">
        <w:rPr>
          <w:rFonts w:ascii="Cambria" w:hAnsi="Cambria"/>
          <w:sz w:val="22"/>
          <w:szCs w:val="22"/>
        </w:rPr>
        <w:t>es</w:t>
      </w:r>
      <w:r w:rsidRPr="00C20EC5">
        <w:rPr>
          <w:rFonts w:ascii="Cambria" w:hAnsi="Cambria"/>
          <w:sz w:val="22"/>
          <w:szCs w:val="22"/>
        </w:rPr>
        <w:t xml:space="preserve"> incentives to contribute by strengthening the link between contributions and insurance pensions. However, the Social Fund becomes financially unsustainable and requires government financing.</w:t>
      </w:r>
    </w:p>
    <w:p w14:paraId="484932C6" w14:textId="77777777" w:rsidR="006D25A7" w:rsidRPr="00C20EC5" w:rsidRDefault="006D25A7" w:rsidP="003D6175">
      <w:pPr>
        <w:numPr>
          <w:ilvl w:val="1"/>
          <w:numId w:val="27"/>
        </w:numPr>
        <w:spacing w:after="120"/>
        <w:ind w:left="1080"/>
        <w:jc w:val="both"/>
        <w:rPr>
          <w:rFonts w:ascii="Cambria" w:hAnsi="Cambria"/>
          <w:sz w:val="22"/>
          <w:szCs w:val="22"/>
        </w:rPr>
      </w:pPr>
      <w:r w:rsidRPr="00C20EC5">
        <w:rPr>
          <w:rFonts w:ascii="Cambria" w:hAnsi="Cambria"/>
          <w:sz w:val="22"/>
          <w:szCs w:val="22"/>
        </w:rPr>
        <w:t xml:space="preserve">Reform 2 contains the cost of insurance pensions while providing protection of pensioners against the risk of inflation. Social Fund finances remain healthy and generate surpluses through </w:t>
      </w:r>
      <w:r w:rsidR="007F692D" w:rsidRPr="00C20EC5">
        <w:rPr>
          <w:rFonts w:ascii="Cambria" w:hAnsi="Cambria"/>
          <w:sz w:val="22"/>
          <w:szCs w:val="22"/>
        </w:rPr>
        <w:t>the whole</w:t>
      </w:r>
      <w:r w:rsidRPr="00C20EC5">
        <w:rPr>
          <w:rFonts w:ascii="Cambria" w:hAnsi="Cambria"/>
          <w:sz w:val="22"/>
          <w:szCs w:val="22"/>
        </w:rPr>
        <w:t xml:space="preserve"> projection period.</w:t>
      </w:r>
    </w:p>
    <w:p w14:paraId="3B2DAF05" w14:textId="10A68604" w:rsidR="006D25A7" w:rsidRPr="00C20EC5" w:rsidRDefault="00D24AE2" w:rsidP="003D6175">
      <w:pPr>
        <w:numPr>
          <w:ilvl w:val="1"/>
          <w:numId w:val="27"/>
        </w:numPr>
        <w:spacing w:after="120"/>
        <w:ind w:left="1080"/>
        <w:jc w:val="both"/>
        <w:rPr>
          <w:rFonts w:ascii="Cambria" w:hAnsi="Cambria"/>
          <w:sz w:val="22"/>
          <w:szCs w:val="22"/>
        </w:rPr>
      </w:pPr>
      <w:r w:rsidRPr="00C20EC5">
        <w:rPr>
          <w:rFonts w:ascii="Cambria" w:hAnsi="Cambria"/>
          <w:sz w:val="22"/>
          <w:szCs w:val="22"/>
        </w:rPr>
        <w:t xml:space="preserve">Reform 3 addresses both </w:t>
      </w:r>
      <w:r w:rsidR="006D25A7" w:rsidRPr="00C20EC5">
        <w:rPr>
          <w:rFonts w:ascii="Cambria" w:hAnsi="Cambria"/>
          <w:sz w:val="22"/>
          <w:szCs w:val="22"/>
        </w:rPr>
        <w:t>benefit adequacy and financial sustainability issues by further increasing pensions</w:t>
      </w:r>
      <w:r w:rsidR="00F1107E" w:rsidRPr="00C20EC5">
        <w:rPr>
          <w:rFonts w:ascii="Cambria" w:hAnsi="Cambria"/>
          <w:sz w:val="22"/>
          <w:szCs w:val="22"/>
        </w:rPr>
        <w:t>, improving system demographics</w:t>
      </w:r>
      <w:r w:rsidR="006D25A7" w:rsidRPr="00C20EC5">
        <w:rPr>
          <w:rFonts w:ascii="Cambria" w:hAnsi="Cambria"/>
          <w:sz w:val="22"/>
          <w:szCs w:val="22"/>
        </w:rPr>
        <w:t xml:space="preserve"> and increasing revenues. System finances improve compared </w:t>
      </w:r>
      <w:r w:rsidRPr="00C20EC5">
        <w:rPr>
          <w:rFonts w:ascii="Cambria" w:hAnsi="Cambria"/>
          <w:sz w:val="22"/>
          <w:szCs w:val="22"/>
        </w:rPr>
        <w:t>with</w:t>
      </w:r>
      <w:r w:rsidR="006D25A7" w:rsidRPr="00C20EC5">
        <w:rPr>
          <w:rFonts w:ascii="Cambria" w:hAnsi="Cambria"/>
          <w:sz w:val="22"/>
          <w:szCs w:val="22"/>
        </w:rPr>
        <w:t xml:space="preserve"> Reform 2</w:t>
      </w:r>
      <w:r w:rsidR="00F7467E">
        <w:rPr>
          <w:rStyle w:val="FootnoteReference"/>
          <w:rFonts w:ascii="Cambria" w:hAnsi="Cambria"/>
          <w:sz w:val="22"/>
          <w:szCs w:val="22"/>
        </w:rPr>
        <w:footnoteReference w:id="17"/>
      </w:r>
      <w:r w:rsidR="006D25A7" w:rsidRPr="00C20EC5">
        <w:rPr>
          <w:rFonts w:ascii="Cambria" w:hAnsi="Cambria"/>
          <w:sz w:val="22"/>
          <w:szCs w:val="22"/>
        </w:rPr>
        <w:t>.</w:t>
      </w:r>
    </w:p>
    <w:p w14:paraId="62A02B88" w14:textId="77777777" w:rsidR="006D25A7" w:rsidRPr="00C20EC5" w:rsidRDefault="006D25A7" w:rsidP="003D6175">
      <w:pPr>
        <w:numPr>
          <w:ilvl w:val="1"/>
          <w:numId w:val="27"/>
        </w:numPr>
        <w:spacing w:after="120"/>
        <w:ind w:left="1080"/>
        <w:jc w:val="both"/>
        <w:rPr>
          <w:rFonts w:ascii="Cambria" w:hAnsi="Cambria"/>
          <w:sz w:val="22"/>
          <w:szCs w:val="22"/>
        </w:rPr>
      </w:pPr>
      <w:r w:rsidRPr="00C20EC5">
        <w:rPr>
          <w:rFonts w:ascii="Cambria" w:hAnsi="Cambria"/>
          <w:sz w:val="22"/>
          <w:szCs w:val="22"/>
        </w:rPr>
        <w:t xml:space="preserve">Reform 2 and to a greater extent Reform 3 create some space for </w:t>
      </w:r>
      <w:r w:rsidR="00F1107E" w:rsidRPr="00C20EC5">
        <w:rPr>
          <w:rFonts w:ascii="Cambria" w:hAnsi="Cambria"/>
          <w:sz w:val="22"/>
          <w:szCs w:val="22"/>
        </w:rPr>
        <w:t xml:space="preserve">further reforms aimed at making the system more affordable and less costly, e.g. </w:t>
      </w:r>
      <w:r w:rsidRPr="00C20EC5">
        <w:rPr>
          <w:rFonts w:ascii="Cambria" w:hAnsi="Cambria"/>
          <w:sz w:val="22"/>
          <w:szCs w:val="22"/>
        </w:rPr>
        <w:t>reducing the contribution rate</w:t>
      </w:r>
      <w:r w:rsidR="00F1107E" w:rsidRPr="00C20EC5">
        <w:rPr>
          <w:rFonts w:ascii="Cambria" w:hAnsi="Cambria"/>
          <w:sz w:val="22"/>
          <w:szCs w:val="22"/>
        </w:rPr>
        <w:t>, inflation-indexing the b</w:t>
      </w:r>
      <w:r w:rsidR="008C6D56" w:rsidRPr="00C20EC5">
        <w:rPr>
          <w:rFonts w:ascii="Cambria" w:hAnsi="Cambria"/>
          <w:sz w:val="22"/>
          <w:szCs w:val="22"/>
        </w:rPr>
        <w:t>asic pension or means-testing</w:t>
      </w:r>
      <w:r w:rsidR="005A765C" w:rsidRPr="00C20EC5">
        <w:rPr>
          <w:rFonts w:ascii="Cambria" w:hAnsi="Cambria"/>
          <w:sz w:val="22"/>
          <w:szCs w:val="22"/>
        </w:rPr>
        <w:t xml:space="preserve"> it</w:t>
      </w:r>
      <w:r w:rsidR="008C6D56" w:rsidRPr="00C20EC5">
        <w:rPr>
          <w:rFonts w:ascii="Cambria" w:hAnsi="Cambria"/>
          <w:sz w:val="22"/>
          <w:szCs w:val="22"/>
        </w:rPr>
        <w:t xml:space="preserve"> to contain b</w:t>
      </w:r>
      <w:r w:rsidRPr="00C20EC5">
        <w:rPr>
          <w:rFonts w:ascii="Cambria" w:hAnsi="Cambria"/>
          <w:sz w:val="22"/>
          <w:szCs w:val="22"/>
        </w:rPr>
        <w:t xml:space="preserve">asic pension costs. Lower contribution rates may </w:t>
      </w:r>
      <w:r w:rsidR="00106F48" w:rsidRPr="00C20EC5">
        <w:rPr>
          <w:rFonts w:ascii="Cambria" w:hAnsi="Cambria"/>
          <w:sz w:val="22"/>
          <w:szCs w:val="22"/>
        </w:rPr>
        <w:t xml:space="preserve">also </w:t>
      </w:r>
      <w:r w:rsidRPr="00C20EC5">
        <w:rPr>
          <w:rFonts w:ascii="Cambria" w:hAnsi="Cambria"/>
          <w:sz w:val="22"/>
          <w:szCs w:val="22"/>
        </w:rPr>
        <w:t>provide better incentives and possibilities to contribute to private pension funds for those who want higher pensions.</w:t>
      </w:r>
    </w:p>
    <w:p w14:paraId="35B2DCA5" w14:textId="77777777" w:rsidR="00EE37CE" w:rsidRPr="00C20EC5" w:rsidRDefault="00FB101A" w:rsidP="003D6175">
      <w:pPr>
        <w:numPr>
          <w:ilvl w:val="1"/>
          <w:numId w:val="27"/>
        </w:numPr>
        <w:spacing w:after="120"/>
        <w:ind w:left="1080"/>
        <w:jc w:val="both"/>
        <w:rPr>
          <w:rFonts w:ascii="Cambria" w:hAnsi="Cambria"/>
          <w:sz w:val="22"/>
          <w:szCs w:val="22"/>
        </w:rPr>
      </w:pPr>
      <w:r w:rsidRPr="00C20EC5">
        <w:rPr>
          <w:rFonts w:ascii="Cambria" w:hAnsi="Cambria"/>
          <w:sz w:val="22"/>
          <w:szCs w:val="22"/>
        </w:rPr>
        <w:lastRenderedPageBreak/>
        <w:t>Reform 4</w:t>
      </w:r>
      <w:r w:rsidR="00340B43" w:rsidRPr="00C20EC5">
        <w:rPr>
          <w:rFonts w:ascii="Cambria" w:hAnsi="Cambria"/>
          <w:sz w:val="22"/>
          <w:szCs w:val="22"/>
        </w:rPr>
        <w:t xml:space="preserve"> </w:t>
      </w:r>
      <w:r w:rsidR="006D25A7" w:rsidRPr="00C20EC5">
        <w:rPr>
          <w:rFonts w:ascii="Cambria" w:hAnsi="Cambria"/>
          <w:sz w:val="22"/>
          <w:szCs w:val="22"/>
        </w:rPr>
        <w:t xml:space="preserve">to some extent addresses the issue of </w:t>
      </w:r>
      <w:r w:rsidR="003A515B" w:rsidRPr="00C20EC5">
        <w:rPr>
          <w:rFonts w:ascii="Cambria" w:hAnsi="Cambria"/>
          <w:sz w:val="22"/>
          <w:szCs w:val="22"/>
        </w:rPr>
        <w:t xml:space="preserve">low </w:t>
      </w:r>
      <w:r w:rsidR="006D25A7" w:rsidRPr="00C20EC5">
        <w:rPr>
          <w:rFonts w:ascii="Cambria" w:hAnsi="Cambria"/>
          <w:sz w:val="22"/>
          <w:szCs w:val="22"/>
        </w:rPr>
        <w:t xml:space="preserve">coverage by offering </w:t>
      </w:r>
      <w:r w:rsidR="00723325" w:rsidRPr="00C20EC5">
        <w:rPr>
          <w:rFonts w:ascii="Cambria" w:hAnsi="Cambria"/>
          <w:sz w:val="22"/>
          <w:szCs w:val="22"/>
        </w:rPr>
        <w:t xml:space="preserve">the </w:t>
      </w:r>
      <w:r w:rsidR="006D25A7" w:rsidRPr="00C20EC5">
        <w:rPr>
          <w:rFonts w:ascii="Cambria" w:hAnsi="Cambria"/>
          <w:sz w:val="22"/>
          <w:szCs w:val="22"/>
        </w:rPr>
        <w:t>basic pension to everybody and providing better income protection to the uncovered population.</w:t>
      </w:r>
      <w:r w:rsidRPr="00C20EC5">
        <w:rPr>
          <w:rFonts w:ascii="Cambria" w:hAnsi="Cambria"/>
          <w:sz w:val="22"/>
          <w:szCs w:val="22"/>
        </w:rPr>
        <w:t xml:space="preserve"> </w:t>
      </w:r>
      <w:r w:rsidR="00EE37CE" w:rsidRPr="00C20EC5">
        <w:rPr>
          <w:rFonts w:ascii="Cambria" w:hAnsi="Cambria"/>
          <w:sz w:val="22"/>
          <w:szCs w:val="22"/>
        </w:rPr>
        <w:t>It may be considered as a more fair arrangement since both social and basic pensions are financed from the general revenues.</w:t>
      </w:r>
    </w:p>
    <w:p w14:paraId="29C7706C" w14:textId="77777777" w:rsidR="006D25A7" w:rsidRPr="00C20EC5" w:rsidRDefault="00A15F80" w:rsidP="003D6175">
      <w:pPr>
        <w:numPr>
          <w:ilvl w:val="1"/>
          <w:numId w:val="27"/>
        </w:numPr>
        <w:spacing w:after="120"/>
        <w:ind w:left="1080"/>
        <w:jc w:val="both"/>
        <w:rPr>
          <w:rFonts w:ascii="Cambria" w:hAnsi="Cambria"/>
          <w:sz w:val="22"/>
          <w:szCs w:val="22"/>
        </w:rPr>
      </w:pPr>
      <w:r w:rsidRPr="00C20EC5">
        <w:rPr>
          <w:rFonts w:ascii="Cambria" w:hAnsi="Cambria"/>
          <w:sz w:val="22"/>
          <w:szCs w:val="22"/>
        </w:rPr>
        <w:t xml:space="preserve">Also, among all reform scenarios, Reform 4 is most effective in reducing the cost of the pension system to the government as well as in the consolidated public pension expenditures. </w:t>
      </w:r>
      <w:r w:rsidR="00FB101A" w:rsidRPr="00C20EC5">
        <w:rPr>
          <w:rFonts w:ascii="Cambria" w:hAnsi="Cambria"/>
          <w:sz w:val="22"/>
          <w:szCs w:val="22"/>
        </w:rPr>
        <w:t xml:space="preserve">However, it does not address </w:t>
      </w:r>
      <w:r w:rsidRPr="00C20EC5">
        <w:rPr>
          <w:rFonts w:ascii="Cambria" w:hAnsi="Cambria"/>
          <w:sz w:val="22"/>
          <w:szCs w:val="22"/>
        </w:rPr>
        <w:t>the issue of benefit ade</w:t>
      </w:r>
      <w:r w:rsidR="00B22A8C" w:rsidRPr="00C20EC5">
        <w:rPr>
          <w:rFonts w:ascii="Cambria" w:hAnsi="Cambria"/>
          <w:sz w:val="22"/>
          <w:szCs w:val="22"/>
        </w:rPr>
        <w:t>quacy and, if considered, should be combined with some parametric reforms similar to Reform 3.</w:t>
      </w:r>
    </w:p>
    <w:p w14:paraId="5CA3BD51" w14:textId="0A71864F" w:rsidR="009F0D1D" w:rsidRDefault="00FB101A" w:rsidP="003D6175">
      <w:pPr>
        <w:numPr>
          <w:ilvl w:val="1"/>
          <w:numId w:val="27"/>
        </w:numPr>
        <w:spacing w:after="120"/>
        <w:ind w:left="1080"/>
        <w:jc w:val="both"/>
        <w:rPr>
          <w:rFonts w:ascii="Cambria" w:hAnsi="Cambria"/>
          <w:sz w:val="22"/>
          <w:szCs w:val="22"/>
        </w:rPr>
      </w:pPr>
      <w:r w:rsidRPr="00C20EC5">
        <w:rPr>
          <w:rFonts w:ascii="Cambria" w:hAnsi="Cambria"/>
          <w:sz w:val="22"/>
          <w:szCs w:val="22"/>
        </w:rPr>
        <w:t>The</w:t>
      </w:r>
      <w:r w:rsidR="00E55E14" w:rsidRPr="00C20EC5">
        <w:rPr>
          <w:rFonts w:ascii="Cambria" w:hAnsi="Cambria"/>
          <w:sz w:val="22"/>
          <w:szCs w:val="22"/>
        </w:rPr>
        <w:t xml:space="preserve"> reform</w:t>
      </w:r>
      <w:r w:rsidR="004D46BB" w:rsidRPr="00C20EC5">
        <w:rPr>
          <w:rFonts w:ascii="Cambria" w:hAnsi="Cambria"/>
          <w:sz w:val="22"/>
          <w:szCs w:val="22"/>
        </w:rPr>
        <w:t xml:space="preserve"> scenarios proposed in this study are broad options which may be further fine-tuned. For example, in Reform 3 more radical measures can be introduced to reduce or even eliminate early retirement</w:t>
      </w:r>
      <w:r w:rsidR="00234F89" w:rsidRPr="003D6175">
        <w:footnoteReference w:id="18"/>
      </w:r>
      <w:r w:rsidR="004D46BB" w:rsidRPr="00C20EC5">
        <w:rPr>
          <w:rFonts w:ascii="Cambria" w:hAnsi="Cambria"/>
          <w:sz w:val="22"/>
          <w:szCs w:val="22"/>
        </w:rPr>
        <w:t xml:space="preserve"> which will further strengthen system finances and reduce expenditures; combining Reform 4 with some variation of  Reform 3 may help contain the cost of the system to the government while addressing the issue of benefits adequacy; different variants of </w:t>
      </w:r>
      <w:proofErr w:type="spellStart"/>
      <w:r w:rsidR="004D46BB" w:rsidRPr="00C20EC5">
        <w:rPr>
          <w:rFonts w:ascii="Cambria" w:hAnsi="Cambria"/>
          <w:sz w:val="22"/>
          <w:szCs w:val="22"/>
        </w:rPr>
        <w:t>demogrant</w:t>
      </w:r>
      <w:proofErr w:type="spellEnd"/>
      <w:r w:rsidR="004D46BB" w:rsidRPr="00C20EC5">
        <w:rPr>
          <w:rFonts w:ascii="Cambria" w:hAnsi="Cambria"/>
          <w:sz w:val="22"/>
          <w:szCs w:val="22"/>
        </w:rPr>
        <w:t xml:space="preserve"> indexation policy may be considered as well as an option of some reductions in the </w:t>
      </w:r>
      <w:proofErr w:type="spellStart"/>
      <w:r w:rsidR="004D46BB" w:rsidRPr="00C20EC5">
        <w:rPr>
          <w:rFonts w:ascii="Cambria" w:hAnsi="Cambria"/>
          <w:sz w:val="22"/>
          <w:szCs w:val="22"/>
        </w:rPr>
        <w:t>demogrant</w:t>
      </w:r>
      <w:proofErr w:type="spellEnd"/>
      <w:r w:rsidR="004D46BB" w:rsidRPr="00C20EC5">
        <w:rPr>
          <w:rFonts w:ascii="Cambria" w:hAnsi="Cambria"/>
          <w:sz w:val="22"/>
          <w:szCs w:val="22"/>
        </w:rPr>
        <w:t xml:space="preserve"> amount for those who receive regular pensions.</w:t>
      </w:r>
    </w:p>
    <w:p w14:paraId="2C98E0C5" w14:textId="77777777" w:rsidR="00C31BC2" w:rsidRDefault="00C31BC2" w:rsidP="003D6175">
      <w:pPr>
        <w:numPr>
          <w:ilvl w:val="1"/>
          <w:numId w:val="27"/>
        </w:numPr>
        <w:spacing w:after="240"/>
        <w:ind w:left="1080"/>
        <w:jc w:val="both"/>
        <w:rPr>
          <w:rFonts w:ascii="Cambria" w:hAnsi="Cambria"/>
          <w:sz w:val="22"/>
          <w:szCs w:val="22"/>
        </w:rPr>
      </w:pPr>
      <w:r w:rsidRPr="00C20EC5">
        <w:rPr>
          <w:rFonts w:ascii="Cambria" w:hAnsi="Cambria"/>
          <w:sz w:val="22"/>
          <w:szCs w:val="22"/>
        </w:rPr>
        <w:t>A fundamentally different approach implemented in some countries facing similar issues would be moving to a noncontributory system focusing on basic income support for the elderly and leaving room for voluntary arrangements.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65247" w14:paraId="4ED0A256" w14:textId="77777777" w:rsidTr="00165247">
        <w:tc>
          <w:tcPr>
            <w:tcW w:w="9576" w:type="dxa"/>
          </w:tcPr>
          <w:p w14:paraId="156986D5" w14:textId="77777777" w:rsidR="00165247" w:rsidRDefault="00165247" w:rsidP="00393FB1">
            <w:pPr>
              <w:pStyle w:val="Caption"/>
            </w:pPr>
            <w:bookmarkStart w:id="33" w:name="_Toc378163813"/>
            <w:r>
              <w:t xml:space="preserve">Table </w:t>
            </w:r>
            <w:r w:rsidR="00C646A3">
              <w:fldChar w:fldCharType="begin"/>
            </w:r>
            <w:r w:rsidR="00C646A3">
              <w:instrText xml:space="preserve"> SEQ Table \* ARABIC </w:instrText>
            </w:r>
            <w:r w:rsidR="00C646A3">
              <w:fldChar w:fldCharType="separate"/>
            </w:r>
            <w:r w:rsidR="00C646A3">
              <w:rPr>
                <w:noProof/>
              </w:rPr>
              <w:t>5</w:t>
            </w:r>
            <w:r w:rsidR="00C646A3">
              <w:rPr>
                <w:noProof/>
              </w:rPr>
              <w:fldChar w:fldCharType="end"/>
            </w:r>
            <w:r>
              <w:t xml:space="preserve">. </w:t>
            </w:r>
            <w:r w:rsidRPr="00F84944">
              <w:t>Summary of Reform Results</w:t>
            </w:r>
            <w:bookmarkEnd w:id="33"/>
          </w:p>
          <w:p w14:paraId="10A2C0F1" w14:textId="28F4D881" w:rsidR="00393FB1" w:rsidRPr="00393FB1" w:rsidRDefault="00393FB1" w:rsidP="00A32033">
            <w:pPr>
              <w:spacing w:after="40"/>
              <w:jc w:val="center"/>
              <w:rPr>
                <w:rFonts w:ascii="Cambria" w:hAnsi="Cambria"/>
              </w:rPr>
            </w:pPr>
            <w:r w:rsidRPr="00A32033">
              <w:rPr>
                <w:rFonts w:ascii="Cambria" w:hAnsi="Cambria"/>
              </w:rPr>
              <w:t>(</w:t>
            </w:r>
            <w:r w:rsidR="00A32033" w:rsidRPr="00A32033">
              <w:rPr>
                <w:rFonts w:ascii="Cambria" w:hAnsi="Cambria"/>
              </w:rPr>
              <w:t>In percent, unless otherwise noted</w:t>
            </w:r>
            <w:r w:rsidRPr="00A32033">
              <w:rPr>
                <w:rFonts w:ascii="Cambria" w:hAnsi="Cambria"/>
              </w:rPr>
              <w:t>)</w:t>
            </w:r>
          </w:p>
        </w:tc>
      </w:tr>
      <w:tr w:rsidR="00165247" w14:paraId="0B6B231E" w14:textId="77777777" w:rsidTr="00165247">
        <w:tc>
          <w:tcPr>
            <w:tcW w:w="9576" w:type="dxa"/>
          </w:tcPr>
          <w:p w14:paraId="34F08D57" w14:textId="77777777" w:rsidR="00165247" w:rsidRDefault="005C17FB" w:rsidP="00946C9F">
            <w:pPr>
              <w:pStyle w:val="Caption"/>
              <w:spacing w:after="240"/>
            </w:pPr>
            <w:r>
              <w:rPr>
                <w:noProof/>
              </w:rPr>
              <w:drawing>
                <wp:inline distT="0" distB="0" distL="0" distR="0" wp14:anchorId="69751080" wp14:editId="4B06F45D">
                  <wp:extent cx="59436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tc>
      </w:tr>
    </w:tbl>
    <w:p w14:paraId="6F754F79" w14:textId="77777777" w:rsidR="00393FB1" w:rsidRDefault="00393FB1" w:rsidP="00393FB1">
      <w:pPr>
        <w:spacing w:before="240" w:after="240"/>
        <w:jc w:val="both"/>
        <w:rPr>
          <w:rFonts w:ascii="Cambria" w:hAnsi="Cambria"/>
          <w:sz w:val="22"/>
          <w:szCs w:val="22"/>
          <w:highlight w:val="lightGray"/>
        </w:rPr>
      </w:pPr>
    </w:p>
    <w:p w14:paraId="22F0A240" w14:textId="77777777" w:rsidR="00393FB1" w:rsidRDefault="00393FB1">
      <w:pPr>
        <w:spacing w:before="100" w:beforeAutospacing="1" w:after="100" w:afterAutospacing="1"/>
        <w:rPr>
          <w:rFonts w:ascii="Cambria" w:hAnsi="Cambria"/>
          <w:sz w:val="22"/>
          <w:szCs w:val="22"/>
          <w:highlight w:val="lightGray"/>
        </w:rPr>
      </w:pPr>
      <w:r>
        <w:rPr>
          <w:rFonts w:ascii="Cambria" w:hAnsi="Cambria"/>
          <w:sz w:val="22"/>
          <w:szCs w:val="22"/>
          <w:highlight w:val="lightGray"/>
        </w:rPr>
        <w:br w:type="page"/>
      </w:r>
    </w:p>
    <w:p w14:paraId="717993B7" w14:textId="0276CF05" w:rsidR="00E343B5" w:rsidRDefault="00E343B5" w:rsidP="003D6175">
      <w:pPr>
        <w:numPr>
          <w:ilvl w:val="0"/>
          <w:numId w:val="3"/>
        </w:numPr>
        <w:spacing w:before="240" w:after="240"/>
        <w:jc w:val="both"/>
        <w:rPr>
          <w:rFonts w:ascii="Cambria" w:hAnsi="Cambria"/>
          <w:sz w:val="22"/>
          <w:szCs w:val="22"/>
        </w:rPr>
      </w:pPr>
      <w:r>
        <w:rPr>
          <w:rFonts w:ascii="Cambria" w:hAnsi="Cambria"/>
          <w:sz w:val="22"/>
          <w:szCs w:val="22"/>
        </w:rPr>
        <w:lastRenderedPageBreak/>
        <w:t>With respect to achieving the main reform objectives the reform scenarios compare as follows.</w:t>
      </w:r>
    </w:p>
    <w:p w14:paraId="33917FFE" w14:textId="50313B43" w:rsidR="00393FB1" w:rsidRPr="00A32033" w:rsidRDefault="00946C9F" w:rsidP="00A32033">
      <w:pPr>
        <w:pStyle w:val="Caption"/>
        <w:keepNext/>
      </w:pPr>
      <w:bookmarkStart w:id="34" w:name="_Toc378163814"/>
      <w:r>
        <w:t xml:space="preserve">Table </w:t>
      </w:r>
      <w:r w:rsidR="00C646A3">
        <w:fldChar w:fldCharType="begin"/>
      </w:r>
      <w:r w:rsidR="00C646A3">
        <w:instrText xml:space="preserve"> SEQ Table \* ARABIC </w:instrText>
      </w:r>
      <w:r w:rsidR="00C646A3">
        <w:fldChar w:fldCharType="separate"/>
      </w:r>
      <w:r w:rsidR="00C646A3">
        <w:rPr>
          <w:noProof/>
        </w:rPr>
        <w:t>6</w:t>
      </w:r>
      <w:r w:rsidR="00C646A3">
        <w:rPr>
          <w:noProof/>
        </w:rPr>
        <w:fldChar w:fldCharType="end"/>
      </w:r>
      <w:r>
        <w:t>: Achiev</w:t>
      </w:r>
      <w:r w:rsidR="00D0740C">
        <w:t>ement of</w:t>
      </w:r>
      <w:r>
        <w:t xml:space="preserve"> the reform objectives under various scenarios</w:t>
      </w:r>
      <w:bookmarkEnd w:id="34"/>
    </w:p>
    <w:tbl>
      <w:tblPr>
        <w:tblStyle w:val="TableGrid"/>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250"/>
        <w:gridCol w:w="1915"/>
        <w:gridCol w:w="1915"/>
        <w:gridCol w:w="1916"/>
      </w:tblGrid>
      <w:tr w:rsidR="00E343B5" w:rsidRPr="00A60B08" w14:paraId="53079877" w14:textId="77777777" w:rsidTr="00A60B08">
        <w:tc>
          <w:tcPr>
            <w:tcW w:w="1728" w:type="dxa"/>
            <w:tcBorders>
              <w:top w:val="single" w:sz="4" w:space="0" w:color="auto"/>
              <w:bottom w:val="single" w:sz="4" w:space="0" w:color="auto"/>
              <w:right w:val="single" w:sz="4" w:space="0" w:color="auto"/>
            </w:tcBorders>
          </w:tcPr>
          <w:p w14:paraId="72FF504D" w14:textId="1C827FFD" w:rsidR="00E343B5" w:rsidRPr="00A60B08" w:rsidRDefault="00E343B5" w:rsidP="00A60B08">
            <w:pPr>
              <w:jc w:val="center"/>
              <w:rPr>
                <w:rFonts w:ascii="Cambria" w:hAnsi="Cambria"/>
                <w:b/>
              </w:rPr>
            </w:pPr>
            <w:r w:rsidRPr="00A60B08">
              <w:rPr>
                <w:rFonts w:ascii="Cambria" w:hAnsi="Cambria"/>
                <w:b/>
              </w:rPr>
              <w:t>Reform scenario</w:t>
            </w:r>
          </w:p>
        </w:tc>
        <w:tc>
          <w:tcPr>
            <w:tcW w:w="2250" w:type="dxa"/>
            <w:tcBorders>
              <w:top w:val="single" w:sz="4" w:space="0" w:color="auto"/>
              <w:left w:val="single" w:sz="4" w:space="0" w:color="auto"/>
              <w:bottom w:val="single" w:sz="4" w:space="0" w:color="auto"/>
            </w:tcBorders>
          </w:tcPr>
          <w:p w14:paraId="7F6D62F4" w14:textId="77777777" w:rsidR="00995E7C" w:rsidRPr="00A60B08" w:rsidRDefault="00E343B5" w:rsidP="00A60B08">
            <w:pPr>
              <w:jc w:val="center"/>
              <w:rPr>
                <w:rFonts w:ascii="Cambria" w:hAnsi="Cambria"/>
                <w:b/>
              </w:rPr>
            </w:pPr>
            <w:r w:rsidRPr="00A60B08">
              <w:rPr>
                <w:rFonts w:ascii="Cambria" w:hAnsi="Cambria"/>
                <w:b/>
              </w:rPr>
              <w:t>Adequacy of benefits</w:t>
            </w:r>
          </w:p>
          <w:p w14:paraId="47B8826C" w14:textId="227A19B0" w:rsidR="00995E7C" w:rsidRPr="00A60B08" w:rsidRDefault="00995E7C" w:rsidP="00A60B08">
            <w:pPr>
              <w:jc w:val="center"/>
              <w:rPr>
                <w:rFonts w:ascii="Cambria" w:hAnsi="Cambria"/>
                <w:b/>
              </w:rPr>
            </w:pPr>
            <w:r w:rsidRPr="00A60B08">
              <w:rPr>
                <w:rFonts w:ascii="Cambria" w:hAnsi="Cambria"/>
                <w:b/>
              </w:rPr>
              <w:t>(average pension)</w:t>
            </w:r>
          </w:p>
        </w:tc>
        <w:tc>
          <w:tcPr>
            <w:tcW w:w="1915" w:type="dxa"/>
            <w:tcBorders>
              <w:top w:val="single" w:sz="4" w:space="0" w:color="auto"/>
              <w:bottom w:val="single" w:sz="4" w:space="0" w:color="auto"/>
            </w:tcBorders>
          </w:tcPr>
          <w:p w14:paraId="0C704B05" w14:textId="7C89E039" w:rsidR="00E343B5" w:rsidRPr="00A60B08" w:rsidRDefault="00E343B5" w:rsidP="00A60B08">
            <w:pPr>
              <w:jc w:val="center"/>
              <w:rPr>
                <w:rFonts w:ascii="Cambria" w:hAnsi="Cambria"/>
                <w:b/>
              </w:rPr>
            </w:pPr>
            <w:r w:rsidRPr="00A60B08">
              <w:rPr>
                <w:rFonts w:ascii="Cambria" w:hAnsi="Cambria"/>
                <w:b/>
              </w:rPr>
              <w:t>Incentives to contribute</w:t>
            </w:r>
          </w:p>
        </w:tc>
        <w:tc>
          <w:tcPr>
            <w:tcW w:w="1915" w:type="dxa"/>
            <w:tcBorders>
              <w:top w:val="single" w:sz="4" w:space="0" w:color="auto"/>
              <w:bottom w:val="single" w:sz="4" w:space="0" w:color="auto"/>
            </w:tcBorders>
          </w:tcPr>
          <w:p w14:paraId="4AFAB3DE" w14:textId="1CDD3F35" w:rsidR="00E343B5" w:rsidRPr="00A60B08" w:rsidRDefault="00A60B08" w:rsidP="00A60B08">
            <w:pPr>
              <w:jc w:val="center"/>
              <w:rPr>
                <w:rFonts w:ascii="Cambria" w:hAnsi="Cambria"/>
                <w:b/>
              </w:rPr>
            </w:pPr>
            <w:r>
              <w:rPr>
                <w:rFonts w:ascii="Cambria" w:hAnsi="Cambria"/>
                <w:b/>
              </w:rPr>
              <w:t>S</w:t>
            </w:r>
            <w:r w:rsidR="00E343B5" w:rsidRPr="00A60B08">
              <w:rPr>
                <w:rFonts w:ascii="Cambria" w:hAnsi="Cambria"/>
                <w:b/>
              </w:rPr>
              <w:t>ustainability of Social Fund</w:t>
            </w:r>
          </w:p>
        </w:tc>
        <w:tc>
          <w:tcPr>
            <w:tcW w:w="1916" w:type="dxa"/>
            <w:tcBorders>
              <w:top w:val="single" w:sz="4" w:space="0" w:color="auto"/>
              <w:bottom w:val="single" w:sz="4" w:space="0" w:color="auto"/>
            </w:tcBorders>
          </w:tcPr>
          <w:p w14:paraId="0ED31635" w14:textId="22433903" w:rsidR="00E343B5" w:rsidRPr="00A60B08" w:rsidRDefault="00E343B5" w:rsidP="00A60B08">
            <w:pPr>
              <w:jc w:val="center"/>
              <w:rPr>
                <w:rFonts w:ascii="Cambria" w:hAnsi="Cambria"/>
                <w:b/>
              </w:rPr>
            </w:pPr>
            <w:r w:rsidRPr="00A60B08">
              <w:rPr>
                <w:rFonts w:ascii="Cambria" w:hAnsi="Cambria"/>
                <w:b/>
              </w:rPr>
              <w:t>Cost to the government</w:t>
            </w:r>
          </w:p>
        </w:tc>
      </w:tr>
      <w:tr w:rsidR="00E343B5" w:rsidRPr="00A60B08" w14:paraId="2CD60759" w14:textId="77777777" w:rsidTr="00A60B08">
        <w:tc>
          <w:tcPr>
            <w:tcW w:w="1728" w:type="dxa"/>
            <w:tcBorders>
              <w:top w:val="single" w:sz="4" w:space="0" w:color="auto"/>
              <w:right w:val="single" w:sz="4" w:space="0" w:color="auto"/>
            </w:tcBorders>
          </w:tcPr>
          <w:p w14:paraId="6570E352" w14:textId="4F3A4990" w:rsidR="00E343B5" w:rsidRPr="00A60B08" w:rsidRDefault="00E343B5" w:rsidP="004F666F">
            <w:pPr>
              <w:jc w:val="both"/>
              <w:rPr>
                <w:rFonts w:ascii="Cambria" w:hAnsi="Cambria"/>
              </w:rPr>
            </w:pPr>
            <w:r w:rsidRPr="00A60B08">
              <w:rPr>
                <w:rFonts w:ascii="Cambria" w:hAnsi="Cambria"/>
              </w:rPr>
              <w:t>Reform 1</w:t>
            </w:r>
          </w:p>
        </w:tc>
        <w:tc>
          <w:tcPr>
            <w:tcW w:w="2250" w:type="dxa"/>
            <w:tcBorders>
              <w:top w:val="single" w:sz="4" w:space="0" w:color="auto"/>
              <w:left w:val="single" w:sz="4" w:space="0" w:color="auto"/>
            </w:tcBorders>
          </w:tcPr>
          <w:p w14:paraId="36CDB5AE" w14:textId="1AA7943C" w:rsidR="00E343B5" w:rsidRPr="00A60B08" w:rsidRDefault="004974AD" w:rsidP="004F666F">
            <w:pPr>
              <w:jc w:val="center"/>
              <w:rPr>
                <w:rFonts w:ascii="Cambria" w:hAnsi="Cambria"/>
              </w:rPr>
            </w:pPr>
            <w:r w:rsidRPr="00A60B08">
              <w:rPr>
                <w:rFonts w:ascii="Cambria" w:hAnsi="Cambria"/>
              </w:rPr>
              <w:t>increase to 35-36%</w:t>
            </w:r>
          </w:p>
        </w:tc>
        <w:tc>
          <w:tcPr>
            <w:tcW w:w="1915" w:type="dxa"/>
            <w:tcBorders>
              <w:top w:val="single" w:sz="4" w:space="0" w:color="auto"/>
            </w:tcBorders>
          </w:tcPr>
          <w:p w14:paraId="0CBF957A" w14:textId="16D0E6D2" w:rsidR="00E343B5" w:rsidRPr="00A60B08" w:rsidRDefault="001C244A" w:rsidP="004F666F">
            <w:pPr>
              <w:jc w:val="center"/>
              <w:rPr>
                <w:rFonts w:ascii="Cambria" w:hAnsi="Cambria"/>
              </w:rPr>
            </w:pPr>
            <w:r w:rsidRPr="00A60B08">
              <w:rPr>
                <w:rFonts w:ascii="Cambria" w:hAnsi="Cambria"/>
              </w:rPr>
              <w:t>improve</w:t>
            </w:r>
          </w:p>
        </w:tc>
        <w:tc>
          <w:tcPr>
            <w:tcW w:w="1915" w:type="dxa"/>
            <w:tcBorders>
              <w:top w:val="single" w:sz="4" w:space="0" w:color="auto"/>
            </w:tcBorders>
          </w:tcPr>
          <w:p w14:paraId="2CD624D1" w14:textId="75541021" w:rsidR="00E343B5" w:rsidRPr="00A60B08" w:rsidRDefault="001C244A" w:rsidP="004F666F">
            <w:pPr>
              <w:jc w:val="center"/>
              <w:rPr>
                <w:rFonts w:ascii="Cambria" w:hAnsi="Cambria"/>
              </w:rPr>
            </w:pPr>
            <w:r w:rsidRPr="00A60B08">
              <w:rPr>
                <w:rFonts w:ascii="Cambria" w:hAnsi="Cambria"/>
              </w:rPr>
              <w:t>unsustainable</w:t>
            </w:r>
          </w:p>
        </w:tc>
        <w:tc>
          <w:tcPr>
            <w:tcW w:w="1916" w:type="dxa"/>
            <w:tcBorders>
              <w:top w:val="single" w:sz="4" w:space="0" w:color="auto"/>
            </w:tcBorders>
          </w:tcPr>
          <w:p w14:paraId="2E4F21F2" w14:textId="4FAB730C" w:rsidR="00E343B5" w:rsidRPr="00A60B08" w:rsidRDefault="001C244A" w:rsidP="004F666F">
            <w:pPr>
              <w:jc w:val="center"/>
              <w:rPr>
                <w:rFonts w:ascii="Cambria" w:hAnsi="Cambria"/>
              </w:rPr>
            </w:pPr>
            <w:r w:rsidRPr="00A60B08">
              <w:rPr>
                <w:rFonts w:ascii="Cambria" w:hAnsi="Cambria"/>
              </w:rPr>
              <w:t>increase by up to 2.4% of GDP</w:t>
            </w:r>
          </w:p>
        </w:tc>
      </w:tr>
      <w:tr w:rsidR="00E343B5" w:rsidRPr="00A60B08" w14:paraId="2EBF0D2A" w14:textId="77777777" w:rsidTr="00A60B08">
        <w:tc>
          <w:tcPr>
            <w:tcW w:w="1728" w:type="dxa"/>
            <w:tcBorders>
              <w:right w:val="single" w:sz="4" w:space="0" w:color="auto"/>
            </w:tcBorders>
          </w:tcPr>
          <w:p w14:paraId="29E4B148" w14:textId="585E5753" w:rsidR="00E343B5" w:rsidRPr="00A60B08" w:rsidRDefault="00E343B5" w:rsidP="004F666F">
            <w:pPr>
              <w:jc w:val="both"/>
              <w:rPr>
                <w:rFonts w:ascii="Cambria" w:hAnsi="Cambria"/>
              </w:rPr>
            </w:pPr>
            <w:r w:rsidRPr="00A60B08">
              <w:rPr>
                <w:rFonts w:ascii="Cambria" w:hAnsi="Cambria"/>
              </w:rPr>
              <w:t>Reform 2</w:t>
            </w:r>
          </w:p>
        </w:tc>
        <w:tc>
          <w:tcPr>
            <w:tcW w:w="2250" w:type="dxa"/>
            <w:tcBorders>
              <w:left w:val="single" w:sz="4" w:space="0" w:color="auto"/>
            </w:tcBorders>
          </w:tcPr>
          <w:p w14:paraId="4571E9BA" w14:textId="7E167F20" w:rsidR="00E343B5" w:rsidRPr="00A60B08" w:rsidRDefault="004974AD" w:rsidP="004F666F">
            <w:pPr>
              <w:jc w:val="center"/>
              <w:rPr>
                <w:rFonts w:ascii="Cambria" w:hAnsi="Cambria"/>
              </w:rPr>
            </w:pPr>
            <w:r w:rsidRPr="00A60B08">
              <w:rPr>
                <w:rFonts w:ascii="Cambria" w:hAnsi="Cambria"/>
              </w:rPr>
              <w:t>increase to 30%</w:t>
            </w:r>
          </w:p>
        </w:tc>
        <w:tc>
          <w:tcPr>
            <w:tcW w:w="1915" w:type="dxa"/>
          </w:tcPr>
          <w:p w14:paraId="3E2064DB" w14:textId="483AE571" w:rsidR="00E343B5" w:rsidRPr="00A60B08" w:rsidRDefault="001C244A" w:rsidP="004F666F">
            <w:pPr>
              <w:jc w:val="center"/>
              <w:rPr>
                <w:rFonts w:ascii="Cambria" w:hAnsi="Cambria"/>
              </w:rPr>
            </w:pPr>
            <w:r w:rsidRPr="00A60B08">
              <w:rPr>
                <w:rFonts w:ascii="Cambria" w:hAnsi="Cambria"/>
              </w:rPr>
              <w:t>improve</w:t>
            </w:r>
          </w:p>
        </w:tc>
        <w:tc>
          <w:tcPr>
            <w:tcW w:w="1915" w:type="dxa"/>
          </w:tcPr>
          <w:p w14:paraId="7BC9E8B1" w14:textId="651AC62D" w:rsidR="00E343B5" w:rsidRPr="00A60B08" w:rsidRDefault="001C244A" w:rsidP="004F666F">
            <w:pPr>
              <w:jc w:val="center"/>
              <w:rPr>
                <w:rFonts w:ascii="Cambria" w:hAnsi="Cambria"/>
              </w:rPr>
            </w:pPr>
            <w:r w:rsidRPr="00A60B08">
              <w:rPr>
                <w:rFonts w:ascii="Cambria" w:hAnsi="Cambria"/>
              </w:rPr>
              <w:t>sustainable</w:t>
            </w:r>
          </w:p>
        </w:tc>
        <w:tc>
          <w:tcPr>
            <w:tcW w:w="1916" w:type="dxa"/>
          </w:tcPr>
          <w:p w14:paraId="0BF0C4EA" w14:textId="7A00A37D" w:rsidR="00E343B5" w:rsidRPr="00A60B08" w:rsidRDefault="001C244A" w:rsidP="004F666F">
            <w:pPr>
              <w:jc w:val="center"/>
              <w:rPr>
                <w:rFonts w:ascii="Cambria" w:hAnsi="Cambria"/>
              </w:rPr>
            </w:pPr>
            <w:r w:rsidRPr="00A60B08">
              <w:rPr>
                <w:rFonts w:ascii="Cambria" w:hAnsi="Cambria"/>
              </w:rPr>
              <w:t>same as in no-reform scenario</w:t>
            </w:r>
          </w:p>
        </w:tc>
      </w:tr>
      <w:tr w:rsidR="00E343B5" w:rsidRPr="00A60B08" w14:paraId="04758731" w14:textId="77777777" w:rsidTr="00A60B08">
        <w:tc>
          <w:tcPr>
            <w:tcW w:w="1728" w:type="dxa"/>
            <w:tcBorders>
              <w:right w:val="single" w:sz="4" w:space="0" w:color="auto"/>
            </w:tcBorders>
          </w:tcPr>
          <w:p w14:paraId="7268DB06" w14:textId="5E37DB68" w:rsidR="00E343B5" w:rsidRPr="00A60B08" w:rsidRDefault="00E343B5" w:rsidP="004F666F">
            <w:pPr>
              <w:jc w:val="both"/>
              <w:rPr>
                <w:rFonts w:ascii="Cambria" w:hAnsi="Cambria"/>
              </w:rPr>
            </w:pPr>
            <w:r w:rsidRPr="00A60B08">
              <w:rPr>
                <w:rFonts w:ascii="Cambria" w:hAnsi="Cambria"/>
              </w:rPr>
              <w:t>Reform 3</w:t>
            </w:r>
          </w:p>
        </w:tc>
        <w:tc>
          <w:tcPr>
            <w:tcW w:w="2250" w:type="dxa"/>
            <w:tcBorders>
              <w:left w:val="single" w:sz="4" w:space="0" w:color="auto"/>
            </w:tcBorders>
          </w:tcPr>
          <w:p w14:paraId="3BA75C0F" w14:textId="6B302430" w:rsidR="00E343B5" w:rsidRPr="00A60B08" w:rsidRDefault="004974AD" w:rsidP="004F666F">
            <w:pPr>
              <w:jc w:val="center"/>
              <w:rPr>
                <w:rFonts w:ascii="Cambria" w:hAnsi="Cambria"/>
              </w:rPr>
            </w:pPr>
            <w:r w:rsidRPr="00A60B08">
              <w:rPr>
                <w:rFonts w:ascii="Cambria" w:hAnsi="Cambria"/>
              </w:rPr>
              <w:t>increase to 37%</w:t>
            </w:r>
          </w:p>
        </w:tc>
        <w:tc>
          <w:tcPr>
            <w:tcW w:w="1915" w:type="dxa"/>
          </w:tcPr>
          <w:p w14:paraId="1E836E10" w14:textId="2609E037" w:rsidR="00E343B5" w:rsidRPr="00A60B08" w:rsidRDefault="001C244A" w:rsidP="004F666F">
            <w:pPr>
              <w:jc w:val="center"/>
              <w:rPr>
                <w:rFonts w:ascii="Cambria" w:hAnsi="Cambria"/>
              </w:rPr>
            </w:pPr>
            <w:r w:rsidRPr="00A60B08">
              <w:rPr>
                <w:rFonts w:ascii="Cambria" w:hAnsi="Cambria"/>
              </w:rPr>
              <w:t>improve</w:t>
            </w:r>
          </w:p>
        </w:tc>
        <w:tc>
          <w:tcPr>
            <w:tcW w:w="1915" w:type="dxa"/>
          </w:tcPr>
          <w:p w14:paraId="332221A6" w14:textId="13D41CA0" w:rsidR="00E343B5" w:rsidRPr="00A60B08" w:rsidRDefault="001C244A" w:rsidP="004F666F">
            <w:pPr>
              <w:jc w:val="center"/>
              <w:rPr>
                <w:rFonts w:ascii="Cambria" w:hAnsi="Cambria"/>
              </w:rPr>
            </w:pPr>
            <w:r w:rsidRPr="00A60B08">
              <w:rPr>
                <w:rFonts w:ascii="Cambria" w:hAnsi="Cambria"/>
              </w:rPr>
              <w:t>sustainable</w:t>
            </w:r>
          </w:p>
        </w:tc>
        <w:tc>
          <w:tcPr>
            <w:tcW w:w="1916" w:type="dxa"/>
          </w:tcPr>
          <w:p w14:paraId="3F719BDF" w14:textId="288A9788" w:rsidR="00E343B5" w:rsidRPr="00A60B08" w:rsidRDefault="001C244A" w:rsidP="004F666F">
            <w:pPr>
              <w:jc w:val="center"/>
              <w:rPr>
                <w:rFonts w:ascii="Cambria" w:hAnsi="Cambria"/>
              </w:rPr>
            </w:pPr>
            <w:r w:rsidRPr="00A60B08">
              <w:rPr>
                <w:rFonts w:ascii="Cambria" w:hAnsi="Cambria"/>
              </w:rPr>
              <w:t>decrease by up to 1.2% of GDP</w:t>
            </w:r>
          </w:p>
        </w:tc>
      </w:tr>
      <w:tr w:rsidR="00E343B5" w:rsidRPr="00A60B08" w14:paraId="6AFEBE6E" w14:textId="77777777" w:rsidTr="00A60B08">
        <w:tc>
          <w:tcPr>
            <w:tcW w:w="1728" w:type="dxa"/>
            <w:tcBorders>
              <w:right w:val="single" w:sz="4" w:space="0" w:color="auto"/>
            </w:tcBorders>
          </w:tcPr>
          <w:p w14:paraId="2BD019BA" w14:textId="5B8376CD" w:rsidR="00E343B5" w:rsidRPr="00A60B08" w:rsidRDefault="00E343B5" w:rsidP="004F666F">
            <w:pPr>
              <w:jc w:val="both"/>
              <w:rPr>
                <w:rFonts w:ascii="Cambria" w:hAnsi="Cambria"/>
              </w:rPr>
            </w:pPr>
            <w:r w:rsidRPr="00A60B08">
              <w:rPr>
                <w:rFonts w:ascii="Cambria" w:hAnsi="Cambria"/>
              </w:rPr>
              <w:t>Reform 4a</w:t>
            </w:r>
          </w:p>
        </w:tc>
        <w:tc>
          <w:tcPr>
            <w:tcW w:w="2250" w:type="dxa"/>
            <w:tcBorders>
              <w:left w:val="single" w:sz="4" w:space="0" w:color="auto"/>
            </w:tcBorders>
          </w:tcPr>
          <w:p w14:paraId="6977AD83" w14:textId="7CF0908A" w:rsidR="00E343B5" w:rsidRPr="00A60B08" w:rsidRDefault="004974AD" w:rsidP="004F666F">
            <w:pPr>
              <w:jc w:val="center"/>
              <w:rPr>
                <w:rFonts w:ascii="Cambria" w:hAnsi="Cambria"/>
              </w:rPr>
            </w:pPr>
            <w:r w:rsidRPr="00A60B08">
              <w:rPr>
                <w:rFonts w:ascii="Cambria" w:hAnsi="Cambria"/>
              </w:rPr>
              <w:t>decrease to 20-21%</w:t>
            </w:r>
            <w:r w:rsidR="005A196C" w:rsidRPr="00A60B08">
              <w:rPr>
                <w:rFonts w:ascii="Cambria" w:hAnsi="Cambria"/>
              </w:rPr>
              <w:t xml:space="preserve">, </w:t>
            </w:r>
            <w:r w:rsidR="006C3538" w:rsidRPr="00A60B08">
              <w:rPr>
                <w:rFonts w:ascii="Cambria" w:hAnsi="Cambria"/>
              </w:rPr>
              <w:t xml:space="preserve">but </w:t>
            </w:r>
            <w:r w:rsidR="005A196C" w:rsidRPr="00A60B08">
              <w:rPr>
                <w:rFonts w:ascii="Cambria" w:hAnsi="Cambria"/>
              </w:rPr>
              <w:t>higher benefits for the uncovered</w:t>
            </w:r>
          </w:p>
        </w:tc>
        <w:tc>
          <w:tcPr>
            <w:tcW w:w="1915" w:type="dxa"/>
          </w:tcPr>
          <w:p w14:paraId="2F487C97" w14:textId="4DB2D6E8" w:rsidR="00E343B5" w:rsidRPr="00A60B08" w:rsidRDefault="001C244A" w:rsidP="004F666F">
            <w:pPr>
              <w:jc w:val="center"/>
              <w:rPr>
                <w:rFonts w:ascii="Cambria" w:hAnsi="Cambria"/>
              </w:rPr>
            </w:pPr>
            <w:r w:rsidRPr="00A60B08">
              <w:rPr>
                <w:rFonts w:ascii="Cambria" w:hAnsi="Cambria"/>
              </w:rPr>
              <w:t>same as in no-reform scenario</w:t>
            </w:r>
          </w:p>
        </w:tc>
        <w:tc>
          <w:tcPr>
            <w:tcW w:w="1915" w:type="dxa"/>
          </w:tcPr>
          <w:p w14:paraId="0AE08C51" w14:textId="2182B7AE" w:rsidR="00E343B5" w:rsidRPr="00A60B08" w:rsidRDefault="001C244A" w:rsidP="004F666F">
            <w:pPr>
              <w:jc w:val="center"/>
              <w:rPr>
                <w:rFonts w:ascii="Cambria" w:hAnsi="Cambria"/>
              </w:rPr>
            </w:pPr>
            <w:r w:rsidRPr="00A60B08">
              <w:rPr>
                <w:rFonts w:ascii="Cambria" w:hAnsi="Cambria"/>
              </w:rPr>
              <w:t>sustainable</w:t>
            </w:r>
          </w:p>
        </w:tc>
        <w:tc>
          <w:tcPr>
            <w:tcW w:w="1916" w:type="dxa"/>
          </w:tcPr>
          <w:p w14:paraId="6373C2A2" w14:textId="25681AB7" w:rsidR="00E343B5" w:rsidRPr="00A60B08" w:rsidRDefault="001C244A" w:rsidP="004F666F">
            <w:pPr>
              <w:jc w:val="center"/>
              <w:rPr>
                <w:rFonts w:ascii="Cambria" w:hAnsi="Cambria"/>
              </w:rPr>
            </w:pPr>
            <w:r w:rsidRPr="00A60B08">
              <w:rPr>
                <w:rFonts w:ascii="Cambria" w:hAnsi="Cambria"/>
              </w:rPr>
              <w:t>decrease by up to 2.0% of GDP</w:t>
            </w:r>
          </w:p>
        </w:tc>
      </w:tr>
      <w:tr w:rsidR="00E343B5" w:rsidRPr="00A60B08" w14:paraId="429FD493" w14:textId="77777777" w:rsidTr="00A60B08">
        <w:tc>
          <w:tcPr>
            <w:tcW w:w="1728" w:type="dxa"/>
            <w:tcBorders>
              <w:bottom w:val="single" w:sz="4" w:space="0" w:color="auto"/>
              <w:right w:val="single" w:sz="4" w:space="0" w:color="auto"/>
            </w:tcBorders>
          </w:tcPr>
          <w:p w14:paraId="49DC6C49" w14:textId="209ED862" w:rsidR="00E343B5" w:rsidRPr="00A60B08" w:rsidRDefault="00E343B5" w:rsidP="004F666F">
            <w:pPr>
              <w:jc w:val="both"/>
              <w:rPr>
                <w:rFonts w:ascii="Cambria" w:hAnsi="Cambria"/>
              </w:rPr>
            </w:pPr>
            <w:r w:rsidRPr="00A60B08">
              <w:rPr>
                <w:rFonts w:ascii="Cambria" w:hAnsi="Cambria"/>
              </w:rPr>
              <w:t>Reform 4b</w:t>
            </w:r>
          </w:p>
        </w:tc>
        <w:tc>
          <w:tcPr>
            <w:tcW w:w="2250" w:type="dxa"/>
            <w:tcBorders>
              <w:left w:val="single" w:sz="4" w:space="0" w:color="auto"/>
              <w:bottom w:val="single" w:sz="4" w:space="0" w:color="auto"/>
            </w:tcBorders>
          </w:tcPr>
          <w:p w14:paraId="2832FCC5" w14:textId="0A901B5E" w:rsidR="00E343B5" w:rsidRPr="00A60B08" w:rsidRDefault="004974AD" w:rsidP="004F666F">
            <w:pPr>
              <w:jc w:val="center"/>
              <w:rPr>
                <w:rFonts w:ascii="Cambria" w:hAnsi="Cambria"/>
              </w:rPr>
            </w:pPr>
            <w:r w:rsidRPr="00A60B08">
              <w:rPr>
                <w:rFonts w:ascii="Cambria" w:hAnsi="Cambria"/>
              </w:rPr>
              <w:t>decrease to 13-14%</w:t>
            </w:r>
          </w:p>
        </w:tc>
        <w:tc>
          <w:tcPr>
            <w:tcW w:w="1915" w:type="dxa"/>
            <w:tcBorders>
              <w:bottom w:val="single" w:sz="4" w:space="0" w:color="auto"/>
            </w:tcBorders>
          </w:tcPr>
          <w:p w14:paraId="4717D9A6" w14:textId="6B2F978B" w:rsidR="00E343B5" w:rsidRPr="00A60B08" w:rsidRDefault="001C244A" w:rsidP="004F666F">
            <w:pPr>
              <w:jc w:val="center"/>
              <w:rPr>
                <w:rFonts w:ascii="Cambria" w:hAnsi="Cambria"/>
              </w:rPr>
            </w:pPr>
            <w:r w:rsidRPr="00A60B08">
              <w:rPr>
                <w:rFonts w:ascii="Cambria" w:hAnsi="Cambria"/>
              </w:rPr>
              <w:t>same as in no-reform scenario</w:t>
            </w:r>
          </w:p>
        </w:tc>
        <w:tc>
          <w:tcPr>
            <w:tcW w:w="1915" w:type="dxa"/>
            <w:tcBorders>
              <w:bottom w:val="single" w:sz="4" w:space="0" w:color="auto"/>
            </w:tcBorders>
          </w:tcPr>
          <w:p w14:paraId="7905851A" w14:textId="7B47EE17" w:rsidR="00E343B5" w:rsidRPr="00A60B08" w:rsidRDefault="001C244A" w:rsidP="004F666F">
            <w:pPr>
              <w:jc w:val="center"/>
              <w:rPr>
                <w:rFonts w:ascii="Cambria" w:hAnsi="Cambria"/>
              </w:rPr>
            </w:pPr>
            <w:r w:rsidRPr="00A60B08">
              <w:rPr>
                <w:rFonts w:ascii="Cambria" w:hAnsi="Cambria"/>
              </w:rPr>
              <w:t>sustainable</w:t>
            </w:r>
          </w:p>
        </w:tc>
        <w:tc>
          <w:tcPr>
            <w:tcW w:w="1916" w:type="dxa"/>
            <w:tcBorders>
              <w:bottom w:val="single" w:sz="4" w:space="0" w:color="auto"/>
            </w:tcBorders>
          </w:tcPr>
          <w:p w14:paraId="63D02171" w14:textId="44ADB3FB" w:rsidR="00E343B5" w:rsidRPr="00A60B08" w:rsidRDefault="001C244A" w:rsidP="004F666F">
            <w:pPr>
              <w:jc w:val="center"/>
              <w:rPr>
                <w:rFonts w:ascii="Cambria" w:hAnsi="Cambria"/>
              </w:rPr>
            </w:pPr>
            <w:r w:rsidRPr="00A60B08">
              <w:rPr>
                <w:rFonts w:ascii="Cambria" w:hAnsi="Cambria"/>
              </w:rPr>
              <w:t>decrease by up to 6.6% of GDP</w:t>
            </w:r>
          </w:p>
        </w:tc>
      </w:tr>
    </w:tbl>
    <w:p w14:paraId="282EE794" w14:textId="77777777" w:rsidR="0098454C" w:rsidRPr="00C20EC5" w:rsidRDefault="0098454C" w:rsidP="00F84944">
      <w:pPr>
        <w:pStyle w:val="Heading1"/>
      </w:pPr>
      <w:bookmarkStart w:id="35" w:name="_Toc387325523"/>
      <w:r w:rsidRPr="00C20EC5">
        <w:t>Remaining Issues</w:t>
      </w:r>
      <w:bookmarkEnd w:id="35"/>
    </w:p>
    <w:p w14:paraId="2A76DCA7" w14:textId="77777777" w:rsidR="0098454C" w:rsidRPr="00C20EC5" w:rsidRDefault="0098454C" w:rsidP="00876F35">
      <w:pPr>
        <w:numPr>
          <w:ilvl w:val="0"/>
          <w:numId w:val="3"/>
        </w:numPr>
        <w:spacing w:before="240" w:after="240"/>
        <w:jc w:val="both"/>
        <w:rPr>
          <w:rFonts w:ascii="Cambria" w:hAnsi="Cambria"/>
          <w:sz w:val="22"/>
          <w:szCs w:val="22"/>
        </w:rPr>
      </w:pPr>
      <w:r w:rsidRPr="00C20EC5">
        <w:rPr>
          <w:rFonts w:ascii="Cambria" w:hAnsi="Cambria"/>
          <w:sz w:val="22"/>
          <w:szCs w:val="22"/>
        </w:rPr>
        <w:t>Some important issues with the current pension system remain beyond the scope of this study and require further analysis.</w:t>
      </w:r>
    </w:p>
    <w:p w14:paraId="2CFBBBE0" w14:textId="4306381B" w:rsidR="0098454C" w:rsidRPr="00C20EC5" w:rsidRDefault="0098454C" w:rsidP="00876F35">
      <w:pPr>
        <w:numPr>
          <w:ilvl w:val="0"/>
          <w:numId w:val="3"/>
        </w:numPr>
        <w:spacing w:before="240" w:after="240"/>
        <w:jc w:val="both"/>
        <w:rPr>
          <w:rFonts w:ascii="Cambria" w:hAnsi="Cambria"/>
          <w:sz w:val="22"/>
          <w:szCs w:val="22"/>
        </w:rPr>
      </w:pPr>
      <w:r w:rsidRPr="00C20EC5">
        <w:rPr>
          <w:rFonts w:ascii="Cambria" w:hAnsi="Cambria"/>
          <w:b/>
          <w:sz w:val="22"/>
          <w:szCs w:val="22"/>
        </w:rPr>
        <w:t>Low coverage.</w:t>
      </w:r>
      <w:r w:rsidRPr="00C20EC5">
        <w:rPr>
          <w:rFonts w:ascii="Cambria" w:hAnsi="Cambria"/>
          <w:sz w:val="22"/>
          <w:szCs w:val="22"/>
        </w:rPr>
        <w:t xml:space="preserve"> As mentioned before, low coverage of </w:t>
      </w:r>
      <w:r w:rsidR="00A344B7">
        <w:rPr>
          <w:rFonts w:ascii="Cambria" w:hAnsi="Cambria"/>
          <w:sz w:val="22"/>
          <w:szCs w:val="22"/>
        </w:rPr>
        <w:t xml:space="preserve">the </w:t>
      </w:r>
      <w:r w:rsidRPr="00C20EC5">
        <w:rPr>
          <w:rFonts w:ascii="Cambria" w:hAnsi="Cambria"/>
          <w:sz w:val="22"/>
          <w:szCs w:val="22"/>
        </w:rPr>
        <w:t>working</w:t>
      </w:r>
      <w:r w:rsidR="00A344B7">
        <w:rPr>
          <w:rFonts w:ascii="Cambria" w:hAnsi="Cambria"/>
          <w:sz w:val="22"/>
          <w:szCs w:val="22"/>
        </w:rPr>
        <w:t>-</w:t>
      </w:r>
      <w:r w:rsidRPr="00C20EC5">
        <w:rPr>
          <w:rFonts w:ascii="Cambria" w:hAnsi="Cambria"/>
          <w:sz w:val="22"/>
          <w:szCs w:val="22"/>
        </w:rPr>
        <w:t xml:space="preserve">age population by the national pension system to a great extent is a developmental problem. Coverage expansion to the levels comparable with OECD countries can be achieved primarily through economic growth and formalization of the economy. Meanwhile, </w:t>
      </w:r>
      <w:r w:rsidR="00A344B7">
        <w:rPr>
          <w:rFonts w:ascii="Cambria" w:hAnsi="Cambria"/>
          <w:sz w:val="22"/>
          <w:szCs w:val="22"/>
        </w:rPr>
        <w:t xml:space="preserve">the </w:t>
      </w:r>
      <w:r w:rsidRPr="00C20EC5">
        <w:rPr>
          <w:rFonts w:ascii="Cambria" w:hAnsi="Cambria"/>
          <w:sz w:val="22"/>
          <w:szCs w:val="22"/>
        </w:rPr>
        <w:t xml:space="preserve">pension system can respond to this issue in different ways, for example through a </w:t>
      </w:r>
      <w:proofErr w:type="spellStart"/>
      <w:r w:rsidRPr="00C20EC5">
        <w:rPr>
          <w:rFonts w:ascii="Cambria" w:hAnsi="Cambria"/>
          <w:sz w:val="22"/>
          <w:szCs w:val="22"/>
        </w:rPr>
        <w:t>demogrant</w:t>
      </w:r>
      <w:proofErr w:type="spellEnd"/>
      <w:r w:rsidRPr="00C20EC5">
        <w:rPr>
          <w:rFonts w:ascii="Cambria" w:hAnsi="Cambria"/>
          <w:sz w:val="22"/>
          <w:szCs w:val="22"/>
        </w:rPr>
        <w:t xml:space="preserve"> and/or developing a voluntary pension system with incentives for people to </w:t>
      </w:r>
      <w:r w:rsidR="00A344B7">
        <w:rPr>
          <w:rFonts w:ascii="Cambria" w:hAnsi="Cambria"/>
          <w:sz w:val="22"/>
          <w:szCs w:val="22"/>
        </w:rPr>
        <w:t>join</w:t>
      </w:r>
      <w:r w:rsidR="00A344B7" w:rsidRPr="00C20EC5">
        <w:rPr>
          <w:rFonts w:ascii="Cambria" w:hAnsi="Cambria"/>
          <w:sz w:val="22"/>
          <w:szCs w:val="22"/>
        </w:rPr>
        <w:t xml:space="preserve"> </w:t>
      </w:r>
      <w:r w:rsidRPr="00C20EC5">
        <w:rPr>
          <w:rFonts w:ascii="Cambria" w:hAnsi="Cambria"/>
          <w:sz w:val="22"/>
          <w:szCs w:val="22"/>
        </w:rPr>
        <w:t>it.</w:t>
      </w:r>
    </w:p>
    <w:p w14:paraId="5063459C" w14:textId="4F2AC154" w:rsidR="0098454C" w:rsidRPr="00C20EC5" w:rsidRDefault="0098454C" w:rsidP="00876F35">
      <w:pPr>
        <w:numPr>
          <w:ilvl w:val="0"/>
          <w:numId w:val="3"/>
        </w:numPr>
        <w:spacing w:before="240" w:after="240"/>
        <w:jc w:val="both"/>
        <w:rPr>
          <w:rFonts w:ascii="Cambria" w:hAnsi="Cambria"/>
          <w:sz w:val="22"/>
          <w:szCs w:val="22"/>
        </w:rPr>
      </w:pPr>
      <w:r w:rsidRPr="00C20EC5">
        <w:rPr>
          <w:rFonts w:ascii="Cambria" w:hAnsi="Cambria"/>
          <w:b/>
          <w:sz w:val="22"/>
          <w:szCs w:val="22"/>
        </w:rPr>
        <w:t>Migrant workers.</w:t>
      </w:r>
      <w:r w:rsidRPr="00C20EC5">
        <w:rPr>
          <w:rFonts w:ascii="Cambria" w:hAnsi="Cambria"/>
          <w:sz w:val="22"/>
          <w:szCs w:val="22"/>
        </w:rPr>
        <w:t xml:space="preserve"> Significant outmigration of younger workers, mostly to Russia, may cause problems in the shorter and longer term. In the shorter term, the pension system may be losing potential contributors, hence potential revenue. Normally, migrants would pay contributions to the pension system in the country where they work, but, </w:t>
      </w:r>
      <w:r w:rsidR="008E4B31">
        <w:rPr>
          <w:rFonts w:ascii="Cambria" w:hAnsi="Cambria"/>
          <w:sz w:val="22"/>
          <w:szCs w:val="22"/>
        </w:rPr>
        <w:t>for example</w:t>
      </w:r>
      <w:r w:rsidRPr="00C20EC5">
        <w:rPr>
          <w:rFonts w:ascii="Cambria" w:hAnsi="Cambria"/>
          <w:sz w:val="22"/>
          <w:szCs w:val="22"/>
        </w:rPr>
        <w:t xml:space="preserve">, in Russia they can be eligible for a pension only if they stay there after retirement. Since most migrants tend to return to </w:t>
      </w:r>
      <w:r w:rsidR="0021492A">
        <w:rPr>
          <w:rFonts w:ascii="Cambria" w:hAnsi="Cambria"/>
          <w:sz w:val="22"/>
          <w:szCs w:val="22"/>
        </w:rPr>
        <w:t xml:space="preserve">the </w:t>
      </w:r>
      <w:r w:rsidRPr="00C20EC5">
        <w:rPr>
          <w:rFonts w:ascii="Cambria" w:hAnsi="Cambria"/>
          <w:sz w:val="22"/>
          <w:szCs w:val="22"/>
        </w:rPr>
        <w:t>Kyrgyz</w:t>
      </w:r>
      <w:r w:rsidR="0021492A">
        <w:rPr>
          <w:rFonts w:ascii="Cambria" w:hAnsi="Cambria"/>
          <w:sz w:val="22"/>
          <w:szCs w:val="22"/>
        </w:rPr>
        <w:t xml:space="preserve"> Republic</w:t>
      </w:r>
      <w:r w:rsidRPr="00C20EC5">
        <w:rPr>
          <w:rFonts w:ascii="Cambria" w:hAnsi="Cambria"/>
          <w:sz w:val="22"/>
          <w:szCs w:val="22"/>
        </w:rPr>
        <w:t xml:space="preserve"> in their old age, they come back without a pension and end up claiming the social pension thus increasing the burden on the state budget. However, the effect of migration on both the contributor and the </w:t>
      </w:r>
      <w:r w:rsidR="00A47C53">
        <w:rPr>
          <w:rFonts w:ascii="Cambria" w:hAnsi="Cambria"/>
          <w:sz w:val="22"/>
          <w:szCs w:val="22"/>
        </w:rPr>
        <w:t>old-age</w:t>
      </w:r>
      <w:r w:rsidRPr="00C20EC5">
        <w:rPr>
          <w:rFonts w:ascii="Cambria" w:hAnsi="Cambria"/>
          <w:sz w:val="22"/>
          <w:szCs w:val="22"/>
        </w:rPr>
        <w:t xml:space="preserve"> coverage rates is very uncertain as it’s not clear whether these workers would have actually contributed had they stayed in </w:t>
      </w:r>
      <w:r w:rsidR="0021492A">
        <w:rPr>
          <w:rFonts w:ascii="Cambria" w:hAnsi="Cambria"/>
          <w:sz w:val="22"/>
          <w:szCs w:val="22"/>
        </w:rPr>
        <w:t xml:space="preserve">the </w:t>
      </w:r>
      <w:r w:rsidRPr="00C20EC5">
        <w:rPr>
          <w:rFonts w:ascii="Cambria" w:hAnsi="Cambria"/>
          <w:sz w:val="22"/>
          <w:szCs w:val="22"/>
        </w:rPr>
        <w:t>Kyrgyz</w:t>
      </w:r>
      <w:r w:rsidR="0021492A">
        <w:rPr>
          <w:rFonts w:ascii="Cambria" w:hAnsi="Cambria"/>
          <w:sz w:val="22"/>
          <w:szCs w:val="22"/>
        </w:rPr>
        <w:t xml:space="preserve"> Republic</w:t>
      </w:r>
      <w:r w:rsidRPr="00C20EC5">
        <w:rPr>
          <w:rFonts w:ascii="Cambria" w:hAnsi="Cambria"/>
          <w:sz w:val="22"/>
          <w:szCs w:val="22"/>
        </w:rPr>
        <w:t xml:space="preserve"> or</w:t>
      </w:r>
      <w:r w:rsidR="008E4B31">
        <w:rPr>
          <w:rFonts w:ascii="Cambria" w:hAnsi="Cambria"/>
          <w:sz w:val="22"/>
          <w:szCs w:val="22"/>
        </w:rPr>
        <w:t>—</w:t>
      </w:r>
      <w:r w:rsidRPr="00C20EC5">
        <w:rPr>
          <w:rFonts w:ascii="Cambria" w:hAnsi="Cambria"/>
          <w:sz w:val="22"/>
          <w:szCs w:val="22"/>
        </w:rPr>
        <w:t>had they found a job in the formal sector</w:t>
      </w:r>
      <w:r w:rsidR="008E4B31">
        <w:rPr>
          <w:rFonts w:ascii="Cambria" w:hAnsi="Cambria"/>
          <w:sz w:val="22"/>
          <w:szCs w:val="22"/>
        </w:rPr>
        <w:t>—</w:t>
      </w:r>
      <w:r w:rsidRPr="00C20EC5">
        <w:rPr>
          <w:rFonts w:ascii="Cambria" w:hAnsi="Cambria"/>
          <w:sz w:val="22"/>
          <w:szCs w:val="22"/>
        </w:rPr>
        <w:t>they would have crowded out some current contributors into the informal sector. In any event, one obvious step would be to reach an agreement with the relevant countries regarding pensions for migrant workers. And still, the overall issue of outmigration can only be resolved through broader macroeconomic and labor market policy to boost sustainable economic growth.</w:t>
      </w:r>
    </w:p>
    <w:p w14:paraId="0B724538" w14:textId="08E49EB1" w:rsidR="0098454C" w:rsidRPr="00C20EC5" w:rsidRDefault="0098454C" w:rsidP="00876F35">
      <w:pPr>
        <w:numPr>
          <w:ilvl w:val="0"/>
          <w:numId w:val="3"/>
        </w:numPr>
        <w:spacing w:before="240" w:after="240"/>
        <w:jc w:val="both"/>
        <w:rPr>
          <w:rFonts w:ascii="Cambria" w:hAnsi="Cambria"/>
          <w:sz w:val="22"/>
          <w:szCs w:val="22"/>
        </w:rPr>
      </w:pPr>
      <w:r w:rsidRPr="00C20EC5">
        <w:rPr>
          <w:rFonts w:ascii="Cambria" w:hAnsi="Cambria"/>
          <w:b/>
          <w:sz w:val="22"/>
          <w:szCs w:val="22"/>
        </w:rPr>
        <w:t>Farmer pensions.</w:t>
      </w:r>
      <w:r w:rsidRPr="00C20EC5">
        <w:rPr>
          <w:rFonts w:ascii="Cambria" w:hAnsi="Cambria"/>
          <w:sz w:val="22"/>
          <w:szCs w:val="22"/>
        </w:rPr>
        <w:t xml:space="preserve"> The issue of small contributions paid by farmers and other self-employed generating very low insurance pensions may require different approaches to different groups depending on their characteristics. If farmers are mostly engaged in subsistence farming and have very little cash income making them pay higher contributions to get higher pensions may not work. In this case, the question is whether it is worth for them to participate in the national </w:t>
      </w:r>
      <w:r w:rsidRPr="00C20EC5">
        <w:rPr>
          <w:rFonts w:ascii="Cambria" w:hAnsi="Cambria"/>
          <w:sz w:val="22"/>
          <w:szCs w:val="22"/>
        </w:rPr>
        <w:lastRenderedPageBreak/>
        <w:t xml:space="preserve">pension system at all if what they can expect is a benefit hardly exceeding the basic pension. Other groups of self-employed whose cash income is higher may need to be treated differently. Alternatively, all self-employed, including farmers, can be given a choice: pay full contributions and get a normal pension (provided that the NDC components is fixed) or not pay at all and get a social pension. </w:t>
      </w:r>
    </w:p>
    <w:p w14:paraId="39D63D20" w14:textId="77777777" w:rsidR="003937B8" w:rsidRPr="00C20EC5" w:rsidRDefault="00453DA1" w:rsidP="00876F35">
      <w:pPr>
        <w:numPr>
          <w:ilvl w:val="0"/>
          <w:numId w:val="3"/>
        </w:numPr>
        <w:spacing w:before="240" w:after="240"/>
        <w:jc w:val="both"/>
        <w:rPr>
          <w:rFonts w:ascii="Cambria" w:hAnsi="Cambria"/>
          <w:sz w:val="22"/>
          <w:szCs w:val="22"/>
        </w:rPr>
      </w:pPr>
      <w:r w:rsidRPr="00C20EC5">
        <w:rPr>
          <w:rFonts w:ascii="Cambria" w:hAnsi="Cambria"/>
          <w:b/>
          <w:sz w:val="22"/>
          <w:szCs w:val="22"/>
        </w:rPr>
        <w:t xml:space="preserve">Fully funded pillar. </w:t>
      </w:r>
      <w:r w:rsidR="00D7235E" w:rsidRPr="00C20EC5">
        <w:rPr>
          <w:rFonts w:ascii="Cambria" w:hAnsi="Cambria"/>
          <w:sz w:val="22"/>
          <w:szCs w:val="22"/>
        </w:rPr>
        <w:t xml:space="preserve">The </w:t>
      </w:r>
      <w:r w:rsidR="001C0792" w:rsidRPr="00C20EC5">
        <w:rPr>
          <w:rFonts w:ascii="Cambria" w:hAnsi="Cambria"/>
          <w:sz w:val="22"/>
          <w:szCs w:val="22"/>
        </w:rPr>
        <w:t xml:space="preserve">new </w:t>
      </w:r>
      <w:r w:rsidR="00D7235E" w:rsidRPr="00C20EC5">
        <w:rPr>
          <w:rFonts w:ascii="Cambria" w:hAnsi="Cambria"/>
          <w:sz w:val="22"/>
          <w:szCs w:val="22"/>
        </w:rPr>
        <w:t xml:space="preserve">FFDC component faces many issues ranging from administration to </w:t>
      </w:r>
      <w:r w:rsidR="003937B8" w:rsidRPr="00C20EC5">
        <w:rPr>
          <w:rFonts w:ascii="Cambria" w:hAnsi="Cambria"/>
          <w:sz w:val="22"/>
          <w:szCs w:val="22"/>
        </w:rPr>
        <w:t xml:space="preserve">regulatory and </w:t>
      </w:r>
      <w:r w:rsidR="00D7235E" w:rsidRPr="00C20EC5">
        <w:rPr>
          <w:rFonts w:ascii="Cambria" w:hAnsi="Cambria"/>
          <w:sz w:val="22"/>
          <w:szCs w:val="22"/>
        </w:rPr>
        <w:t xml:space="preserve">institutional. Some </w:t>
      </w:r>
      <w:r w:rsidR="001C0792" w:rsidRPr="00C20EC5">
        <w:rPr>
          <w:rFonts w:ascii="Cambria" w:hAnsi="Cambria"/>
          <w:sz w:val="22"/>
          <w:szCs w:val="22"/>
        </w:rPr>
        <w:t>of them</w:t>
      </w:r>
      <w:r w:rsidR="00D7235E" w:rsidRPr="00C20EC5">
        <w:rPr>
          <w:rFonts w:ascii="Cambria" w:hAnsi="Cambria"/>
          <w:sz w:val="22"/>
          <w:szCs w:val="22"/>
        </w:rPr>
        <w:t xml:space="preserve"> can be </w:t>
      </w:r>
      <w:r w:rsidR="001C0792" w:rsidRPr="00C20EC5">
        <w:rPr>
          <w:rFonts w:ascii="Cambria" w:hAnsi="Cambria"/>
          <w:sz w:val="22"/>
          <w:szCs w:val="22"/>
        </w:rPr>
        <w:t>resolved</w:t>
      </w:r>
      <w:r w:rsidR="00D7235E" w:rsidRPr="00C20EC5">
        <w:rPr>
          <w:rFonts w:ascii="Cambria" w:hAnsi="Cambria"/>
          <w:sz w:val="22"/>
          <w:szCs w:val="22"/>
        </w:rPr>
        <w:t xml:space="preserve"> fairly quickly</w:t>
      </w:r>
      <w:r w:rsidR="003937B8" w:rsidRPr="00C20EC5">
        <w:rPr>
          <w:rFonts w:ascii="Cambria" w:hAnsi="Cambria"/>
          <w:sz w:val="22"/>
          <w:szCs w:val="22"/>
        </w:rPr>
        <w:t xml:space="preserve"> </w:t>
      </w:r>
      <w:r w:rsidR="00D7235E" w:rsidRPr="00C20EC5">
        <w:rPr>
          <w:rFonts w:ascii="Cambria" w:hAnsi="Cambria"/>
          <w:sz w:val="22"/>
          <w:szCs w:val="22"/>
        </w:rPr>
        <w:t xml:space="preserve">– the Social Fund and the government are </w:t>
      </w:r>
      <w:r w:rsidR="001C0792" w:rsidRPr="00C20EC5">
        <w:rPr>
          <w:rFonts w:ascii="Cambria" w:hAnsi="Cambria"/>
          <w:sz w:val="22"/>
          <w:szCs w:val="22"/>
        </w:rPr>
        <w:t xml:space="preserve">putting in a lot of efforts </w:t>
      </w:r>
      <w:r w:rsidR="002B1055" w:rsidRPr="00C20EC5">
        <w:rPr>
          <w:rFonts w:ascii="Cambria" w:hAnsi="Cambria"/>
          <w:sz w:val="22"/>
          <w:szCs w:val="22"/>
        </w:rPr>
        <w:t>to improve</w:t>
      </w:r>
      <w:r w:rsidR="003937B8" w:rsidRPr="00C20EC5">
        <w:rPr>
          <w:rFonts w:ascii="Cambria" w:hAnsi="Cambria"/>
          <w:sz w:val="22"/>
          <w:szCs w:val="22"/>
        </w:rPr>
        <w:t xml:space="preserve"> FFDC administration and regulatory framework</w:t>
      </w:r>
      <w:r w:rsidR="0079479F" w:rsidRPr="00C20EC5">
        <w:rPr>
          <w:rFonts w:ascii="Cambria" w:hAnsi="Cambria"/>
          <w:sz w:val="22"/>
          <w:szCs w:val="22"/>
        </w:rPr>
        <w:t xml:space="preserve">. </w:t>
      </w:r>
      <w:r w:rsidR="003937B8" w:rsidRPr="00C20EC5">
        <w:rPr>
          <w:rFonts w:ascii="Cambria" w:hAnsi="Cambria"/>
          <w:sz w:val="22"/>
          <w:szCs w:val="22"/>
        </w:rPr>
        <w:t>But t</w:t>
      </w:r>
      <w:r w:rsidR="0079479F" w:rsidRPr="00C20EC5">
        <w:rPr>
          <w:rFonts w:ascii="Cambria" w:hAnsi="Cambria"/>
          <w:sz w:val="22"/>
          <w:szCs w:val="22"/>
        </w:rPr>
        <w:t xml:space="preserve">here </w:t>
      </w:r>
      <w:r w:rsidR="00FF6DE6" w:rsidRPr="00C20EC5">
        <w:rPr>
          <w:rFonts w:ascii="Cambria" w:hAnsi="Cambria"/>
          <w:sz w:val="22"/>
          <w:szCs w:val="22"/>
        </w:rPr>
        <w:t>are a</w:t>
      </w:r>
      <w:r w:rsidR="003937B8" w:rsidRPr="00C20EC5">
        <w:rPr>
          <w:rFonts w:ascii="Cambria" w:hAnsi="Cambria"/>
          <w:sz w:val="22"/>
          <w:szCs w:val="22"/>
        </w:rPr>
        <w:t xml:space="preserve">lso </w:t>
      </w:r>
      <w:r w:rsidR="00FF6DE6" w:rsidRPr="00C20EC5">
        <w:rPr>
          <w:rFonts w:ascii="Cambria" w:hAnsi="Cambria"/>
          <w:sz w:val="22"/>
          <w:szCs w:val="22"/>
        </w:rPr>
        <w:t>issues that</w:t>
      </w:r>
      <w:r w:rsidR="003937B8" w:rsidRPr="00C20EC5">
        <w:rPr>
          <w:rFonts w:ascii="Cambria" w:hAnsi="Cambria"/>
          <w:sz w:val="22"/>
          <w:szCs w:val="22"/>
        </w:rPr>
        <w:t xml:space="preserve"> may take much longer to deal with</w:t>
      </w:r>
      <w:r w:rsidR="00B70A46" w:rsidRPr="00C20EC5">
        <w:rPr>
          <w:rFonts w:ascii="Cambria" w:hAnsi="Cambria"/>
          <w:sz w:val="22"/>
          <w:szCs w:val="22"/>
        </w:rPr>
        <w:t>,</w:t>
      </w:r>
      <w:r w:rsidR="003937B8" w:rsidRPr="00C20EC5">
        <w:rPr>
          <w:rFonts w:ascii="Cambria" w:hAnsi="Cambria"/>
          <w:sz w:val="22"/>
          <w:szCs w:val="22"/>
        </w:rPr>
        <w:t xml:space="preserve"> </w:t>
      </w:r>
      <w:r w:rsidR="00B70A46" w:rsidRPr="00C20EC5">
        <w:rPr>
          <w:rFonts w:ascii="Cambria" w:hAnsi="Cambria"/>
          <w:sz w:val="22"/>
          <w:szCs w:val="22"/>
        </w:rPr>
        <w:t>most important</w:t>
      </w:r>
      <w:r w:rsidR="006F4DF7" w:rsidRPr="00C20EC5">
        <w:rPr>
          <w:rFonts w:ascii="Cambria" w:hAnsi="Cambria"/>
          <w:sz w:val="22"/>
          <w:szCs w:val="22"/>
        </w:rPr>
        <w:t>l</w:t>
      </w:r>
      <w:r w:rsidR="00B70A46" w:rsidRPr="00C20EC5">
        <w:rPr>
          <w:rFonts w:ascii="Cambria" w:hAnsi="Cambria"/>
          <w:sz w:val="22"/>
          <w:szCs w:val="22"/>
        </w:rPr>
        <w:t>y</w:t>
      </w:r>
      <w:r w:rsidR="003937B8" w:rsidRPr="00C20EC5">
        <w:rPr>
          <w:rFonts w:ascii="Cambria" w:hAnsi="Cambria"/>
          <w:sz w:val="22"/>
          <w:szCs w:val="22"/>
        </w:rPr>
        <w:t xml:space="preserve"> </w:t>
      </w:r>
      <w:r w:rsidR="0079479F" w:rsidRPr="00C20EC5">
        <w:rPr>
          <w:rFonts w:ascii="Cambria" w:hAnsi="Cambria"/>
          <w:sz w:val="22"/>
          <w:szCs w:val="22"/>
        </w:rPr>
        <w:t>financial market</w:t>
      </w:r>
      <w:r w:rsidR="001C0792" w:rsidRPr="00C20EC5">
        <w:rPr>
          <w:rFonts w:ascii="Cambria" w:hAnsi="Cambria"/>
          <w:sz w:val="22"/>
          <w:szCs w:val="22"/>
        </w:rPr>
        <w:t>s and banking system</w:t>
      </w:r>
      <w:r w:rsidR="0079479F" w:rsidRPr="00C20EC5">
        <w:rPr>
          <w:rFonts w:ascii="Cambria" w:hAnsi="Cambria"/>
          <w:sz w:val="22"/>
          <w:szCs w:val="22"/>
        </w:rPr>
        <w:t xml:space="preserve"> development</w:t>
      </w:r>
      <w:r w:rsidR="001C0792" w:rsidRPr="00C20EC5">
        <w:rPr>
          <w:rFonts w:ascii="Cambria" w:hAnsi="Cambria"/>
          <w:sz w:val="22"/>
          <w:szCs w:val="22"/>
        </w:rPr>
        <w:t>,</w:t>
      </w:r>
      <w:r w:rsidR="0079479F" w:rsidRPr="00C20EC5">
        <w:rPr>
          <w:rFonts w:ascii="Cambria" w:hAnsi="Cambria"/>
          <w:sz w:val="22"/>
          <w:szCs w:val="22"/>
        </w:rPr>
        <w:t xml:space="preserve"> and </w:t>
      </w:r>
      <w:r w:rsidR="00217262" w:rsidRPr="00C20EC5">
        <w:rPr>
          <w:rFonts w:ascii="Cambria" w:hAnsi="Cambria"/>
          <w:sz w:val="22"/>
          <w:szCs w:val="22"/>
        </w:rPr>
        <w:t>overall macroeconomic stability</w:t>
      </w:r>
      <w:r w:rsidR="00B70A46" w:rsidRPr="00C20EC5">
        <w:rPr>
          <w:rFonts w:ascii="Cambria" w:hAnsi="Cambria"/>
          <w:sz w:val="22"/>
          <w:szCs w:val="22"/>
        </w:rPr>
        <w:t>. These are</w:t>
      </w:r>
      <w:r w:rsidR="003937B8" w:rsidRPr="00C20EC5">
        <w:rPr>
          <w:rFonts w:ascii="Cambria" w:hAnsi="Cambria"/>
          <w:sz w:val="22"/>
          <w:szCs w:val="22"/>
        </w:rPr>
        <w:t xml:space="preserve"> </w:t>
      </w:r>
      <w:r w:rsidR="00B70A46" w:rsidRPr="00C20EC5">
        <w:rPr>
          <w:rFonts w:ascii="Cambria" w:hAnsi="Cambria"/>
          <w:sz w:val="22"/>
          <w:szCs w:val="22"/>
        </w:rPr>
        <w:t xml:space="preserve">essential pre-conditions </w:t>
      </w:r>
      <w:r w:rsidR="003937B8" w:rsidRPr="00C20EC5">
        <w:rPr>
          <w:rFonts w:ascii="Cambria" w:hAnsi="Cambria"/>
          <w:sz w:val="22"/>
          <w:szCs w:val="22"/>
        </w:rPr>
        <w:t xml:space="preserve">for a successful mandatory funded scheme </w:t>
      </w:r>
      <w:r w:rsidR="00B70A46" w:rsidRPr="00C20EC5">
        <w:rPr>
          <w:rFonts w:ascii="Cambria" w:hAnsi="Cambria"/>
          <w:sz w:val="22"/>
          <w:szCs w:val="22"/>
        </w:rPr>
        <w:t>which contributors may benefit from.</w:t>
      </w:r>
      <w:r w:rsidR="000C7A8A" w:rsidRPr="00C20EC5">
        <w:rPr>
          <w:rFonts w:ascii="Cambria" w:hAnsi="Cambria"/>
          <w:sz w:val="22"/>
          <w:szCs w:val="22"/>
        </w:rPr>
        <w:t xml:space="preserve"> So, the main questions with respect to </w:t>
      </w:r>
      <w:r w:rsidR="00FF6DE6" w:rsidRPr="00C20EC5">
        <w:rPr>
          <w:rFonts w:ascii="Cambria" w:hAnsi="Cambria"/>
          <w:sz w:val="22"/>
          <w:szCs w:val="22"/>
        </w:rPr>
        <w:t xml:space="preserve">the </w:t>
      </w:r>
      <w:r w:rsidR="000C7A8A" w:rsidRPr="00C20EC5">
        <w:rPr>
          <w:rFonts w:ascii="Cambria" w:hAnsi="Cambria"/>
          <w:sz w:val="22"/>
          <w:szCs w:val="22"/>
        </w:rPr>
        <w:t>FFDC component are</w:t>
      </w:r>
      <w:r w:rsidR="00FF6DE6" w:rsidRPr="00C20EC5">
        <w:rPr>
          <w:rFonts w:ascii="Cambria" w:hAnsi="Cambria"/>
          <w:sz w:val="22"/>
          <w:szCs w:val="22"/>
        </w:rPr>
        <w:t xml:space="preserve"> whether it is worth keeping it and,</w:t>
      </w:r>
      <w:r w:rsidR="000C7A8A" w:rsidRPr="00C20EC5">
        <w:rPr>
          <w:rFonts w:ascii="Cambria" w:hAnsi="Cambria"/>
          <w:sz w:val="22"/>
          <w:szCs w:val="22"/>
        </w:rPr>
        <w:t xml:space="preserve"> if yes, what should be done to make i</w:t>
      </w:r>
      <w:r w:rsidR="005C17FB">
        <w:rPr>
          <w:rFonts w:ascii="Cambria" w:hAnsi="Cambria"/>
          <w:sz w:val="22"/>
          <w:szCs w:val="22"/>
        </w:rPr>
        <w:t xml:space="preserve">t </w:t>
      </w:r>
      <w:proofErr w:type="gramStart"/>
      <w:r w:rsidR="005C17FB">
        <w:rPr>
          <w:rFonts w:ascii="Cambria" w:hAnsi="Cambria"/>
          <w:sz w:val="22"/>
          <w:szCs w:val="22"/>
        </w:rPr>
        <w:t>effective.</w:t>
      </w:r>
      <w:proofErr w:type="gramEnd"/>
    </w:p>
    <w:p w14:paraId="6AF3CEE9" w14:textId="734931FC" w:rsidR="003B4543" w:rsidRPr="00C20EC5" w:rsidRDefault="00F16961" w:rsidP="00876F35">
      <w:pPr>
        <w:numPr>
          <w:ilvl w:val="0"/>
          <w:numId w:val="3"/>
        </w:numPr>
        <w:spacing w:before="240" w:after="240"/>
        <w:jc w:val="both"/>
        <w:rPr>
          <w:rFonts w:ascii="Cambria" w:hAnsi="Cambria"/>
          <w:sz w:val="22"/>
          <w:szCs w:val="22"/>
        </w:rPr>
      </w:pPr>
      <w:r w:rsidRPr="00C20EC5">
        <w:rPr>
          <w:rFonts w:ascii="Cambria" w:hAnsi="Cambria"/>
          <w:b/>
          <w:sz w:val="22"/>
          <w:szCs w:val="22"/>
        </w:rPr>
        <w:t>A</w:t>
      </w:r>
      <w:r w:rsidR="001302C2" w:rsidRPr="00C20EC5">
        <w:rPr>
          <w:rFonts w:ascii="Cambria" w:hAnsi="Cambria"/>
          <w:b/>
          <w:sz w:val="22"/>
          <w:szCs w:val="22"/>
        </w:rPr>
        <w:t xml:space="preserve">dministration. </w:t>
      </w:r>
      <w:r w:rsidR="00F92FBD" w:rsidRPr="00C20EC5">
        <w:rPr>
          <w:rFonts w:ascii="Cambria" w:hAnsi="Cambria"/>
          <w:sz w:val="22"/>
          <w:szCs w:val="22"/>
        </w:rPr>
        <w:t>There are some issues related to</w:t>
      </w:r>
      <w:r w:rsidR="005F1A77" w:rsidRPr="00C20EC5">
        <w:rPr>
          <w:rFonts w:ascii="Cambria" w:hAnsi="Cambria"/>
          <w:sz w:val="22"/>
          <w:szCs w:val="22"/>
        </w:rPr>
        <w:t xml:space="preserve"> the system administration and broader </w:t>
      </w:r>
      <w:r w:rsidR="00E353E5" w:rsidRPr="00C20EC5">
        <w:rPr>
          <w:rFonts w:ascii="Cambria" w:hAnsi="Cambria"/>
          <w:sz w:val="22"/>
          <w:szCs w:val="22"/>
        </w:rPr>
        <w:t>governance</w:t>
      </w:r>
      <w:r w:rsidR="00703D5F" w:rsidRPr="00C20EC5">
        <w:rPr>
          <w:rFonts w:ascii="Cambria" w:hAnsi="Cambria"/>
          <w:sz w:val="22"/>
          <w:szCs w:val="22"/>
        </w:rPr>
        <w:t>, in</w:t>
      </w:r>
      <w:r w:rsidR="00F92FBD" w:rsidRPr="00C20EC5">
        <w:rPr>
          <w:rFonts w:ascii="Cambria" w:hAnsi="Cambria"/>
          <w:sz w:val="22"/>
          <w:szCs w:val="22"/>
        </w:rPr>
        <w:t xml:space="preserve"> particular</w:t>
      </w:r>
      <w:r w:rsidR="00C31BC2">
        <w:rPr>
          <w:rFonts w:ascii="Cambria" w:hAnsi="Cambria"/>
          <w:sz w:val="22"/>
          <w:szCs w:val="22"/>
        </w:rPr>
        <w:t>,</w:t>
      </w:r>
      <w:r w:rsidR="005F1A77" w:rsidRPr="00C20EC5">
        <w:rPr>
          <w:rFonts w:ascii="Cambria" w:hAnsi="Cambria"/>
          <w:sz w:val="22"/>
          <w:szCs w:val="22"/>
        </w:rPr>
        <w:t xml:space="preserve"> </w:t>
      </w:r>
      <w:r w:rsidR="00703D5F" w:rsidRPr="00C20EC5">
        <w:rPr>
          <w:rFonts w:ascii="Cambria" w:hAnsi="Cambria"/>
          <w:sz w:val="22"/>
          <w:szCs w:val="22"/>
        </w:rPr>
        <w:t>who should collect contributions and how the finances of the PAYG system should be managed. The short-lived transfer of the collection of contributions from farmers and other self-employed to the tax authorities in 2010 did not work well but the discussion of what are the pros and cons of the collection done by the Social Fund versus tax authorities is still on-going</w:t>
      </w:r>
      <w:r w:rsidR="00997668" w:rsidRPr="00C20EC5">
        <w:rPr>
          <w:rFonts w:ascii="Cambria" w:hAnsi="Cambria"/>
          <w:sz w:val="22"/>
          <w:szCs w:val="22"/>
        </w:rPr>
        <w:t>.</w:t>
      </w:r>
      <w:r w:rsidR="00E353E5" w:rsidRPr="00C20EC5">
        <w:rPr>
          <w:rFonts w:ascii="Cambria" w:hAnsi="Cambria"/>
          <w:sz w:val="22"/>
          <w:szCs w:val="22"/>
        </w:rPr>
        <w:t xml:space="preserve"> </w:t>
      </w:r>
      <w:r w:rsidR="00703D5F" w:rsidRPr="00C20EC5">
        <w:rPr>
          <w:rFonts w:ascii="Cambria" w:hAnsi="Cambria"/>
          <w:sz w:val="22"/>
          <w:szCs w:val="22"/>
        </w:rPr>
        <w:t xml:space="preserve">There is </w:t>
      </w:r>
      <w:r w:rsidRPr="00C20EC5">
        <w:rPr>
          <w:rFonts w:ascii="Cambria" w:hAnsi="Cambria"/>
          <w:sz w:val="22"/>
          <w:szCs w:val="22"/>
        </w:rPr>
        <w:t xml:space="preserve">also </w:t>
      </w:r>
      <w:r w:rsidR="00E353E5" w:rsidRPr="00C20EC5">
        <w:rPr>
          <w:rFonts w:ascii="Cambria" w:hAnsi="Cambria"/>
          <w:sz w:val="22"/>
          <w:szCs w:val="22"/>
        </w:rPr>
        <w:t xml:space="preserve">a broader issue of pros and cons for integrating Social Fund finances into the general budget. International experience </w:t>
      </w:r>
      <w:r w:rsidRPr="00C20EC5">
        <w:rPr>
          <w:rFonts w:ascii="Cambria" w:hAnsi="Cambria"/>
          <w:sz w:val="22"/>
          <w:szCs w:val="22"/>
        </w:rPr>
        <w:t>with</w:t>
      </w:r>
      <w:r w:rsidR="00E353E5" w:rsidRPr="00C20EC5">
        <w:rPr>
          <w:rFonts w:ascii="Cambria" w:hAnsi="Cambria"/>
          <w:sz w:val="22"/>
          <w:szCs w:val="22"/>
        </w:rPr>
        <w:t xml:space="preserve"> respect </w:t>
      </w:r>
      <w:r w:rsidRPr="00C20EC5">
        <w:rPr>
          <w:rFonts w:ascii="Cambria" w:hAnsi="Cambria"/>
          <w:sz w:val="22"/>
          <w:szCs w:val="22"/>
        </w:rPr>
        <w:t>to both issues varies</w:t>
      </w:r>
      <w:r w:rsidR="00AD0C76" w:rsidRPr="00C20EC5">
        <w:rPr>
          <w:rFonts w:ascii="Cambria" w:hAnsi="Cambria"/>
          <w:sz w:val="22"/>
          <w:szCs w:val="22"/>
        </w:rPr>
        <w:t>,</w:t>
      </w:r>
      <w:r w:rsidR="00E353E5" w:rsidRPr="00C20EC5">
        <w:rPr>
          <w:rFonts w:ascii="Cambria" w:hAnsi="Cambria"/>
          <w:sz w:val="22"/>
          <w:szCs w:val="22"/>
        </w:rPr>
        <w:t xml:space="preserve"> and </w:t>
      </w:r>
      <w:r w:rsidR="00703D5F" w:rsidRPr="00C20EC5">
        <w:rPr>
          <w:rFonts w:ascii="Cambria" w:hAnsi="Cambria"/>
          <w:sz w:val="22"/>
          <w:szCs w:val="22"/>
        </w:rPr>
        <w:t xml:space="preserve">a </w:t>
      </w:r>
      <w:r w:rsidR="00E353E5" w:rsidRPr="00C20EC5">
        <w:rPr>
          <w:rFonts w:ascii="Cambria" w:hAnsi="Cambria"/>
          <w:sz w:val="22"/>
          <w:szCs w:val="22"/>
        </w:rPr>
        <w:t>s</w:t>
      </w:r>
      <w:r w:rsidR="00703D5F" w:rsidRPr="00C20EC5">
        <w:rPr>
          <w:rFonts w:ascii="Cambria" w:hAnsi="Cambria"/>
          <w:sz w:val="22"/>
          <w:szCs w:val="22"/>
        </w:rPr>
        <w:t>eparate study</w:t>
      </w:r>
      <w:r w:rsidR="005F1A77" w:rsidRPr="00C20EC5">
        <w:rPr>
          <w:rFonts w:ascii="Cambria" w:hAnsi="Cambria"/>
          <w:sz w:val="22"/>
          <w:szCs w:val="22"/>
        </w:rPr>
        <w:t xml:space="preserve"> should be </w:t>
      </w:r>
      <w:r w:rsidR="00266CC5" w:rsidRPr="00C20EC5">
        <w:rPr>
          <w:rFonts w:ascii="Cambria" w:hAnsi="Cambria"/>
          <w:sz w:val="22"/>
          <w:szCs w:val="22"/>
        </w:rPr>
        <w:t xml:space="preserve">carried out on </w:t>
      </w:r>
      <w:r w:rsidR="00703D5F" w:rsidRPr="00C20EC5">
        <w:rPr>
          <w:rFonts w:ascii="Cambria" w:hAnsi="Cambria"/>
          <w:sz w:val="22"/>
          <w:szCs w:val="22"/>
        </w:rPr>
        <w:t xml:space="preserve">lessons learned and </w:t>
      </w:r>
      <w:r w:rsidR="00266CC5" w:rsidRPr="00C20EC5">
        <w:rPr>
          <w:rFonts w:ascii="Cambria" w:hAnsi="Cambria"/>
          <w:sz w:val="22"/>
          <w:szCs w:val="22"/>
        </w:rPr>
        <w:t xml:space="preserve">what may work in </w:t>
      </w:r>
      <w:r w:rsidR="00256D09">
        <w:rPr>
          <w:rFonts w:ascii="Cambria" w:hAnsi="Cambria"/>
          <w:sz w:val="22"/>
          <w:szCs w:val="22"/>
        </w:rPr>
        <w:t xml:space="preserve">the </w:t>
      </w:r>
      <w:r w:rsidR="00256D09" w:rsidRPr="00C20EC5">
        <w:rPr>
          <w:rFonts w:ascii="Cambria" w:hAnsi="Cambria"/>
          <w:sz w:val="22"/>
          <w:szCs w:val="22"/>
        </w:rPr>
        <w:t>Kyrgyz</w:t>
      </w:r>
      <w:r w:rsidR="00256D09">
        <w:rPr>
          <w:rFonts w:ascii="Cambria" w:hAnsi="Cambria"/>
          <w:sz w:val="22"/>
          <w:szCs w:val="22"/>
        </w:rPr>
        <w:t xml:space="preserve"> Republic</w:t>
      </w:r>
      <w:r w:rsidR="00266CC5" w:rsidRPr="00C20EC5">
        <w:rPr>
          <w:rFonts w:ascii="Cambria" w:hAnsi="Cambria"/>
          <w:sz w:val="22"/>
          <w:szCs w:val="22"/>
        </w:rPr>
        <w:t>.</w:t>
      </w:r>
    </w:p>
    <w:p w14:paraId="2655BC21" w14:textId="77777777" w:rsidR="004A4712" w:rsidRPr="00C20EC5" w:rsidRDefault="004A4712" w:rsidP="00F84944">
      <w:pPr>
        <w:pStyle w:val="Heading1"/>
      </w:pPr>
      <w:bookmarkStart w:id="36" w:name="_Toc387325524"/>
      <w:r w:rsidRPr="00C20EC5">
        <w:t>Conclusions</w:t>
      </w:r>
      <w:r w:rsidR="009B40C0" w:rsidRPr="00C20EC5">
        <w:t xml:space="preserve">: </w:t>
      </w:r>
      <w:r w:rsidR="000D0BF2" w:rsidRPr="00C20EC5">
        <w:t>The Way Forward</w:t>
      </w:r>
      <w:bookmarkEnd w:id="36"/>
    </w:p>
    <w:p w14:paraId="5DFE9D7C" w14:textId="265EA675" w:rsidR="00AF319A" w:rsidRPr="004F666F" w:rsidRDefault="009B40C0" w:rsidP="00876F35">
      <w:pPr>
        <w:numPr>
          <w:ilvl w:val="0"/>
          <w:numId w:val="3"/>
        </w:numPr>
        <w:spacing w:before="240" w:after="240"/>
        <w:jc w:val="both"/>
        <w:rPr>
          <w:rFonts w:ascii="Cambria" w:hAnsi="Cambria"/>
        </w:rPr>
      </w:pPr>
      <w:r w:rsidRPr="004F666F">
        <w:rPr>
          <w:rFonts w:ascii="Cambria" w:hAnsi="Cambria"/>
          <w:b/>
          <w:sz w:val="22"/>
          <w:szCs w:val="22"/>
        </w:rPr>
        <w:t>The analysis in this chapter suggests that</w:t>
      </w:r>
      <w:r w:rsidR="00950A45" w:rsidRPr="004F666F">
        <w:rPr>
          <w:rFonts w:ascii="Cambria" w:hAnsi="Cambria"/>
          <w:b/>
          <w:sz w:val="22"/>
          <w:szCs w:val="22"/>
        </w:rPr>
        <w:t xml:space="preserve"> </w:t>
      </w:r>
      <w:r w:rsidRPr="004F666F">
        <w:rPr>
          <w:rFonts w:ascii="Cambria" w:hAnsi="Cambria"/>
          <w:b/>
          <w:sz w:val="22"/>
          <w:szCs w:val="22"/>
        </w:rPr>
        <w:t xml:space="preserve">the current system faces serious </w:t>
      </w:r>
      <w:r w:rsidR="00073511" w:rsidRPr="004F666F">
        <w:rPr>
          <w:rFonts w:ascii="Cambria" w:hAnsi="Cambria"/>
          <w:b/>
          <w:sz w:val="22"/>
          <w:szCs w:val="22"/>
        </w:rPr>
        <w:t>coverage, system design</w:t>
      </w:r>
      <w:r w:rsidR="00A86FD4" w:rsidRPr="004F666F">
        <w:rPr>
          <w:rFonts w:ascii="Cambria" w:hAnsi="Cambria"/>
          <w:b/>
          <w:sz w:val="22"/>
          <w:szCs w:val="22"/>
        </w:rPr>
        <w:t>,</w:t>
      </w:r>
      <w:r w:rsidR="00073511" w:rsidRPr="004F666F">
        <w:rPr>
          <w:rFonts w:ascii="Cambria" w:hAnsi="Cambria"/>
          <w:b/>
          <w:sz w:val="22"/>
          <w:szCs w:val="22"/>
        </w:rPr>
        <w:t xml:space="preserve"> and financial </w:t>
      </w:r>
      <w:r w:rsidR="009B0711" w:rsidRPr="004F666F">
        <w:rPr>
          <w:rFonts w:ascii="Cambria" w:hAnsi="Cambria"/>
          <w:b/>
          <w:sz w:val="22"/>
          <w:szCs w:val="22"/>
        </w:rPr>
        <w:t>chal</w:t>
      </w:r>
      <w:r w:rsidR="006151A2" w:rsidRPr="004F666F">
        <w:rPr>
          <w:rFonts w:ascii="Cambria" w:hAnsi="Cambria"/>
          <w:b/>
          <w:sz w:val="22"/>
          <w:szCs w:val="22"/>
        </w:rPr>
        <w:t>lenge</w:t>
      </w:r>
      <w:r w:rsidR="00A86FD4" w:rsidRPr="004F666F">
        <w:rPr>
          <w:rFonts w:ascii="Cambria" w:hAnsi="Cambria"/>
          <w:b/>
          <w:sz w:val="22"/>
          <w:szCs w:val="22"/>
        </w:rPr>
        <w:t>s</w:t>
      </w:r>
      <w:r w:rsidR="00073511" w:rsidRPr="00C20EC5">
        <w:rPr>
          <w:rFonts w:ascii="Cambria" w:hAnsi="Cambria"/>
          <w:sz w:val="22"/>
          <w:szCs w:val="22"/>
        </w:rPr>
        <w:t>.</w:t>
      </w:r>
      <w:r w:rsidR="00083095" w:rsidRPr="00C20EC5">
        <w:rPr>
          <w:rFonts w:ascii="Cambria" w:hAnsi="Cambria"/>
          <w:sz w:val="22"/>
          <w:szCs w:val="22"/>
        </w:rPr>
        <w:t xml:space="preserve"> </w:t>
      </w:r>
      <w:r w:rsidR="00073511" w:rsidRPr="00C20EC5">
        <w:rPr>
          <w:rFonts w:ascii="Cambria" w:hAnsi="Cambria"/>
          <w:sz w:val="22"/>
          <w:szCs w:val="22"/>
        </w:rPr>
        <w:t>Th</w:t>
      </w:r>
      <w:r w:rsidR="00083095" w:rsidRPr="00C20EC5">
        <w:rPr>
          <w:rFonts w:ascii="Cambria" w:hAnsi="Cambria"/>
          <w:sz w:val="22"/>
          <w:szCs w:val="22"/>
        </w:rPr>
        <w:t>e level</w:t>
      </w:r>
      <w:r w:rsidR="00BE63F6" w:rsidRPr="00C20EC5">
        <w:rPr>
          <w:rFonts w:ascii="Cambria" w:hAnsi="Cambria"/>
          <w:sz w:val="22"/>
          <w:szCs w:val="22"/>
        </w:rPr>
        <w:t xml:space="preserve"> </w:t>
      </w:r>
      <w:r w:rsidR="00083095" w:rsidRPr="00C20EC5">
        <w:rPr>
          <w:rFonts w:ascii="Cambria" w:hAnsi="Cambria"/>
          <w:sz w:val="22"/>
          <w:szCs w:val="22"/>
        </w:rPr>
        <w:t xml:space="preserve">of </w:t>
      </w:r>
      <w:r w:rsidR="009156E4" w:rsidRPr="00C20EC5">
        <w:rPr>
          <w:rFonts w:ascii="Cambria" w:hAnsi="Cambria"/>
          <w:sz w:val="22"/>
          <w:szCs w:val="22"/>
        </w:rPr>
        <w:t xml:space="preserve">the </w:t>
      </w:r>
      <w:r w:rsidR="00083095" w:rsidRPr="00C20EC5">
        <w:rPr>
          <w:rFonts w:ascii="Cambria" w:hAnsi="Cambria"/>
          <w:sz w:val="22"/>
          <w:szCs w:val="22"/>
        </w:rPr>
        <w:t xml:space="preserve">public pension spending is </w:t>
      </w:r>
      <w:r w:rsidR="00073511" w:rsidRPr="00C20EC5">
        <w:rPr>
          <w:rFonts w:ascii="Cambria" w:hAnsi="Cambria"/>
          <w:sz w:val="22"/>
          <w:szCs w:val="22"/>
        </w:rPr>
        <w:t xml:space="preserve">already </w:t>
      </w:r>
      <w:r w:rsidR="00083095" w:rsidRPr="00C20EC5">
        <w:rPr>
          <w:rFonts w:ascii="Cambria" w:hAnsi="Cambria"/>
          <w:sz w:val="22"/>
          <w:szCs w:val="22"/>
        </w:rPr>
        <w:t>very high</w:t>
      </w:r>
      <w:r w:rsidR="00073511" w:rsidRPr="00C20EC5">
        <w:rPr>
          <w:rFonts w:ascii="Cambria" w:hAnsi="Cambria"/>
          <w:sz w:val="22"/>
          <w:szCs w:val="22"/>
        </w:rPr>
        <w:t xml:space="preserve"> relative to GDP </w:t>
      </w:r>
      <w:r w:rsidR="00BE63F6" w:rsidRPr="00C20EC5">
        <w:rPr>
          <w:rFonts w:ascii="Cambria" w:hAnsi="Cambria"/>
          <w:sz w:val="22"/>
          <w:szCs w:val="22"/>
        </w:rPr>
        <w:t xml:space="preserve">and </w:t>
      </w:r>
      <w:r w:rsidR="00083095" w:rsidRPr="00C20EC5">
        <w:rPr>
          <w:rFonts w:ascii="Cambria" w:hAnsi="Cambria"/>
          <w:sz w:val="22"/>
          <w:szCs w:val="22"/>
        </w:rPr>
        <w:t>its</w:t>
      </w:r>
      <w:r w:rsidR="00BE63F6" w:rsidRPr="00C20EC5">
        <w:rPr>
          <w:rFonts w:ascii="Cambria" w:hAnsi="Cambria"/>
          <w:sz w:val="22"/>
          <w:szCs w:val="22"/>
        </w:rPr>
        <w:t xml:space="preserve"> fiscal pressure will continue </w:t>
      </w:r>
      <w:r w:rsidR="00A33FB7" w:rsidRPr="00C20EC5">
        <w:rPr>
          <w:rFonts w:ascii="Cambria" w:hAnsi="Cambria"/>
          <w:sz w:val="22"/>
          <w:szCs w:val="22"/>
        </w:rPr>
        <w:t>to grow</w:t>
      </w:r>
      <w:r w:rsidR="00BE63F6" w:rsidRPr="00C20EC5">
        <w:rPr>
          <w:rFonts w:ascii="Cambria" w:hAnsi="Cambria"/>
          <w:sz w:val="22"/>
          <w:szCs w:val="22"/>
        </w:rPr>
        <w:t xml:space="preserve"> as the population ages.</w:t>
      </w:r>
      <w:r w:rsidR="00083095" w:rsidRPr="00C20EC5">
        <w:rPr>
          <w:rFonts w:ascii="Cambria" w:hAnsi="Cambria"/>
          <w:sz w:val="22"/>
          <w:szCs w:val="22"/>
        </w:rPr>
        <w:t xml:space="preserve"> </w:t>
      </w:r>
      <w:r w:rsidR="00A33FB7" w:rsidRPr="00C20EC5">
        <w:rPr>
          <w:rFonts w:ascii="Cambria" w:hAnsi="Cambria"/>
          <w:sz w:val="22"/>
          <w:szCs w:val="22"/>
        </w:rPr>
        <w:t xml:space="preserve">With no further changes in the system </w:t>
      </w:r>
      <w:r w:rsidR="008F635E" w:rsidRPr="00C20EC5">
        <w:rPr>
          <w:rFonts w:ascii="Cambria" w:hAnsi="Cambria"/>
          <w:sz w:val="22"/>
          <w:szCs w:val="22"/>
        </w:rPr>
        <w:t xml:space="preserve">inadequate </w:t>
      </w:r>
      <w:r w:rsidR="00A33FB7" w:rsidRPr="00C20EC5">
        <w:rPr>
          <w:rFonts w:ascii="Cambria" w:hAnsi="Cambria"/>
          <w:sz w:val="22"/>
          <w:szCs w:val="22"/>
        </w:rPr>
        <w:t>benefits will become a critical issue in the near future</w:t>
      </w:r>
      <w:r w:rsidR="00620385">
        <w:rPr>
          <w:rFonts w:ascii="Cambria" w:hAnsi="Cambria"/>
          <w:sz w:val="22"/>
          <w:szCs w:val="22"/>
        </w:rPr>
        <w:t xml:space="preserve"> thus making the system unsustainable</w:t>
      </w:r>
      <w:r w:rsidR="00C173D2">
        <w:rPr>
          <w:rFonts w:ascii="Cambria" w:hAnsi="Cambria"/>
          <w:sz w:val="22"/>
          <w:szCs w:val="22"/>
        </w:rPr>
        <w:t xml:space="preserve"> from the social standpoint</w:t>
      </w:r>
      <w:r w:rsidR="00A33FB7" w:rsidRPr="00C20EC5">
        <w:rPr>
          <w:rFonts w:ascii="Cambria" w:hAnsi="Cambria"/>
          <w:sz w:val="22"/>
          <w:szCs w:val="22"/>
        </w:rPr>
        <w:t>.</w:t>
      </w:r>
    </w:p>
    <w:p w14:paraId="53042372" w14:textId="77777777" w:rsidR="00AF319A" w:rsidRPr="004F666F" w:rsidRDefault="00A33FB7" w:rsidP="00876F35">
      <w:pPr>
        <w:numPr>
          <w:ilvl w:val="0"/>
          <w:numId w:val="3"/>
        </w:numPr>
        <w:spacing w:before="240" w:after="240"/>
        <w:jc w:val="both"/>
        <w:rPr>
          <w:rFonts w:ascii="Cambria" w:hAnsi="Cambria"/>
        </w:rPr>
      </w:pPr>
      <w:r w:rsidRPr="00C20EC5">
        <w:rPr>
          <w:rFonts w:ascii="Cambria" w:hAnsi="Cambria"/>
          <w:sz w:val="22"/>
          <w:szCs w:val="22"/>
        </w:rPr>
        <w:t xml:space="preserve"> </w:t>
      </w:r>
      <w:r w:rsidR="008F635E" w:rsidRPr="004F666F">
        <w:rPr>
          <w:rFonts w:ascii="Cambria" w:hAnsi="Cambria"/>
          <w:b/>
          <w:sz w:val="22"/>
          <w:szCs w:val="22"/>
        </w:rPr>
        <w:t xml:space="preserve">Addressing these challenges will require reforms aimed at making the system </w:t>
      </w:r>
      <w:r w:rsidR="00730D66" w:rsidRPr="004F666F">
        <w:rPr>
          <w:rFonts w:ascii="Cambria" w:hAnsi="Cambria"/>
          <w:b/>
          <w:sz w:val="22"/>
          <w:szCs w:val="22"/>
        </w:rPr>
        <w:t xml:space="preserve">financially sustainable, </w:t>
      </w:r>
      <w:r w:rsidR="008F635E" w:rsidRPr="004F666F">
        <w:rPr>
          <w:rFonts w:ascii="Cambria" w:hAnsi="Cambria"/>
          <w:b/>
          <w:sz w:val="22"/>
          <w:szCs w:val="22"/>
        </w:rPr>
        <w:t>affordable to</w:t>
      </w:r>
      <w:r w:rsidR="00A86FD4" w:rsidRPr="004F666F">
        <w:rPr>
          <w:rFonts w:ascii="Cambria" w:hAnsi="Cambria"/>
          <w:b/>
          <w:sz w:val="22"/>
          <w:szCs w:val="22"/>
        </w:rPr>
        <w:t xml:space="preserve"> both</w:t>
      </w:r>
      <w:r w:rsidR="008F635E" w:rsidRPr="004F666F">
        <w:rPr>
          <w:rFonts w:ascii="Cambria" w:hAnsi="Cambria"/>
          <w:b/>
          <w:sz w:val="22"/>
          <w:szCs w:val="22"/>
        </w:rPr>
        <w:t xml:space="preserve"> the government and </w:t>
      </w:r>
      <w:r w:rsidR="00A86FD4" w:rsidRPr="004F666F">
        <w:rPr>
          <w:rFonts w:ascii="Cambria" w:hAnsi="Cambria"/>
          <w:b/>
          <w:sz w:val="22"/>
          <w:szCs w:val="22"/>
        </w:rPr>
        <w:t xml:space="preserve">the </w:t>
      </w:r>
      <w:r w:rsidR="008F635E" w:rsidRPr="004F666F">
        <w:rPr>
          <w:rFonts w:ascii="Cambria" w:hAnsi="Cambria"/>
          <w:b/>
          <w:sz w:val="22"/>
          <w:szCs w:val="22"/>
        </w:rPr>
        <w:t xml:space="preserve">working population </w:t>
      </w:r>
      <w:r w:rsidR="00730D66" w:rsidRPr="004F666F">
        <w:rPr>
          <w:rFonts w:ascii="Cambria" w:hAnsi="Cambria"/>
          <w:b/>
          <w:sz w:val="22"/>
          <w:szCs w:val="22"/>
        </w:rPr>
        <w:t xml:space="preserve">while </w:t>
      </w:r>
      <w:r w:rsidR="009156E4" w:rsidRPr="004F666F">
        <w:rPr>
          <w:rFonts w:ascii="Cambria" w:hAnsi="Cambria"/>
          <w:b/>
          <w:sz w:val="22"/>
          <w:szCs w:val="22"/>
        </w:rPr>
        <w:t xml:space="preserve">providing adequate benefits and </w:t>
      </w:r>
      <w:r w:rsidR="00730D66" w:rsidRPr="004F666F">
        <w:rPr>
          <w:rFonts w:ascii="Cambria" w:hAnsi="Cambria"/>
          <w:b/>
          <w:sz w:val="22"/>
          <w:szCs w:val="22"/>
        </w:rPr>
        <w:t>protecting the elderly against poverty</w:t>
      </w:r>
      <w:r w:rsidR="00730D66" w:rsidRPr="00C20EC5">
        <w:rPr>
          <w:rFonts w:ascii="Cambria" w:hAnsi="Cambria"/>
          <w:sz w:val="22"/>
          <w:szCs w:val="22"/>
        </w:rPr>
        <w:t>.</w:t>
      </w:r>
      <w:r w:rsidR="00D63008" w:rsidRPr="00C20EC5">
        <w:rPr>
          <w:rFonts w:ascii="Cambria" w:hAnsi="Cambria"/>
          <w:sz w:val="22"/>
          <w:szCs w:val="22"/>
        </w:rPr>
        <w:t xml:space="preserve"> </w:t>
      </w:r>
      <w:r w:rsidR="00CF2E2F" w:rsidRPr="00C20EC5">
        <w:rPr>
          <w:rFonts w:ascii="Cambria" w:hAnsi="Cambria"/>
          <w:sz w:val="22"/>
          <w:szCs w:val="22"/>
        </w:rPr>
        <w:t xml:space="preserve">The chapter considers possible broad approaches to reform the existing pension system which can be further </w:t>
      </w:r>
      <w:r w:rsidR="005965E4" w:rsidRPr="00C20EC5">
        <w:rPr>
          <w:rFonts w:ascii="Cambria" w:hAnsi="Cambria"/>
          <w:sz w:val="22"/>
          <w:szCs w:val="22"/>
        </w:rPr>
        <w:t>fine-tuned to take into account government preferences and social policy choices with respect to the target replacement rates, acceptable retirement age and contribution rate</w:t>
      </w:r>
      <w:r w:rsidR="006151A2" w:rsidRPr="00C20EC5">
        <w:rPr>
          <w:rFonts w:ascii="Cambria" w:hAnsi="Cambria"/>
          <w:sz w:val="22"/>
          <w:szCs w:val="22"/>
        </w:rPr>
        <w:t>,</w:t>
      </w:r>
      <w:r w:rsidR="005965E4" w:rsidRPr="00C20EC5">
        <w:rPr>
          <w:rFonts w:ascii="Cambria" w:hAnsi="Cambria"/>
          <w:sz w:val="22"/>
          <w:szCs w:val="22"/>
        </w:rPr>
        <w:t xml:space="preserve"> and in </w:t>
      </w:r>
      <w:r w:rsidR="006151A2" w:rsidRPr="00C20EC5">
        <w:rPr>
          <w:rFonts w:ascii="Cambria" w:hAnsi="Cambria"/>
          <w:sz w:val="22"/>
          <w:szCs w:val="22"/>
        </w:rPr>
        <w:t xml:space="preserve">a </w:t>
      </w:r>
      <w:r w:rsidR="005965E4" w:rsidRPr="00C20EC5">
        <w:rPr>
          <w:rFonts w:ascii="Cambria" w:hAnsi="Cambria"/>
          <w:sz w:val="22"/>
          <w:szCs w:val="22"/>
        </w:rPr>
        <w:t xml:space="preserve">broader </w:t>
      </w:r>
      <w:r w:rsidR="006151A2" w:rsidRPr="00C20EC5">
        <w:rPr>
          <w:rFonts w:ascii="Cambria" w:hAnsi="Cambria"/>
          <w:sz w:val="22"/>
          <w:szCs w:val="22"/>
        </w:rPr>
        <w:t>context</w:t>
      </w:r>
      <w:r w:rsidR="00A86FD4">
        <w:rPr>
          <w:rFonts w:ascii="Cambria" w:hAnsi="Cambria"/>
          <w:sz w:val="22"/>
          <w:szCs w:val="22"/>
        </w:rPr>
        <w:t>,</w:t>
      </w:r>
      <w:r w:rsidR="005965E4" w:rsidRPr="00C20EC5">
        <w:rPr>
          <w:rFonts w:ascii="Cambria" w:hAnsi="Cambria"/>
          <w:sz w:val="22"/>
          <w:szCs w:val="22"/>
        </w:rPr>
        <w:t xml:space="preserve"> </w:t>
      </w:r>
      <w:r w:rsidR="006151A2" w:rsidRPr="00C20EC5">
        <w:rPr>
          <w:rFonts w:ascii="Cambria" w:hAnsi="Cambria"/>
          <w:sz w:val="22"/>
          <w:szCs w:val="22"/>
        </w:rPr>
        <w:t>policy</w:t>
      </w:r>
      <w:r w:rsidR="005965E4" w:rsidRPr="00C20EC5">
        <w:rPr>
          <w:rFonts w:ascii="Cambria" w:hAnsi="Cambria"/>
          <w:sz w:val="22"/>
          <w:szCs w:val="22"/>
        </w:rPr>
        <w:t xml:space="preserve"> choice</w:t>
      </w:r>
      <w:r w:rsidR="006151A2" w:rsidRPr="00C20EC5">
        <w:rPr>
          <w:rFonts w:ascii="Cambria" w:hAnsi="Cambria"/>
          <w:sz w:val="22"/>
          <w:szCs w:val="22"/>
        </w:rPr>
        <w:t xml:space="preserve">s with respect to </w:t>
      </w:r>
      <w:r w:rsidR="00015EA7" w:rsidRPr="00C20EC5">
        <w:rPr>
          <w:rFonts w:ascii="Cambria" w:hAnsi="Cambria"/>
          <w:sz w:val="22"/>
          <w:szCs w:val="22"/>
        </w:rPr>
        <w:t>the poverty alleviation and consumption</w:t>
      </w:r>
      <w:r w:rsidR="00A86FD4">
        <w:rPr>
          <w:rFonts w:ascii="Cambria" w:hAnsi="Cambria"/>
          <w:sz w:val="22"/>
          <w:szCs w:val="22"/>
        </w:rPr>
        <w:t>-</w:t>
      </w:r>
      <w:r w:rsidR="00015EA7" w:rsidRPr="00C20EC5">
        <w:rPr>
          <w:rFonts w:ascii="Cambria" w:hAnsi="Cambria"/>
          <w:sz w:val="22"/>
          <w:szCs w:val="22"/>
        </w:rPr>
        <w:t xml:space="preserve">smoothing functions of the </w:t>
      </w:r>
      <w:r w:rsidR="006151A2" w:rsidRPr="00C20EC5">
        <w:rPr>
          <w:rFonts w:ascii="Cambria" w:hAnsi="Cambria"/>
          <w:sz w:val="22"/>
          <w:szCs w:val="22"/>
        </w:rPr>
        <w:t>pension system</w:t>
      </w:r>
      <w:r w:rsidR="005965E4" w:rsidRPr="00C20EC5">
        <w:rPr>
          <w:rFonts w:ascii="Cambria" w:hAnsi="Cambria"/>
          <w:sz w:val="22"/>
          <w:szCs w:val="22"/>
        </w:rPr>
        <w:t>.</w:t>
      </w:r>
      <w:r w:rsidR="0009237B" w:rsidRPr="00C20EC5">
        <w:rPr>
          <w:rFonts w:ascii="Cambria" w:hAnsi="Cambria"/>
          <w:sz w:val="22"/>
          <w:szCs w:val="22"/>
        </w:rPr>
        <w:t xml:space="preserve"> </w:t>
      </w:r>
    </w:p>
    <w:p w14:paraId="3B99C0EF" w14:textId="77777777" w:rsidR="00AF319A" w:rsidRPr="004F666F" w:rsidRDefault="00D63008" w:rsidP="00876F35">
      <w:pPr>
        <w:numPr>
          <w:ilvl w:val="0"/>
          <w:numId w:val="3"/>
        </w:numPr>
        <w:spacing w:before="240" w:after="240"/>
        <w:jc w:val="both"/>
        <w:rPr>
          <w:rFonts w:ascii="Cambria" w:hAnsi="Cambria"/>
        </w:rPr>
      </w:pPr>
      <w:r w:rsidRPr="004F666F">
        <w:rPr>
          <w:rFonts w:ascii="Cambria" w:hAnsi="Cambria"/>
          <w:b/>
          <w:sz w:val="22"/>
          <w:szCs w:val="22"/>
        </w:rPr>
        <w:t xml:space="preserve">One alternative </w:t>
      </w:r>
      <w:r w:rsidR="009156E4" w:rsidRPr="004F666F">
        <w:rPr>
          <w:rFonts w:ascii="Cambria" w:hAnsi="Cambria"/>
          <w:b/>
          <w:sz w:val="22"/>
          <w:szCs w:val="22"/>
        </w:rPr>
        <w:t>approach</w:t>
      </w:r>
      <w:r w:rsidRPr="004F666F">
        <w:rPr>
          <w:rFonts w:ascii="Cambria" w:hAnsi="Cambria"/>
          <w:b/>
          <w:sz w:val="22"/>
          <w:szCs w:val="22"/>
        </w:rPr>
        <w:t xml:space="preserve"> would be an introduction of parametric </w:t>
      </w:r>
      <w:r w:rsidR="00D37E76" w:rsidRPr="004F666F">
        <w:rPr>
          <w:rFonts w:ascii="Cambria" w:hAnsi="Cambria"/>
          <w:b/>
          <w:sz w:val="22"/>
          <w:szCs w:val="22"/>
        </w:rPr>
        <w:t>reforms</w:t>
      </w:r>
      <w:r w:rsidRPr="004F666F">
        <w:rPr>
          <w:rFonts w:ascii="Cambria" w:hAnsi="Cambria"/>
          <w:b/>
          <w:sz w:val="22"/>
          <w:szCs w:val="22"/>
        </w:rPr>
        <w:t xml:space="preserve"> </w:t>
      </w:r>
      <w:r w:rsidR="009156E4" w:rsidRPr="004F666F">
        <w:rPr>
          <w:rFonts w:ascii="Cambria" w:hAnsi="Cambria"/>
          <w:b/>
          <w:sz w:val="22"/>
          <w:szCs w:val="22"/>
        </w:rPr>
        <w:t>to</w:t>
      </w:r>
      <w:r w:rsidRPr="004F666F">
        <w:rPr>
          <w:rFonts w:ascii="Cambria" w:hAnsi="Cambria"/>
          <w:b/>
          <w:sz w:val="22"/>
          <w:szCs w:val="22"/>
        </w:rPr>
        <w:t xml:space="preserve"> the existing </w:t>
      </w:r>
      <w:r w:rsidR="00D37E76" w:rsidRPr="004F666F">
        <w:rPr>
          <w:rFonts w:ascii="Cambria" w:hAnsi="Cambria"/>
          <w:b/>
          <w:sz w:val="22"/>
          <w:szCs w:val="22"/>
        </w:rPr>
        <w:t>contributory system combined with reforming the basic and social pension</w:t>
      </w:r>
      <w:r w:rsidR="00612301" w:rsidRPr="004F666F">
        <w:rPr>
          <w:rFonts w:ascii="Cambria" w:hAnsi="Cambria"/>
          <w:b/>
          <w:sz w:val="22"/>
          <w:szCs w:val="22"/>
        </w:rPr>
        <w:t>s</w:t>
      </w:r>
      <w:r w:rsidR="00D37E76" w:rsidRPr="004F666F">
        <w:rPr>
          <w:rFonts w:ascii="Cambria" w:hAnsi="Cambria"/>
          <w:b/>
          <w:sz w:val="22"/>
          <w:szCs w:val="22"/>
        </w:rPr>
        <w:t>.</w:t>
      </w:r>
      <w:r w:rsidR="00612301" w:rsidRPr="00C20EC5">
        <w:rPr>
          <w:rFonts w:ascii="Cambria" w:hAnsi="Cambria"/>
          <w:sz w:val="22"/>
          <w:szCs w:val="22"/>
        </w:rPr>
        <w:t xml:space="preserve"> The proposed reform</w:t>
      </w:r>
      <w:r w:rsidR="00CF2E2F" w:rsidRPr="00C20EC5">
        <w:rPr>
          <w:rFonts w:ascii="Cambria" w:hAnsi="Cambria"/>
          <w:sz w:val="22"/>
          <w:szCs w:val="22"/>
        </w:rPr>
        <w:t>s</w:t>
      </w:r>
      <w:r w:rsidR="00612301" w:rsidRPr="00C20EC5">
        <w:rPr>
          <w:rFonts w:ascii="Cambria" w:hAnsi="Cambria"/>
          <w:sz w:val="22"/>
          <w:szCs w:val="22"/>
        </w:rPr>
        <w:t xml:space="preserve"> </w:t>
      </w:r>
      <w:r w:rsidR="00E72370" w:rsidRPr="00C20EC5">
        <w:rPr>
          <w:rFonts w:ascii="Cambria" w:hAnsi="Cambria"/>
          <w:sz w:val="22"/>
          <w:szCs w:val="22"/>
        </w:rPr>
        <w:t xml:space="preserve">ensure higher pensions </w:t>
      </w:r>
      <w:r w:rsidR="00AD7E50" w:rsidRPr="00C20EC5">
        <w:rPr>
          <w:rFonts w:ascii="Cambria" w:hAnsi="Cambria"/>
          <w:sz w:val="22"/>
          <w:szCs w:val="22"/>
        </w:rPr>
        <w:t xml:space="preserve">for the covered population </w:t>
      </w:r>
      <w:r w:rsidR="00E72370" w:rsidRPr="00C20EC5">
        <w:rPr>
          <w:rFonts w:ascii="Cambria" w:hAnsi="Cambria"/>
          <w:sz w:val="22"/>
          <w:szCs w:val="22"/>
        </w:rPr>
        <w:t xml:space="preserve">and </w:t>
      </w:r>
      <w:r w:rsidR="00A86FD4">
        <w:rPr>
          <w:rFonts w:ascii="Cambria" w:hAnsi="Cambria"/>
          <w:sz w:val="22"/>
          <w:szCs w:val="22"/>
        </w:rPr>
        <w:t xml:space="preserve">a </w:t>
      </w:r>
      <w:r w:rsidR="00E72370" w:rsidRPr="00C20EC5">
        <w:rPr>
          <w:rFonts w:ascii="Cambria" w:hAnsi="Cambria"/>
          <w:sz w:val="22"/>
          <w:szCs w:val="22"/>
        </w:rPr>
        <w:t>closer link between contributions and pension amount</w:t>
      </w:r>
      <w:r w:rsidR="00A86FD4">
        <w:rPr>
          <w:rFonts w:ascii="Cambria" w:hAnsi="Cambria"/>
          <w:sz w:val="22"/>
          <w:szCs w:val="22"/>
        </w:rPr>
        <w:t>s</w:t>
      </w:r>
      <w:r w:rsidR="00E72370" w:rsidRPr="00C20EC5">
        <w:rPr>
          <w:rFonts w:ascii="Cambria" w:hAnsi="Cambria"/>
          <w:sz w:val="22"/>
          <w:szCs w:val="22"/>
        </w:rPr>
        <w:t xml:space="preserve">, </w:t>
      </w:r>
      <w:r w:rsidR="00575138" w:rsidRPr="00C20EC5">
        <w:rPr>
          <w:rFonts w:ascii="Cambria" w:hAnsi="Cambria"/>
          <w:sz w:val="22"/>
          <w:szCs w:val="22"/>
        </w:rPr>
        <w:t xml:space="preserve">boost revenues and reduce expenditures by </w:t>
      </w:r>
      <w:r w:rsidR="00E72370" w:rsidRPr="00C20EC5">
        <w:rPr>
          <w:rFonts w:ascii="Cambria" w:hAnsi="Cambria"/>
          <w:sz w:val="22"/>
          <w:szCs w:val="22"/>
        </w:rPr>
        <w:t>improv</w:t>
      </w:r>
      <w:r w:rsidR="00575138" w:rsidRPr="00C20EC5">
        <w:rPr>
          <w:rFonts w:ascii="Cambria" w:hAnsi="Cambria"/>
          <w:sz w:val="22"/>
          <w:szCs w:val="22"/>
        </w:rPr>
        <w:t>ing</w:t>
      </w:r>
      <w:r w:rsidR="00E72370" w:rsidRPr="00C20EC5">
        <w:rPr>
          <w:rFonts w:ascii="Cambria" w:hAnsi="Cambria"/>
          <w:sz w:val="22"/>
          <w:szCs w:val="22"/>
        </w:rPr>
        <w:t xml:space="preserve"> </w:t>
      </w:r>
      <w:r w:rsidR="0012409F" w:rsidRPr="00C20EC5">
        <w:rPr>
          <w:rFonts w:ascii="Cambria" w:hAnsi="Cambria"/>
          <w:sz w:val="22"/>
          <w:szCs w:val="22"/>
        </w:rPr>
        <w:t xml:space="preserve">pension </w:t>
      </w:r>
      <w:r w:rsidR="00E72370" w:rsidRPr="00C20EC5">
        <w:rPr>
          <w:rFonts w:ascii="Cambria" w:hAnsi="Cambria"/>
          <w:sz w:val="22"/>
          <w:szCs w:val="22"/>
        </w:rPr>
        <w:t>system demographics</w:t>
      </w:r>
      <w:r w:rsidR="00575138" w:rsidRPr="00C20EC5">
        <w:rPr>
          <w:rFonts w:ascii="Cambria" w:hAnsi="Cambria"/>
          <w:sz w:val="22"/>
          <w:szCs w:val="22"/>
        </w:rPr>
        <w:t xml:space="preserve">, </w:t>
      </w:r>
      <w:r w:rsidR="009156E4" w:rsidRPr="00C20EC5">
        <w:rPr>
          <w:rFonts w:ascii="Cambria" w:hAnsi="Cambria"/>
          <w:sz w:val="22"/>
          <w:szCs w:val="22"/>
        </w:rPr>
        <w:t>provide better protection to the uncovered population</w:t>
      </w:r>
      <w:r w:rsidR="00A86FD4">
        <w:rPr>
          <w:rFonts w:ascii="Cambria" w:hAnsi="Cambria"/>
          <w:sz w:val="22"/>
          <w:szCs w:val="22"/>
        </w:rPr>
        <w:t>,</w:t>
      </w:r>
      <w:r w:rsidR="009156E4" w:rsidRPr="00C20EC5">
        <w:rPr>
          <w:rFonts w:ascii="Cambria" w:hAnsi="Cambria"/>
          <w:sz w:val="22"/>
          <w:szCs w:val="22"/>
        </w:rPr>
        <w:t xml:space="preserve"> </w:t>
      </w:r>
      <w:r w:rsidR="00A86FD4">
        <w:rPr>
          <w:rFonts w:ascii="Cambria" w:hAnsi="Cambria"/>
          <w:sz w:val="22"/>
          <w:szCs w:val="22"/>
        </w:rPr>
        <w:t>and</w:t>
      </w:r>
      <w:r w:rsidR="00575138" w:rsidRPr="00C20EC5">
        <w:rPr>
          <w:rFonts w:ascii="Cambria" w:hAnsi="Cambria"/>
          <w:sz w:val="22"/>
          <w:szCs w:val="22"/>
        </w:rPr>
        <w:t xml:space="preserve"> contain the cost to the government</w:t>
      </w:r>
      <w:r w:rsidR="00AD7E50" w:rsidRPr="00C20EC5">
        <w:rPr>
          <w:rFonts w:ascii="Cambria" w:hAnsi="Cambria"/>
          <w:sz w:val="22"/>
          <w:szCs w:val="22"/>
        </w:rPr>
        <w:t>.</w:t>
      </w:r>
      <w:r w:rsidR="00957D7A" w:rsidRPr="00C20EC5">
        <w:rPr>
          <w:rFonts w:ascii="Cambria" w:hAnsi="Cambria"/>
          <w:sz w:val="22"/>
          <w:szCs w:val="22"/>
        </w:rPr>
        <w:t xml:space="preserve"> </w:t>
      </w:r>
    </w:p>
    <w:p w14:paraId="421EFEA7" w14:textId="148B6B1E" w:rsidR="00510BCF" w:rsidRPr="00C20EC5" w:rsidRDefault="00957D7A" w:rsidP="00876F35">
      <w:pPr>
        <w:numPr>
          <w:ilvl w:val="0"/>
          <w:numId w:val="3"/>
        </w:numPr>
        <w:spacing w:before="240" w:after="240"/>
        <w:jc w:val="both"/>
        <w:rPr>
          <w:rFonts w:ascii="Cambria" w:hAnsi="Cambria"/>
        </w:rPr>
      </w:pPr>
      <w:r w:rsidRPr="004F666F">
        <w:rPr>
          <w:rFonts w:ascii="Cambria" w:hAnsi="Cambria"/>
          <w:b/>
          <w:sz w:val="22"/>
          <w:szCs w:val="22"/>
        </w:rPr>
        <w:lastRenderedPageBreak/>
        <w:t xml:space="preserve">Another alternative would be moving to a noncontributory system </w:t>
      </w:r>
      <w:r w:rsidR="0054785D" w:rsidRPr="004F666F">
        <w:rPr>
          <w:rFonts w:ascii="Cambria" w:hAnsi="Cambria"/>
          <w:b/>
          <w:sz w:val="22"/>
          <w:szCs w:val="22"/>
        </w:rPr>
        <w:t>with a modest flat universal benefit</w:t>
      </w:r>
      <w:r w:rsidR="0054785D" w:rsidRPr="00C20EC5">
        <w:rPr>
          <w:rFonts w:ascii="Cambria" w:hAnsi="Cambria"/>
          <w:sz w:val="22"/>
          <w:szCs w:val="22"/>
        </w:rPr>
        <w:t xml:space="preserve">. </w:t>
      </w:r>
      <w:r w:rsidR="0013764C" w:rsidRPr="00C20EC5">
        <w:rPr>
          <w:rFonts w:ascii="Cambria" w:hAnsi="Cambria"/>
          <w:sz w:val="22"/>
          <w:szCs w:val="22"/>
        </w:rPr>
        <w:t xml:space="preserve">Under this approach the public pension system will </w:t>
      </w:r>
      <w:r w:rsidR="0054785D" w:rsidRPr="00C20EC5">
        <w:rPr>
          <w:rFonts w:ascii="Cambria" w:hAnsi="Cambria"/>
          <w:sz w:val="22"/>
          <w:szCs w:val="22"/>
        </w:rPr>
        <w:t>provide only basic income</w:t>
      </w:r>
      <w:r w:rsidR="0013764C" w:rsidRPr="00C20EC5">
        <w:rPr>
          <w:rFonts w:ascii="Cambria" w:hAnsi="Cambria"/>
          <w:sz w:val="22"/>
          <w:szCs w:val="22"/>
        </w:rPr>
        <w:t xml:space="preserve"> </w:t>
      </w:r>
      <w:r w:rsidR="00CF3F63" w:rsidRPr="00C20EC5">
        <w:rPr>
          <w:rFonts w:ascii="Cambria" w:hAnsi="Cambria"/>
          <w:sz w:val="22"/>
          <w:szCs w:val="22"/>
        </w:rPr>
        <w:t xml:space="preserve">and </w:t>
      </w:r>
      <w:r w:rsidR="001F3532" w:rsidRPr="00C20EC5">
        <w:rPr>
          <w:rFonts w:ascii="Cambria" w:hAnsi="Cambria"/>
          <w:sz w:val="22"/>
          <w:szCs w:val="22"/>
        </w:rPr>
        <w:t xml:space="preserve">the </w:t>
      </w:r>
      <w:r w:rsidR="0013764C" w:rsidRPr="00C20EC5">
        <w:rPr>
          <w:rFonts w:ascii="Cambria" w:hAnsi="Cambria"/>
          <w:sz w:val="22"/>
          <w:szCs w:val="22"/>
        </w:rPr>
        <w:t xml:space="preserve">public pension spending </w:t>
      </w:r>
      <w:r w:rsidR="00CF3F63" w:rsidRPr="00C20EC5">
        <w:rPr>
          <w:rFonts w:ascii="Cambria" w:hAnsi="Cambria"/>
          <w:sz w:val="22"/>
          <w:szCs w:val="22"/>
        </w:rPr>
        <w:t xml:space="preserve">may be reduced </w:t>
      </w:r>
      <w:r w:rsidR="0013764C" w:rsidRPr="00C20EC5">
        <w:rPr>
          <w:rFonts w:ascii="Cambria" w:hAnsi="Cambria"/>
          <w:sz w:val="22"/>
          <w:szCs w:val="22"/>
        </w:rPr>
        <w:t>dramatically</w:t>
      </w:r>
      <w:r w:rsidR="00EB77ED" w:rsidRPr="00C20EC5">
        <w:rPr>
          <w:rFonts w:ascii="Cambria" w:hAnsi="Cambria"/>
          <w:sz w:val="22"/>
          <w:szCs w:val="22"/>
        </w:rPr>
        <w:t>; at the same time, this would create room and incentives for private savings for retirement.</w:t>
      </w:r>
      <w:r w:rsidR="00510BCF" w:rsidRPr="00C20EC5">
        <w:rPr>
          <w:rFonts w:ascii="Cambria" w:hAnsi="Cambria"/>
        </w:rPr>
        <w:br w:type="page"/>
      </w:r>
    </w:p>
    <w:p w14:paraId="3A1C1D24" w14:textId="65F5B90A" w:rsidR="00246808" w:rsidRPr="00C20EC5" w:rsidRDefault="002F2F3D" w:rsidP="002F2F3D">
      <w:pPr>
        <w:pStyle w:val="Caption"/>
        <w:rPr>
          <w:b w:val="0"/>
        </w:rPr>
      </w:pPr>
      <w:bookmarkStart w:id="37" w:name="_Toc378163789"/>
      <w:r>
        <w:lastRenderedPageBreak/>
        <w:t xml:space="preserve">Annex </w:t>
      </w:r>
      <w:r w:rsidR="00C646A3">
        <w:fldChar w:fldCharType="begin"/>
      </w:r>
      <w:r w:rsidR="00C646A3">
        <w:instrText xml:space="preserve"> SEQ Annex \* ARABIC </w:instrText>
      </w:r>
      <w:r w:rsidR="00C646A3">
        <w:fldChar w:fldCharType="separate"/>
      </w:r>
      <w:r w:rsidR="00C646A3">
        <w:rPr>
          <w:noProof/>
        </w:rPr>
        <w:t>1</w:t>
      </w:r>
      <w:r w:rsidR="00C646A3">
        <w:rPr>
          <w:noProof/>
        </w:rPr>
        <w:fldChar w:fldCharType="end"/>
      </w:r>
      <w:r>
        <w:t xml:space="preserve">. </w:t>
      </w:r>
      <w:r w:rsidR="00246808" w:rsidRPr="002F2F3D">
        <w:t xml:space="preserve">Main Parameters of the Kyrgyz </w:t>
      </w:r>
      <w:r w:rsidR="00A72C05">
        <w:t xml:space="preserve">Contributory </w:t>
      </w:r>
      <w:r w:rsidR="00246808" w:rsidRPr="002F2F3D">
        <w:t>Pension System</w:t>
      </w:r>
      <w:bookmarkEnd w:id="37"/>
    </w:p>
    <w:tbl>
      <w:tblPr>
        <w:tblStyle w:val="TableGrid"/>
        <w:tblW w:w="0" w:type="auto"/>
        <w:tblLook w:val="04A0" w:firstRow="1" w:lastRow="0" w:firstColumn="1" w:lastColumn="0" w:noHBand="0" w:noVBand="1"/>
      </w:tblPr>
      <w:tblGrid>
        <w:gridCol w:w="2116"/>
        <w:gridCol w:w="1844"/>
        <w:gridCol w:w="1843"/>
        <w:gridCol w:w="1886"/>
        <w:gridCol w:w="1887"/>
      </w:tblGrid>
      <w:tr w:rsidR="00246808" w:rsidRPr="002F2F3D" w14:paraId="384497A2" w14:textId="77777777" w:rsidTr="002F2F3D">
        <w:trPr>
          <w:trHeight w:val="259"/>
        </w:trPr>
        <w:tc>
          <w:tcPr>
            <w:tcW w:w="2116" w:type="dxa"/>
          </w:tcPr>
          <w:p w14:paraId="6396CB10" w14:textId="77777777" w:rsidR="00246808" w:rsidRPr="002F2F3D" w:rsidRDefault="00246808" w:rsidP="002F2F3D">
            <w:pPr>
              <w:spacing w:after="240"/>
              <w:rPr>
                <w:rFonts w:ascii="Cambria" w:hAnsi="Cambria"/>
              </w:rPr>
            </w:pPr>
            <w:r w:rsidRPr="002F2F3D">
              <w:rPr>
                <w:rFonts w:ascii="Cambria" w:hAnsi="Cambria"/>
              </w:rPr>
              <w:t>Parameters</w:t>
            </w:r>
          </w:p>
        </w:tc>
        <w:tc>
          <w:tcPr>
            <w:tcW w:w="1844" w:type="dxa"/>
          </w:tcPr>
          <w:p w14:paraId="2AF90E9D" w14:textId="77777777" w:rsidR="00246808" w:rsidRPr="002F2F3D" w:rsidRDefault="00246808" w:rsidP="002F2F3D">
            <w:pPr>
              <w:spacing w:after="240"/>
              <w:rPr>
                <w:rFonts w:ascii="Cambria" w:hAnsi="Cambria"/>
              </w:rPr>
            </w:pPr>
            <w:r w:rsidRPr="002F2F3D">
              <w:rPr>
                <w:rFonts w:ascii="Cambria" w:hAnsi="Cambria"/>
              </w:rPr>
              <w:t>Basic pension</w:t>
            </w:r>
          </w:p>
        </w:tc>
        <w:tc>
          <w:tcPr>
            <w:tcW w:w="1843" w:type="dxa"/>
          </w:tcPr>
          <w:p w14:paraId="2FB262CB" w14:textId="77777777" w:rsidR="00246808" w:rsidRPr="002F2F3D" w:rsidRDefault="00246808" w:rsidP="002F2F3D">
            <w:pPr>
              <w:spacing w:after="240"/>
              <w:rPr>
                <w:rFonts w:ascii="Cambria" w:hAnsi="Cambria"/>
              </w:rPr>
            </w:pPr>
            <w:r w:rsidRPr="002F2F3D">
              <w:rPr>
                <w:rFonts w:ascii="Cambria" w:hAnsi="Cambria"/>
              </w:rPr>
              <w:t>PAYG Defined Benefit – pension rights accrued prior to 1996 (SP1)</w:t>
            </w:r>
          </w:p>
        </w:tc>
        <w:tc>
          <w:tcPr>
            <w:tcW w:w="1886" w:type="dxa"/>
          </w:tcPr>
          <w:p w14:paraId="6984E3B4" w14:textId="77777777" w:rsidR="00246808" w:rsidRPr="002F2F3D" w:rsidRDefault="00246808" w:rsidP="002F2F3D">
            <w:pPr>
              <w:spacing w:after="240"/>
              <w:rPr>
                <w:rFonts w:ascii="Cambria" w:hAnsi="Cambria"/>
              </w:rPr>
            </w:pPr>
            <w:r w:rsidRPr="002F2F3D">
              <w:rPr>
                <w:rFonts w:ascii="Cambria" w:hAnsi="Cambria"/>
              </w:rPr>
              <w:t>Notional Defined Contributions (SP2)</w:t>
            </w:r>
          </w:p>
        </w:tc>
        <w:tc>
          <w:tcPr>
            <w:tcW w:w="1887" w:type="dxa"/>
          </w:tcPr>
          <w:p w14:paraId="2A20680E" w14:textId="77777777" w:rsidR="00246808" w:rsidRPr="002F2F3D" w:rsidRDefault="00246808" w:rsidP="002F2F3D">
            <w:pPr>
              <w:spacing w:after="240"/>
              <w:rPr>
                <w:rFonts w:ascii="Cambria" w:hAnsi="Cambria"/>
              </w:rPr>
            </w:pPr>
            <w:r w:rsidRPr="002F2F3D">
              <w:rPr>
                <w:rFonts w:ascii="Cambria" w:hAnsi="Cambria"/>
              </w:rPr>
              <w:t>Fully Funded Defined Contributions</w:t>
            </w:r>
          </w:p>
        </w:tc>
      </w:tr>
      <w:tr w:rsidR="00246808" w:rsidRPr="002F2F3D" w14:paraId="15D26184" w14:textId="77777777" w:rsidTr="002F2F3D">
        <w:trPr>
          <w:trHeight w:val="259"/>
        </w:trPr>
        <w:tc>
          <w:tcPr>
            <w:tcW w:w="2116" w:type="dxa"/>
          </w:tcPr>
          <w:p w14:paraId="3A7A04AF" w14:textId="77777777" w:rsidR="00246808" w:rsidRPr="002F2F3D" w:rsidRDefault="00246808" w:rsidP="002F2F3D">
            <w:pPr>
              <w:spacing w:after="240"/>
              <w:rPr>
                <w:rFonts w:ascii="Cambria" w:hAnsi="Cambria"/>
              </w:rPr>
            </w:pPr>
            <w:r w:rsidRPr="002F2F3D">
              <w:rPr>
                <w:rFonts w:ascii="Cambria" w:hAnsi="Cambria"/>
              </w:rPr>
              <w:t>Contributions (employer/employee)</w:t>
            </w:r>
          </w:p>
        </w:tc>
        <w:tc>
          <w:tcPr>
            <w:tcW w:w="1844" w:type="dxa"/>
          </w:tcPr>
          <w:p w14:paraId="76127773" w14:textId="77777777" w:rsidR="00246808" w:rsidRPr="002F2F3D" w:rsidRDefault="00246808" w:rsidP="002F2F3D">
            <w:pPr>
              <w:rPr>
                <w:rFonts w:ascii="Cambria" w:hAnsi="Cambria"/>
              </w:rPr>
            </w:pPr>
            <w:r w:rsidRPr="002F2F3D">
              <w:rPr>
                <w:rFonts w:ascii="Cambria" w:hAnsi="Cambria"/>
              </w:rPr>
              <w:t>Fully financed from the state budget from 2014</w:t>
            </w:r>
          </w:p>
          <w:p w14:paraId="3D7D7ABA" w14:textId="77777777" w:rsidR="00246808" w:rsidRPr="002F2F3D" w:rsidRDefault="00246808" w:rsidP="002F2F3D">
            <w:pPr>
              <w:rPr>
                <w:rFonts w:ascii="Cambria" w:hAnsi="Cambria"/>
              </w:rPr>
            </w:pPr>
            <w:r w:rsidRPr="002F2F3D">
              <w:rPr>
                <w:rFonts w:ascii="Cambria" w:hAnsi="Cambria"/>
              </w:rPr>
              <w:t>(government’s share increases by 20% per year from 2010)</w:t>
            </w:r>
          </w:p>
        </w:tc>
        <w:tc>
          <w:tcPr>
            <w:tcW w:w="3729" w:type="dxa"/>
            <w:gridSpan w:val="2"/>
          </w:tcPr>
          <w:p w14:paraId="11DA0678" w14:textId="77777777" w:rsidR="00246808" w:rsidRPr="002F2F3D" w:rsidRDefault="00246808" w:rsidP="002F2F3D">
            <w:pPr>
              <w:rPr>
                <w:rFonts w:ascii="Cambria" w:hAnsi="Cambria"/>
              </w:rPr>
            </w:pPr>
            <w:r w:rsidRPr="002F2F3D">
              <w:rPr>
                <w:rFonts w:ascii="Cambria" w:hAnsi="Cambria"/>
                <w:u w:val="single"/>
              </w:rPr>
              <w:t>Employed in the formal sector</w:t>
            </w:r>
            <w:r w:rsidRPr="002F2F3D">
              <w:rPr>
                <w:rFonts w:ascii="Cambria" w:hAnsi="Cambria"/>
              </w:rPr>
              <w:t>:</w:t>
            </w:r>
          </w:p>
          <w:p w14:paraId="7436D559" w14:textId="73376005" w:rsidR="00246808" w:rsidRPr="002F2F3D" w:rsidRDefault="00246808" w:rsidP="002F2F3D">
            <w:pPr>
              <w:rPr>
                <w:rFonts w:ascii="Cambria" w:hAnsi="Cambria"/>
              </w:rPr>
            </w:pPr>
            <w:r w:rsidRPr="002F2F3D">
              <w:rPr>
                <w:rFonts w:ascii="Cambria" w:hAnsi="Cambria"/>
              </w:rPr>
              <w:t>Born in/after 1964/1969 (men/women) – 15%</w:t>
            </w:r>
            <w:r w:rsidR="00B8666C">
              <w:rPr>
                <w:rFonts w:ascii="Cambria" w:hAnsi="Cambria"/>
              </w:rPr>
              <w:t>+</w:t>
            </w:r>
            <w:r w:rsidRPr="002F2F3D">
              <w:rPr>
                <w:rFonts w:ascii="Cambria" w:hAnsi="Cambria"/>
              </w:rPr>
              <w:t>8% (20% credited to NDC accounts);</w:t>
            </w:r>
          </w:p>
          <w:p w14:paraId="76A3BA87" w14:textId="2E6B90BC" w:rsidR="00246808" w:rsidRPr="002F2F3D" w:rsidRDefault="00246808" w:rsidP="002F2F3D">
            <w:pPr>
              <w:rPr>
                <w:rFonts w:ascii="Cambria" w:hAnsi="Cambria"/>
              </w:rPr>
            </w:pPr>
            <w:r w:rsidRPr="002F2F3D">
              <w:rPr>
                <w:rFonts w:ascii="Cambria" w:hAnsi="Cambria"/>
              </w:rPr>
              <w:t>Born before 1964/1969 – 15%</w:t>
            </w:r>
            <w:r w:rsidR="00B8666C">
              <w:rPr>
                <w:rFonts w:ascii="Cambria" w:hAnsi="Cambria"/>
              </w:rPr>
              <w:t>+</w:t>
            </w:r>
            <w:r w:rsidRPr="002F2F3D">
              <w:rPr>
                <w:rFonts w:ascii="Cambria" w:hAnsi="Cambria"/>
              </w:rPr>
              <w:t>10% (22% credited to NDC accounts).</w:t>
            </w:r>
          </w:p>
          <w:p w14:paraId="0237CF59" w14:textId="77777777" w:rsidR="00246808" w:rsidRPr="002F2F3D" w:rsidRDefault="00246808" w:rsidP="002F2F3D">
            <w:pPr>
              <w:rPr>
                <w:rFonts w:ascii="Cambria" w:hAnsi="Cambria"/>
              </w:rPr>
            </w:pPr>
            <w:r w:rsidRPr="002F2F3D">
              <w:rPr>
                <w:rFonts w:ascii="Cambria" w:hAnsi="Cambria"/>
                <w:u w:val="single"/>
              </w:rPr>
              <w:t>Self-employed</w:t>
            </w:r>
            <w:r w:rsidRPr="002F2F3D">
              <w:rPr>
                <w:rFonts w:ascii="Cambria" w:hAnsi="Cambria"/>
              </w:rPr>
              <w:t>: 8% of the regional average wage.</w:t>
            </w:r>
          </w:p>
          <w:p w14:paraId="321A3803" w14:textId="77777777" w:rsidR="00246808" w:rsidRPr="002F2F3D" w:rsidRDefault="00246808" w:rsidP="002F2F3D">
            <w:pPr>
              <w:rPr>
                <w:rFonts w:ascii="Cambria" w:hAnsi="Cambria"/>
              </w:rPr>
            </w:pPr>
            <w:r w:rsidRPr="002F2F3D">
              <w:rPr>
                <w:rFonts w:ascii="Cambria" w:hAnsi="Cambria"/>
                <w:u w:val="single"/>
              </w:rPr>
              <w:t>Farmers</w:t>
            </w:r>
            <w:r w:rsidRPr="002F2F3D">
              <w:rPr>
                <w:rFonts w:ascii="Cambria" w:hAnsi="Cambria"/>
              </w:rPr>
              <w:t>: 91.7% of the land tax</w:t>
            </w:r>
          </w:p>
          <w:p w14:paraId="32E3AB27" w14:textId="77777777" w:rsidR="00246808" w:rsidRPr="002F2F3D" w:rsidRDefault="00246808" w:rsidP="002F2F3D">
            <w:pPr>
              <w:rPr>
                <w:rFonts w:ascii="Cambria" w:hAnsi="Cambria"/>
              </w:rPr>
            </w:pPr>
          </w:p>
        </w:tc>
        <w:tc>
          <w:tcPr>
            <w:tcW w:w="1887" w:type="dxa"/>
          </w:tcPr>
          <w:p w14:paraId="6329BC66" w14:textId="77777777" w:rsidR="00246808" w:rsidRPr="002F2F3D" w:rsidRDefault="00246808" w:rsidP="002F2F3D">
            <w:pPr>
              <w:rPr>
                <w:rFonts w:ascii="Cambria" w:hAnsi="Cambria"/>
              </w:rPr>
            </w:pPr>
            <w:r w:rsidRPr="002F2F3D">
              <w:rPr>
                <w:rFonts w:ascii="Cambria" w:hAnsi="Cambria"/>
                <w:u w:val="single"/>
              </w:rPr>
              <w:t>Employed in the formal sector</w:t>
            </w:r>
            <w:r w:rsidRPr="002F2F3D">
              <w:rPr>
                <w:rFonts w:ascii="Cambria" w:hAnsi="Cambria"/>
              </w:rPr>
              <w:t>:</w:t>
            </w:r>
          </w:p>
          <w:p w14:paraId="532D8EF6" w14:textId="77777777" w:rsidR="00246808" w:rsidRPr="002F2F3D" w:rsidRDefault="00246808" w:rsidP="002F2F3D">
            <w:pPr>
              <w:spacing w:after="240"/>
              <w:rPr>
                <w:rFonts w:ascii="Cambria" w:hAnsi="Cambria"/>
              </w:rPr>
            </w:pPr>
            <w:r w:rsidRPr="002F2F3D">
              <w:rPr>
                <w:rFonts w:ascii="Cambria" w:hAnsi="Cambria"/>
              </w:rPr>
              <w:t>Born in/after 1964/1969 – 2% (paid by employee)</w:t>
            </w:r>
          </w:p>
        </w:tc>
      </w:tr>
      <w:tr w:rsidR="00246808" w:rsidRPr="002F2F3D" w14:paraId="4B79A6F7" w14:textId="77777777" w:rsidTr="002F2F3D">
        <w:trPr>
          <w:trHeight w:val="259"/>
        </w:trPr>
        <w:tc>
          <w:tcPr>
            <w:tcW w:w="2116" w:type="dxa"/>
          </w:tcPr>
          <w:p w14:paraId="42F3B8E1" w14:textId="77777777" w:rsidR="00246808" w:rsidRPr="002F2F3D" w:rsidRDefault="00246808" w:rsidP="002F2F3D">
            <w:pPr>
              <w:spacing w:after="240"/>
              <w:rPr>
                <w:rFonts w:ascii="Cambria" w:hAnsi="Cambria"/>
              </w:rPr>
            </w:pPr>
            <w:r w:rsidRPr="002F2F3D">
              <w:rPr>
                <w:rFonts w:ascii="Cambria" w:hAnsi="Cambria"/>
              </w:rPr>
              <w:t>Retirement age (men/women)</w:t>
            </w:r>
          </w:p>
        </w:tc>
        <w:tc>
          <w:tcPr>
            <w:tcW w:w="7460" w:type="dxa"/>
            <w:gridSpan w:val="4"/>
          </w:tcPr>
          <w:p w14:paraId="1B0864DC" w14:textId="77777777" w:rsidR="00246808" w:rsidRPr="002F2F3D" w:rsidRDefault="00246808" w:rsidP="002F2F3D">
            <w:pPr>
              <w:rPr>
                <w:rFonts w:ascii="Cambria" w:hAnsi="Cambria"/>
              </w:rPr>
            </w:pPr>
            <w:r w:rsidRPr="002F2F3D">
              <w:rPr>
                <w:rFonts w:ascii="Cambria" w:hAnsi="Cambria"/>
              </w:rPr>
              <w:t xml:space="preserve">63/58 (gradually increased from 60/55 in 1999-2007); </w:t>
            </w:r>
          </w:p>
          <w:p w14:paraId="2C120C96" w14:textId="77777777" w:rsidR="00246808" w:rsidRPr="002F2F3D" w:rsidRDefault="00246808" w:rsidP="002F2F3D">
            <w:pPr>
              <w:rPr>
                <w:rFonts w:ascii="Cambria" w:hAnsi="Cambria"/>
              </w:rPr>
            </w:pPr>
            <w:r w:rsidRPr="002F2F3D">
              <w:rPr>
                <w:rFonts w:ascii="Cambria" w:hAnsi="Cambria"/>
              </w:rPr>
              <w:t>many provisions for early retirement; min retirement age 50/45</w:t>
            </w:r>
          </w:p>
        </w:tc>
      </w:tr>
      <w:tr w:rsidR="00246808" w:rsidRPr="002F2F3D" w14:paraId="29017D3E" w14:textId="77777777" w:rsidTr="002F2F3D">
        <w:trPr>
          <w:trHeight w:val="259"/>
        </w:trPr>
        <w:tc>
          <w:tcPr>
            <w:tcW w:w="2116" w:type="dxa"/>
          </w:tcPr>
          <w:p w14:paraId="15072EB8" w14:textId="77777777" w:rsidR="00246808" w:rsidRPr="002F2F3D" w:rsidRDefault="00246808" w:rsidP="002F2F3D">
            <w:pPr>
              <w:spacing w:after="240"/>
              <w:rPr>
                <w:rFonts w:ascii="Cambria" w:hAnsi="Cambria"/>
              </w:rPr>
            </w:pPr>
            <w:r w:rsidRPr="002F2F3D">
              <w:rPr>
                <w:rFonts w:ascii="Cambria" w:hAnsi="Cambria"/>
              </w:rPr>
              <w:t>Interest rate on contributions</w:t>
            </w:r>
          </w:p>
        </w:tc>
        <w:tc>
          <w:tcPr>
            <w:tcW w:w="1844" w:type="dxa"/>
          </w:tcPr>
          <w:p w14:paraId="4F980C47" w14:textId="77777777" w:rsidR="00246808" w:rsidRPr="002F2F3D" w:rsidRDefault="00246808" w:rsidP="002F2F3D">
            <w:pPr>
              <w:spacing w:after="240"/>
              <w:rPr>
                <w:rFonts w:ascii="Cambria" w:hAnsi="Cambria"/>
              </w:rPr>
            </w:pPr>
            <w:r w:rsidRPr="002F2F3D">
              <w:rPr>
                <w:rFonts w:ascii="Cambria" w:hAnsi="Cambria"/>
              </w:rPr>
              <w:t>n/a</w:t>
            </w:r>
          </w:p>
        </w:tc>
        <w:tc>
          <w:tcPr>
            <w:tcW w:w="1843" w:type="dxa"/>
          </w:tcPr>
          <w:p w14:paraId="171BEBEB" w14:textId="77777777" w:rsidR="00246808" w:rsidRPr="002F2F3D" w:rsidRDefault="00246808" w:rsidP="002F2F3D">
            <w:pPr>
              <w:spacing w:after="240"/>
              <w:rPr>
                <w:rFonts w:ascii="Cambria" w:hAnsi="Cambria"/>
              </w:rPr>
            </w:pPr>
            <w:r w:rsidRPr="002F2F3D">
              <w:rPr>
                <w:rFonts w:ascii="Cambria" w:hAnsi="Cambria"/>
              </w:rPr>
              <w:t>n/a</w:t>
            </w:r>
          </w:p>
        </w:tc>
        <w:tc>
          <w:tcPr>
            <w:tcW w:w="1886" w:type="dxa"/>
          </w:tcPr>
          <w:p w14:paraId="25364DF8" w14:textId="77777777" w:rsidR="00246808" w:rsidRPr="002F2F3D" w:rsidRDefault="00246808" w:rsidP="002F2F3D">
            <w:pPr>
              <w:spacing w:after="240"/>
              <w:rPr>
                <w:rFonts w:ascii="Cambria" w:hAnsi="Cambria"/>
              </w:rPr>
            </w:pPr>
            <w:r w:rsidRPr="002F2F3D">
              <w:rPr>
                <w:rFonts w:ascii="Cambria" w:hAnsi="Cambria"/>
              </w:rPr>
              <w:t>75% of average wage growth, applied only to current year contributions</w:t>
            </w:r>
          </w:p>
        </w:tc>
        <w:tc>
          <w:tcPr>
            <w:tcW w:w="1887" w:type="dxa"/>
          </w:tcPr>
          <w:p w14:paraId="2F59F464" w14:textId="77777777" w:rsidR="00246808" w:rsidRPr="002F2F3D" w:rsidRDefault="00246808" w:rsidP="002F2F3D">
            <w:pPr>
              <w:spacing w:after="240"/>
              <w:rPr>
                <w:rFonts w:ascii="Cambria" w:hAnsi="Cambria"/>
              </w:rPr>
            </w:pPr>
            <w:r w:rsidRPr="002F2F3D">
              <w:rPr>
                <w:rFonts w:ascii="Cambria" w:hAnsi="Cambria"/>
              </w:rPr>
              <w:t>Interest rate based on investment income of the pension fund</w:t>
            </w:r>
          </w:p>
        </w:tc>
      </w:tr>
      <w:tr w:rsidR="00246808" w:rsidRPr="002F2F3D" w14:paraId="29C529EF" w14:textId="77777777" w:rsidTr="002F2F3D">
        <w:trPr>
          <w:trHeight w:val="259"/>
        </w:trPr>
        <w:tc>
          <w:tcPr>
            <w:tcW w:w="2116" w:type="dxa"/>
          </w:tcPr>
          <w:p w14:paraId="392E6FFE" w14:textId="77777777" w:rsidR="00246808" w:rsidRPr="002F2F3D" w:rsidRDefault="00246808" w:rsidP="002F2F3D">
            <w:pPr>
              <w:spacing w:after="240"/>
              <w:rPr>
                <w:rFonts w:ascii="Cambria" w:hAnsi="Cambria"/>
              </w:rPr>
            </w:pPr>
            <w:r w:rsidRPr="002F2F3D">
              <w:rPr>
                <w:rFonts w:ascii="Cambria" w:hAnsi="Cambria"/>
              </w:rPr>
              <w:t>Benefit formula at retirement</w:t>
            </w:r>
          </w:p>
        </w:tc>
        <w:tc>
          <w:tcPr>
            <w:tcW w:w="1844" w:type="dxa"/>
          </w:tcPr>
          <w:p w14:paraId="458B2D27" w14:textId="77777777" w:rsidR="00246808" w:rsidRPr="002F2F3D" w:rsidRDefault="00246808" w:rsidP="002F2F3D">
            <w:pPr>
              <w:spacing w:after="240"/>
              <w:rPr>
                <w:rFonts w:ascii="Cambria" w:hAnsi="Cambria"/>
              </w:rPr>
            </w:pPr>
            <w:r w:rsidRPr="002F2F3D">
              <w:rPr>
                <w:rFonts w:ascii="Cambria" w:hAnsi="Cambria"/>
              </w:rPr>
              <w:t>Currently 12% of economy wide average wage (full benefit if 25/20 or more years of contributions; prorated if less)</w:t>
            </w:r>
          </w:p>
        </w:tc>
        <w:tc>
          <w:tcPr>
            <w:tcW w:w="1843" w:type="dxa"/>
          </w:tcPr>
          <w:p w14:paraId="07500EC2" w14:textId="77777777" w:rsidR="00246808" w:rsidRPr="002F2F3D" w:rsidRDefault="00246808" w:rsidP="002F2F3D">
            <w:pPr>
              <w:spacing w:after="240"/>
              <w:rPr>
                <w:rFonts w:ascii="Cambria" w:hAnsi="Cambria"/>
              </w:rPr>
            </w:pPr>
            <w:r w:rsidRPr="002F2F3D">
              <w:rPr>
                <w:rFonts w:ascii="Cambria" w:hAnsi="Cambria"/>
              </w:rPr>
              <w:t>Annual accrual rate=1% per year of contributions prior to 1996; income measure=best 5 year average prior to 1996</w:t>
            </w:r>
          </w:p>
        </w:tc>
        <w:tc>
          <w:tcPr>
            <w:tcW w:w="1886" w:type="dxa"/>
          </w:tcPr>
          <w:p w14:paraId="2552D6EF" w14:textId="77777777" w:rsidR="00246808" w:rsidRPr="002F2F3D" w:rsidRDefault="00246808" w:rsidP="002F2F3D">
            <w:pPr>
              <w:rPr>
                <w:rFonts w:ascii="Cambria" w:hAnsi="Cambria"/>
              </w:rPr>
            </w:pPr>
            <w:r w:rsidRPr="002F2F3D">
              <w:rPr>
                <w:rFonts w:ascii="Cambria" w:hAnsi="Cambria"/>
              </w:rPr>
              <w:t>Accumulated notional account balance</w:t>
            </w:r>
            <w:r w:rsidR="00EB471C" w:rsidRPr="002F2F3D">
              <w:rPr>
                <w:rFonts w:ascii="Cambria" w:hAnsi="Cambria"/>
              </w:rPr>
              <w:t>/</w:t>
            </w:r>
          </w:p>
          <w:p w14:paraId="760C59F9" w14:textId="77777777" w:rsidR="00246808" w:rsidRPr="002F2F3D" w:rsidRDefault="00246808" w:rsidP="002F2F3D">
            <w:pPr>
              <w:rPr>
                <w:rFonts w:ascii="Cambria" w:hAnsi="Cambria"/>
              </w:rPr>
            </w:pPr>
            <w:r w:rsidRPr="002F2F3D">
              <w:rPr>
                <w:rFonts w:ascii="Cambria" w:hAnsi="Cambria"/>
              </w:rPr>
              <w:t>actuarial coefficient calculated based on life expectancy estimates by age</w:t>
            </w:r>
          </w:p>
        </w:tc>
        <w:tc>
          <w:tcPr>
            <w:tcW w:w="1887" w:type="dxa"/>
          </w:tcPr>
          <w:p w14:paraId="52E4ACC7" w14:textId="77777777" w:rsidR="00246808" w:rsidRPr="002F2F3D" w:rsidRDefault="00246808" w:rsidP="002F2F3D">
            <w:pPr>
              <w:spacing w:after="240"/>
              <w:rPr>
                <w:rFonts w:ascii="Cambria" w:hAnsi="Cambria"/>
              </w:rPr>
            </w:pPr>
            <w:r w:rsidRPr="002F2F3D">
              <w:rPr>
                <w:rFonts w:ascii="Cambria" w:hAnsi="Cambria"/>
              </w:rPr>
              <w:t>Lump sums</w:t>
            </w:r>
          </w:p>
        </w:tc>
      </w:tr>
      <w:tr w:rsidR="00246808" w:rsidRPr="002F2F3D" w14:paraId="050D5A3D" w14:textId="77777777" w:rsidTr="002F2F3D">
        <w:trPr>
          <w:trHeight w:val="259"/>
        </w:trPr>
        <w:tc>
          <w:tcPr>
            <w:tcW w:w="2116" w:type="dxa"/>
          </w:tcPr>
          <w:p w14:paraId="0BE66EEC" w14:textId="77777777" w:rsidR="00246808" w:rsidRPr="002F2F3D" w:rsidRDefault="00246808" w:rsidP="002F2F3D">
            <w:pPr>
              <w:spacing w:after="240"/>
              <w:rPr>
                <w:rFonts w:ascii="Cambria" w:hAnsi="Cambria"/>
              </w:rPr>
            </w:pPr>
            <w:r w:rsidRPr="002F2F3D">
              <w:rPr>
                <w:rFonts w:ascii="Cambria" w:hAnsi="Cambria"/>
              </w:rPr>
              <w:t>Indexation of post-retirement pensions</w:t>
            </w:r>
          </w:p>
        </w:tc>
        <w:tc>
          <w:tcPr>
            <w:tcW w:w="1844" w:type="dxa"/>
          </w:tcPr>
          <w:p w14:paraId="223A16F2" w14:textId="77777777" w:rsidR="00246808" w:rsidRPr="002F2F3D" w:rsidRDefault="00246808" w:rsidP="002F2F3D">
            <w:pPr>
              <w:spacing w:after="240"/>
              <w:rPr>
                <w:rFonts w:ascii="Cambria" w:hAnsi="Cambria"/>
              </w:rPr>
            </w:pPr>
            <w:r w:rsidRPr="002F2F3D">
              <w:rPr>
                <w:rFonts w:ascii="Cambria" w:hAnsi="Cambria"/>
              </w:rPr>
              <w:t>Discretionary (over the last several years maintained at around 12% of the average wage)</w:t>
            </w:r>
          </w:p>
        </w:tc>
        <w:tc>
          <w:tcPr>
            <w:tcW w:w="3729" w:type="dxa"/>
            <w:gridSpan w:val="2"/>
          </w:tcPr>
          <w:p w14:paraId="298F1922" w14:textId="77777777" w:rsidR="00246808" w:rsidRPr="002F2F3D" w:rsidRDefault="00246808" w:rsidP="002F2F3D">
            <w:pPr>
              <w:spacing w:after="240"/>
              <w:rPr>
                <w:rFonts w:ascii="Cambria" w:hAnsi="Cambria"/>
              </w:rPr>
            </w:pPr>
            <w:r w:rsidRPr="002F2F3D">
              <w:rPr>
                <w:rFonts w:ascii="Cambria" w:hAnsi="Cambria"/>
              </w:rPr>
              <w:t>Discretionary (recent trend – approximately in line with wage growth)</w:t>
            </w:r>
          </w:p>
        </w:tc>
        <w:tc>
          <w:tcPr>
            <w:tcW w:w="1887" w:type="dxa"/>
          </w:tcPr>
          <w:p w14:paraId="71C3F14F" w14:textId="77777777" w:rsidR="00246808" w:rsidRPr="002F2F3D" w:rsidRDefault="00246808" w:rsidP="002F2F3D">
            <w:pPr>
              <w:spacing w:after="240"/>
              <w:rPr>
                <w:rFonts w:ascii="Cambria" w:hAnsi="Cambria"/>
              </w:rPr>
            </w:pPr>
            <w:r w:rsidRPr="002F2F3D">
              <w:rPr>
                <w:rFonts w:ascii="Cambria" w:hAnsi="Cambria"/>
              </w:rPr>
              <w:t>n/a</w:t>
            </w:r>
          </w:p>
        </w:tc>
      </w:tr>
      <w:tr w:rsidR="00246808" w:rsidRPr="002F2F3D" w14:paraId="6B66A8D5" w14:textId="77777777" w:rsidTr="002F2F3D">
        <w:trPr>
          <w:trHeight w:val="259"/>
        </w:trPr>
        <w:tc>
          <w:tcPr>
            <w:tcW w:w="2116" w:type="dxa"/>
          </w:tcPr>
          <w:p w14:paraId="6C4B976C" w14:textId="77777777" w:rsidR="00246808" w:rsidRPr="002F2F3D" w:rsidRDefault="00246808" w:rsidP="002F2F3D">
            <w:pPr>
              <w:spacing w:after="240"/>
              <w:rPr>
                <w:rFonts w:ascii="Cambria" w:hAnsi="Cambria"/>
              </w:rPr>
            </w:pPr>
            <w:r w:rsidRPr="002F2F3D">
              <w:rPr>
                <w:rFonts w:ascii="Cambria" w:hAnsi="Cambria"/>
              </w:rPr>
              <w:t>Disability pension</w:t>
            </w:r>
          </w:p>
        </w:tc>
        <w:tc>
          <w:tcPr>
            <w:tcW w:w="5573" w:type="dxa"/>
            <w:gridSpan w:val="3"/>
          </w:tcPr>
          <w:p w14:paraId="2AFCEC18" w14:textId="4760A97D" w:rsidR="00246808" w:rsidRPr="002F2F3D" w:rsidRDefault="00246808" w:rsidP="002F2F3D">
            <w:pPr>
              <w:spacing w:after="240"/>
              <w:rPr>
                <w:rFonts w:ascii="Cambria" w:hAnsi="Cambria"/>
              </w:rPr>
            </w:pPr>
            <w:r w:rsidRPr="002F2F3D">
              <w:rPr>
                <w:rFonts w:ascii="Cambria" w:hAnsi="Cambria"/>
              </w:rPr>
              <w:t xml:space="preserve">100% of </w:t>
            </w:r>
            <w:r w:rsidR="00A47C53">
              <w:rPr>
                <w:rFonts w:ascii="Cambria" w:hAnsi="Cambria"/>
              </w:rPr>
              <w:t>old-age</w:t>
            </w:r>
            <w:r w:rsidRPr="002F2F3D">
              <w:rPr>
                <w:rFonts w:ascii="Cambria" w:hAnsi="Cambria"/>
              </w:rPr>
              <w:t xml:space="preserve"> pension for groups I and II; 50% for group III</w:t>
            </w:r>
          </w:p>
        </w:tc>
        <w:tc>
          <w:tcPr>
            <w:tcW w:w="1887" w:type="dxa"/>
          </w:tcPr>
          <w:p w14:paraId="43FA10E3" w14:textId="77777777" w:rsidR="00246808" w:rsidRPr="002F2F3D" w:rsidRDefault="00246808" w:rsidP="002F2F3D">
            <w:pPr>
              <w:spacing w:after="240"/>
              <w:rPr>
                <w:rFonts w:ascii="Cambria" w:hAnsi="Cambria"/>
              </w:rPr>
            </w:pPr>
            <w:r w:rsidRPr="002F2F3D">
              <w:rPr>
                <w:rFonts w:ascii="Cambria" w:hAnsi="Cambria"/>
              </w:rPr>
              <w:t>Lump sums</w:t>
            </w:r>
          </w:p>
        </w:tc>
      </w:tr>
      <w:tr w:rsidR="00246808" w:rsidRPr="002F2F3D" w14:paraId="6A72FE54" w14:textId="77777777" w:rsidTr="002F2F3D">
        <w:trPr>
          <w:trHeight w:val="259"/>
        </w:trPr>
        <w:tc>
          <w:tcPr>
            <w:tcW w:w="2116" w:type="dxa"/>
          </w:tcPr>
          <w:p w14:paraId="5C67E172" w14:textId="77777777" w:rsidR="00246808" w:rsidRPr="002F2F3D" w:rsidRDefault="00246808" w:rsidP="002F2F3D">
            <w:pPr>
              <w:spacing w:after="240"/>
              <w:rPr>
                <w:rFonts w:ascii="Cambria" w:hAnsi="Cambria"/>
              </w:rPr>
            </w:pPr>
            <w:r w:rsidRPr="002F2F3D">
              <w:rPr>
                <w:rFonts w:ascii="Cambria" w:hAnsi="Cambria"/>
              </w:rPr>
              <w:t>Survivor’s pension</w:t>
            </w:r>
          </w:p>
        </w:tc>
        <w:tc>
          <w:tcPr>
            <w:tcW w:w="5573" w:type="dxa"/>
            <w:gridSpan w:val="3"/>
          </w:tcPr>
          <w:p w14:paraId="1840CC2D" w14:textId="77777777" w:rsidR="00246808" w:rsidRPr="002F2F3D" w:rsidRDefault="00246808" w:rsidP="002F2F3D">
            <w:pPr>
              <w:spacing w:after="240"/>
              <w:rPr>
                <w:rFonts w:ascii="Cambria" w:hAnsi="Cambria"/>
              </w:rPr>
            </w:pPr>
            <w:r w:rsidRPr="002F2F3D">
              <w:rPr>
                <w:rFonts w:ascii="Cambria" w:hAnsi="Cambria"/>
              </w:rPr>
              <w:t>50%-150% of potential group II disability pension depending on the number of dependents</w:t>
            </w:r>
          </w:p>
        </w:tc>
        <w:tc>
          <w:tcPr>
            <w:tcW w:w="1887" w:type="dxa"/>
          </w:tcPr>
          <w:p w14:paraId="08E59432" w14:textId="77777777" w:rsidR="00246808" w:rsidRPr="002F2F3D" w:rsidRDefault="00246808" w:rsidP="002F2F3D">
            <w:pPr>
              <w:spacing w:after="240"/>
              <w:rPr>
                <w:rFonts w:ascii="Cambria" w:hAnsi="Cambria"/>
              </w:rPr>
            </w:pPr>
            <w:r w:rsidRPr="002F2F3D">
              <w:rPr>
                <w:rFonts w:ascii="Cambria" w:hAnsi="Cambria"/>
              </w:rPr>
              <w:t>Lump sums</w:t>
            </w:r>
          </w:p>
        </w:tc>
      </w:tr>
    </w:tbl>
    <w:p w14:paraId="5893D73F" w14:textId="77777777" w:rsidR="002F2F3D" w:rsidRDefault="002F2F3D" w:rsidP="006D70DF">
      <w:pPr>
        <w:spacing w:before="100" w:beforeAutospacing="1" w:after="100" w:afterAutospacing="1"/>
        <w:jc w:val="both"/>
        <w:rPr>
          <w:rFonts w:ascii="Cambria" w:hAnsi="Cambria"/>
          <w:b/>
        </w:rPr>
      </w:pPr>
    </w:p>
    <w:p w14:paraId="3AB579F5" w14:textId="77777777" w:rsidR="002F2F3D" w:rsidRDefault="002F2F3D" w:rsidP="002F2F3D">
      <w:r>
        <w:br w:type="page"/>
      </w:r>
    </w:p>
    <w:p w14:paraId="5F147F53" w14:textId="77777777" w:rsidR="00510BCF" w:rsidRPr="00C20EC5" w:rsidRDefault="002F2F3D" w:rsidP="002F2F3D">
      <w:pPr>
        <w:pStyle w:val="Caption"/>
        <w:rPr>
          <w:b w:val="0"/>
          <w:smallCaps/>
        </w:rPr>
      </w:pPr>
      <w:bookmarkStart w:id="38" w:name="_Toc378163790"/>
      <w:r>
        <w:lastRenderedPageBreak/>
        <w:t xml:space="preserve">Annex </w:t>
      </w:r>
      <w:r w:rsidR="00C646A3">
        <w:fldChar w:fldCharType="begin"/>
      </w:r>
      <w:r w:rsidR="00C646A3">
        <w:instrText xml:space="preserve"> SEQ Annex \* ARABIC </w:instrText>
      </w:r>
      <w:r w:rsidR="00C646A3">
        <w:fldChar w:fldCharType="separate"/>
      </w:r>
      <w:r w:rsidR="00C646A3">
        <w:rPr>
          <w:noProof/>
        </w:rPr>
        <w:t>2</w:t>
      </w:r>
      <w:r w:rsidR="00C646A3">
        <w:rPr>
          <w:noProof/>
        </w:rPr>
        <w:fldChar w:fldCharType="end"/>
      </w:r>
      <w:r>
        <w:t>.</w:t>
      </w:r>
      <w:r w:rsidR="00D62A61" w:rsidRPr="00C20EC5">
        <w:rPr>
          <w:b w:val="0"/>
        </w:rPr>
        <w:t xml:space="preserve"> </w:t>
      </w:r>
      <w:bookmarkStart w:id="39" w:name="_Toc131510172"/>
      <w:bookmarkStart w:id="40" w:name="_Toc279365822"/>
      <w:bookmarkStart w:id="41" w:name="_Toc281306782"/>
      <w:bookmarkStart w:id="42" w:name="_Toc281312490"/>
      <w:r w:rsidR="00416D8A" w:rsidRPr="002F2F3D">
        <w:rPr>
          <w:noProof/>
        </w:rPr>
        <w:t xml:space="preserve">Main Assumptions and </w:t>
      </w:r>
      <w:bookmarkEnd w:id="39"/>
      <w:bookmarkEnd w:id="40"/>
      <w:bookmarkEnd w:id="41"/>
      <w:bookmarkEnd w:id="42"/>
      <w:r w:rsidR="00416D8A" w:rsidRPr="002F2F3D">
        <w:rPr>
          <w:noProof/>
        </w:rPr>
        <w:t>Projection</w:t>
      </w:r>
      <w:r w:rsidR="00510BCF" w:rsidRPr="002F2F3D">
        <w:rPr>
          <w:noProof/>
        </w:rPr>
        <w:t xml:space="preserve"> Methodology</w:t>
      </w:r>
      <w:bookmarkEnd w:id="38"/>
    </w:p>
    <w:p w14:paraId="30656C65" w14:textId="5A1A5FF9" w:rsidR="00CC1C0C" w:rsidRPr="00C20EC5" w:rsidRDefault="00CC1C0C" w:rsidP="006D70DF">
      <w:pPr>
        <w:autoSpaceDE w:val="0"/>
        <w:autoSpaceDN w:val="0"/>
        <w:adjustRightInd w:val="0"/>
        <w:spacing w:before="240" w:after="120"/>
        <w:jc w:val="both"/>
        <w:rPr>
          <w:rFonts w:ascii="Cambria" w:hAnsi="Cambria"/>
          <w:sz w:val="22"/>
          <w:szCs w:val="22"/>
          <w:u w:val="single"/>
        </w:rPr>
      </w:pPr>
      <w:r w:rsidRPr="00C20EC5">
        <w:rPr>
          <w:rFonts w:ascii="Cambria" w:hAnsi="Cambria"/>
          <w:sz w:val="22"/>
          <w:szCs w:val="22"/>
        </w:rPr>
        <w:t xml:space="preserve">Financial projections for the </w:t>
      </w:r>
      <w:r w:rsidRPr="00C20EC5">
        <w:rPr>
          <w:rFonts w:ascii="Cambria" w:hAnsi="Cambria"/>
          <w:iCs/>
          <w:sz w:val="22"/>
          <w:szCs w:val="22"/>
        </w:rPr>
        <w:t xml:space="preserve">pension system of </w:t>
      </w:r>
      <w:r w:rsidR="00273B16">
        <w:rPr>
          <w:rFonts w:ascii="Cambria" w:hAnsi="Cambria"/>
          <w:iCs/>
          <w:sz w:val="22"/>
          <w:szCs w:val="22"/>
        </w:rPr>
        <w:t xml:space="preserve">the </w:t>
      </w:r>
      <w:r w:rsidR="00273B16" w:rsidRPr="00C20EC5">
        <w:rPr>
          <w:rFonts w:ascii="Cambria" w:hAnsi="Cambria"/>
          <w:iCs/>
          <w:sz w:val="22"/>
          <w:szCs w:val="22"/>
        </w:rPr>
        <w:t>Kyrgyz</w:t>
      </w:r>
      <w:r w:rsidR="00273B16">
        <w:rPr>
          <w:rFonts w:ascii="Cambria" w:hAnsi="Cambria"/>
          <w:iCs/>
          <w:sz w:val="22"/>
          <w:szCs w:val="22"/>
        </w:rPr>
        <w:t xml:space="preserve"> Republic</w:t>
      </w:r>
      <w:r w:rsidR="00273B16" w:rsidRPr="00C20EC5">
        <w:rPr>
          <w:rFonts w:ascii="Cambria" w:hAnsi="Cambria"/>
          <w:iCs/>
          <w:sz w:val="22"/>
          <w:szCs w:val="22"/>
        </w:rPr>
        <w:t xml:space="preserve"> </w:t>
      </w:r>
      <w:r w:rsidRPr="00C20EC5">
        <w:rPr>
          <w:rFonts w:ascii="Cambria" w:hAnsi="Cambria"/>
          <w:sz w:val="22"/>
          <w:szCs w:val="22"/>
        </w:rPr>
        <w:t>were conducted with the World Bank’s Pension Reform Options Simulation Toolkit (PROST) model. The simulation period runs from 201</w:t>
      </w:r>
      <w:r w:rsidR="00694E1A" w:rsidRPr="00C20EC5">
        <w:rPr>
          <w:rFonts w:ascii="Cambria" w:hAnsi="Cambria"/>
          <w:sz w:val="22"/>
          <w:szCs w:val="22"/>
        </w:rPr>
        <w:t>1</w:t>
      </w:r>
      <w:r w:rsidRPr="00C20EC5">
        <w:rPr>
          <w:rFonts w:ascii="Cambria" w:hAnsi="Cambria"/>
          <w:sz w:val="22"/>
          <w:szCs w:val="22"/>
        </w:rPr>
        <w:t xml:space="preserve"> to 2080.</w:t>
      </w:r>
    </w:p>
    <w:p w14:paraId="3DFC1EFB" w14:textId="77777777" w:rsidR="00380879" w:rsidRPr="00C20EC5" w:rsidRDefault="009F7712" w:rsidP="006D70DF">
      <w:pPr>
        <w:autoSpaceDE w:val="0"/>
        <w:autoSpaceDN w:val="0"/>
        <w:adjustRightInd w:val="0"/>
        <w:spacing w:before="240" w:after="240"/>
        <w:jc w:val="both"/>
        <w:rPr>
          <w:rFonts w:ascii="Cambria" w:hAnsi="Cambria"/>
          <w:sz w:val="22"/>
          <w:szCs w:val="22"/>
          <w:u w:val="single"/>
        </w:rPr>
      </w:pPr>
      <w:r w:rsidRPr="00C20EC5">
        <w:rPr>
          <w:rFonts w:ascii="Cambria" w:hAnsi="Cambria"/>
          <w:sz w:val="22"/>
          <w:szCs w:val="22"/>
          <w:u w:val="single"/>
        </w:rPr>
        <w:t>Demographic Assumptions</w:t>
      </w:r>
    </w:p>
    <w:p w14:paraId="0C3D572F" w14:textId="40E0C439" w:rsidR="00694E1A" w:rsidRPr="00C20EC5" w:rsidRDefault="00694E1A"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UN population data and 2010 demographic projections for </w:t>
      </w:r>
      <w:r w:rsidR="00273B16">
        <w:rPr>
          <w:rFonts w:ascii="Cambria" w:hAnsi="Cambria"/>
          <w:sz w:val="22"/>
          <w:szCs w:val="22"/>
        </w:rPr>
        <w:t xml:space="preserve">the </w:t>
      </w:r>
      <w:r w:rsidR="00273B16" w:rsidRPr="00C20EC5">
        <w:rPr>
          <w:rFonts w:ascii="Cambria" w:hAnsi="Cambria"/>
          <w:sz w:val="22"/>
          <w:szCs w:val="22"/>
        </w:rPr>
        <w:t>Kyrgyz</w:t>
      </w:r>
      <w:r w:rsidR="00273B16">
        <w:rPr>
          <w:rFonts w:ascii="Cambria" w:hAnsi="Cambria"/>
          <w:sz w:val="22"/>
          <w:szCs w:val="22"/>
        </w:rPr>
        <w:t xml:space="preserve"> Republic</w:t>
      </w:r>
      <w:r w:rsidR="00273B16" w:rsidRPr="00C20EC5">
        <w:rPr>
          <w:rFonts w:ascii="Cambria" w:hAnsi="Cambria"/>
          <w:sz w:val="22"/>
          <w:szCs w:val="22"/>
        </w:rPr>
        <w:t xml:space="preserve"> </w:t>
      </w:r>
      <w:r w:rsidRPr="00C20EC5">
        <w:rPr>
          <w:rFonts w:ascii="Cambria" w:hAnsi="Cambria"/>
          <w:sz w:val="22"/>
          <w:szCs w:val="22"/>
        </w:rPr>
        <w:t>are used for assumptions about future changes in fertility and mortality rates:</w:t>
      </w:r>
    </w:p>
    <w:p w14:paraId="28464AF1" w14:textId="5F1BAC0B" w:rsidR="00694E1A" w:rsidRPr="00C20EC5" w:rsidRDefault="00694E1A" w:rsidP="006D70DF">
      <w:pPr>
        <w:pStyle w:val="ListParagraph"/>
        <w:numPr>
          <w:ilvl w:val="0"/>
          <w:numId w:val="6"/>
        </w:numPr>
        <w:autoSpaceDE w:val="0"/>
        <w:autoSpaceDN w:val="0"/>
        <w:adjustRightInd w:val="0"/>
        <w:spacing w:before="240" w:after="240"/>
        <w:jc w:val="both"/>
        <w:rPr>
          <w:rFonts w:ascii="Cambria" w:hAnsi="Cambria"/>
          <w:sz w:val="22"/>
          <w:szCs w:val="22"/>
        </w:rPr>
      </w:pPr>
      <w:r w:rsidRPr="00C20EC5">
        <w:rPr>
          <w:rFonts w:ascii="Cambria" w:hAnsi="Cambria"/>
          <w:sz w:val="22"/>
          <w:szCs w:val="22"/>
        </w:rPr>
        <w:t>The total fertility rate is assumed to decrease gradually from the current 260</w:t>
      </w:r>
      <w:r w:rsidR="002B409D">
        <w:rPr>
          <w:rFonts w:ascii="Cambria" w:hAnsi="Cambria"/>
          <w:sz w:val="22"/>
          <w:szCs w:val="22"/>
        </w:rPr>
        <w:t xml:space="preserve"> percent</w:t>
      </w:r>
      <w:r w:rsidRPr="00C20EC5">
        <w:rPr>
          <w:rFonts w:ascii="Cambria" w:hAnsi="Cambria"/>
          <w:sz w:val="22"/>
          <w:szCs w:val="22"/>
        </w:rPr>
        <w:t xml:space="preserve"> to about 230</w:t>
      </w:r>
      <w:r w:rsidR="002B409D">
        <w:rPr>
          <w:rFonts w:ascii="Cambria" w:hAnsi="Cambria"/>
          <w:sz w:val="22"/>
          <w:szCs w:val="22"/>
        </w:rPr>
        <w:t xml:space="preserve"> percent</w:t>
      </w:r>
      <w:r w:rsidRPr="00C20EC5">
        <w:rPr>
          <w:rFonts w:ascii="Cambria" w:hAnsi="Cambria"/>
          <w:sz w:val="22"/>
          <w:szCs w:val="22"/>
        </w:rPr>
        <w:t xml:space="preserve"> by 2050 and further to 220</w:t>
      </w:r>
      <w:r w:rsidR="002B409D">
        <w:rPr>
          <w:rFonts w:ascii="Cambria" w:hAnsi="Cambria"/>
          <w:sz w:val="22"/>
          <w:szCs w:val="22"/>
        </w:rPr>
        <w:t xml:space="preserve"> percent</w:t>
      </w:r>
      <w:r w:rsidRPr="00C20EC5">
        <w:rPr>
          <w:rFonts w:ascii="Cambria" w:hAnsi="Cambria"/>
          <w:sz w:val="22"/>
          <w:szCs w:val="22"/>
        </w:rPr>
        <w:t xml:space="preserve"> by 2080;</w:t>
      </w:r>
    </w:p>
    <w:p w14:paraId="2BB5C11D" w14:textId="77777777" w:rsidR="00694E1A" w:rsidRPr="00C20EC5" w:rsidRDefault="00694E1A" w:rsidP="006D70DF">
      <w:pPr>
        <w:pStyle w:val="ListParagraph"/>
        <w:numPr>
          <w:ilvl w:val="0"/>
          <w:numId w:val="6"/>
        </w:numPr>
        <w:spacing w:before="120" w:after="240" w:line="276" w:lineRule="auto"/>
        <w:jc w:val="both"/>
        <w:rPr>
          <w:rFonts w:ascii="Cambria" w:hAnsi="Cambria"/>
          <w:sz w:val="22"/>
          <w:szCs w:val="22"/>
        </w:rPr>
      </w:pPr>
      <w:r w:rsidRPr="00C20EC5">
        <w:rPr>
          <w:rFonts w:ascii="Cambria" w:hAnsi="Cambria"/>
          <w:sz w:val="22"/>
          <w:szCs w:val="22"/>
        </w:rPr>
        <w:t>Consistent with expectations in countries of similar levels of development, mortality rates are expected to decline over the projection period which results in projected life expectancy as shown in Table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tblGrid>
      <w:tr w:rsidR="00873036" w14:paraId="7D990BD0" w14:textId="77777777" w:rsidTr="00873036">
        <w:trPr>
          <w:jc w:val="center"/>
        </w:trPr>
        <w:tc>
          <w:tcPr>
            <w:tcW w:w="7758" w:type="dxa"/>
          </w:tcPr>
          <w:p w14:paraId="0BBB4C10" w14:textId="77777777" w:rsidR="00873036" w:rsidRDefault="00873036" w:rsidP="00C11A93">
            <w:pPr>
              <w:spacing w:after="40"/>
              <w:ind w:left="360"/>
              <w:jc w:val="center"/>
              <w:rPr>
                <w:rFonts w:ascii="Cambria" w:hAnsi="Cambria"/>
                <w:b/>
              </w:rPr>
            </w:pPr>
            <w:r w:rsidRPr="00873036">
              <w:rPr>
                <w:rFonts w:ascii="Cambria" w:hAnsi="Cambria"/>
                <w:b/>
              </w:rPr>
              <w:t>Table A</w:t>
            </w:r>
            <w:r>
              <w:rPr>
                <w:rFonts w:ascii="Cambria" w:hAnsi="Cambria"/>
                <w:b/>
              </w:rPr>
              <w:t>2</w:t>
            </w:r>
            <w:r w:rsidRPr="00873036">
              <w:rPr>
                <w:rFonts w:ascii="Cambria" w:hAnsi="Cambria"/>
                <w:b/>
              </w:rPr>
              <w:t>-1. Life Expectancy at Various Ages by Gender</w:t>
            </w:r>
          </w:p>
          <w:p w14:paraId="76BE4CE6" w14:textId="2B61C9AC" w:rsidR="00A32033" w:rsidRPr="00A32033" w:rsidRDefault="00A32033" w:rsidP="00C11A93">
            <w:pPr>
              <w:spacing w:after="40"/>
              <w:ind w:left="360"/>
              <w:jc w:val="center"/>
              <w:rPr>
                <w:rFonts w:ascii="Cambria" w:hAnsi="Cambria"/>
                <w:sz w:val="22"/>
                <w:szCs w:val="22"/>
              </w:rPr>
            </w:pPr>
            <w:r w:rsidRPr="00A32033">
              <w:rPr>
                <w:rFonts w:ascii="Cambria" w:hAnsi="Cambria"/>
              </w:rPr>
              <w:t>(In years)</w:t>
            </w:r>
          </w:p>
        </w:tc>
      </w:tr>
      <w:tr w:rsidR="00873036" w14:paraId="553451BA" w14:textId="77777777" w:rsidTr="00873036">
        <w:trPr>
          <w:jc w:val="center"/>
        </w:trPr>
        <w:tc>
          <w:tcPr>
            <w:tcW w:w="7758" w:type="dxa"/>
          </w:tcPr>
          <w:p w14:paraId="736718EE" w14:textId="77777777" w:rsidR="00873036" w:rsidRDefault="00873036" w:rsidP="006D70DF">
            <w:pPr>
              <w:jc w:val="both"/>
              <w:rPr>
                <w:rFonts w:ascii="Cambria" w:hAnsi="Cambria"/>
                <w:b/>
                <w:sz w:val="22"/>
                <w:szCs w:val="22"/>
              </w:rPr>
            </w:pPr>
            <w:r>
              <w:rPr>
                <w:rFonts w:ascii="Cambria" w:hAnsi="Cambria"/>
                <w:b/>
                <w:noProof/>
                <w:sz w:val="22"/>
                <w:szCs w:val="22"/>
              </w:rPr>
              <w:drawing>
                <wp:inline distT="0" distB="0" distL="0" distR="0" wp14:anchorId="64D962E8" wp14:editId="02B4574B">
                  <wp:extent cx="4772025" cy="1790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2025" cy="1790700"/>
                          </a:xfrm>
                          <a:prstGeom prst="rect">
                            <a:avLst/>
                          </a:prstGeom>
                          <a:noFill/>
                          <a:ln>
                            <a:noFill/>
                          </a:ln>
                        </pic:spPr>
                      </pic:pic>
                    </a:graphicData>
                  </a:graphic>
                </wp:inline>
              </w:drawing>
            </w:r>
          </w:p>
        </w:tc>
      </w:tr>
      <w:tr w:rsidR="00873036" w14:paraId="7D7CEAEE" w14:textId="77777777" w:rsidTr="00873036">
        <w:trPr>
          <w:jc w:val="center"/>
        </w:trPr>
        <w:tc>
          <w:tcPr>
            <w:tcW w:w="7758" w:type="dxa"/>
          </w:tcPr>
          <w:p w14:paraId="533042BB" w14:textId="30529010" w:rsidR="00873036" w:rsidRPr="00873036" w:rsidRDefault="00873036" w:rsidP="00C31BC2">
            <w:pPr>
              <w:spacing w:before="40" w:after="120"/>
              <w:jc w:val="both"/>
              <w:rPr>
                <w:rFonts w:ascii="Cambria" w:hAnsi="Cambria"/>
                <w:sz w:val="18"/>
                <w:szCs w:val="18"/>
              </w:rPr>
            </w:pPr>
            <w:r w:rsidRPr="00DF7980">
              <w:rPr>
                <w:rFonts w:ascii="Cambria" w:hAnsi="Cambria"/>
                <w:i/>
                <w:sz w:val="18"/>
                <w:szCs w:val="18"/>
              </w:rPr>
              <w:t>Source</w:t>
            </w:r>
            <w:r w:rsidRPr="00DF7980">
              <w:rPr>
                <w:rFonts w:ascii="Cambria" w:hAnsi="Cambria"/>
                <w:sz w:val="18"/>
                <w:szCs w:val="18"/>
              </w:rPr>
              <w:t xml:space="preserve">: </w:t>
            </w:r>
            <w:r w:rsidR="00F84DA7">
              <w:rPr>
                <w:rFonts w:ascii="Cambria" w:hAnsi="Cambria"/>
                <w:sz w:val="18"/>
                <w:szCs w:val="18"/>
              </w:rPr>
              <w:t xml:space="preserve"> </w:t>
            </w:r>
            <w:r w:rsidR="00D849C3" w:rsidRPr="00D849C3">
              <w:rPr>
                <w:sz w:val="18"/>
                <w:szCs w:val="18"/>
              </w:rPr>
              <w:t>Staff projections using PROST.</w:t>
            </w:r>
          </w:p>
        </w:tc>
      </w:tr>
    </w:tbl>
    <w:p w14:paraId="3C4D94FD" w14:textId="77777777" w:rsidR="00873036" w:rsidRDefault="00873036" w:rsidP="006D70DF">
      <w:pPr>
        <w:jc w:val="both"/>
        <w:rPr>
          <w:rFonts w:ascii="Cambria" w:hAnsi="Cambria"/>
          <w:b/>
          <w:sz w:val="22"/>
          <w:szCs w:val="22"/>
        </w:rPr>
      </w:pPr>
    </w:p>
    <w:p w14:paraId="07597060" w14:textId="77777777" w:rsidR="002D279E" w:rsidRPr="00C20EC5" w:rsidRDefault="002D279E" w:rsidP="006D70DF">
      <w:pPr>
        <w:jc w:val="both"/>
        <w:rPr>
          <w:rFonts w:ascii="Cambria" w:hAnsi="Cambria"/>
          <w:sz w:val="22"/>
          <w:szCs w:val="22"/>
          <w:u w:val="single"/>
        </w:rPr>
      </w:pPr>
      <w:r w:rsidRPr="00C20EC5">
        <w:rPr>
          <w:rFonts w:ascii="Cambria" w:hAnsi="Cambria"/>
          <w:sz w:val="22"/>
          <w:szCs w:val="22"/>
          <w:u w:val="single"/>
        </w:rPr>
        <w:t>Economic assumptions</w:t>
      </w:r>
    </w:p>
    <w:p w14:paraId="0D38CAC6" w14:textId="593CCCA8" w:rsidR="00BB2908" w:rsidRPr="00C20EC5" w:rsidRDefault="002D279E"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The key economic assumptions are summarized in Table 2. Assumptions with respect to GDP growth</w:t>
      </w:r>
      <w:r w:rsidR="00BB2908" w:rsidRPr="00C20EC5">
        <w:rPr>
          <w:rFonts w:ascii="Cambria" w:hAnsi="Cambria"/>
          <w:sz w:val="22"/>
          <w:szCs w:val="22"/>
        </w:rPr>
        <w:t>, labor productivity</w:t>
      </w:r>
      <w:r w:rsidRPr="00C20EC5">
        <w:rPr>
          <w:rFonts w:ascii="Cambria" w:hAnsi="Cambria"/>
          <w:sz w:val="22"/>
          <w:szCs w:val="22"/>
        </w:rPr>
        <w:t xml:space="preserve"> and inflation rates are based on the short- and long-term macroeconomic projections for </w:t>
      </w:r>
      <w:r w:rsidR="00D21D33">
        <w:rPr>
          <w:rFonts w:ascii="Cambria" w:hAnsi="Cambria"/>
          <w:sz w:val="22"/>
          <w:szCs w:val="22"/>
        </w:rPr>
        <w:t xml:space="preserve">the </w:t>
      </w:r>
      <w:r w:rsidR="00D21D33" w:rsidRPr="00C20EC5">
        <w:rPr>
          <w:rFonts w:ascii="Cambria" w:hAnsi="Cambria"/>
          <w:sz w:val="22"/>
          <w:szCs w:val="22"/>
        </w:rPr>
        <w:t>Kyrgyz</w:t>
      </w:r>
      <w:r w:rsidR="00D21D33">
        <w:rPr>
          <w:rFonts w:ascii="Cambria" w:hAnsi="Cambria"/>
          <w:sz w:val="22"/>
          <w:szCs w:val="22"/>
        </w:rPr>
        <w:t xml:space="preserve"> Republic</w:t>
      </w:r>
      <w:r w:rsidR="00D21D33" w:rsidRPr="00C20EC5">
        <w:rPr>
          <w:rFonts w:ascii="Cambria" w:hAnsi="Cambria"/>
          <w:sz w:val="22"/>
          <w:szCs w:val="22"/>
        </w:rPr>
        <w:t xml:space="preserve"> </w:t>
      </w:r>
      <w:r w:rsidRPr="00C20EC5">
        <w:rPr>
          <w:rFonts w:ascii="Cambria" w:hAnsi="Cambria"/>
          <w:sz w:val="22"/>
          <w:szCs w:val="22"/>
        </w:rPr>
        <w:t xml:space="preserve">produced at the World Bank. </w:t>
      </w:r>
      <w:r w:rsidR="00BB2908" w:rsidRPr="00C20EC5">
        <w:rPr>
          <w:rFonts w:ascii="Cambria" w:hAnsi="Cambria"/>
          <w:sz w:val="22"/>
          <w:szCs w:val="22"/>
        </w:rPr>
        <w:t>Average w</w:t>
      </w:r>
      <w:r w:rsidRPr="00C20EC5">
        <w:rPr>
          <w:rFonts w:ascii="Cambria" w:hAnsi="Cambria"/>
          <w:sz w:val="22"/>
          <w:szCs w:val="22"/>
        </w:rPr>
        <w:t>age growth assumptions for 2012-2015</w:t>
      </w:r>
      <w:r w:rsidR="00BB2908" w:rsidRPr="00C20EC5">
        <w:rPr>
          <w:rFonts w:ascii="Cambria" w:hAnsi="Cambria"/>
          <w:sz w:val="22"/>
          <w:szCs w:val="22"/>
        </w:rPr>
        <w:t xml:space="preserve"> use projections of the Ministry of Economy; in the longer run it is assumed that wages grow in line with labor productivity.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11A93" w14:paraId="4B392316" w14:textId="77777777" w:rsidTr="00C11A93">
        <w:tc>
          <w:tcPr>
            <w:tcW w:w="9576" w:type="dxa"/>
          </w:tcPr>
          <w:p w14:paraId="61828660" w14:textId="77777777" w:rsidR="00C11A93" w:rsidRDefault="00C11A93" w:rsidP="00C11A93">
            <w:pPr>
              <w:spacing w:after="40"/>
              <w:ind w:left="360"/>
              <w:jc w:val="center"/>
              <w:rPr>
                <w:rFonts w:ascii="Cambria" w:hAnsi="Cambria"/>
                <w:b/>
              </w:rPr>
            </w:pPr>
            <w:r w:rsidRPr="00873036">
              <w:rPr>
                <w:rFonts w:ascii="Cambria" w:hAnsi="Cambria"/>
                <w:b/>
              </w:rPr>
              <w:t>Table A2-2. Economic Assumptions</w:t>
            </w:r>
          </w:p>
          <w:p w14:paraId="56C7D4BC" w14:textId="69CACD32" w:rsidR="00A32033" w:rsidRPr="00A32033" w:rsidRDefault="00A32033" w:rsidP="00C11A93">
            <w:pPr>
              <w:spacing w:after="40"/>
              <w:ind w:left="360"/>
              <w:jc w:val="center"/>
              <w:rPr>
                <w:rFonts w:ascii="Cambria" w:hAnsi="Cambria"/>
              </w:rPr>
            </w:pPr>
            <w:r w:rsidRPr="00A32033">
              <w:rPr>
                <w:rFonts w:ascii="Cambria" w:hAnsi="Cambria"/>
              </w:rPr>
              <w:t>(Percent, unless otherwise noted)</w:t>
            </w:r>
          </w:p>
        </w:tc>
      </w:tr>
      <w:tr w:rsidR="00C11A93" w14:paraId="3B35A534" w14:textId="77777777" w:rsidTr="00C11A93">
        <w:tc>
          <w:tcPr>
            <w:tcW w:w="9576" w:type="dxa"/>
          </w:tcPr>
          <w:tbl>
            <w:tblPr>
              <w:tblW w:w="9048" w:type="dxa"/>
              <w:jc w:val="center"/>
              <w:tblLook w:val="04A0" w:firstRow="1" w:lastRow="0" w:firstColumn="1" w:lastColumn="0" w:noHBand="0" w:noVBand="1"/>
            </w:tblPr>
            <w:tblGrid>
              <w:gridCol w:w="2994"/>
              <w:gridCol w:w="659"/>
              <w:gridCol w:w="836"/>
              <w:gridCol w:w="816"/>
              <w:gridCol w:w="776"/>
              <w:gridCol w:w="776"/>
              <w:gridCol w:w="776"/>
              <w:gridCol w:w="796"/>
              <w:gridCol w:w="776"/>
            </w:tblGrid>
            <w:tr w:rsidR="00C11A93" w14:paraId="633A733C" w14:textId="77777777" w:rsidTr="00C31BC2">
              <w:trPr>
                <w:trHeight w:val="255"/>
                <w:jc w:val="center"/>
              </w:trPr>
              <w:tc>
                <w:tcPr>
                  <w:tcW w:w="2994" w:type="dxa"/>
                  <w:tcBorders>
                    <w:top w:val="single" w:sz="4" w:space="0" w:color="auto"/>
                    <w:bottom w:val="single" w:sz="4" w:space="0" w:color="auto"/>
                  </w:tcBorders>
                  <w:shd w:val="clear" w:color="000000" w:fill="FFFFFF"/>
                  <w:noWrap/>
                  <w:vAlign w:val="bottom"/>
                  <w:hideMark/>
                </w:tcPr>
                <w:p w14:paraId="6A03E752" w14:textId="77777777" w:rsidR="00C11A93" w:rsidRDefault="00C11A93">
                  <w:pPr>
                    <w:rPr>
                      <w:rFonts w:ascii="Cambria" w:hAnsi="Cambria"/>
                      <w:sz w:val="20"/>
                      <w:szCs w:val="20"/>
                    </w:rPr>
                  </w:pPr>
                  <w:r>
                    <w:rPr>
                      <w:rFonts w:ascii="Cambria" w:hAnsi="Cambria"/>
                      <w:sz w:val="20"/>
                      <w:szCs w:val="20"/>
                    </w:rPr>
                    <w:t> </w:t>
                  </w:r>
                </w:p>
              </w:tc>
              <w:tc>
                <w:tcPr>
                  <w:tcW w:w="502" w:type="dxa"/>
                  <w:tcBorders>
                    <w:top w:val="single" w:sz="4" w:space="0" w:color="auto"/>
                    <w:bottom w:val="single" w:sz="4" w:space="0" w:color="auto"/>
                  </w:tcBorders>
                  <w:shd w:val="clear" w:color="000000" w:fill="FFFFFF"/>
                  <w:noWrap/>
                  <w:vAlign w:val="bottom"/>
                  <w:hideMark/>
                </w:tcPr>
                <w:p w14:paraId="32CE16F2" w14:textId="77777777" w:rsidR="00C11A93" w:rsidRDefault="00C11A93">
                  <w:pPr>
                    <w:jc w:val="right"/>
                    <w:rPr>
                      <w:rFonts w:ascii="Cambria" w:hAnsi="Cambria"/>
                      <w:sz w:val="20"/>
                      <w:szCs w:val="20"/>
                    </w:rPr>
                  </w:pPr>
                  <w:r>
                    <w:rPr>
                      <w:rFonts w:ascii="Cambria" w:hAnsi="Cambria"/>
                      <w:sz w:val="20"/>
                      <w:szCs w:val="20"/>
                    </w:rPr>
                    <w:t>2011</w:t>
                  </w:r>
                </w:p>
              </w:tc>
              <w:tc>
                <w:tcPr>
                  <w:tcW w:w="836" w:type="dxa"/>
                  <w:tcBorders>
                    <w:top w:val="single" w:sz="4" w:space="0" w:color="auto"/>
                    <w:bottom w:val="single" w:sz="4" w:space="0" w:color="auto"/>
                  </w:tcBorders>
                  <w:shd w:val="clear" w:color="000000" w:fill="FFFFFF"/>
                  <w:noWrap/>
                  <w:vAlign w:val="bottom"/>
                  <w:hideMark/>
                </w:tcPr>
                <w:p w14:paraId="275319CF" w14:textId="77777777" w:rsidR="00C11A93" w:rsidRDefault="00C11A93">
                  <w:pPr>
                    <w:jc w:val="right"/>
                    <w:rPr>
                      <w:rFonts w:ascii="Cambria" w:hAnsi="Cambria"/>
                      <w:sz w:val="20"/>
                      <w:szCs w:val="20"/>
                    </w:rPr>
                  </w:pPr>
                  <w:r>
                    <w:rPr>
                      <w:rFonts w:ascii="Cambria" w:hAnsi="Cambria"/>
                      <w:sz w:val="20"/>
                      <w:szCs w:val="20"/>
                    </w:rPr>
                    <w:t>2012</w:t>
                  </w:r>
                </w:p>
              </w:tc>
              <w:tc>
                <w:tcPr>
                  <w:tcW w:w="816" w:type="dxa"/>
                  <w:tcBorders>
                    <w:top w:val="single" w:sz="4" w:space="0" w:color="auto"/>
                    <w:bottom w:val="single" w:sz="4" w:space="0" w:color="auto"/>
                  </w:tcBorders>
                  <w:shd w:val="clear" w:color="000000" w:fill="FFFFFF"/>
                  <w:noWrap/>
                  <w:vAlign w:val="bottom"/>
                  <w:hideMark/>
                </w:tcPr>
                <w:p w14:paraId="3A11D026" w14:textId="77777777" w:rsidR="00C11A93" w:rsidRDefault="00C11A93">
                  <w:pPr>
                    <w:jc w:val="right"/>
                    <w:rPr>
                      <w:rFonts w:ascii="Cambria" w:hAnsi="Cambria"/>
                      <w:sz w:val="20"/>
                      <w:szCs w:val="20"/>
                    </w:rPr>
                  </w:pPr>
                  <w:r>
                    <w:rPr>
                      <w:rFonts w:ascii="Cambria" w:hAnsi="Cambria"/>
                      <w:sz w:val="20"/>
                      <w:szCs w:val="20"/>
                    </w:rPr>
                    <w:t>2013</w:t>
                  </w:r>
                </w:p>
              </w:tc>
              <w:tc>
                <w:tcPr>
                  <w:tcW w:w="776" w:type="dxa"/>
                  <w:tcBorders>
                    <w:top w:val="single" w:sz="4" w:space="0" w:color="auto"/>
                    <w:bottom w:val="single" w:sz="4" w:space="0" w:color="auto"/>
                  </w:tcBorders>
                  <w:shd w:val="clear" w:color="000000" w:fill="FFFFFF"/>
                  <w:noWrap/>
                  <w:vAlign w:val="bottom"/>
                  <w:hideMark/>
                </w:tcPr>
                <w:p w14:paraId="586B1340" w14:textId="77777777" w:rsidR="00C11A93" w:rsidRDefault="00C11A93">
                  <w:pPr>
                    <w:jc w:val="right"/>
                    <w:rPr>
                      <w:rFonts w:ascii="Cambria" w:hAnsi="Cambria"/>
                      <w:sz w:val="20"/>
                      <w:szCs w:val="20"/>
                    </w:rPr>
                  </w:pPr>
                  <w:r>
                    <w:rPr>
                      <w:rFonts w:ascii="Cambria" w:hAnsi="Cambria"/>
                      <w:sz w:val="20"/>
                      <w:szCs w:val="20"/>
                    </w:rPr>
                    <w:t>2014</w:t>
                  </w:r>
                </w:p>
              </w:tc>
              <w:tc>
                <w:tcPr>
                  <w:tcW w:w="776" w:type="dxa"/>
                  <w:tcBorders>
                    <w:top w:val="single" w:sz="4" w:space="0" w:color="auto"/>
                    <w:bottom w:val="single" w:sz="4" w:space="0" w:color="auto"/>
                  </w:tcBorders>
                  <w:shd w:val="clear" w:color="000000" w:fill="FFFFFF"/>
                  <w:noWrap/>
                  <w:vAlign w:val="bottom"/>
                  <w:hideMark/>
                </w:tcPr>
                <w:p w14:paraId="1ECE691A" w14:textId="77777777" w:rsidR="00C11A93" w:rsidRDefault="00C11A93">
                  <w:pPr>
                    <w:jc w:val="right"/>
                    <w:rPr>
                      <w:rFonts w:ascii="Cambria" w:hAnsi="Cambria"/>
                      <w:sz w:val="20"/>
                      <w:szCs w:val="20"/>
                    </w:rPr>
                  </w:pPr>
                  <w:r>
                    <w:rPr>
                      <w:rFonts w:ascii="Cambria" w:hAnsi="Cambria"/>
                      <w:sz w:val="20"/>
                      <w:szCs w:val="20"/>
                    </w:rPr>
                    <w:t>2015</w:t>
                  </w:r>
                </w:p>
              </w:tc>
              <w:tc>
                <w:tcPr>
                  <w:tcW w:w="776" w:type="dxa"/>
                  <w:tcBorders>
                    <w:top w:val="single" w:sz="4" w:space="0" w:color="auto"/>
                    <w:bottom w:val="single" w:sz="4" w:space="0" w:color="auto"/>
                  </w:tcBorders>
                  <w:shd w:val="clear" w:color="000000" w:fill="FFFFFF"/>
                  <w:noWrap/>
                  <w:vAlign w:val="bottom"/>
                  <w:hideMark/>
                </w:tcPr>
                <w:p w14:paraId="6FA2BEAB" w14:textId="77777777" w:rsidR="00C11A93" w:rsidRDefault="00C11A93">
                  <w:pPr>
                    <w:jc w:val="right"/>
                    <w:rPr>
                      <w:rFonts w:ascii="Cambria" w:hAnsi="Cambria"/>
                      <w:sz w:val="20"/>
                      <w:szCs w:val="20"/>
                    </w:rPr>
                  </w:pPr>
                  <w:r>
                    <w:rPr>
                      <w:rFonts w:ascii="Cambria" w:hAnsi="Cambria"/>
                      <w:sz w:val="20"/>
                      <w:szCs w:val="20"/>
                    </w:rPr>
                    <w:t>2016</w:t>
                  </w:r>
                </w:p>
              </w:tc>
              <w:tc>
                <w:tcPr>
                  <w:tcW w:w="796" w:type="dxa"/>
                  <w:tcBorders>
                    <w:top w:val="single" w:sz="4" w:space="0" w:color="auto"/>
                    <w:bottom w:val="single" w:sz="4" w:space="0" w:color="auto"/>
                  </w:tcBorders>
                  <w:shd w:val="clear" w:color="000000" w:fill="FFFFFF"/>
                  <w:noWrap/>
                  <w:vAlign w:val="bottom"/>
                  <w:hideMark/>
                </w:tcPr>
                <w:p w14:paraId="5179971D" w14:textId="77777777" w:rsidR="00C11A93" w:rsidRDefault="00C11A93">
                  <w:pPr>
                    <w:jc w:val="right"/>
                    <w:rPr>
                      <w:rFonts w:ascii="Cambria" w:hAnsi="Cambria"/>
                      <w:sz w:val="20"/>
                      <w:szCs w:val="20"/>
                    </w:rPr>
                  </w:pPr>
                  <w:r>
                    <w:rPr>
                      <w:rFonts w:ascii="Cambria" w:hAnsi="Cambria"/>
                      <w:sz w:val="20"/>
                      <w:szCs w:val="20"/>
                    </w:rPr>
                    <w:t>2022</w:t>
                  </w:r>
                </w:p>
              </w:tc>
              <w:tc>
                <w:tcPr>
                  <w:tcW w:w="776" w:type="dxa"/>
                  <w:tcBorders>
                    <w:top w:val="single" w:sz="4" w:space="0" w:color="auto"/>
                    <w:bottom w:val="single" w:sz="4" w:space="0" w:color="auto"/>
                  </w:tcBorders>
                  <w:shd w:val="clear" w:color="000000" w:fill="FFFFFF"/>
                  <w:noWrap/>
                  <w:vAlign w:val="bottom"/>
                  <w:hideMark/>
                </w:tcPr>
                <w:p w14:paraId="40A70A14" w14:textId="77777777" w:rsidR="00C11A93" w:rsidRDefault="00C11A93">
                  <w:pPr>
                    <w:jc w:val="right"/>
                    <w:rPr>
                      <w:rFonts w:ascii="Cambria" w:hAnsi="Cambria"/>
                      <w:sz w:val="20"/>
                      <w:szCs w:val="20"/>
                    </w:rPr>
                  </w:pPr>
                  <w:r>
                    <w:rPr>
                      <w:rFonts w:ascii="Cambria" w:hAnsi="Cambria"/>
                      <w:sz w:val="20"/>
                      <w:szCs w:val="20"/>
                    </w:rPr>
                    <w:t>2080</w:t>
                  </w:r>
                </w:p>
              </w:tc>
            </w:tr>
            <w:tr w:rsidR="00C11A93" w14:paraId="2884BC12" w14:textId="77777777" w:rsidTr="00C31BC2">
              <w:trPr>
                <w:trHeight w:val="345"/>
                <w:jc w:val="center"/>
              </w:trPr>
              <w:tc>
                <w:tcPr>
                  <w:tcW w:w="2994" w:type="dxa"/>
                  <w:tcBorders>
                    <w:top w:val="single" w:sz="4" w:space="0" w:color="auto"/>
                  </w:tcBorders>
                  <w:shd w:val="clear" w:color="000000" w:fill="FFFFFF"/>
                  <w:vAlign w:val="bottom"/>
                  <w:hideMark/>
                </w:tcPr>
                <w:p w14:paraId="5463BA0F" w14:textId="242EEA7B" w:rsidR="00C11A93" w:rsidRDefault="00C31BC2" w:rsidP="00A32033">
                  <w:pPr>
                    <w:rPr>
                      <w:rFonts w:ascii="Cambria" w:hAnsi="Cambria"/>
                      <w:sz w:val="20"/>
                      <w:szCs w:val="20"/>
                    </w:rPr>
                  </w:pPr>
                  <w:r>
                    <w:rPr>
                      <w:rFonts w:ascii="Cambria" w:hAnsi="Cambria"/>
                      <w:sz w:val="20"/>
                      <w:szCs w:val="20"/>
                    </w:rPr>
                    <w:t xml:space="preserve">Real GDP growth rate </w:t>
                  </w:r>
                </w:p>
              </w:tc>
              <w:tc>
                <w:tcPr>
                  <w:tcW w:w="502" w:type="dxa"/>
                  <w:tcBorders>
                    <w:top w:val="single" w:sz="4" w:space="0" w:color="auto"/>
                  </w:tcBorders>
                  <w:shd w:val="clear" w:color="000000" w:fill="FFFFFF"/>
                  <w:noWrap/>
                  <w:vAlign w:val="bottom"/>
                  <w:hideMark/>
                </w:tcPr>
                <w:p w14:paraId="10E5B58E" w14:textId="08B979F2" w:rsidR="00C11A93" w:rsidRDefault="00C11A93" w:rsidP="00C31BC2">
                  <w:pPr>
                    <w:jc w:val="right"/>
                    <w:rPr>
                      <w:rFonts w:ascii="Cambria" w:hAnsi="Cambria"/>
                      <w:sz w:val="20"/>
                      <w:szCs w:val="20"/>
                    </w:rPr>
                  </w:pPr>
                  <w:r>
                    <w:rPr>
                      <w:rFonts w:ascii="Cambria" w:hAnsi="Cambria"/>
                      <w:sz w:val="20"/>
                      <w:szCs w:val="20"/>
                    </w:rPr>
                    <w:t>6.0</w:t>
                  </w:r>
                </w:p>
              </w:tc>
              <w:tc>
                <w:tcPr>
                  <w:tcW w:w="836" w:type="dxa"/>
                  <w:tcBorders>
                    <w:top w:val="single" w:sz="4" w:space="0" w:color="auto"/>
                  </w:tcBorders>
                  <w:shd w:val="clear" w:color="000000" w:fill="FFFFFF"/>
                  <w:noWrap/>
                  <w:vAlign w:val="bottom"/>
                  <w:hideMark/>
                </w:tcPr>
                <w:p w14:paraId="5772D5D6" w14:textId="49B8CDF2" w:rsidR="00C11A93" w:rsidRDefault="00C11A93" w:rsidP="00C31BC2">
                  <w:pPr>
                    <w:jc w:val="right"/>
                    <w:rPr>
                      <w:rFonts w:ascii="Cambria" w:hAnsi="Cambria"/>
                      <w:sz w:val="20"/>
                      <w:szCs w:val="20"/>
                    </w:rPr>
                  </w:pPr>
                  <w:r>
                    <w:rPr>
                      <w:rFonts w:ascii="Cambria" w:hAnsi="Cambria"/>
                      <w:sz w:val="20"/>
                      <w:szCs w:val="20"/>
                    </w:rPr>
                    <w:t>0.9</w:t>
                  </w:r>
                </w:p>
              </w:tc>
              <w:tc>
                <w:tcPr>
                  <w:tcW w:w="816" w:type="dxa"/>
                  <w:tcBorders>
                    <w:top w:val="single" w:sz="4" w:space="0" w:color="auto"/>
                  </w:tcBorders>
                  <w:shd w:val="clear" w:color="000000" w:fill="FFFFFF"/>
                  <w:noWrap/>
                  <w:vAlign w:val="bottom"/>
                  <w:hideMark/>
                </w:tcPr>
                <w:p w14:paraId="6B8256FE" w14:textId="6F06D719" w:rsidR="00C11A93" w:rsidRDefault="00C11A93" w:rsidP="00C31BC2">
                  <w:pPr>
                    <w:jc w:val="right"/>
                    <w:rPr>
                      <w:rFonts w:ascii="Cambria" w:hAnsi="Cambria"/>
                      <w:sz w:val="20"/>
                      <w:szCs w:val="20"/>
                    </w:rPr>
                  </w:pPr>
                  <w:r>
                    <w:rPr>
                      <w:rFonts w:ascii="Cambria" w:hAnsi="Cambria"/>
                      <w:sz w:val="20"/>
                      <w:szCs w:val="20"/>
                    </w:rPr>
                    <w:t>8.0</w:t>
                  </w:r>
                </w:p>
              </w:tc>
              <w:tc>
                <w:tcPr>
                  <w:tcW w:w="776" w:type="dxa"/>
                  <w:tcBorders>
                    <w:top w:val="single" w:sz="4" w:space="0" w:color="auto"/>
                  </w:tcBorders>
                  <w:shd w:val="clear" w:color="000000" w:fill="FFFFFF"/>
                  <w:noWrap/>
                  <w:vAlign w:val="bottom"/>
                  <w:hideMark/>
                </w:tcPr>
                <w:p w14:paraId="02504FD4" w14:textId="2ED41EA5" w:rsidR="00C11A93" w:rsidRDefault="00C11A93" w:rsidP="00C31BC2">
                  <w:pPr>
                    <w:jc w:val="right"/>
                    <w:rPr>
                      <w:rFonts w:ascii="Cambria" w:hAnsi="Cambria"/>
                      <w:sz w:val="20"/>
                      <w:szCs w:val="20"/>
                    </w:rPr>
                  </w:pPr>
                  <w:r>
                    <w:rPr>
                      <w:rFonts w:ascii="Cambria" w:hAnsi="Cambria"/>
                      <w:sz w:val="20"/>
                      <w:szCs w:val="20"/>
                    </w:rPr>
                    <w:t>7.1</w:t>
                  </w:r>
                </w:p>
              </w:tc>
              <w:tc>
                <w:tcPr>
                  <w:tcW w:w="776" w:type="dxa"/>
                  <w:tcBorders>
                    <w:top w:val="single" w:sz="4" w:space="0" w:color="auto"/>
                  </w:tcBorders>
                  <w:shd w:val="clear" w:color="000000" w:fill="FFFFFF"/>
                  <w:noWrap/>
                  <w:vAlign w:val="bottom"/>
                  <w:hideMark/>
                </w:tcPr>
                <w:p w14:paraId="5E132DBD" w14:textId="36F6F4A4" w:rsidR="00C11A93" w:rsidRDefault="00C11A93" w:rsidP="00C31BC2">
                  <w:pPr>
                    <w:jc w:val="right"/>
                    <w:rPr>
                      <w:rFonts w:ascii="Cambria" w:hAnsi="Cambria"/>
                      <w:sz w:val="20"/>
                      <w:szCs w:val="20"/>
                    </w:rPr>
                  </w:pPr>
                  <w:r>
                    <w:rPr>
                      <w:rFonts w:ascii="Cambria" w:hAnsi="Cambria"/>
                      <w:sz w:val="20"/>
                      <w:szCs w:val="20"/>
                    </w:rPr>
                    <w:t>5.0</w:t>
                  </w:r>
                </w:p>
              </w:tc>
              <w:tc>
                <w:tcPr>
                  <w:tcW w:w="776" w:type="dxa"/>
                  <w:tcBorders>
                    <w:top w:val="single" w:sz="4" w:space="0" w:color="auto"/>
                  </w:tcBorders>
                  <w:shd w:val="clear" w:color="000000" w:fill="FFFFFF"/>
                  <w:noWrap/>
                  <w:vAlign w:val="bottom"/>
                  <w:hideMark/>
                </w:tcPr>
                <w:p w14:paraId="20CE8E92" w14:textId="5A47C483" w:rsidR="00C11A93" w:rsidRDefault="00C11A93" w:rsidP="00C31BC2">
                  <w:pPr>
                    <w:jc w:val="right"/>
                    <w:rPr>
                      <w:rFonts w:ascii="Cambria" w:hAnsi="Cambria"/>
                      <w:sz w:val="20"/>
                      <w:szCs w:val="20"/>
                    </w:rPr>
                  </w:pPr>
                  <w:r>
                    <w:rPr>
                      <w:rFonts w:ascii="Cambria" w:hAnsi="Cambria"/>
                      <w:sz w:val="20"/>
                      <w:szCs w:val="20"/>
                    </w:rPr>
                    <w:t>4.5</w:t>
                  </w:r>
                </w:p>
              </w:tc>
              <w:tc>
                <w:tcPr>
                  <w:tcW w:w="796" w:type="dxa"/>
                  <w:tcBorders>
                    <w:top w:val="single" w:sz="4" w:space="0" w:color="auto"/>
                  </w:tcBorders>
                  <w:shd w:val="clear" w:color="000000" w:fill="FFFFFF"/>
                  <w:noWrap/>
                  <w:vAlign w:val="bottom"/>
                  <w:hideMark/>
                </w:tcPr>
                <w:p w14:paraId="2F403887" w14:textId="1D6F1D53" w:rsidR="00C11A93" w:rsidRDefault="00C11A93" w:rsidP="00C31BC2">
                  <w:pPr>
                    <w:jc w:val="right"/>
                    <w:rPr>
                      <w:rFonts w:ascii="Cambria" w:hAnsi="Cambria"/>
                      <w:sz w:val="20"/>
                      <w:szCs w:val="20"/>
                    </w:rPr>
                  </w:pPr>
                  <w:r>
                    <w:rPr>
                      <w:rFonts w:ascii="Cambria" w:hAnsi="Cambria"/>
                      <w:sz w:val="20"/>
                      <w:szCs w:val="20"/>
                    </w:rPr>
                    <w:t>3.9</w:t>
                  </w:r>
                </w:p>
              </w:tc>
              <w:tc>
                <w:tcPr>
                  <w:tcW w:w="776" w:type="dxa"/>
                  <w:tcBorders>
                    <w:top w:val="single" w:sz="4" w:space="0" w:color="auto"/>
                  </w:tcBorders>
                  <w:shd w:val="clear" w:color="000000" w:fill="FFFFFF"/>
                  <w:noWrap/>
                  <w:vAlign w:val="bottom"/>
                  <w:hideMark/>
                </w:tcPr>
                <w:p w14:paraId="4DC56371" w14:textId="5612E8A1" w:rsidR="00C11A93" w:rsidRDefault="00C11A93" w:rsidP="00C31BC2">
                  <w:pPr>
                    <w:jc w:val="right"/>
                    <w:rPr>
                      <w:rFonts w:ascii="Cambria" w:hAnsi="Cambria"/>
                      <w:sz w:val="20"/>
                      <w:szCs w:val="20"/>
                    </w:rPr>
                  </w:pPr>
                  <w:r>
                    <w:rPr>
                      <w:rFonts w:ascii="Cambria" w:hAnsi="Cambria"/>
                      <w:sz w:val="20"/>
                      <w:szCs w:val="20"/>
                    </w:rPr>
                    <w:t>2.7</w:t>
                  </w:r>
                </w:p>
              </w:tc>
            </w:tr>
            <w:tr w:rsidR="00C11A93" w14:paraId="1960B00B" w14:textId="77777777" w:rsidTr="00C31BC2">
              <w:trPr>
                <w:trHeight w:val="270"/>
                <w:jc w:val="center"/>
              </w:trPr>
              <w:tc>
                <w:tcPr>
                  <w:tcW w:w="2994" w:type="dxa"/>
                  <w:shd w:val="clear" w:color="000000" w:fill="FFFFFF"/>
                  <w:vAlign w:val="bottom"/>
                  <w:hideMark/>
                </w:tcPr>
                <w:p w14:paraId="072FC619" w14:textId="36E63911" w:rsidR="00C11A93" w:rsidRDefault="00C11A93" w:rsidP="00A32033">
                  <w:pPr>
                    <w:rPr>
                      <w:rFonts w:ascii="Cambria" w:hAnsi="Cambria"/>
                      <w:sz w:val="20"/>
                      <w:szCs w:val="20"/>
                    </w:rPr>
                  </w:pPr>
                  <w:r>
                    <w:rPr>
                      <w:rFonts w:ascii="Cambria" w:hAnsi="Cambria"/>
                      <w:sz w:val="20"/>
                      <w:szCs w:val="20"/>
                    </w:rPr>
                    <w:t>Inflation</w:t>
                  </w:r>
                  <w:r w:rsidR="00C31BC2">
                    <w:rPr>
                      <w:rFonts w:ascii="Cambria" w:hAnsi="Cambria"/>
                      <w:sz w:val="20"/>
                      <w:szCs w:val="20"/>
                    </w:rPr>
                    <w:t xml:space="preserve"> </w:t>
                  </w:r>
                </w:p>
              </w:tc>
              <w:tc>
                <w:tcPr>
                  <w:tcW w:w="502" w:type="dxa"/>
                  <w:shd w:val="clear" w:color="000000" w:fill="FFFFFF"/>
                  <w:noWrap/>
                  <w:vAlign w:val="bottom"/>
                  <w:hideMark/>
                </w:tcPr>
                <w:p w14:paraId="4ECF7277" w14:textId="4E87FF32" w:rsidR="00C11A93" w:rsidRDefault="00C11A93" w:rsidP="00C31BC2">
                  <w:pPr>
                    <w:jc w:val="right"/>
                    <w:rPr>
                      <w:rFonts w:ascii="Cambria" w:hAnsi="Cambria"/>
                      <w:sz w:val="20"/>
                      <w:szCs w:val="20"/>
                    </w:rPr>
                  </w:pPr>
                  <w:r>
                    <w:rPr>
                      <w:rFonts w:ascii="Cambria" w:hAnsi="Cambria"/>
                      <w:sz w:val="20"/>
                      <w:szCs w:val="20"/>
                    </w:rPr>
                    <w:t>16.6</w:t>
                  </w:r>
                </w:p>
              </w:tc>
              <w:tc>
                <w:tcPr>
                  <w:tcW w:w="836" w:type="dxa"/>
                  <w:shd w:val="clear" w:color="000000" w:fill="FFFFFF"/>
                  <w:noWrap/>
                  <w:vAlign w:val="bottom"/>
                  <w:hideMark/>
                </w:tcPr>
                <w:p w14:paraId="076720B7" w14:textId="51C19C72" w:rsidR="00C11A93" w:rsidRDefault="00C11A93" w:rsidP="00C31BC2">
                  <w:pPr>
                    <w:jc w:val="right"/>
                    <w:rPr>
                      <w:rFonts w:ascii="Cambria" w:hAnsi="Cambria"/>
                      <w:sz w:val="20"/>
                      <w:szCs w:val="20"/>
                    </w:rPr>
                  </w:pPr>
                  <w:r>
                    <w:rPr>
                      <w:rFonts w:ascii="Cambria" w:hAnsi="Cambria"/>
                      <w:sz w:val="20"/>
                      <w:szCs w:val="20"/>
                    </w:rPr>
                    <w:t>4.1</w:t>
                  </w:r>
                </w:p>
              </w:tc>
              <w:tc>
                <w:tcPr>
                  <w:tcW w:w="816" w:type="dxa"/>
                  <w:shd w:val="clear" w:color="000000" w:fill="FFFFFF"/>
                  <w:noWrap/>
                  <w:vAlign w:val="bottom"/>
                  <w:hideMark/>
                </w:tcPr>
                <w:p w14:paraId="1A5ECC06" w14:textId="7476C4C7" w:rsidR="00C11A93" w:rsidRDefault="00C11A93" w:rsidP="00C31BC2">
                  <w:pPr>
                    <w:jc w:val="right"/>
                    <w:rPr>
                      <w:rFonts w:ascii="Cambria" w:hAnsi="Cambria"/>
                      <w:sz w:val="20"/>
                      <w:szCs w:val="20"/>
                    </w:rPr>
                  </w:pPr>
                  <w:r>
                    <w:rPr>
                      <w:rFonts w:ascii="Cambria" w:hAnsi="Cambria"/>
                      <w:sz w:val="20"/>
                      <w:szCs w:val="20"/>
                    </w:rPr>
                    <w:t>8.1</w:t>
                  </w:r>
                </w:p>
              </w:tc>
              <w:tc>
                <w:tcPr>
                  <w:tcW w:w="776" w:type="dxa"/>
                  <w:shd w:val="clear" w:color="000000" w:fill="FFFFFF"/>
                  <w:noWrap/>
                  <w:vAlign w:val="bottom"/>
                  <w:hideMark/>
                </w:tcPr>
                <w:p w14:paraId="41C5B6DB" w14:textId="1AA87CB5" w:rsidR="00C11A93" w:rsidRDefault="00C11A93" w:rsidP="00C31BC2">
                  <w:pPr>
                    <w:jc w:val="right"/>
                    <w:rPr>
                      <w:rFonts w:ascii="Cambria" w:hAnsi="Cambria"/>
                      <w:sz w:val="20"/>
                      <w:szCs w:val="20"/>
                    </w:rPr>
                  </w:pPr>
                  <w:r>
                    <w:rPr>
                      <w:rFonts w:ascii="Cambria" w:hAnsi="Cambria"/>
                      <w:sz w:val="20"/>
                      <w:szCs w:val="20"/>
                    </w:rPr>
                    <w:t>7.5</w:t>
                  </w:r>
                </w:p>
              </w:tc>
              <w:tc>
                <w:tcPr>
                  <w:tcW w:w="776" w:type="dxa"/>
                  <w:shd w:val="clear" w:color="000000" w:fill="FFFFFF"/>
                  <w:noWrap/>
                  <w:vAlign w:val="bottom"/>
                  <w:hideMark/>
                </w:tcPr>
                <w:p w14:paraId="5904BDA2" w14:textId="3B14146A" w:rsidR="00C11A93" w:rsidRDefault="00C11A93" w:rsidP="00C31BC2">
                  <w:pPr>
                    <w:jc w:val="right"/>
                    <w:rPr>
                      <w:rFonts w:ascii="Cambria" w:hAnsi="Cambria"/>
                      <w:sz w:val="20"/>
                      <w:szCs w:val="20"/>
                    </w:rPr>
                  </w:pPr>
                  <w:r>
                    <w:rPr>
                      <w:rFonts w:ascii="Cambria" w:hAnsi="Cambria"/>
                      <w:sz w:val="20"/>
                      <w:szCs w:val="20"/>
                    </w:rPr>
                    <w:t>6.6</w:t>
                  </w:r>
                </w:p>
              </w:tc>
              <w:tc>
                <w:tcPr>
                  <w:tcW w:w="776" w:type="dxa"/>
                  <w:shd w:val="clear" w:color="000000" w:fill="FFFFFF"/>
                  <w:noWrap/>
                  <w:vAlign w:val="bottom"/>
                  <w:hideMark/>
                </w:tcPr>
                <w:p w14:paraId="25EBD408" w14:textId="0E4AB2CE" w:rsidR="00C11A93" w:rsidRDefault="00C11A93" w:rsidP="00C31BC2">
                  <w:pPr>
                    <w:jc w:val="right"/>
                    <w:rPr>
                      <w:rFonts w:ascii="Cambria" w:hAnsi="Cambria"/>
                      <w:sz w:val="20"/>
                      <w:szCs w:val="20"/>
                    </w:rPr>
                  </w:pPr>
                  <w:r>
                    <w:rPr>
                      <w:rFonts w:ascii="Cambria" w:hAnsi="Cambria"/>
                      <w:sz w:val="20"/>
                      <w:szCs w:val="20"/>
                    </w:rPr>
                    <w:t>6.0</w:t>
                  </w:r>
                </w:p>
              </w:tc>
              <w:tc>
                <w:tcPr>
                  <w:tcW w:w="796" w:type="dxa"/>
                  <w:shd w:val="clear" w:color="000000" w:fill="FFFFFF"/>
                  <w:noWrap/>
                  <w:vAlign w:val="bottom"/>
                  <w:hideMark/>
                </w:tcPr>
                <w:p w14:paraId="63320B20" w14:textId="4AC4B1DF" w:rsidR="00C11A93" w:rsidRDefault="00C11A93" w:rsidP="00C31BC2">
                  <w:pPr>
                    <w:jc w:val="right"/>
                    <w:rPr>
                      <w:rFonts w:ascii="Cambria" w:hAnsi="Cambria"/>
                      <w:sz w:val="20"/>
                      <w:szCs w:val="20"/>
                    </w:rPr>
                  </w:pPr>
                  <w:r>
                    <w:rPr>
                      <w:rFonts w:ascii="Cambria" w:hAnsi="Cambria"/>
                      <w:sz w:val="20"/>
                      <w:szCs w:val="20"/>
                    </w:rPr>
                    <w:t>3.0</w:t>
                  </w:r>
                </w:p>
              </w:tc>
              <w:tc>
                <w:tcPr>
                  <w:tcW w:w="776" w:type="dxa"/>
                  <w:shd w:val="clear" w:color="000000" w:fill="FFFFFF"/>
                  <w:noWrap/>
                  <w:vAlign w:val="bottom"/>
                  <w:hideMark/>
                </w:tcPr>
                <w:p w14:paraId="11E1AAC3" w14:textId="2E735104" w:rsidR="00C11A93" w:rsidRDefault="00C11A93" w:rsidP="00C31BC2">
                  <w:pPr>
                    <w:jc w:val="right"/>
                    <w:rPr>
                      <w:rFonts w:ascii="Cambria" w:hAnsi="Cambria"/>
                      <w:sz w:val="20"/>
                      <w:szCs w:val="20"/>
                    </w:rPr>
                  </w:pPr>
                  <w:r>
                    <w:rPr>
                      <w:rFonts w:ascii="Cambria" w:hAnsi="Cambria"/>
                      <w:sz w:val="20"/>
                      <w:szCs w:val="20"/>
                    </w:rPr>
                    <w:t>3.0</w:t>
                  </w:r>
                </w:p>
              </w:tc>
            </w:tr>
            <w:tr w:rsidR="00C11A93" w14:paraId="7776AC33" w14:textId="77777777" w:rsidTr="00C31BC2">
              <w:trPr>
                <w:trHeight w:val="255"/>
                <w:jc w:val="center"/>
              </w:trPr>
              <w:tc>
                <w:tcPr>
                  <w:tcW w:w="2994" w:type="dxa"/>
                  <w:tcBorders>
                    <w:bottom w:val="single" w:sz="4" w:space="0" w:color="auto"/>
                  </w:tcBorders>
                  <w:shd w:val="clear" w:color="000000" w:fill="FFFFFF"/>
                  <w:vAlign w:val="bottom"/>
                  <w:hideMark/>
                </w:tcPr>
                <w:p w14:paraId="2D4E4820" w14:textId="3928067C" w:rsidR="00C11A93" w:rsidRDefault="00C11A93" w:rsidP="00A32033">
                  <w:pPr>
                    <w:rPr>
                      <w:rFonts w:ascii="Cambria" w:hAnsi="Cambria"/>
                      <w:sz w:val="20"/>
                      <w:szCs w:val="20"/>
                    </w:rPr>
                  </w:pPr>
                  <w:r>
                    <w:rPr>
                      <w:rFonts w:ascii="Cambria" w:hAnsi="Cambria"/>
                      <w:sz w:val="20"/>
                      <w:szCs w:val="20"/>
                    </w:rPr>
                    <w:t>Real wage growth</w:t>
                  </w:r>
                </w:p>
              </w:tc>
              <w:tc>
                <w:tcPr>
                  <w:tcW w:w="502" w:type="dxa"/>
                  <w:tcBorders>
                    <w:bottom w:val="single" w:sz="4" w:space="0" w:color="auto"/>
                  </w:tcBorders>
                  <w:shd w:val="clear" w:color="000000" w:fill="FFFFFF"/>
                  <w:noWrap/>
                  <w:vAlign w:val="bottom"/>
                  <w:hideMark/>
                </w:tcPr>
                <w:p w14:paraId="2F31BAF5" w14:textId="5256098A" w:rsidR="00C11A93" w:rsidRDefault="00C11A93" w:rsidP="00C31BC2">
                  <w:pPr>
                    <w:jc w:val="right"/>
                    <w:rPr>
                      <w:rFonts w:ascii="Cambria" w:hAnsi="Cambria"/>
                      <w:sz w:val="20"/>
                      <w:szCs w:val="20"/>
                    </w:rPr>
                  </w:pPr>
                  <w:r>
                    <w:rPr>
                      <w:rFonts w:ascii="Cambria" w:hAnsi="Cambria"/>
                      <w:sz w:val="20"/>
                      <w:szCs w:val="20"/>
                    </w:rPr>
                    <w:t>10.0</w:t>
                  </w:r>
                </w:p>
              </w:tc>
              <w:tc>
                <w:tcPr>
                  <w:tcW w:w="836" w:type="dxa"/>
                  <w:tcBorders>
                    <w:bottom w:val="single" w:sz="4" w:space="0" w:color="auto"/>
                  </w:tcBorders>
                  <w:shd w:val="clear" w:color="000000" w:fill="FFFFFF"/>
                  <w:noWrap/>
                  <w:vAlign w:val="bottom"/>
                  <w:hideMark/>
                </w:tcPr>
                <w:p w14:paraId="21DE1FD9" w14:textId="0B9BB1F6" w:rsidR="00C11A93" w:rsidRDefault="00C11A93" w:rsidP="00C31BC2">
                  <w:pPr>
                    <w:jc w:val="right"/>
                    <w:rPr>
                      <w:rFonts w:ascii="Cambria" w:hAnsi="Cambria"/>
                      <w:sz w:val="20"/>
                      <w:szCs w:val="20"/>
                    </w:rPr>
                  </w:pPr>
                  <w:r>
                    <w:rPr>
                      <w:rFonts w:ascii="Cambria" w:hAnsi="Cambria"/>
                      <w:sz w:val="20"/>
                      <w:szCs w:val="20"/>
                    </w:rPr>
                    <w:t>17.9</w:t>
                  </w:r>
                </w:p>
              </w:tc>
              <w:tc>
                <w:tcPr>
                  <w:tcW w:w="816" w:type="dxa"/>
                  <w:tcBorders>
                    <w:bottom w:val="single" w:sz="4" w:space="0" w:color="auto"/>
                  </w:tcBorders>
                  <w:shd w:val="clear" w:color="000000" w:fill="FFFFFF"/>
                  <w:noWrap/>
                  <w:vAlign w:val="bottom"/>
                  <w:hideMark/>
                </w:tcPr>
                <w:p w14:paraId="61788F50" w14:textId="0B67F950" w:rsidR="00C11A93" w:rsidRDefault="00C11A93" w:rsidP="00C31BC2">
                  <w:pPr>
                    <w:jc w:val="right"/>
                    <w:rPr>
                      <w:rFonts w:ascii="Cambria" w:hAnsi="Cambria"/>
                      <w:sz w:val="20"/>
                      <w:szCs w:val="20"/>
                    </w:rPr>
                  </w:pPr>
                  <w:r>
                    <w:rPr>
                      <w:rFonts w:ascii="Cambria" w:hAnsi="Cambria"/>
                      <w:sz w:val="20"/>
                      <w:szCs w:val="20"/>
                    </w:rPr>
                    <w:t>6.6</w:t>
                  </w:r>
                </w:p>
              </w:tc>
              <w:tc>
                <w:tcPr>
                  <w:tcW w:w="776" w:type="dxa"/>
                  <w:tcBorders>
                    <w:bottom w:val="single" w:sz="4" w:space="0" w:color="auto"/>
                  </w:tcBorders>
                  <w:shd w:val="clear" w:color="000000" w:fill="FFFFFF"/>
                  <w:noWrap/>
                  <w:vAlign w:val="bottom"/>
                  <w:hideMark/>
                </w:tcPr>
                <w:p w14:paraId="691ED4D7" w14:textId="4CC4DA49" w:rsidR="00C11A93" w:rsidRDefault="00C11A93" w:rsidP="00C31BC2">
                  <w:pPr>
                    <w:jc w:val="right"/>
                    <w:rPr>
                      <w:rFonts w:ascii="Cambria" w:hAnsi="Cambria"/>
                      <w:sz w:val="20"/>
                      <w:szCs w:val="20"/>
                    </w:rPr>
                  </w:pPr>
                  <w:r>
                    <w:rPr>
                      <w:rFonts w:ascii="Cambria" w:hAnsi="Cambria"/>
                      <w:sz w:val="20"/>
                      <w:szCs w:val="20"/>
                    </w:rPr>
                    <w:t>7.0</w:t>
                  </w:r>
                </w:p>
              </w:tc>
              <w:tc>
                <w:tcPr>
                  <w:tcW w:w="776" w:type="dxa"/>
                  <w:tcBorders>
                    <w:bottom w:val="single" w:sz="4" w:space="0" w:color="auto"/>
                  </w:tcBorders>
                  <w:shd w:val="clear" w:color="000000" w:fill="FFFFFF"/>
                  <w:noWrap/>
                  <w:vAlign w:val="bottom"/>
                  <w:hideMark/>
                </w:tcPr>
                <w:p w14:paraId="5ED821B5" w14:textId="0C600260" w:rsidR="00C11A93" w:rsidRDefault="00C11A93" w:rsidP="00C31BC2">
                  <w:pPr>
                    <w:jc w:val="right"/>
                    <w:rPr>
                      <w:rFonts w:ascii="Cambria" w:hAnsi="Cambria"/>
                      <w:sz w:val="20"/>
                      <w:szCs w:val="20"/>
                    </w:rPr>
                  </w:pPr>
                  <w:r>
                    <w:rPr>
                      <w:rFonts w:ascii="Cambria" w:hAnsi="Cambria"/>
                      <w:sz w:val="20"/>
                      <w:szCs w:val="20"/>
                    </w:rPr>
                    <w:t>-0.8</w:t>
                  </w:r>
                </w:p>
              </w:tc>
              <w:tc>
                <w:tcPr>
                  <w:tcW w:w="776" w:type="dxa"/>
                  <w:tcBorders>
                    <w:bottom w:val="single" w:sz="4" w:space="0" w:color="auto"/>
                  </w:tcBorders>
                  <w:shd w:val="clear" w:color="000000" w:fill="FFFFFF"/>
                  <w:noWrap/>
                  <w:vAlign w:val="bottom"/>
                  <w:hideMark/>
                </w:tcPr>
                <w:p w14:paraId="24920249" w14:textId="62BA3AD0" w:rsidR="00C11A93" w:rsidRDefault="00C11A93" w:rsidP="00C31BC2">
                  <w:pPr>
                    <w:jc w:val="right"/>
                    <w:rPr>
                      <w:rFonts w:ascii="Cambria" w:hAnsi="Cambria"/>
                      <w:sz w:val="20"/>
                      <w:szCs w:val="20"/>
                    </w:rPr>
                  </w:pPr>
                  <w:r>
                    <w:rPr>
                      <w:rFonts w:ascii="Cambria" w:hAnsi="Cambria"/>
                      <w:sz w:val="20"/>
                      <w:szCs w:val="20"/>
                    </w:rPr>
                    <w:t>-0.4</w:t>
                  </w:r>
                </w:p>
              </w:tc>
              <w:tc>
                <w:tcPr>
                  <w:tcW w:w="796" w:type="dxa"/>
                  <w:tcBorders>
                    <w:bottom w:val="single" w:sz="4" w:space="0" w:color="auto"/>
                  </w:tcBorders>
                  <w:shd w:val="clear" w:color="000000" w:fill="FFFFFF"/>
                  <w:noWrap/>
                  <w:vAlign w:val="bottom"/>
                  <w:hideMark/>
                </w:tcPr>
                <w:p w14:paraId="106E62B8" w14:textId="76E8A51B" w:rsidR="00C11A93" w:rsidRDefault="00C11A93" w:rsidP="00C31BC2">
                  <w:pPr>
                    <w:jc w:val="right"/>
                    <w:rPr>
                      <w:rFonts w:ascii="Cambria" w:hAnsi="Cambria"/>
                      <w:sz w:val="20"/>
                      <w:szCs w:val="20"/>
                    </w:rPr>
                  </w:pPr>
                  <w:r>
                    <w:rPr>
                      <w:rFonts w:ascii="Cambria" w:hAnsi="Cambria"/>
                      <w:sz w:val="20"/>
                      <w:szCs w:val="20"/>
                    </w:rPr>
                    <w:t>2.6</w:t>
                  </w:r>
                </w:p>
              </w:tc>
              <w:tc>
                <w:tcPr>
                  <w:tcW w:w="776" w:type="dxa"/>
                  <w:tcBorders>
                    <w:bottom w:val="single" w:sz="4" w:space="0" w:color="auto"/>
                  </w:tcBorders>
                  <w:shd w:val="clear" w:color="000000" w:fill="FFFFFF"/>
                  <w:noWrap/>
                  <w:vAlign w:val="bottom"/>
                  <w:hideMark/>
                </w:tcPr>
                <w:p w14:paraId="75CDE928" w14:textId="18F7C8D8" w:rsidR="00C11A93" w:rsidRDefault="00C11A93" w:rsidP="00C31BC2">
                  <w:pPr>
                    <w:jc w:val="right"/>
                    <w:rPr>
                      <w:rFonts w:ascii="Cambria" w:hAnsi="Cambria"/>
                      <w:sz w:val="20"/>
                      <w:szCs w:val="20"/>
                    </w:rPr>
                  </w:pPr>
                  <w:r>
                    <w:rPr>
                      <w:rFonts w:ascii="Cambria" w:hAnsi="Cambria"/>
                      <w:sz w:val="20"/>
                      <w:szCs w:val="20"/>
                    </w:rPr>
                    <w:t>2.6</w:t>
                  </w:r>
                </w:p>
              </w:tc>
            </w:tr>
          </w:tbl>
          <w:p w14:paraId="1EB9065B" w14:textId="77777777" w:rsidR="00C11A93" w:rsidRDefault="00C11A93" w:rsidP="00873036">
            <w:pPr>
              <w:jc w:val="center"/>
              <w:rPr>
                <w:rFonts w:ascii="Cambria" w:hAnsi="Cambria"/>
                <w:b/>
              </w:rPr>
            </w:pPr>
          </w:p>
        </w:tc>
      </w:tr>
      <w:tr w:rsidR="00C11A93" w14:paraId="34D619C5" w14:textId="77777777" w:rsidTr="00C11A93">
        <w:tc>
          <w:tcPr>
            <w:tcW w:w="9576" w:type="dxa"/>
          </w:tcPr>
          <w:p w14:paraId="140F950F" w14:textId="51B080A6" w:rsidR="00C11A93" w:rsidRPr="00C11A93" w:rsidRDefault="00C11A93" w:rsidP="00C31BC2">
            <w:pPr>
              <w:spacing w:before="40" w:after="120"/>
              <w:ind w:left="180"/>
              <w:rPr>
                <w:rFonts w:ascii="Cambria" w:hAnsi="Cambria"/>
                <w:sz w:val="18"/>
                <w:szCs w:val="18"/>
              </w:rPr>
            </w:pPr>
            <w:r w:rsidRPr="00DF7980">
              <w:rPr>
                <w:rFonts w:ascii="Cambria" w:hAnsi="Cambria"/>
                <w:i/>
                <w:sz w:val="18"/>
                <w:szCs w:val="18"/>
              </w:rPr>
              <w:t>Source</w:t>
            </w:r>
            <w:r w:rsidRPr="00DF7980">
              <w:rPr>
                <w:rFonts w:ascii="Cambria" w:hAnsi="Cambria"/>
                <w:sz w:val="18"/>
                <w:szCs w:val="18"/>
              </w:rPr>
              <w:t>:</w:t>
            </w:r>
            <w:r w:rsidR="00DB3436">
              <w:rPr>
                <w:rFonts w:ascii="Cambria" w:hAnsi="Cambria"/>
                <w:sz w:val="18"/>
                <w:szCs w:val="18"/>
              </w:rPr>
              <w:t xml:space="preserve"> PROST input files</w:t>
            </w:r>
            <w:r w:rsidR="00C31BC2">
              <w:rPr>
                <w:rFonts w:ascii="Cambria" w:hAnsi="Cambria"/>
                <w:sz w:val="18"/>
                <w:szCs w:val="18"/>
              </w:rPr>
              <w:t>.</w:t>
            </w:r>
          </w:p>
        </w:tc>
      </w:tr>
    </w:tbl>
    <w:p w14:paraId="06E260FA" w14:textId="77777777" w:rsidR="00A32033" w:rsidRDefault="00A32033" w:rsidP="006D70DF">
      <w:pPr>
        <w:spacing w:before="120" w:after="240" w:line="276" w:lineRule="auto"/>
        <w:jc w:val="both"/>
        <w:rPr>
          <w:rFonts w:ascii="Cambria" w:hAnsi="Cambria"/>
          <w:sz w:val="22"/>
          <w:szCs w:val="22"/>
          <w:u w:val="single"/>
        </w:rPr>
      </w:pPr>
    </w:p>
    <w:p w14:paraId="2784370C" w14:textId="77777777" w:rsidR="00855721" w:rsidRPr="00C20EC5" w:rsidRDefault="00855721" w:rsidP="006D70DF">
      <w:pPr>
        <w:spacing w:before="120" w:after="240" w:line="276" w:lineRule="auto"/>
        <w:jc w:val="both"/>
        <w:rPr>
          <w:rFonts w:ascii="Cambria" w:hAnsi="Cambria"/>
          <w:sz w:val="22"/>
          <w:szCs w:val="22"/>
        </w:rPr>
      </w:pPr>
      <w:r w:rsidRPr="00C20EC5">
        <w:rPr>
          <w:rFonts w:ascii="Cambria" w:hAnsi="Cambria"/>
          <w:sz w:val="22"/>
          <w:szCs w:val="22"/>
          <w:u w:val="single"/>
        </w:rPr>
        <w:lastRenderedPageBreak/>
        <w:t>Coverage</w:t>
      </w:r>
    </w:p>
    <w:p w14:paraId="16408D1F" w14:textId="663009CF" w:rsidR="006141C0" w:rsidRPr="00C20EC5" w:rsidRDefault="00A86EF7"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Age- and gender-specific coverage rates for contributors are assumed to remain constant. As a result, the </w:t>
      </w:r>
      <w:r w:rsidR="00AF2A7D" w:rsidRPr="00C20EC5">
        <w:rPr>
          <w:rFonts w:ascii="Cambria" w:hAnsi="Cambria"/>
          <w:sz w:val="22"/>
          <w:szCs w:val="22"/>
        </w:rPr>
        <w:t xml:space="preserve">projected </w:t>
      </w:r>
      <w:r w:rsidRPr="00C20EC5">
        <w:rPr>
          <w:rFonts w:ascii="Cambria" w:hAnsi="Cambria"/>
          <w:sz w:val="22"/>
          <w:szCs w:val="22"/>
        </w:rPr>
        <w:t>total coverage rate is relatively stable at 32-35</w:t>
      </w:r>
      <w:r w:rsidR="002B409D">
        <w:rPr>
          <w:rFonts w:ascii="Cambria" w:hAnsi="Cambria"/>
          <w:sz w:val="22"/>
          <w:szCs w:val="22"/>
        </w:rPr>
        <w:t xml:space="preserve"> percent</w:t>
      </w:r>
      <w:r w:rsidRPr="00C20EC5">
        <w:rPr>
          <w:rFonts w:ascii="Cambria" w:hAnsi="Cambria"/>
          <w:sz w:val="22"/>
          <w:szCs w:val="22"/>
        </w:rPr>
        <w:t xml:space="preserve"> of working age population with slight fluctuations due to changes in the age </w:t>
      </w:r>
      <w:r w:rsidR="00E76AAB" w:rsidRPr="00C20EC5">
        <w:rPr>
          <w:rFonts w:ascii="Cambria" w:hAnsi="Cambria"/>
          <w:sz w:val="22"/>
          <w:szCs w:val="22"/>
        </w:rPr>
        <w:t>structure</w:t>
      </w:r>
      <w:r w:rsidRPr="00C20EC5">
        <w:rPr>
          <w:rFonts w:ascii="Cambria" w:hAnsi="Cambria"/>
          <w:sz w:val="22"/>
          <w:szCs w:val="22"/>
        </w:rPr>
        <w:t>.</w:t>
      </w:r>
      <w:r w:rsidR="00AF2A7D" w:rsidRPr="00C20EC5">
        <w:rPr>
          <w:rFonts w:ascii="Cambria" w:hAnsi="Cambria"/>
          <w:sz w:val="22"/>
          <w:szCs w:val="22"/>
        </w:rPr>
        <w:t xml:space="preserve"> The share of salaried workers and farmers/self-employed is also assumed to remain constant.</w:t>
      </w:r>
    </w:p>
    <w:p w14:paraId="457295DC" w14:textId="77777777" w:rsidR="0013145B" w:rsidRPr="00C20EC5" w:rsidRDefault="0013145B" w:rsidP="006D70DF">
      <w:pPr>
        <w:spacing w:before="120" w:after="240" w:line="276" w:lineRule="auto"/>
        <w:jc w:val="both"/>
        <w:rPr>
          <w:rFonts w:ascii="Cambria" w:hAnsi="Cambria"/>
          <w:sz w:val="22"/>
          <w:szCs w:val="22"/>
          <w:u w:val="single"/>
        </w:rPr>
      </w:pPr>
      <w:r w:rsidRPr="00C20EC5">
        <w:rPr>
          <w:rFonts w:ascii="Cambria" w:hAnsi="Cambria"/>
          <w:sz w:val="22"/>
          <w:szCs w:val="22"/>
          <w:u w:val="single"/>
        </w:rPr>
        <w:t>Indexation policy</w:t>
      </w:r>
    </w:p>
    <w:p w14:paraId="57EBEA38" w14:textId="4176B679" w:rsidR="00855721" w:rsidRPr="00C20EC5" w:rsidRDefault="00390DBE"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In the base case scenario the current policy to index post-retirement </w:t>
      </w:r>
      <w:r w:rsidRPr="00C20EC5">
        <w:rPr>
          <w:rFonts w:ascii="Cambria" w:hAnsi="Cambria"/>
          <w:i/>
          <w:sz w:val="22"/>
          <w:szCs w:val="22"/>
        </w:rPr>
        <w:t>insurance pensions</w:t>
      </w:r>
      <w:r w:rsidRPr="00C20EC5">
        <w:rPr>
          <w:rFonts w:ascii="Cambria" w:hAnsi="Cambria"/>
          <w:sz w:val="22"/>
          <w:szCs w:val="22"/>
        </w:rPr>
        <w:t xml:space="preserve"> (SP1+SP2) </w:t>
      </w:r>
      <w:r w:rsidR="00134C8A">
        <w:rPr>
          <w:rFonts w:ascii="Cambria" w:hAnsi="Cambria"/>
          <w:sz w:val="22"/>
          <w:szCs w:val="22"/>
        </w:rPr>
        <w:t xml:space="preserve">to wage growth </w:t>
      </w:r>
      <w:r w:rsidRPr="00C20EC5">
        <w:rPr>
          <w:rFonts w:ascii="Cambria" w:hAnsi="Cambria"/>
          <w:sz w:val="22"/>
          <w:szCs w:val="22"/>
        </w:rPr>
        <w:t>is assumed to maintain throughout the projection period. Reforms 2 and 3 assume price indexation.</w:t>
      </w:r>
    </w:p>
    <w:p w14:paraId="10854342" w14:textId="77777777" w:rsidR="00390DBE" w:rsidRPr="00C20EC5" w:rsidRDefault="00390DBE"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In accordance with the </w:t>
      </w:r>
      <w:r w:rsidR="0014042E" w:rsidRPr="00C20EC5">
        <w:rPr>
          <w:rFonts w:ascii="Cambria" w:hAnsi="Cambria"/>
          <w:sz w:val="22"/>
          <w:szCs w:val="22"/>
        </w:rPr>
        <w:t xml:space="preserve">current </w:t>
      </w:r>
      <w:r w:rsidRPr="00C20EC5">
        <w:rPr>
          <w:rFonts w:ascii="Cambria" w:hAnsi="Cambria"/>
          <w:sz w:val="22"/>
          <w:szCs w:val="22"/>
        </w:rPr>
        <w:t>law</w:t>
      </w:r>
      <w:r w:rsidR="0014042E" w:rsidRPr="00C20EC5">
        <w:rPr>
          <w:rFonts w:ascii="Cambria" w:hAnsi="Cambria"/>
          <w:sz w:val="22"/>
          <w:szCs w:val="22"/>
        </w:rPr>
        <w:t xml:space="preserve"> and practice</w:t>
      </w:r>
      <w:r w:rsidRPr="00C20EC5">
        <w:rPr>
          <w:rFonts w:ascii="Cambria" w:hAnsi="Cambria"/>
          <w:sz w:val="22"/>
          <w:szCs w:val="22"/>
        </w:rPr>
        <w:t xml:space="preserve">, </w:t>
      </w:r>
      <w:r w:rsidRPr="00C20EC5">
        <w:rPr>
          <w:rFonts w:ascii="Cambria" w:hAnsi="Cambria"/>
          <w:i/>
          <w:sz w:val="22"/>
          <w:szCs w:val="22"/>
        </w:rPr>
        <w:t>basic pension</w:t>
      </w:r>
      <w:r w:rsidRPr="00C20EC5">
        <w:rPr>
          <w:rFonts w:ascii="Cambria" w:hAnsi="Cambria"/>
          <w:sz w:val="22"/>
          <w:szCs w:val="22"/>
        </w:rPr>
        <w:t xml:space="preserve"> is indexed to average wage growth in all scenarios. </w:t>
      </w:r>
    </w:p>
    <w:p w14:paraId="6371F771" w14:textId="5BF53352" w:rsidR="00701D4A" w:rsidRPr="00C20EC5" w:rsidRDefault="00701D4A"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In the base case scenario, </w:t>
      </w:r>
      <w:r w:rsidRPr="00C20EC5">
        <w:rPr>
          <w:rFonts w:ascii="Cambria" w:hAnsi="Cambria"/>
          <w:i/>
          <w:sz w:val="22"/>
          <w:szCs w:val="22"/>
        </w:rPr>
        <w:t>contributions</w:t>
      </w:r>
      <w:r w:rsidRPr="00C20EC5">
        <w:rPr>
          <w:rFonts w:ascii="Cambria" w:hAnsi="Cambria"/>
          <w:sz w:val="22"/>
          <w:szCs w:val="22"/>
        </w:rPr>
        <w:t xml:space="preserve"> credited to individual NDC accounts are indexed to 75</w:t>
      </w:r>
      <w:r w:rsidR="002B409D">
        <w:rPr>
          <w:rFonts w:ascii="Cambria" w:hAnsi="Cambria"/>
          <w:sz w:val="22"/>
          <w:szCs w:val="22"/>
        </w:rPr>
        <w:t xml:space="preserve"> percent</w:t>
      </w:r>
      <w:r w:rsidRPr="00C20EC5">
        <w:rPr>
          <w:rFonts w:ascii="Cambria" w:hAnsi="Cambria"/>
          <w:sz w:val="22"/>
          <w:szCs w:val="22"/>
        </w:rPr>
        <w:t xml:space="preserve"> of average wage growth rate, with indexation applied only to current year contributions, as required by the current regulations. All Reforms assume full wage indexation applied to entire balances.</w:t>
      </w:r>
    </w:p>
    <w:p w14:paraId="262E9A4C" w14:textId="77777777" w:rsidR="00B35E51" w:rsidRPr="00C20EC5" w:rsidRDefault="006D70DF" w:rsidP="006D70DF">
      <w:pPr>
        <w:autoSpaceDE w:val="0"/>
        <w:autoSpaceDN w:val="0"/>
        <w:adjustRightInd w:val="0"/>
        <w:spacing w:before="240" w:after="240"/>
        <w:jc w:val="both"/>
        <w:rPr>
          <w:rFonts w:ascii="Cambria" w:hAnsi="Cambria"/>
          <w:sz w:val="22"/>
          <w:szCs w:val="22"/>
          <w:u w:val="single"/>
        </w:rPr>
      </w:pPr>
      <w:r w:rsidRPr="00C20EC5">
        <w:rPr>
          <w:rFonts w:ascii="Cambria" w:hAnsi="Cambria"/>
          <w:sz w:val="22"/>
          <w:szCs w:val="22"/>
          <w:u w:val="single"/>
        </w:rPr>
        <w:t>FFDC component</w:t>
      </w:r>
    </w:p>
    <w:p w14:paraId="64E20CD4" w14:textId="732CA928" w:rsidR="006D70DF" w:rsidRPr="00C20EC5" w:rsidRDefault="006D70DF" w:rsidP="006D70DF">
      <w:pPr>
        <w:jc w:val="both"/>
        <w:rPr>
          <w:rFonts w:ascii="Cambria" w:hAnsi="Cambria"/>
          <w:sz w:val="22"/>
          <w:szCs w:val="22"/>
        </w:rPr>
      </w:pPr>
      <w:r w:rsidRPr="00C20EC5">
        <w:rPr>
          <w:rFonts w:ascii="Cambria" w:hAnsi="Cambria"/>
          <w:sz w:val="22"/>
          <w:szCs w:val="22"/>
        </w:rPr>
        <w:t>It is assumed that FFDC assets continue to be managed by the Social Fund and there are no administration and asset management fees. A rather optimistic assumption is used for the interest rate earned on individual accounts: as financial markets improve, the real rate of return gradually increases from 0</w:t>
      </w:r>
      <w:r w:rsidR="002B409D">
        <w:rPr>
          <w:rFonts w:ascii="Cambria" w:hAnsi="Cambria"/>
          <w:sz w:val="22"/>
          <w:szCs w:val="22"/>
        </w:rPr>
        <w:t xml:space="preserve"> percent</w:t>
      </w:r>
      <w:r w:rsidRPr="00C20EC5">
        <w:rPr>
          <w:rFonts w:ascii="Cambria" w:hAnsi="Cambria"/>
          <w:sz w:val="22"/>
          <w:szCs w:val="22"/>
        </w:rPr>
        <w:t xml:space="preserve"> to 3</w:t>
      </w:r>
      <w:r w:rsidR="002B409D">
        <w:rPr>
          <w:rFonts w:ascii="Cambria" w:hAnsi="Cambria"/>
          <w:sz w:val="22"/>
          <w:szCs w:val="22"/>
        </w:rPr>
        <w:t xml:space="preserve"> percent</w:t>
      </w:r>
      <w:r w:rsidRPr="00C20EC5">
        <w:rPr>
          <w:rFonts w:ascii="Cambria" w:hAnsi="Cambria"/>
          <w:sz w:val="22"/>
          <w:szCs w:val="22"/>
        </w:rPr>
        <w:t xml:space="preserve"> over the next decade, remaining stable at 3</w:t>
      </w:r>
      <w:r w:rsidR="002B409D">
        <w:rPr>
          <w:rFonts w:ascii="Cambria" w:hAnsi="Cambria"/>
          <w:sz w:val="22"/>
          <w:szCs w:val="22"/>
        </w:rPr>
        <w:t xml:space="preserve"> percent</w:t>
      </w:r>
      <w:r w:rsidRPr="00C20EC5">
        <w:rPr>
          <w:rFonts w:ascii="Cambria" w:hAnsi="Cambria"/>
          <w:sz w:val="22"/>
          <w:szCs w:val="22"/>
        </w:rPr>
        <w:t xml:space="preserve"> thereafter.</w:t>
      </w:r>
    </w:p>
    <w:p w14:paraId="4F131C32" w14:textId="77777777" w:rsidR="00380879" w:rsidRPr="00C20EC5" w:rsidRDefault="00380879" w:rsidP="006D70DF">
      <w:pPr>
        <w:autoSpaceDE w:val="0"/>
        <w:autoSpaceDN w:val="0"/>
        <w:adjustRightInd w:val="0"/>
        <w:spacing w:before="240" w:after="240"/>
        <w:jc w:val="both"/>
        <w:rPr>
          <w:rFonts w:ascii="Cambria" w:hAnsi="Cambria"/>
          <w:sz w:val="22"/>
          <w:szCs w:val="22"/>
          <w:u w:val="single"/>
        </w:rPr>
      </w:pPr>
      <w:r w:rsidRPr="00C20EC5">
        <w:rPr>
          <w:rFonts w:ascii="Cambria" w:hAnsi="Cambria"/>
          <w:sz w:val="22"/>
          <w:szCs w:val="22"/>
          <w:u w:val="single"/>
        </w:rPr>
        <w:t>General Description of PROST Methodology</w:t>
      </w:r>
    </w:p>
    <w:p w14:paraId="2B2D9BAF" w14:textId="77777777" w:rsidR="00510BCF" w:rsidRPr="00C20EC5" w:rsidRDefault="00510BCF"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PROST is a computer-based pension model designed to simulate the behavior of pension systems and assess their financial sustainability under different economic and demographic assumptions over a long time frame. The model can be adapted to a wide range of country circumstances and allows modeling of various types of pension reform options.</w:t>
      </w:r>
    </w:p>
    <w:p w14:paraId="0FBA432C" w14:textId="77777777" w:rsidR="00510BCF" w:rsidRPr="00C20EC5" w:rsidRDefault="00510BCF" w:rsidP="006D70DF">
      <w:pPr>
        <w:autoSpaceDE w:val="0"/>
        <w:autoSpaceDN w:val="0"/>
        <w:adjustRightInd w:val="0"/>
        <w:spacing w:before="240" w:after="240"/>
        <w:jc w:val="both"/>
        <w:rPr>
          <w:rFonts w:ascii="Cambria" w:eastAsiaTheme="minorHAnsi" w:hAnsi="Cambria"/>
          <w:sz w:val="22"/>
          <w:szCs w:val="22"/>
        </w:rPr>
      </w:pPr>
      <w:r w:rsidRPr="00C20EC5">
        <w:rPr>
          <w:rFonts w:ascii="Cambria" w:hAnsi="Cambria"/>
          <w:sz w:val="22"/>
          <w:szCs w:val="22"/>
        </w:rPr>
        <w:t>The model consists of an input workbook and five output modules.  On the input side, the user provides country specific data on demographic, economic and pension system related parameters and assumptions about their behavior in the future.  This information is entered i</w:t>
      </w:r>
      <w:r w:rsidRPr="00C20EC5">
        <w:rPr>
          <w:rFonts w:ascii="Cambria" w:eastAsiaTheme="minorHAnsi" w:hAnsi="Cambria"/>
          <w:sz w:val="22"/>
          <w:szCs w:val="22"/>
        </w:rPr>
        <w:t xml:space="preserve">n the </w:t>
      </w:r>
      <w:r w:rsidRPr="00C20EC5">
        <w:rPr>
          <w:rFonts w:ascii="Cambria" w:eastAsiaTheme="minorHAnsi" w:hAnsi="Cambria"/>
          <w:b/>
          <w:sz w:val="22"/>
          <w:szCs w:val="22"/>
        </w:rPr>
        <w:t>input file</w:t>
      </w:r>
      <w:r w:rsidRPr="00C20EC5">
        <w:rPr>
          <w:rFonts w:ascii="Cambria" w:eastAsiaTheme="minorHAnsi" w:hAnsi="Cambria"/>
          <w:sz w:val="22"/>
          <w:szCs w:val="22"/>
        </w:rPr>
        <w:t xml:space="preserve"> with six embedded worksheets:</w:t>
      </w:r>
    </w:p>
    <w:p w14:paraId="77AFA41B" w14:textId="77777777" w:rsidR="00510BCF" w:rsidRPr="00C20EC5" w:rsidRDefault="00510BCF" w:rsidP="006D70DF">
      <w:pPr>
        <w:ind w:left="2160" w:hanging="1440"/>
        <w:jc w:val="both"/>
        <w:rPr>
          <w:rFonts w:ascii="Cambria" w:hAnsi="Cambria"/>
          <w:sz w:val="22"/>
          <w:szCs w:val="22"/>
        </w:rPr>
      </w:pPr>
      <w:r w:rsidRPr="00C20EC5">
        <w:rPr>
          <w:rFonts w:ascii="Cambria" w:hAnsi="Cambria"/>
          <w:i/>
          <w:iCs/>
          <w:sz w:val="22"/>
          <w:szCs w:val="22"/>
        </w:rPr>
        <w:t>General</w:t>
      </w:r>
      <w:r w:rsidRPr="00C20EC5">
        <w:rPr>
          <w:rFonts w:ascii="Cambria" w:hAnsi="Cambria"/>
          <w:i/>
          <w:iCs/>
          <w:sz w:val="22"/>
          <w:szCs w:val="22"/>
        </w:rPr>
        <w:tab/>
      </w:r>
      <w:r w:rsidRPr="00C20EC5">
        <w:rPr>
          <w:rFonts w:ascii="Cambria" w:hAnsi="Cambria"/>
          <w:sz w:val="22"/>
          <w:szCs w:val="22"/>
        </w:rPr>
        <w:t xml:space="preserve">Economic variables (GDP and wage growth, inflation, interest rate), </w:t>
      </w:r>
      <w:proofErr w:type="spellStart"/>
      <w:r w:rsidRPr="00C20EC5">
        <w:rPr>
          <w:rFonts w:ascii="Cambria" w:hAnsi="Cambria"/>
          <w:sz w:val="22"/>
          <w:szCs w:val="22"/>
        </w:rPr>
        <w:t>non age</w:t>
      </w:r>
      <w:proofErr w:type="spellEnd"/>
      <w:r w:rsidRPr="00C20EC5">
        <w:rPr>
          <w:rFonts w:ascii="Cambria" w:hAnsi="Cambria"/>
          <w:sz w:val="22"/>
          <w:szCs w:val="22"/>
        </w:rPr>
        <w:t>-specific pension system parameters (pension fund balance and benefit expenditure in the base year, retirement age, contribution rate, pension indexation rules, etc.) and some demographic variables;</w:t>
      </w:r>
    </w:p>
    <w:p w14:paraId="283797B2" w14:textId="77777777" w:rsidR="00510BCF" w:rsidRPr="00C20EC5" w:rsidRDefault="00510BCF" w:rsidP="006D70DF">
      <w:pPr>
        <w:ind w:left="2160" w:hanging="1440"/>
        <w:jc w:val="both"/>
        <w:rPr>
          <w:rFonts w:ascii="Cambria" w:hAnsi="Cambria"/>
          <w:sz w:val="22"/>
          <w:szCs w:val="22"/>
        </w:rPr>
      </w:pPr>
    </w:p>
    <w:p w14:paraId="77C3531D" w14:textId="77777777" w:rsidR="00510BCF" w:rsidRPr="00C20EC5" w:rsidRDefault="00510BCF" w:rsidP="006D70DF">
      <w:pPr>
        <w:ind w:left="2160" w:hanging="1440"/>
        <w:jc w:val="both"/>
        <w:rPr>
          <w:rFonts w:ascii="Cambria" w:hAnsi="Cambria"/>
          <w:sz w:val="22"/>
          <w:szCs w:val="22"/>
        </w:rPr>
      </w:pPr>
      <w:r w:rsidRPr="00C20EC5">
        <w:rPr>
          <w:rFonts w:ascii="Cambria" w:hAnsi="Cambria"/>
          <w:i/>
          <w:iCs/>
          <w:sz w:val="22"/>
          <w:szCs w:val="22"/>
        </w:rPr>
        <w:t>Population</w:t>
      </w:r>
      <w:r w:rsidRPr="00C20EC5">
        <w:rPr>
          <w:rFonts w:ascii="Cambria" w:hAnsi="Cambria"/>
          <w:i/>
          <w:iCs/>
          <w:sz w:val="22"/>
          <w:szCs w:val="22"/>
        </w:rPr>
        <w:tab/>
      </w:r>
      <w:r w:rsidRPr="00C20EC5">
        <w:rPr>
          <w:rFonts w:ascii="Cambria" w:hAnsi="Cambria"/>
          <w:sz w:val="22"/>
          <w:szCs w:val="22"/>
        </w:rPr>
        <w:t>Base year population by age and gender along with age-specific fertility and mortality rates and immigration information.</w:t>
      </w:r>
    </w:p>
    <w:p w14:paraId="1B587C5E" w14:textId="77777777" w:rsidR="00510BCF" w:rsidRPr="00C20EC5" w:rsidRDefault="00510BCF" w:rsidP="006D70DF">
      <w:pPr>
        <w:ind w:left="2160" w:hanging="1440"/>
        <w:jc w:val="both"/>
        <w:rPr>
          <w:rFonts w:ascii="Cambria" w:hAnsi="Cambria"/>
          <w:sz w:val="22"/>
          <w:szCs w:val="22"/>
        </w:rPr>
      </w:pPr>
    </w:p>
    <w:p w14:paraId="2CA7ED4E" w14:textId="13626024" w:rsidR="00510BCF" w:rsidRPr="00C20EC5" w:rsidRDefault="00510BCF" w:rsidP="006D70DF">
      <w:pPr>
        <w:ind w:left="2160" w:hanging="1440"/>
        <w:jc w:val="both"/>
        <w:rPr>
          <w:rFonts w:ascii="Cambria" w:hAnsi="Cambria"/>
          <w:sz w:val="22"/>
          <w:szCs w:val="22"/>
        </w:rPr>
      </w:pPr>
      <w:r w:rsidRPr="00C20EC5">
        <w:rPr>
          <w:rFonts w:ascii="Cambria" w:hAnsi="Cambria"/>
          <w:i/>
          <w:iCs/>
          <w:sz w:val="22"/>
          <w:szCs w:val="22"/>
        </w:rPr>
        <w:lastRenderedPageBreak/>
        <w:t>Labor</w:t>
      </w:r>
      <w:r w:rsidRPr="00C20EC5">
        <w:rPr>
          <w:rFonts w:ascii="Cambria" w:hAnsi="Cambria"/>
          <w:i/>
          <w:iCs/>
          <w:sz w:val="22"/>
          <w:szCs w:val="22"/>
        </w:rPr>
        <w:tab/>
      </w:r>
      <w:r w:rsidRPr="00C20EC5">
        <w:rPr>
          <w:rFonts w:ascii="Cambria" w:hAnsi="Cambria"/>
          <w:sz w:val="22"/>
          <w:szCs w:val="22"/>
        </w:rPr>
        <w:t xml:space="preserve">Age and gender specific labor force participation and unemployment rates as well as distribution of wages and </w:t>
      </w:r>
      <w:r w:rsidR="00A47C53">
        <w:rPr>
          <w:rFonts w:ascii="Cambria" w:hAnsi="Cambria"/>
          <w:sz w:val="22"/>
          <w:szCs w:val="22"/>
        </w:rPr>
        <w:t>old-age</w:t>
      </w:r>
      <w:r w:rsidRPr="00C20EC5">
        <w:rPr>
          <w:rFonts w:ascii="Cambria" w:hAnsi="Cambria"/>
          <w:sz w:val="22"/>
          <w:szCs w:val="22"/>
        </w:rPr>
        <w:t xml:space="preserve"> pensions across age and gender cohorts.</w:t>
      </w:r>
    </w:p>
    <w:p w14:paraId="414783EE" w14:textId="77777777" w:rsidR="00510BCF" w:rsidRPr="00C20EC5" w:rsidRDefault="00510BCF" w:rsidP="006D70DF">
      <w:pPr>
        <w:ind w:left="2160" w:hanging="1440"/>
        <w:jc w:val="both"/>
        <w:rPr>
          <w:rFonts w:ascii="Cambria" w:hAnsi="Cambria"/>
          <w:sz w:val="22"/>
          <w:szCs w:val="22"/>
        </w:rPr>
      </w:pPr>
    </w:p>
    <w:p w14:paraId="6F9D1CF2" w14:textId="77777777" w:rsidR="00510BCF" w:rsidRPr="00C20EC5" w:rsidRDefault="00510BCF" w:rsidP="006D70DF">
      <w:pPr>
        <w:ind w:left="2160" w:hanging="1440"/>
        <w:jc w:val="both"/>
        <w:rPr>
          <w:rFonts w:ascii="Cambria" w:hAnsi="Cambria"/>
          <w:sz w:val="22"/>
          <w:szCs w:val="22"/>
        </w:rPr>
      </w:pPr>
      <w:r w:rsidRPr="00C20EC5">
        <w:rPr>
          <w:rFonts w:ascii="Cambria" w:hAnsi="Cambria"/>
          <w:i/>
          <w:iCs/>
          <w:sz w:val="22"/>
          <w:szCs w:val="22"/>
        </w:rPr>
        <w:t>Pension</w:t>
      </w:r>
      <w:r w:rsidRPr="00C20EC5">
        <w:rPr>
          <w:rFonts w:ascii="Cambria" w:hAnsi="Cambria"/>
          <w:i/>
          <w:iCs/>
          <w:sz w:val="22"/>
          <w:szCs w:val="22"/>
        </w:rPr>
        <w:tab/>
      </w:r>
      <w:r w:rsidRPr="00C20EC5">
        <w:rPr>
          <w:rFonts w:ascii="Cambria" w:hAnsi="Cambria"/>
          <w:sz w:val="22"/>
          <w:szCs w:val="22"/>
        </w:rPr>
        <w:t>Age and gender specific information about pension system contributors, beneficiaries, coverage and retirement rates, average years of service at retirement and replacement rates for new beneficiaries.</w:t>
      </w:r>
    </w:p>
    <w:p w14:paraId="796C67CC" w14:textId="77777777" w:rsidR="00510BCF" w:rsidRPr="00C20EC5" w:rsidRDefault="00510BCF" w:rsidP="006D70DF">
      <w:pPr>
        <w:ind w:left="2160" w:hanging="1440"/>
        <w:jc w:val="both"/>
        <w:rPr>
          <w:rFonts w:ascii="Cambria" w:hAnsi="Cambria"/>
          <w:sz w:val="22"/>
          <w:szCs w:val="22"/>
        </w:rPr>
      </w:pPr>
    </w:p>
    <w:p w14:paraId="4ED6EEED" w14:textId="77777777" w:rsidR="00510BCF" w:rsidRPr="00C20EC5" w:rsidRDefault="00510BCF" w:rsidP="006D70DF">
      <w:pPr>
        <w:ind w:left="2160" w:hanging="1440"/>
        <w:jc w:val="both"/>
        <w:rPr>
          <w:rFonts w:ascii="Cambria" w:hAnsi="Cambria"/>
          <w:sz w:val="22"/>
          <w:szCs w:val="22"/>
        </w:rPr>
      </w:pPr>
      <w:proofErr w:type="gramStart"/>
      <w:r w:rsidRPr="00C20EC5">
        <w:rPr>
          <w:rFonts w:ascii="Cambria" w:hAnsi="Cambria"/>
          <w:i/>
          <w:iCs/>
          <w:sz w:val="22"/>
          <w:szCs w:val="22"/>
        </w:rPr>
        <w:t>Profiles</w:t>
      </w:r>
      <w:r w:rsidRPr="00C20EC5">
        <w:rPr>
          <w:rFonts w:ascii="Cambria" w:hAnsi="Cambria"/>
          <w:i/>
          <w:iCs/>
          <w:sz w:val="22"/>
          <w:szCs w:val="22"/>
        </w:rPr>
        <w:tab/>
      </w:r>
      <w:r w:rsidRPr="00C20EC5">
        <w:rPr>
          <w:rFonts w:ascii="Cambria" w:hAnsi="Cambria"/>
          <w:sz w:val="22"/>
          <w:szCs w:val="22"/>
        </w:rPr>
        <w:t>Information on representative individuals, such as gender, career path, individual wages, life expectancy, etc</w:t>
      </w:r>
      <w:r w:rsidR="005C17FB">
        <w:rPr>
          <w:rFonts w:ascii="Cambria" w:hAnsi="Cambria"/>
          <w:sz w:val="22"/>
          <w:szCs w:val="22"/>
        </w:rPr>
        <w:t>.</w:t>
      </w:r>
      <w:proofErr w:type="gramEnd"/>
    </w:p>
    <w:p w14:paraId="2698D0A4" w14:textId="77777777" w:rsidR="00510BCF" w:rsidRPr="00C20EC5" w:rsidRDefault="00510BCF" w:rsidP="006D70DF">
      <w:pPr>
        <w:ind w:left="2160" w:hanging="1440"/>
        <w:jc w:val="both"/>
        <w:rPr>
          <w:rFonts w:ascii="Cambria" w:hAnsi="Cambria"/>
          <w:sz w:val="22"/>
          <w:szCs w:val="22"/>
        </w:rPr>
      </w:pPr>
    </w:p>
    <w:p w14:paraId="4F88F58D" w14:textId="77777777" w:rsidR="00510BCF" w:rsidRPr="00C20EC5" w:rsidRDefault="00510BCF" w:rsidP="006D70DF">
      <w:pPr>
        <w:ind w:left="2160" w:hanging="1440"/>
        <w:jc w:val="both"/>
        <w:rPr>
          <w:rFonts w:ascii="Cambria" w:hAnsi="Cambria"/>
          <w:sz w:val="22"/>
          <w:szCs w:val="22"/>
        </w:rPr>
      </w:pPr>
      <w:r w:rsidRPr="00C20EC5">
        <w:rPr>
          <w:rFonts w:ascii="Cambria" w:hAnsi="Cambria"/>
          <w:i/>
          <w:iCs/>
          <w:sz w:val="22"/>
          <w:szCs w:val="22"/>
        </w:rPr>
        <w:t>Reform</w:t>
      </w:r>
      <w:r w:rsidRPr="00C20EC5">
        <w:rPr>
          <w:rFonts w:ascii="Cambria" w:hAnsi="Cambria"/>
          <w:i/>
          <w:iCs/>
          <w:sz w:val="22"/>
          <w:szCs w:val="22"/>
        </w:rPr>
        <w:tab/>
      </w:r>
      <w:r w:rsidRPr="00C20EC5">
        <w:rPr>
          <w:rFonts w:ascii="Cambria" w:hAnsi="Cambria"/>
          <w:sz w:val="22"/>
          <w:szCs w:val="22"/>
        </w:rPr>
        <w:t xml:space="preserve">Parameters relevant to systemic reforms to be simulated (any combination of conventional PAYG, fully funded DC and notional DC pillars), including switching pattern, how the acquired rights will be paid, contribution rates, rules for </w:t>
      </w:r>
      <w:proofErr w:type="spellStart"/>
      <w:r w:rsidRPr="00C20EC5">
        <w:rPr>
          <w:rFonts w:ascii="Cambria" w:hAnsi="Cambria"/>
          <w:sz w:val="22"/>
          <w:szCs w:val="22"/>
        </w:rPr>
        <w:t>annuitization</w:t>
      </w:r>
      <w:proofErr w:type="spellEnd"/>
      <w:r w:rsidRPr="00C20EC5">
        <w:rPr>
          <w:rFonts w:ascii="Cambria" w:hAnsi="Cambria"/>
          <w:sz w:val="22"/>
          <w:szCs w:val="22"/>
        </w:rPr>
        <w:t xml:space="preserve"> and pension payout under DC schemes and replacement rates/benefit formula in a PAYG pillar, indexation, etc.</w:t>
      </w:r>
    </w:p>
    <w:p w14:paraId="5440F11F" w14:textId="77777777" w:rsidR="00510BCF" w:rsidRPr="00C20EC5" w:rsidRDefault="00510BCF"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In the most simplified way the </w:t>
      </w:r>
      <w:r w:rsidRPr="00C20EC5">
        <w:rPr>
          <w:rFonts w:ascii="Cambria" w:hAnsi="Cambria"/>
          <w:b/>
          <w:bCs/>
          <w:sz w:val="22"/>
          <w:szCs w:val="22"/>
        </w:rPr>
        <w:t>general calculation scheme</w:t>
      </w:r>
      <w:r w:rsidRPr="00C20EC5">
        <w:rPr>
          <w:rFonts w:ascii="Cambria" w:hAnsi="Cambria"/>
          <w:sz w:val="22"/>
          <w:szCs w:val="22"/>
        </w:rPr>
        <w:t xml:space="preserve"> can be summarized in the figure below. </w:t>
      </w:r>
    </w:p>
    <w:p w14:paraId="5A6F165D" w14:textId="77777777" w:rsidR="00510BCF" w:rsidRPr="00C20EC5" w:rsidRDefault="00510BCF"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 xml:space="preserve">PROST follows single age/gender cohorts over time and generates population projections, which, combined with labor market assumptions, are used to forecast future numbers of contributors and beneficiaries.  These in turn generate flows of revenues and expenditure.  The model then projects fiscal balances and calculates the implicit pension debt.  The required contribution rates and affordable replacement rates for zero pension fund balance in each year of the simulation period are also calculated.  Finally, PROST produces outputs related to individuals – what an individual would contribute to the system and what he/she obtain under PAYG DB and </w:t>
      </w:r>
      <w:proofErr w:type="spellStart"/>
      <w:r w:rsidRPr="00C20EC5">
        <w:rPr>
          <w:rFonts w:ascii="Cambria" w:hAnsi="Cambria"/>
          <w:sz w:val="22"/>
          <w:szCs w:val="22"/>
        </w:rPr>
        <w:t>multipillar</w:t>
      </w:r>
      <w:proofErr w:type="spellEnd"/>
      <w:r w:rsidRPr="00C20EC5">
        <w:rPr>
          <w:rFonts w:ascii="Cambria" w:hAnsi="Cambria"/>
          <w:sz w:val="22"/>
          <w:szCs w:val="22"/>
        </w:rPr>
        <w:t xml:space="preserve"> schemes.  This allows both intra- and intergenerational analysis.</w:t>
      </w:r>
    </w:p>
    <w:p w14:paraId="72B9E166" w14:textId="77777777" w:rsidR="00510BCF" w:rsidRPr="00C20EC5" w:rsidRDefault="00510BCF" w:rsidP="006D70DF">
      <w:pPr>
        <w:autoSpaceDE w:val="0"/>
        <w:autoSpaceDN w:val="0"/>
        <w:adjustRightInd w:val="0"/>
        <w:spacing w:before="240" w:after="240"/>
        <w:jc w:val="both"/>
        <w:rPr>
          <w:rFonts w:ascii="Cambria" w:hAnsi="Cambria"/>
          <w:sz w:val="22"/>
          <w:szCs w:val="22"/>
        </w:rPr>
      </w:pPr>
      <w:r w:rsidRPr="00C20EC5">
        <w:rPr>
          <w:rFonts w:ascii="Cambria" w:hAnsi="Cambria"/>
          <w:sz w:val="22"/>
          <w:szCs w:val="22"/>
        </w:rPr>
        <w:t>Depending on the characteristics of the pension system and data availability, the user can choose the method for calculation of some of the variables.  In particular, the number of contributors and beneficiaries can be computed in either “Stock” or “Flow” method.  With the “Stock” method, for each year the stocks of contributors/beneficiaries are calculated first and then inflows (new contributors/beneficiaries) are derived as the changes of the stocks:</w:t>
      </w:r>
    </w:p>
    <w:p w14:paraId="6008EA4F" w14:textId="77777777" w:rsidR="00510BCF" w:rsidRPr="00C20EC5" w:rsidRDefault="00510BCF" w:rsidP="00C11A93">
      <w:pPr>
        <w:pStyle w:val="BodyTextIndent"/>
        <w:ind w:left="0"/>
        <w:jc w:val="center"/>
        <w:rPr>
          <w:rFonts w:ascii="Cambria" w:hAnsi="Cambria"/>
          <w:i/>
          <w:iCs/>
          <w:sz w:val="22"/>
          <w:szCs w:val="22"/>
        </w:rPr>
      </w:pPr>
      <w:r w:rsidRPr="00C20EC5">
        <w:rPr>
          <w:rFonts w:ascii="Cambria" w:hAnsi="Cambria"/>
          <w:i/>
          <w:iCs/>
          <w:sz w:val="22"/>
          <w:szCs w:val="22"/>
        </w:rPr>
        <w:t>Inflow(</w:t>
      </w:r>
      <w:proofErr w:type="spellStart"/>
      <w:r w:rsidRPr="00C20EC5">
        <w:rPr>
          <w:rFonts w:ascii="Cambria" w:hAnsi="Cambria"/>
          <w:i/>
          <w:iCs/>
          <w:sz w:val="22"/>
          <w:szCs w:val="22"/>
        </w:rPr>
        <w:t>a,t,g</w:t>
      </w:r>
      <w:proofErr w:type="spellEnd"/>
      <w:r w:rsidRPr="00C20EC5">
        <w:rPr>
          <w:rFonts w:ascii="Cambria" w:hAnsi="Cambria"/>
          <w:i/>
          <w:iCs/>
          <w:sz w:val="22"/>
          <w:szCs w:val="22"/>
        </w:rPr>
        <w:t>) = stock(</w:t>
      </w:r>
      <w:proofErr w:type="spellStart"/>
      <w:r w:rsidRPr="00C20EC5">
        <w:rPr>
          <w:rFonts w:ascii="Cambria" w:hAnsi="Cambria"/>
          <w:i/>
          <w:iCs/>
          <w:sz w:val="22"/>
          <w:szCs w:val="22"/>
        </w:rPr>
        <w:t>a,t,g</w:t>
      </w:r>
      <w:proofErr w:type="spellEnd"/>
      <w:r w:rsidRPr="00C20EC5">
        <w:rPr>
          <w:rFonts w:ascii="Cambria" w:hAnsi="Cambria"/>
          <w:i/>
          <w:iCs/>
          <w:sz w:val="22"/>
          <w:szCs w:val="22"/>
        </w:rPr>
        <w:t>) – stock(a-1,t-1,g) + outflow(</w:t>
      </w:r>
      <w:proofErr w:type="spellStart"/>
      <w:r w:rsidRPr="00C20EC5">
        <w:rPr>
          <w:rFonts w:ascii="Cambria" w:hAnsi="Cambria"/>
          <w:i/>
          <w:iCs/>
          <w:sz w:val="22"/>
          <w:szCs w:val="22"/>
        </w:rPr>
        <w:t>a,t,g</w:t>
      </w:r>
      <w:proofErr w:type="spellEnd"/>
      <w:r w:rsidRPr="00C20EC5">
        <w:rPr>
          <w:rFonts w:ascii="Cambria" w:hAnsi="Cambria"/>
          <w:i/>
          <w:iCs/>
          <w:sz w:val="22"/>
          <w:szCs w:val="22"/>
        </w:rPr>
        <w:t>),</w:t>
      </w:r>
    </w:p>
    <w:p w14:paraId="2F34A738" w14:textId="77777777" w:rsidR="00510BCF" w:rsidRPr="00C20EC5" w:rsidRDefault="00510BCF" w:rsidP="006D70DF">
      <w:pPr>
        <w:pStyle w:val="BodyTextIndent"/>
        <w:ind w:left="0"/>
        <w:jc w:val="both"/>
        <w:rPr>
          <w:rFonts w:ascii="Cambria" w:hAnsi="Cambria"/>
          <w:sz w:val="22"/>
          <w:szCs w:val="22"/>
        </w:rPr>
      </w:pPr>
      <w:r w:rsidRPr="00C20EC5">
        <w:rPr>
          <w:rFonts w:ascii="Cambria" w:hAnsi="Cambria"/>
          <w:sz w:val="22"/>
          <w:szCs w:val="22"/>
        </w:rPr>
        <w:t>With the “Flow” method, inflows are calculated first and then stocks are derived as previous year’s stocks in each age/gender cohort adjusted for the net inflow (inflow-outflow):</w:t>
      </w:r>
    </w:p>
    <w:p w14:paraId="20B5CC5A" w14:textId="77777777" w:rsidR="00510BCF" w:rsidRPr="00C20EC5" w:rsidRDefault="00510BCF" w:rsidP="00C11A93">
      <w:pPr>
        <w:pStyle w:val="BodyTextIndent"/>
        <w:ind w:left="0"/>
        <w:jc w:val="center"/>
        <w:rPr>
          <w:rFonts w:ascii="Cambria" w:hAnsi="Cambria"/>
          <w:i/>
          <w:iCs/>
          <w:sz w:val="22"/>
          <w:szCs w:val="22"/>
        </w:rPr>
      </w:pPr>
      <w:r w:rsidRPr="00C20EC5">
        <w:rPr>
          <w:rFonts w:ascii="Cambria" w:hAnsi="Cambria"/>
          <w:i/>
          <w:iCs/>
          <w:sz w:val="22"/>
          <w:szCs w:val="22"/>
        </w:rPr>
        <w:t>Stock(</w:t>
      </w:r>
      <w:proofErr w:type="spellStart"/>
      <w:r w:rsidRPr="00C20EC5">
        <w:rPr>
          <w:rFonts w:ascii="Cambria" w:hAnsi="Cambria"/>
          <w:i/>
          <w:iCs/>
          <w:sz w:val="22"/>
          <w:szCs w:val="22"/>
        </w:rPr>
        <w:t>a,t,g</w:t>
      </w:r>
      <w:proofErr w:type="spellEnd"/>
      <w:r w:rsidRPr="00C20EC5">
        <w:rPr>
          <w:rFonts w:ascii="Cambria" w:hAnsi="Cambria"/>
          <w:i/>
          <w:iCs/>
          <w:sz w:val="22"/>
          <w:szCs w:val="22"/>
        </w:rPr>
        <w:t>) = stock(a-1,t-1,g) -  outflow(</w:t>
      </w:r>
      <w:proofErr w:type="spellStart"/>
      <w:r w:rsidRPr="00C20EC5">
        <w:rPr>
          <w:rFonts w:ascii="Cambria" w:hAnsi="Cambria"/>
          <w:i/>
          <w:iCs/>
          <w:sz w:val="22"/>
          <w:szCs w:val="22"/>
        </w:rPr>
        <w:t>a,t,g</w:t>
      </w:r>
      <w:proofErr w:type="spellEnd"/>
      <w:r w:rsidRPr="00C20EC5">
        <w:rPr>
          <w:rFonts w:ascii="Cambria" w:hAnsi="Cambria"/>
          <w:i/>
          <w:iCs/>
          <w:sz w:val="22"/>
          <w:szCs w:val="22"/>
        </w:rPr>
        <w:t>) + inflow(</w:t>
      </w:r>
      <w:proofErr w:type="spellStart"/>
      <w:r w:rsidRPr="00C20EC5">
        <w:rPr>
          <w:rFonts w:ascii="Cambria" w:hAnsi="Cambria"/>
          <w:i/>
          <w:iCs/>
          <w:sz w:val="22"/>
          <w:szCs w:val="22"/>
        </w:rPr>
        <w:t>a,t,g</w:t>
      </w:r>
      <w:proofErr w:type="spellEnd"/>
      <w:r w:rsidRPr="00C20EC5">
        <w:rPr>
          <w:rFonts w:ascii="Cambria" w:hAnsi="Cambria"/>
          <w:i/>
          <w:iCs/>
          <w:sz w:val="22"/>
          <w:szCs w:val="22"/>
        </w:rPr>
        <w:t>),</w:t>
      </w:r>
    </w:p>
    <w:p w14:paraId="796D6ABD" w14:textId="77777777" w:rsidR="00510BCF" w:rsidRPr="00C20EC5" w:rsidRDefault="00510BCF" w:rsidP="00C11A93">
      <w:pPr>
        <w:pStyle w:val="BodyTextIndent"/>
        <w:ind w:left="0"/>
        <w:jc w:val="center"/>
        <w:rPr>
          <w:rFonts w:ascii="Cambria" w:hAnsi="Cambria"/>
          <w:sz w:val="22"/>
          <w:szCs w:val="22"/>
        </w:rPr>
      </w:pPr>
      <w:r w:rsidRPr="00C20EC5">
        <w:rPr>
          <w:rFonts w:ascii="Cambria" w:hAnsi="Cambria"/>
          <w:sz w:val="22"/>
          <w:szCs w:val="22"/>
        </w:rPr>
        <w:t>Where a = age, t = year, g = gender.</w:t>
      </w:r>
    </w:p>
    <w:p w14:paraId="75A4D0E3" w14:textId="77777777" w:rsidR="00A02D71" w:rsidRPr="00C20EC5" w:rsidRDefault="00A02D71" w:rsidP="00A02D71">
      <w:pPr>
        <w:autoSpaceDE w:val="0"/>
        <w:autoSpaceDN w:val="0"/>
        <w:adjustRightInd w:val="0"/>
        <w:spacing w:before="240" w:after="240"/>
        <w:jc w:val="both"/>
        <w:rPr>
          <w:rFonts w:ascii="Cambria" w:hAnsi="Cambria"/>
          <w:sz w:val="22"/>
          <w:szCs w:val="22"/>
        </w:rPr>
      </w:pPr>
      <w:bookmarkStart w:id="43" w:name="_Toc131510190"/>
      <w:r w:rsidRPr="00C20EC5">
        <w:rPr>
          <w:rFonts w:ascii="Cambria" w:hAnsi="Cambria"/>
          <w:sz w:val="22"/>
          <w:szCs w:val="22"/>
        </w:rPr>
        <w:t>As PROST keeps track of contribution years of service accrued by each cohort, the calculated number of new retirees – whatever method is used – is then adjusted so that the total length of service accrued by the cohort is equal to the total length of service claimed by the cohort at the time of retirement.  After the number of new retirees is adjusted, the stock is recalculated using the “Flow” method.</w:t>
      </w:r>
    </w:p>
    <w:p w14:paraId="4EEE9AF6" w14:textId="400EFB40" w:rsidR="00A02D71" w:rsidRPr="00C20EC5" w:rsidRDefault="00A02D71" w:rsidP="00A02D71">
      <w:pPr>
        <w:autoSpaceDE w:val="0"/>
        <w:autoSpaceDN w:val="0"/>
        <w:adjustRightInd w:val="0"/>
        <w:spacing w:before="240" w:after="240"/>
        <w:jc w:val="both"/>
        <w:rPr>
          <w:rFonts w:ascii="Cambria" w:hAnsi="Cambria"/>
          <w:sz w:val="22"/>
          <w:szCs w:val="22"/>
        </w:rPr>
      </w:pPr>
      <w:r w:rsidRPr="00C20EC5">
        <w:rPr>
          <w:rFonts w:ascii="Cambria" w:hAnsi="Cambria"/>
          <w:sz w:val="22"/>
          <w:szCs w:val="22"/>
        </w:rPr>
        <w:t>The user can also choose how the benefit of new beneficiaries is specified</w:t>
      </w:r>
      <w:r w:rsidR="00DF7980">
        <w:rPr>
          <w:rFonts w:ascii="Cambria" w:hAnsi="Cambria"/>
          <w:sz w:val="22"/>
          <w:szCs w:val="22"/>
        </w:rPr>
        <w:t>—</w:t>
      </w:r>
      <w:r w:rsidRPr="00C20EC5">
        <w:rPr>
          <w:rFonts w:ascii="Cambria" w:hAnsi="Cambria"/>
          <w:sz w:val="22"/>
          <w:szCs w:val="22"/>
        </w:rPr>
        <w:t>via benefit formula or via age and gender specific replacement rates.</w:t>
      </w:r>
    </w:p>
    <w:p w14:paraId="649C24D2" w14:textId="77777777" w:rsidR="00A02D71" w:rsidRPr="00C20EC5" w:rsidRDefault="00A02D71" w:rsidP="006D70DF">
      <w:pPr>
        <w:jc w:val="both"/>
        <w:rPr>
          <w:rFonts w:ascii="Cambria" w:hAnsi="Cambria"/>
          <w:b/>
          <w:sz w:val="22"/>
          <w:szCs w:val="22"/>
        </w:rPr>
      </w:pPr>
    </w:p>
    <w:p w14:paraId="553D75DD" w14:textId="77777777" w:rsidR="00510BCF" w:rsidRPr="00C20EC5" w:rsidRDefault="00510BCF" w:rsidP="00A02D71">
      <w:pPr>
        <w:jc w:val="center"/>
        <w:rPr>
          <w:rFonts w:ascii="Cambria" w:hAnsi="Cambria"/>
          <w:b/>
          <w:sz w:val="22"/>
          <w:szCs w:val="22"/>
        </w:rPr>
      </w:pPr>
      <w:r w:rsidRPr="00C20EC5">
        <w:rPr>
          <w:rFonts w:ascii="Cambria" w:hAnsi="Cambria"/>
          <w:b/>
          <w:sz w:val="22"/>
          <w:szCs w:val="22"/>
        </w:rPr>
        <w:t>General Calculation Scheme</w:t>
      </w:r>
      <w:bookmarkEnd w:id="43"/>
    </w:p>
    <w:p w14:paraId="31DF7681" w14:textId="77777777" w:rsidR="003F7692" w:rsidRPr="00C20EC5" w:rsidRDefault="003F7692" w:rsidP="006D70DF">
      <w:pPr>
        <w:jc w:val="both"/>
        <w:rPr>
          <w:rFonts w:ascii="Cambria" w:hAnsi="Cambria"/>
          <w:b/>
          <w:sz w:val="22"/>
          <w:szCs w:val="22"/>
        </w:rPr>
      </w:pPr>
    </w:p>
    <w:p w14:paraId="64D1F6D2" w14:textId="77777777" w:rsidR="00510BCF" w:rsidRPr="00C20EC5" w:rsidRDefault="003F7692" w:rsidP="00A02D71">
      <w:pPr>
        <w:pStyle w:val="BodyTextIndent"/>
        <w:ind w:left="0"/>
        <w:jc w:val="center"/>
        <w:rPr>
          <w:rFonts w:ascii="Cambria" w:hAnsi="Cambria"/>
          <w:sz w:val="22"/>
          <w:szCs w:val="22"/>
        </w:rPr>
      </w:pPr>
      <w:r w:rsidRPr="002F2F3D">
        <w:rPr>
          <w:rFonts w:ascii="Cambria" w:hAnsi="Cambria"/>
          <w:noProof/>
          <w:sz w:val="22"/>
          <w:szCs w:val="22"/>
        </w:rPr>
        <w:drawing>
          <wp:inline distT="0" distB="0" distL="0" distR="0" wp14:anchorId="5B859922" wp14:editId="2F5092BC">
            <wp:extent cx="3712464" cy="2340864"/>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2464" cy="2340864"/>
                    </a:xfrm>
                    <a:prstGeom prst="rect">
                      <a:avLst/>
                    </a:prstGeom>
                    <a:noFill/>
                    <a:ln>
                      <a:noFill/>
                    </a:ln>
                  </pic:spPr>
                </pic:pic>
              </a:graphicData>
            </a:graphic>
          </wp:inline>
        </w:drawing>
      </w:r>
    </w:p>
    <w:p w14:paraId="65F6CCD3" w14:textId="77777777" w:rsidR="00510BCF" w:rsidRPr="00C20EC5" w:rsidRDefault="00510BCF" w:rsidP="00A02D71">
      <w:pPr>
        <w:autoSpaceDE w:val="0"/>
        <w:autoSpaceDN w:val="0"/>
        <w:adjustRightInd w:val="0"/>
        <w:spacing w:before="240" w:after="240"/>
        <w:jc w:val="both"/>
        <w:rPr>
          <w:rFonts w:ascii="Cambria" w:hAnsi="Cambria"/>
          <w:sz w:val="22"/>
          <w:szCs w:val="22"/>
        </w:rPr>
      </w:pPr>
      <w:r w:rsidRPr="00C20EC5">
        <w:rPr>
          <w:rFonts w:ascii="Cambria" w:hAnsi="Cambria"/>
          <w:sz w:val="22"/>
          <w:szCs w:val="22"/>
        </w:rPr>
        <w:t>As mentioned above, output produced by PROST is organized in five output modules.  Each of the modules contains a number of Excel worksheets and a graphical summary on key output indicators:</w:t>
      </w:r>
    </w:p>
    <w:p w14:paraId="481CA221" w14:textId="77777777" w:rsidR="00510BCF" w:rsidRPr="00C20EC5" w:rsidRDefault="00510BCF" w:rsidP="006D70DF">
      <w:pPr>
        <w:tabs>
          <w:tab w:val="left" w:pos="8640"/>
        </w:tabs>
        <w:ind w:left="3240" w:hanging="3240"/>
        <w:jc w:val="both"/>
        <w:rPr>
          <w:rFonts w:ascii="Cambria" w:hAnsi="Cambria"/>
          <w:sz w:val="22"/>
          <w:szCs w:val="22"/>
        </w:rPr>
      </w:pPr>
      <w:proofErr w:type="gramStart"/>
      <w:r w:rsidRPr="00C20EC5">
        <w:rPr>
          <w:rFonts w:ascii="Cambria" w:hAnsi="Cambria"/>
          <w:i/>
          <w:iCs/>
          <w:sz w:val="22"/>
          <w:szCs w:val="22"/>
        </w:rPr>
        <w:t>Population Projection</w:t>
      </w:r>
      <w:r w:rsidRPr="00C20EC5">
        <w:rPr>
          <w:rFonts w:ascii="Cambria" w:hAnsi="Cambria"/>
          <w:i/>
          <w:iCs/>
          <w:sz w:val="22"/>
          <w:szCs w:val="22"/>
        </w:rPr>
        <w:tab/>
      </w:r>
      <w:r w:rsidRPr="00C20EC5">
        <w:rPr>
          <w:rFonts w:ascii="Cambria" w:hAnsi="Cambria"/>
          <w:sz w:val="22"/>
          <w:szCs w:val="22"/>
        </w:rPr>
        <w:t>Population projections and pyramids, life tables, life expectancy changes, p</w:t>
      </w:r>
      <w:r w:rsidR="002F2F3D">
        <w:rPr>
          <w:rFonts w:ascii="Cambria" w:hAnsi="Cambria"/>
          <w:sz w:val="22"/>
          <w:szCs w:val="22"/>
        </w:rPr>
        <w:t>opulation dependency rates, etc.</w:t>
      </w:r>
      <w:proofErr w:type="gramEnd"/>
      <w:r w:rsidRPr="00C20EC5">
        <w:rPr>
          <w:rFonts w:ascii="Cambria" w:hAnsi="Cambria"/>
          <w:sz w:val="22"/>
          <w:szCs w:val="22"/>
        </w:rPr>
        <w:t xml:space="preserve"> </w:t>
      </w:r>
    </w:p>
    <w:p w14:paraId="0D849FE9" w14:textId="77777777" w:rsidR="00510BCF" w:rsidRPr="00C20EC5" w:rsidRDefault="00510BCF" w:rsidP="006D70DF">
      <w:pPr>
        <w:tabs>
          <w:tab w:val="left" w:pos="8640"/>
        </w:tabs>
        <w:ind w:left="3240" w:hanging="3240"/>
        <w:jc w:val="both"/>
        <w:rPr>
          <w:rFonts w:ascii="Cambria" w:hAnsi="Cambria"/>
          <w:sz w:val="22"/>
          <w:szCs w:val="22"/>
        </w:rPr>
      </w:pPr>
    </w:p>
    <w:p w14:paraId="33F771E8" w14:textId="77777777" w:rsidR="00510BCF" w:rsidRPr="00C20EC5" w:rsidRDefault="00510BCF" w:rsidP="006D70DF">
      <w:pPr>
        <w:tabs>
          <w:tab w:val="left" w:pos="8640"/>
        </w:tabs>
        <w:ind w:left="3240" w:hanging="3240"/>
        <w:jc w:val="both"/>
        <w:rPr>
          <w:rFonts w:ascii="Cambria" w:hAnsi="Cambria"/>
          <w:sz w:val="22"/>
          <w:szCs w:val="22"/>
        </w:rPr>
      </w:pPr>
      <w:proofErr w:type="gramStart"/>
      <w:r w:rsidRPr="00C20EC5">
        <w:rPr>
          <w:rFonts w:ascii="Cambria" w:hAnsi="Cambria"/>
          <w:i/>
          <w:iCs/>
          <w:sz w:val="22"/>
          <w:szCs w:val="22"/>
        </w:rPr>
        <w:t>Demographic Structure</w:t>
      </w:r>
      <w:r w:rsidRPr="00C20EC5">
        <w:rPr>
          <w:rFonts w:ascii="Cambria" w:hAnsi="Cambria"/>
          <w:sz w:val="22"/>
          <w:szCs w:val="22"/>
        </w:rPr>
        <w:t xml:space="preserve"> </w:t>
      </w:r>
      <w:r w:rsidRPr="00C20EC5">
        <w:rPr>
          <w:rFonts w:ascii="Cambria" w:hAnsi="Cambria"/>
          <w:sz w:val="22"/>
          <w:szCs w:val="22"/>
        </w:rPr>
        <w:tab/>
        <w:t>Labor force and employment projections, projections of contributors and beneficiaries, demographic structure of the pension system, and system dependency rates</w:t>
      </w:r>
      <w:r w:rsidR="002F2F3D">
        <w:rPr>
          <w:rFonts w:ascii="Cambria" w:hAnsi="Cambria"/>
          <w:sz w:val="22"/>
          <w:szCs w:val="22"/>
        </w:rPr>
        <w:t>.</w:t>
      </w:r>
      <w:proofErr w:type="gramEnd"/>
    </w:p>
    <w:p w14:paraId="36D996F7" w14:textId="77777777" w:rsidR="00510BCF" w:rsidRPr="00C20EC5" w:rsidRDefault="00510BCF" w:rsidP="006D70DF">
      <w:pPr>
        <w:tabs>
          <w:tab w:val="left" w:pos="8640"/>
        </w:tabs>
        <w:ind w:left="3240" w:hanging="3240"/>
        <w:jc w:val="both"/>
        <w:rPr>
          <w:rFonts w:ascii="Cambria" w:hAnsi="Cambria"/>
          <w:sz w:val="22"/>
          <w:szCs w:val="22"/>
        </w:rPr>
      </w:pPr>
    </w:p>
    <w:p w14:paraId="548158B9" w14:textId="77777777" w:rsidR="00510BCF" w:rsidRPr="00C20EC5" w:rsidRDefault="00510BCF" w:rsidP="006D70DF">
      <w:pPr>
        <w:ind w:left="3240" w:hanging="3240"/>
        <w:jc w:val="both"/>
        <w:rPr>
          <w:rFonts w:ascii="Cambria" w:hAnsi="Cambria"/>
          <w:sz w:val="22"/>
          <w:szCs w:val="22"/>
        </w:rPr>
      </w:pPr>
      <w:r w:rsidRPr="00C20EC5">
        <w:rPr>
          <w:rFonts w:ascii="Cambria" w:hAnsi="Cambria"/>
          <w:i/>
          <w:iCs/>
          <w:sz w:val="22"/>
          <w:szCs w:val="22"/>
        </w:rPr>
        <w:t>Finances of Single pillar PAYG</w:t>
      </w:r>
      <w:r w:rsidRPr="00C20EC5">
        <w:rPr>
          <w:rFonts w:ascii="Cambria" w:hAnsi="Cambria"/>
          <w:i/>
          <w:iCs/>
          <w:sz w:val="22"/>
          <w:szCs w:val="22"/>
        </w:rPr>
        <w:tab/>
      </w:r>
      <w:r w:rsidRPr="00C20EC5">
        <w:rPr>
          <w:rFonts w:ascii="Cambria" w:hAnsi="Cambria"/>
          <w:sz w:val="22"/>
          <w:szCs w:val="22"/>
        </w:rPr>
        <w:t>Macroeconomic trends, wage projections, pension benefit</w:t>
      </w:r>
      <w:r w:rsidRPr="00C20EC5">
        <w:rPr>
          <w:rFonts w:ascii="Cambria" w:hAnsi="Cambria"/>
          <w:i/>
          <w:iCs/>
          <w:sz w:val="22"/>
          <w:szCs w:val="22"/>
        </w:rPr>
        <w:t xml:space="preserve"> </w:t>
      </w:r>
      <w:r w:rsidRPr="00C20EC5">
        <w:rPr>
          <w:rFonts w:ascii="Cambria" w:hAnsi="Cambria"/>
          <w:sz w:val="22"/>
          <w:szCs w:val="22"/>
        </w:rPr>
        <w:t>projections for the existing and new pensioners, revenue and expenditure of the pension system, required adjustments to contribution rates and replacement rates for zero current balance, and the implicit pension debt</w:t>
      </w:r>
      <w:r w:rsidR="002F2F3D">
        <w:rPr>
          <w:rFonts w:ascii="Cambria" w:hAnsi="Cambria"/>
          <w:sz w:val="22"/>
          <w:szCs w:val="22"/>
        </w:rPr>
        <w:t>.</w:t>
      </w:r>
      <w:r w:rsidRPr="00C20EC5">
        <w:rPr>
          <w:rFonts w:ascii="Cambria" w:hAnsi="Cambria"/>
          <w:sz w:val="22"/>
          <w:szCs w:val="22"/>
        </w:rPr>
        <w:t xml:space="preserve"> </w:t>
      </w:r>
    </w:p>
    <w:p w14:paraId="013586A1" w14:textId="77777777" w:rsidR="00510BCF" w:rsidRPr="00C20EC5" w:rsidRDefault="00510BCF" w:rsidP="006D70DF">
      <w:pPr>
        <w:tabs>
          <w:tab w:val="left" w:pos="8640"/>
        </w:tabs>
        <w:ind w:left="3240" w:hanging="3240"/>
        <w:jc w:val="both"/>
        <w:rPr>
          <w:rFonts w:ascii="Cambria" w:hAnsi="Cambria"/>
          <w:sz w:val="22"/>
          <w:szCs w:val="22"/>
        </w:rPr>
      </w:pPr>
    </w:p>
    <w:p w14:paraId="7D7A84A8" w14:textId="42C38737" w:rsidR="00510BCF" w:rsidRPr="00C20EC5" w:rsidRDefault="00510BCF" w:rsidP="006D70DF">
      <w:pPr>
        <w:ind w:left="3240" w:hanging="3240"/>
        <w:jc w:val="both"/>
        <w:rPr>
          <w:rFonts w:ascii="Cambria" w:hAnsi="Cambria"/>
          <w:sz w:val="22"/>
          <w:szCs w:val="22"/>
        </w:rPr>
      </w:pPr>
      <w:r w:rsidRPr="00C20EC5">
        <w:rPr>
          <w:rFonts w:ascii="Cambria" w:hAnsi="Cambria"/>
          <w:i/>
          <w:iCs/>
          <w:sz w:val="22"/>
          <w:szCs w:val="22"/>
        </w:rPr>
        <w:t>Finances of Multi</w:t>
      </w:r>
      <w:r w:rsidR="00DF7980">
        <w:rPr>
          <w:rFonts w:ascii="Cambria" w:hAnsi="Cambria"/>
          <w:i/>
          <w:iCs/>
          <w:sz w:val="22"/>
          <w:szCs w:val="22"/>
        </w:rPr>
        <w:t>-</w:t>
      </w:r>
      <w:r w:rsidRPr="00C20EC5">
        <w:rPr>
          <w:rFonts w:ascii="Cambria" w:hAnsi="Cambria"/>
          <w:i/>
          <w:iCs/>
          <w:sz w:val="22"/>
          <w:szCs w:val="22"/>
        </w:rPr>
        <w:t>pillar System</w:t>
      </w:r>
      <w:r w:rsidRPr="00C20EC5">
        <w:rPr>
          <w:rFonts w:ascii="Cambria" w:hAnsi="Cambria"/>
          <w:i/>
          <w:iCs/>
          <w:sz w:val="22"/>
          <w:szCs w:val="22"/>
        </w:rPr>
        <w:tab/>
      </w:r>
      <w:r w:rsidRPr="00C20EC5">
        <w:rPr>
          <w:rFonts w:ascii="Cambria" w:hAnsi="Cambria"/>
          <w:sz w:val="22"/>
          <w:szCs w:val="22"/>
        </w:rPr>
        <w:t xml:space="preserve">Pension benefit projections for new and existing pensioners under each of the three pillars (conventional PAYG, notional PAYG, and funded DC), revenues and expenditure of both PAYG and funded pillars, implicit pension debt of the PAYG system after the reform, and results of the reform (compares benefit projections and financial standing under the single pillar PAYG and </w:t>
      </w:r>
      <w:proofErr w:type="spellStart"/>
      <w:r w:rsidRPr="00C20EC5">
        <w:rPr>
          <w:rFonts w:ascii="Cambria" w:hAnsi="Cambria"/>
          <w:sz w:val="22"/>
          <w:szCs w:val="22"/>
        </w:rPr>
        <w:t>multipillar</w:t>
      </w:r>
      <w:proofErr w:type="spellEnd"/>
      <w:r w:rsidRPr="00C20EC5">
        <w:rPr>
          <w:rFonts w:ascii="Cambria" w:hAnsi="Cambria"/>
          <w:sz w:val="22"/>
          <w:szCs w:val="22"/>
        </w:rPr>
        <w:t xml:space="preserve"> scenarios)</w:t>
      </w:r>
      <w:r w:rsidR="002F2F3D">
        <w:rPr>
          <w:rFonts w:ascii="Cambria" w:hAnsi="Cambria"/>
          <w:sz w:val="22"/>
          <w:szCs w:val="22"/>
        </w:rPr>
        <w:t>.</w:t>
      </w:r>
    </w:p>
    <w:p w14:paraId="60402DBF" w14:textId="77777777" w:rsidR="00510BCF" w:rsidRPr="00C20EC5" w:rsidRDefault="00510BCF" w:rsidP="006D70DF">
      <w:pPr>
        <w:tabs>
          <w:tab w:val="left" w:pos="8640"/>
        </w:tabs>
        <w:ind w:left="3240" w:hanging="3240"/>
        <w:jc w:val="both"/>
        <w:rPr>
          <w:rFonts w:ascii="Cambria" w:hAnsi="Cambria"/>
          <w:sz w:val="22"/>
          <w:szCs w:val="22"/>
        </w:rPr>
      </w:pPr>
    </w:p>
    <w:p w14:paraId="1927E26A" w14:textId="227F5254" w:rsidR="00241229" w:rsidRDefault="00510BCF" w:rsidP="006D70DF">
      <w:pPr>
        <w:pStyle w:val="BodyTextIndent"/>
        <w:tabs>
          <w:tab w:val="left" w:pos="8640"/>
        </w:tabs>
        <w:ind w:left="3240" w:hanging="3240"/>
        <w:jc w:val="both"/>
        <w:rPr>
          <w:rFonts w:ascii="Cambria" w:hAnsi="Cambria"/>
          <w:sz w:val="22"/>
          <w:szCs w:val="22"/>
        </w:rPr>
      </w:pPr>
      <w:r w:rsidRPr="00C20EC5">
        <w:rPr>
          <w:rFonts w:ascii="Cambria" w:hAnsi="Cambria"/>
          <w:i/>
          <w:iCs/>
          <w:sz w:val="22"/>
          <w:szCs w:val="22"/>
        </w:rPr>
        <w:t>Individual accounts</w:t>
      </w:r>
      <w:r w:rsidRPr="00C20EC5">
        <w:rPr>
          <w:rFonts w:ascii="Cambria" w:hAnsi="Cambria"/>
          <w:sz w:val="22"/>
          <w:szCs w:val="22"/>
        </w:rPr>
        <w:t xml:space="preserve"> </w:t>
      </w:r>
      <w:r w:rsidRPr="00C20EC5">
        <w:rPr>
          <w:rFonts w:ascii="Cambria" w:hAnsi="Cambria"/>
          <w:sz w:val="22"/>
          <w:szCs w:val="22"/>
        </w:rPr>
        <w:tab/>
        <w:t>Lifetime contributions and benefits and individual related summary statistics for up to six different individuals specified in the “Profiles”</w:t>
      </w:r>
      <w:r w:rsidRPr="00C20EC5">
        <w:rPr>
          <w:rFonts w:ascii="Cambria" w:hAnsi="Cambria"/>
          <w:i/>
          <w:iCs/>
          <w:sz w:val="22"/>
          <w:szCs w:val="22"/>
        </w:rPr>
        <w:t xml:space="preserve"> </w:t>
      </w:r>
      <w:r w:rsidRPr="00C20EC5">
        <w:rPr>
          <w:rFonts w:ascii="Cambria" w:hAnsi="Cambria"/>
          <w:sz w:val="22"/>
          <w:szCs w:val="22"/>
        </w:rPr>
        <w:t>input sheet under PAYG system (statutory, with adjusted contribution rates and with adjusted benefits) and multi</w:t>
      </w:r>
      <w:r w:rsidR="00DF7980">
        <w:rPr>
          <w:rFonts w:ascii="Cambria" w:hAnsi="Cambria"/>
          <w:sz w:val="22"/>
          <w:szCs w:val="22"/>
        </w:rPr>
        <w:t>-</w:t>
      </w:r>
      <w:r w:rsidRPr="00C20EC5">
        <w:rPr>
          <w:rFonts w:ascii="Cambria" w:hAnsi="Cambria"/>
          <w:sz w:val="22"/>
          <w:szCs w:val="22"/>
        </w:rPr>
        <w:t>pillar system (for those who switched to the multi</w:t>
      </w:r>
      <w:r w:rsidR="00DF7980">
        <w:rPr>
          <w:rFonts w:ascii="Cambria" w:hAnsi="Cambria"/>
          <w:sz w:val="22"/>
          <w:szCs w:val="22"/>
        </w:rPr>
        <w:t>-</w:t>
      </w:r>
      <w:r w:rsidRPr="00C20EC5">
        <w:rPr>
          <w:rFonts w:ascii="Cambria" w:hAnsi="Cambria"/>
          <w:sz w:val="22"/>
          <w:szCs w:val="22"/>
        </w:rPr>
        <w:t>pillar system and those who remained in the PAYG system).</w:t>
      </w:r>
    </w:p>
    <w:p w14:paraId="43035037" w14:textId="0E66FC15" w:rsidR="004B7D5B" w:rsidRDefault="004B7D5B" w:rsidP="00EF1B17">
      <w:pPr>
        <w:pStyle w:val="Title"/>
      </w:pPr>
      <w:bookmarkStart w:id="44" w:name="_Toc387325525"/>
      <w:r w:rsidRPr="004B7D5B">
        <w:lastRenderedPageBreak/>
        <w:t>References</w:t>
      </w:r>
      <w:bookmarkEnd w:id="44"/>
    </w:p>
    <w:p w14:paraId="5ECADD79" w14:textId="04E85F7D" w:rsidR="004B7D5B" w:rsidRDefault="004751B0" w:rsidP="00EF1B17">
      <w:pPr>
        <w:autoSpaceDE w:val="0"/>
        <w:autoSpaceDN w:val="0"/>
        <w:adjustRightInd w:val="0"/>
        <w:ind w:left="720" w:hanging="720"/>
        <w:rPr>
          <w:rFonts w:ascii="Cambria" w:eastAsiaTheme="minorHAnsi" w:hAnsi="Cambria" w:cs="Calibri"/>
          <w:sz w:val="22"/>
          <w:szCs w:val="22"/>
        </w:rPr>
      </w:pPr>
      <w:proofErr w:type="gramStart"/>
      <w:r w:rsidRPr="00265EF3">
        <w:rPr>
          <w:rFonts w:ascii="Cambria" w:eastAsiaTheme="minorHAnsi" w:hAnsi="Cambria" w:cs="Calibri"/>
          <w:sz w:val="22"/>
          <w:szCs w:val="22"/>
        </w:rPr>
        <w:t>The World Bank.</w:t>
      </w:r>
      <w:proofErr w:type="gramEnd"/>
      <w:r w:rsidRPr="00265EF3">
        <w:rPr>
          <w:rFonts w:ascii="Cambria" w:eastAsiaTheme="minorHAnsi" w:hAnsi="Cambria" w:cs="Calibri"/>
          <w:sz w:val="22"/>
          <w:szCs w:val="22"/>
        </w:rPr>
        <w:t xml:space="preserve"> 200</w:t>
      </w:r>
      <w:r w:rsidR="00265EF3">
        <w:rPr>
          <w:rFonts w:ascii="Cambria" w:eastAsiaTheme="minorHAnsi" w:hAnsi="Cambria" w:cs="Calibri"/>
          <w:sz w:val="22"/>
          <w:szCs w:val="22"/>
        </w:rPr>
        <w:t>8</w:t>
      </w:r>
      <w:r w:rsidRPr="00265EF3">
        <w:rPr>
          <w:rFonts w:ascii="Cambria" w:eastAsiaTheme="minorHAnsi" w:hAnsi="Cambria" w:cs="Calibri"/>
          <w:sz w:val="22"/>
          <w:szCs w:val="22"/>
        </w:rPr>
        <w:t>. “</w:t>
      </w:r>
      <w:r w:rsidR="0022520B">
        <w:rPr>
          <w:rFonts w:ascii="Cambria" w:eastAsiaTheme="minorHAnsi" w:hAnsi="Cambria" w:cs="Calibri"/>
          <w:sz w:val="22"/>
          <w:szCs w:val="22"/>
        </w:rPr>
        <w:t xml:space="preserve">Kyrgyz Republic. </w:t>
      </w:r>
      <w:proofErr w:type="gramStart"/>
      <w:r w:rsidR="0022520B">
        <w:rPr>
          <w:rFonts w:ascii="Cambria" w:eastAsiaTheme="minorHAnsi" w:hAnsi="Cambria" w:cs="Calibri"/>
          <w:sz w:val="22"/>
          <w:szCs w:val="22"/>
        </w:rPr>
        <w:t>Pension Policy Note.</w:t>
      </w:r>
      <w:proofErr w:type="gramEnd"/>
      <w:r w:rsidR="0022520B">
        <w:rPr>
          <w:rFonts w:ascii="Cambria" w:eastAsiaTheme="minorHAnsi" w:hAnsi="Cambria" w:cs="Calibri"/>
          <w:sz w:val="22"/>
          <w:szCs w:val="22"/>
        </w:rPr>
        <w:t xml:space="preserve"> </w:t>
      </w:r>
      <w:proofErr w:type="gramStart"/>
      <w:r w:rsidR="0022520B">
        <w:rPr>
          <w:rFonts w:ascii="Cambria" w:eastAsiaTheme="minorHAnsi" w:hAnsi="Cambria" w:cs="Calibri"/>
          <w:sz w:val="22"/>
          <w:szCs w:val="22"/>
        </w:rPr>
        <w:t>Policy Considerations and Practical Proposals</w:t>
      </w:r>
      <w:r w:rsidRPr="00265EF3">
        <w:rPr>
          <w:rFonts w:ascii="Cambria" w:eastAsiaTheme="minorHAnsi" w:hAnsi="Cambria" w:cs="Calibri"/>
          <w:sz w:val="22"/>
          <w:szCs w:val="22"/>
        </w:rPr>
        <w:t>”</w:t>
      </w:r>
      <w:r w:rsidR="00CC5579">
        <w:rPr>
          <w:rFonts w:ascii="Cambria" w:eastAsiaTheme="minorHAnsi" w:hAnsi="Cambria" w:cs="Calibri"/>
          <w:sz w:val="22"/>
          <w:szCs w:val="22"/>
        </w:rPr>
        <w:t>.</w:t>
      </w:r>
      <w:proofErr w:type="gramEnd"/>
      <w:r w:rsidRPr="00265EF3">
        <w:rPr>
          <w:rFonts w:ascii="Cambria" w:eastAsiaTheme="minorHAnsi" w:hAnsi="Cambria" w:cs="Calibri"/>
          <w:sz w:val="22"/>
          <w:szCs w:val="22"/>
        </w:rPr>
        <w:t xml:space="preserve"> </w:t>
      </w:r>
      <w:proofErr w:type="gramStart"/>
      <w:r w:rsidRPr="00265EF3">
        <w:rPr>
          <w:rFonts w:ascii="Cambria" w:eastAsiaTheme="minorHAnsi" w:hAnsi="Cambria" w:cs="Calibri"/>
          <w:sz w:val="22"/>
          <w:szCs w:val="22"/>
        </w:rPr>
        <w:t>Human</w:t>
      </w:r>
      <w:r w:rsidR="0022520B">
        <w:rPr>
          <w:rFonts w:ascii="Cambria" w:eastAsiaTheme="minorHAnsi" w:hAnsi="Cambria" w:cs="Calibri"/>
          <w:sz w:val="22"/>
          <w:szCs w:val="22"/>
        </w:rPr>
        <w:t xml:space="preserve"> </w:t>
      </w:r>
      <w:r w:rsidRPr="00265EF3">
        <w:rPr>
          <w:rFonts w:ascii="Cambria" w:eastAsiaTheme="minorHAnsi" w:hAnsi="Cambria" w:cs="Calibri"/>
          <w:sz w:val="22"/>
          <w:szCs w:val="22"/>
        </w:rPr>
        <w:t>Development Sector Unit.</w:t>
      </w:r>
      <w:proofErr w:type="gramEnd"/>
      <w:r w:rsidRPr="00265EF3">
        <w:rPr>
          <w:rFonts w:ascii="Cambria" w:eastAsiaTheme="minorHAnsi" w:hAnsi="Cambria" w:cs="Calibri"/>
          <w:sz w:val="22"/>
          <w:szCs w:val="22"/>
        </w:rPr>
        <w:t xml:space="preserve"> </w:t>
      </w:r>
      <w:proofErr w:type="gramStart"/>
      <w:r w:rsidRPr="00265EF3">
        <w:rPr>
          <w:rFonts w:ascii="Cambria" w:eastAsiaTheme="minorHAnsi" w:hAnsi="Cambria" w:cs="Calibri"/>
          <w:sz w:val="22"/>
          <w:szCs w:val="22"/>
        </w:rPr>
        <w:t>Europe and Central Asia Region.</w:t>
      </w:r>
      <w:proofErr w:type="gramEnd"/>
      <w:r w:rsidR="00F32074">
        <w:rPr>
          <w:rFonts w:ascii="Cambria" w:eastAsiaTheme="minorHAnsi" w:hAnsi="Cambria" w:cs="Calibri"/>
          <w:sz w:val="22"/>
          <w:szCs w:val="22"/>
        </w:rPr>
        <w:t xml:space="preserve"> Washington, DC</w:t>
      </w:r>
      <w:r w:rsidR="00B96147">
        <w:rPr>
          <w:rFonts w:ascii="Cambria" w:eastAsiaTheme="minorHAnsi" w:hAnsi="Cambria" w:cs="Calibri"/>
          <w:sz w:val="22"/>
          <w:szCs w:val="22"/>
        </w:rPr>
        <w:t>.</w:t>
      </w:r>
    </w:p>
    <w:p w14:paraId="59B0B520" w14:textId="77777777" w:rsidR="007E59D7" w:rsidRDefault="007E59D7" w:rsidP="00EF1B17">
      <w:pPr>
        <w:autoSpaceDE w:val="0"/>
        <w:autoSpaceDN w:val="0"/>
        <w:adjustRightInd w:val="0"/>
        <w:ind w:left="720" w:hanging="720"/>
        <w:rPr>
          <w:rFonts w:ascii="Cambria" w:eastAsiaTheme="minorHAnsi" w:hAnsi="Cambria" w:cs="Calibri"/>
          <w:sz w:val="22"/>
          <w:szCs w:val="22"/>
        </w:rPr>
      </w:pPr>
    </w:p>
    <w:p w14:paraId="6B21656A" w14:textId="64CBCBF1" w:rsidR="007E59D7" w:rsidRPr="00265EF3" w:rsidRDefault="007E59D7" w:rsidP="00EF1B17">
      <w:pPr>
        <w:autoSpaceDE w:val="0"/>
        <w:autoSpaceDN w:val="0"/>
        <w:adjustRightInd w:val="0"/>
        <w:ind w:left="720" w:hanging="720"/>
        <w:rPr>
          <w:rFonts w:ascii="Cambria" w:hAnsi="Cambria"/>
          <w:i/>
          <w:iCs/>
          <w:sz w:val="22"/>
          <w:szCs w:val="22"/>
        </w:rPr>
      </w:pPr>
      <w:r>
        <w:rPr>
          <w:rFonts w:ascii="Cambria" w:eastAsiaTheme="minorHAnsi" w:hAnsi="Cambria" w:cs="Calibri"/>
          <w:sz w:val="22"/>
          <w:szCs w:val="22"/>
        </w:rPr>
        <w:t>World Bank Pension Database</w:t>
      </w:r>
      <w:r w:rsidR="00F74740">
        <w:rPr>
          <w:rFonts w:ascii="Cambria" w:eastAsiaTheme="minorHAnsi" w:hAnsi="Cambria" w:cs="Calibri"/>
          <w:sz w:val="22"/>
          <w:szCs w:val="22"/>
        </w:rPr>
        <w:t>,</w:t>
      </w:r>
      <w:r>
        <w:rPr>
          <w:rFonts w:ascii="Cambria" w:eastAsiaTheme="minorHAnsi" w:hAnsi="Cambria" w:cs="Calibri"/>
          <w:sz w:val="22"/>
          <w:szCs w:val="22"/>
        </w:rPr>
        <w:t xml:space="preserve"> </w:t>
      </w:r>
      <w:hyperlink r:id="rId43" w:history="1">
        <w:r w:rsidRPr="00EE17AC">
          <w:rPr>
            <w:rStyle w:val="Hyperlink"/>
            <w:rFonts w:ascii="Cambria" w:eastAsiaTheme="minorHAnsi" w:hAnsi="Cambria" w:cs="Calibri"/>
            <w:sz w:val="22"/>
            <w:szCs w:val="22"/>
          </w:rPr>
          <w:t>http://web.worldbank.org/pensions</w:t>
        </w:r>
      </w:hyperlink>
    </w:p>
    <w:sectPr w:rsidR="007E59D7" w:rsidRPr="00265EF3" w:rsidSect="009A5654">
      <w:footerReference w:type="default" r:id="rId4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B44A9" w14:textId="77777777" w:rsidR="00086B86" w:rsidRDefault="00086B86" w:rsidP="00FD6A4A">
      <w:r>
        <w:separator/>
      </w:r>
    </w:p>
  </w:endnote>
  <w:endnote w:type="continuationSeparator" w:id="0">
    <w:p w14:paraId="1CA3E063" w14:textId="77777777" w:rsidR="00086B86" w:rsidRDefault="00086B86" w:rsidP="00FD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2116" w14:textId="77777777" w:rsidR="00AE68F2" w:rsidRDefault="00AE68F2">
    <w:pPr>
      <w:pStyle w:val="Footer"/>
      <w:jc w:val="center"/>
    </w:pPr>
  </w:p>
  <w:p w14:paraId="5EA72946" w14:textId="77777777" w:rsidR="00AE68F2" w:rsidRDefault="00AE6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06199"/>
      <w:docPartObj>
        <w:docPartGallery w:val="Page Numbers (Bottom of Page)"/>
        <w:docPartUnique/>
      </w:docPartObj>
    </w:sdtPr>
    <w:sdtEndPr>
      <w:rPr>
        <w:rFonts w:ascii="Cambria" w:hAnsi="Cambria"/>
        <w:noProof/>
        <w:sz w:val="22"/>
        <w:szCs w:val="22"/>
      </w:rPr>
    </w:sdtEndPr>
    <w:sdtContent>
      <w:p w14:paraId="3D58B9B6" w14:textId="77777777" w:rsidR="00AE68F2" w:rsidRPr="009A5654" w:rsidRDefault="00AE68F2">
        <w:pPr>
          <w:pStyle w:val="Footer"/>
          <w:jc w:val="center"/>
          <w:rPr>
            <w:rFonts w:ascii="Cambria" w:hAnsi="Cambria"/>
            <w:sz w:val="22"/>
            <w:szCs w:val="22"/>
          </w:rPr>
        </w:pPr>
        <w:r w:rsidRPr="009A5654">
          <w:rPr>
            <w:rFonts w:ascii="Cambria" w:hAnsi="Cambria"/>
            <w:sz w:val="22"/>
            <w:szCs w:val="22"/>
          </w:rPr>
          <w:fldChar w:fldCharType="begin"/>
        </w:r>
        <w:r w:rsidRPr="009A5654">
          <w:rPr>
            <w:rFonts w:ascii="Cambria" w:hAnsi="Cambria"/>
            <w:sz w:val="22"/>
            <w:szCs w:val="22"/>
          </w:rPr>
          <w:instrText xml:space="preserve"> PAGE   \* MERGEFORMAT </w:instrText>
        </w:r>
        <w:r w:rsidRPr="009A5654">
          <w:rPr>
            <w:rFonts w:ascii="Cambria" w:hAnsi="Cambria"/>
            <w:sz w:val="22"/>
            <w:szCs w:val="22"/>
          </w:rPr>
          <w:fldChar w:fldCharType="separate"/>
        </w:r>
        <w:r w:rsidR="00C646A3">
          <w:rPr>
            <w:rFonts w:ascii="Cambria" w:hAnsi="Cambria"/>
            <w:noProof/>
            <w:sz w:val="22"/>
            <w:szCs w:val="22"/>
          </w:rPr>
          <w:t>v</w:t>
        </w:r>
        <w:r w:rsidRPr="009A5654">
          <w:rPr>
            <w:rFonts w:ascii="Cambria" w:hAnsi="Cambria"/>
            <w:noProof/>
            <w:sz w:val="22"/>
            <w:szCs w:val="22"/>
          </w:rPr>
          <w:fldChar w:fldCharType="end"/>
        </w:r>
      </w:p>
    </w:sdtContent>
  </w:sdt>
  <w:p w14:paraId="0FD94334" w14:textId="77777777" w:rsidR="00AE68F2" w:rsidRDefault="00AE68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083935"/>
      <w:docPartObj>
        <w:docPartGallery w:val="Page Numbers (Bottom of Page)"/>
        <w:docPartUnique/>
      </w:docPartObj>
    </w:sdtPr>
    <w:sdtEndPr>
      <w:rPr>
        <w:rFonts w:ascii="Cambria" w:hAnsi="Cambria"/>
        <w:noProof/>
        <w:sz w:val="22"/>
        <w:szCs w:val="22"/>
      </w:rPr>
    </w:sdtEndPr>
    <w:sdtContent>
      <w:p w14:paraId="4FCC1A26" w14:textId="77777777" w:rsidR="00AE68F2" w:rsidRPr="009A5654" w:rsidRDefault="00AE68F2">
        <w:pPr>
          <w:pStyle w:val="Footer"/>
          <w:jc w:val="center"/>
          <w:rPr>
            <w:rFonts w:ascii="Cambria" w:hAnsi="Cambria"/>
            <w:sz w:val="22"/>
            <w:szCs w:val="22"/>
          </w:rPr>
        </w:pPr>
        <w:r w:rsidRPr="009A5654">
          <w:rPr>
            <w:rFonts w:ascii="Cambria" w:hAnsi="Cambria"/>
            <w:sz w:val="22"/>
            <w:szCs w:val="22"/>
          </w:rPr>
          <w:fldChar w:fldCharType="begin"/>
        </w:r>
        <w:r w:rsidRPr="009A5654">
          <w:rPr>
            <w:rFonts w:ascii="Cambria" w:hAnsi="Cambria"/>
            <w:sz w:val="22"/>
            <w:szCs w:val="22"/>
          </w:rPr>
          <w:instrText xml:space="preserve"> PAGE   \* MERGEFORMAT </w:instrText>
        </w:r>
        <w:r w:rsidRPr="009A5654">
          <w:rPr>
            <w:rFonts w:ascii="Cambria" w:hAnsi="Cambria"/>
            <w:sz w:val="22"/>
            <w:szCs w:val="22"/>
          </w:rPr>
          <w:fldChar w:fldCharType="separate"/>
        </w:r>
        <w:r w:rsidR="00C646A3">
          <w:rPr>
            <w:rFonts w:ascii="Cambria" w:hAnsi="Cambria"/>
            <w:noProof/>
            <w:sz w:val="22"/>
            <w:szCs w:val="22"/>
          </w:rPr>
          <w:t>34</w:t>
        </w:r>
        <w:r w:rsidRPr="009A5654">
          <w:rPr>
            <w:rFonts w:ascii="Cambria" w:hAnsi="Cambria"/>
            <w:noProof/>
            <w:sz w:val="22"/>
            <w:szCs w:val="22"/>
          </w:rPr>
          <w:fldChar w:fldCharType="end"/>
        </w:r>
      </w:p>
    </w:sdtContent>
  </w:sdt>
  <w:p w14:paraId="64140C54" w14:textId="77777777" w:rsidR="00AE68F2" w:rsidRDefault="00AE6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9D80" w14:textId="77777777" w:rsidR="00086B86" w:rsidRDefault="00086B86" w:rsidP="00FD6A4A">
      <w:r>
        <w:separator/>
      </w:r>
    </w:p>
  </w:footnote>
  <w:footnote w:type="continuationSeparator" w:id="0">
    <w:p w14:paraId="0DC7B778" w14:textId="77777777" w:rsidR="00086B86" w:rsidRDefault="00086B86" w:rsidP="00FD6A4A">
      <w:r>
        <w:continuationSeparator/>
      </w:r>
    </w:p>
  </w:footnote>
  <w:footnote w:id="1">
    <w:p w14:paraId="2B6DE32D" w14:textId="1607DAF3" w:rsidR="00AE68F2" w:rsidRPr="00300E34" w:rsidRDefault="00AE68F2">
      <w:pPr>
        <w:pStyle w:val="FootnoteText"/>
        <w:rPr>
          <w:rFonts w:ascii="Cambria" w:hAnsi="Cambria"/>
        </w:rPr>
      </w:pPr>
      <w:r w:rsidRPr="00300E34">
        <w:rPr>
          <w:rStyle w:val="FootnoteReference"/>
          <w:rFonts w:ascii="Cambria" w:hAnsi="Cambria"/>
        </w:rPr>
        <w:footnoteRef/>
      </w:r>
      <w:r w:rsidRPr="00300E34">
        <w:rPr>
          <w:rFonts w:ascii="Cambria" w:hAnsi="Cambria"/>
        </w:rPr>
        <w:t xml:space="preserve"> Recent trend over the last several years has been approximately in line with the average wage growth.</w:t>
      </w:r>
    </w:p>
  </w:footnote>
  <w:footnote w:id="2">
    <w:p w14:paraId="49EF88C4" w14:textId="77777777" w:rsidR="00AE68F2" w:rsidRPr="00300E34" w:rsidRDefault="00AE68F2" w:rsidP="00300E34">
      <w:pPr>
        <w:pStyle w:val="FootnoteText"/>
        <w:jc w:val="both"/>
        <w:rPr>
          <w:rFonts w:ascii="Cambria" w:hAnsi="Cambria"/>
        </w:rPr>
      </w:pPr>
      <w:r w:rsidRPr="00300E34">
        <w:rPr>
          <w:rStyle w:val="FootnoteReference"/>
          <w:rFonts w:ascii="Cambria" w:hAnsi="Cambria"/>
        </w:rPr>
        <w:footnoteRef/>
      </w:r>
      <w:r w:rsidRPr="00300E34">
        <w:rPr>
          <w:rFonts w:ascii="Cambria" w:hAnsi="Cambria"/>
        </w:rPr>
        <w:t xml:space="preserve"> The Social Fund also collects contributions for and transfers them to the Health Insurance and Health Care Funds (the combined contribution rate to the two funds is 2.25 percent). These cash flows are excluded from the analysis of the national pension system finances.</w:t>
      </w:r>
    </w:p>
  </w:footnote>
  <w:footnote w:id="3">
    <w:p w14:paraId="055E9FC6" w14:textId="77777777" w:rsidR="00AE68F2" w:rsidRPr="00300E34" w:rsidRDefault="00AE68F2" w:rsidP="00300E34">
      <w:pPr>
        <w:pStyle w:val="FootnoteText"/>
        <w:jc w:val="both"/>
        <w:rPr>
          <w:rFonts w:ascii="Cambria" w:hAnsi="Cambria"/>
        </w:rPr>
      </w:pPr>
      <w:r w:rsidRPr="00300E34">
        <w:rPr>
          <w:rStyle w:val="FootnoteReference"/>
          <w:rFonts w:ascii="Cambria" w:hAnsi="Cambria"/>
        </w:rPr>
        <w:footnoteRef/>
      </w:r>
      <w:r w:rsidRPr="00300E34">
        <w:rPr>
          <w:rFonts w:ascii="Cambria" w:hAnsi="Cambria"/>
        </w:rPr>
        <w:t xml:space="preserve"> All benefit payments financed from the state budget, except for the basic pension, are excluded from the analysis. Energy compensation and benefits paid to privileged groups are considered in the social assistance chapter. Military are covered by a separate pension system: non-contributory, defined benefit, with a generous benefit formula. Currently, there are about 15 thousand pensioners, their average monthly pension in 2011 was 5,272 </w:t>
      </w:r>
      <w:proofErr w:type="spellStart"/>
      <w:r w:rsidRPr="00300E34">
        <w:rPr>
          <w:rFonts w:ascii="Cambria" w:hAnsi="Cambria"/>
        </w:rPr>
        <w:t>soms</w:t>
      </w:r>
      <w:proofErr w:type="spellEnd"/>
      <w:r w:rsidRPr="00300E34">
        <w:rPr>
          <w:rFonts w:ascii="Cambria" w:hAnsi="Cambria"/>
        </w:rPr>
        <w:t xml:space="preserve"> and the total payments amounted to 1,053 million </w:t>
      </w:r>
      <w:proofErr w:type="spellStart"/>
      <w:r w:rsidRPr="00300E34">
        <w:rPr>
          <w:rFonts w:ascii="Cambria" w:hAnsi="Cambria"/>
        </w:rPr>
        <w:t>soms</w:t>
      </w:r>
      <w:proofErr w:type="spellEnd"/>
      <w:r w:rsidRPr="00300E34">
        <w:rPr>
          <w:rFonts w:ascii="Cambria" w:hAnsi="Cambria"/>
        </w:rPr>
        <w:t xml:space="preserve">, or 0.4 percent of GDP. It is likely that the cost of the military system will grow as longevity </w:t>
      </w:r>
      <w:proofErr w:type="gramStart"/>
      <w:r w:rsidRPr="00300E34">
        <w:rPr>
          <w:rFonts w:ascii="Cambria" w:hAnsi="Cambria"/>
        </w:rPr>
        <w:t>increases,</w:t>
      </w:r>
      <w:proofErr w:type="gramEnd"/>
      <w:r w:rsidRPr="00300E34">
        <w:rPr>
          <w:rFonts w:ascii="Cambria" w:hAnsi="Cambria"/>
        </w:rPr>
        <w:t xml:space="preserve"> however, in-depth analysis and financial projections would require more detailed data which have not been made available to the World Bank team.</w:t>
      </w:r>
    </w:p>
  </w:footnote>
  <w:footnote w:id="4">
    <w:p w14:paraId="59DA964F" w14:textId="77777777" w:rsidR="00AE68F2" w:rsidRPr="005375CD" w:rsidRDefault="00AE68F2" w:rsidP="005375CD">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The statutory retirement age was increased from 60/55 to 63/58 in 1999-2007.</w:t>
      </w:r>
    </w:p>
  </w:footnote>
  <w:footnote w:id="5">
    <w:p w14:paraId="31C54BE9" w14:textId="6FFC87E5" w:rsidR="00AE68F2" w:rsidRPr="005375CD" w:rsidRDefault="00AE68F2" w:rsidP="005375CD">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World Bank estimates for </w:t>
      </w:r>
      <w:r>
        <w:rPr>
          <w:rFonts w:ascii="Cambria" w:hAnsi="Cambria"/>
        </w:rPr>
        <w:t xml:space="preserve">the </w:t>
      </w:r>
      <w:r w:rsidRPr="005375CD">
        <w:rPr>
          <w:rFonts w:ascii="Cambria" w:hAnsi="Cambria"/>
        </w:rPr>
        <w:t>Kyrgyz</w:t>
      </w:r>
      <w:r>
        <w:rPr>
          <w:rFonts w:ascii="Cambria" w:hAnsi="Cambria"/>
        </w:rPr>
        <w:t xml:space="preserve"> Republic</w:t>
      </w:r>
      <w:r w:rsidRPr="005375CD">
        <w:rPr>
          <w:rFonts w:ascii="Cambria" w:hAnsi="Cambria"/>
        </w:rPr>
        <w:t xml:space="preserve"> show that with the poverty line set at the total median income the poverty rate among 60+ year olds is 35</w:t>
      </w:r>
      <w:r>
        <w:rPr>
          <w:rFonts w:ascii="Cambria" w:hAnsi="Cambria"/>
        </w:rPr>
        <w:t xml:space="preserve"> percent</w:t>
      </w:r>
      <w:r w:rsidRPr="005375CD">
        <w:rPr>
          <w:rFonts w:ascii="Cambria" w:hAnsi="Cambria"/>
        </w:rPr>
        <w:t xml:space="preserve"> whereas without pensions it would have been 76</w:t>
      </w:r>
      <w:r>
        <w:rPr>
          <w:rFonts w:ascii="Cambria" w:hAnsi="Cambria"/>
        </w:rPr>
        <w:t xml:space="preserve"> percent</w:t>
      </w:r>
      <w:r w:rsidRPr="005375CD">
        <w:rPr>
          <w:rFonts w:ascii="Cambria" w:hAnsi="Cambria"/>
        </w:rPr>
        <w:t xml:space="preserve">. The poverty </w:t>
      </w:r>
      <w:r>
        <w:rPr>
          <w:rFonts w:ascii="Cambria" w:hAnsi="Cambria"/>
        </w:rPr>
        <w:t>rate</w:t>
      </w:r>
      <w:r w:rsidRPr="005375CD">
        <w:rPr>
          <w:rFonts w:ascii="Cambria" w:hAnsi="Cambria"/>
        </w:rPr>
        <w:t xml:space="preserve"> for the elderly is lower than for the non-elderly population (52</w:t>
      </w:r>
      <w:r>
        <w:rPr>
          <w:rFonts w:ascii="Cambria" w:hAnsi="Cambria"/>
        </w:rPr>
        <w:t xml:space="preserve"> percent</w:t>
      </w:r>
      <w:r w:rsidRPr="005375CD">
        <w:rPr>
          <w:rFonts w:ascii="Cambria" w:hAnsi="Cambria"/>
        </w:rPr>
        <w:t xml:space="preserve">). </w:t>
      </w:r>
    </w:p>
  </w:footnote>
  <w:footnote w:id="6">
    <w:p w14:paraId="78FE031B" w14:textId="77777777" w:rsidR="00AE68F2" w:rsidRPr="005375CD" w:rsidRDefault="00AE68F2" w:rsidP="005375CD">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Here working age population is defined as population age 15 to the current statutory retirement age of 63 for men and 58 for women.</w:t>
      </w:r>
    </w:p>
  </w:footnote>
  <w:footnote w:id="7">
    <w:p w14:paraId="43CA1E5E" w14:textId="77777777" w:rsidR="00AE68F2" w:rsidRPr="005375CD" w:rsidRDefault="00AE68F2" w:rsidP="00F22830">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The system dependency rate is a ratio of the number of pensioners to the number of contributors in the pension system.</w:t>
      </w:r>
    </w:p>
  </w:footnote>
  <w:footnote w:id="8">
    <w:p w14:paraId="3BFBC3DB" w14:textId="6DCC9CBC" w:rsidR="00AE68F2" w:rsidRPr="005375CD" w:rsidRDefault="00AE68F2" w:rsidP="00B85CEF">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By law, </w:t>
      </w:r>
      <w:r>
        <w:rPr>
          <w:rFonts w:ascii="Cambria" w:hAnsi="Cambria"/>
        </w:rPr>
        <w:t xml:space="preserve">the </w:t>
      </w:r>
      <w:r w:rsidRPr="005375CD">
        <w:rPr>
          <w:rFonts w:ascii="Cambria" w:hAnsi="Cambria"/>
        </w:rPr>
        <w:t>basic pension amount is maintained at approximately 12</w:t>
      </w:r>
      <w:r>
        <w:rPr>
          <w:rFonts w:ascii="Cambria" w:hAnsi="Cambria"/>
        </w:rPr>
        <w:t xml:space="preserve"> percent</w:t>
      </w:r>
      <w:r w:rsidRPr="005375CD">
        <w:rPr>
          <w:rFonts w:ascii="Cambria" w:hAnsi="Cambria"/>
        </w:rPr>
        <w:t xml:space="preserve"> of </w:t>
      </w:r>
      <w:r>
        <w:rPr>
          <w:rFonts w:ascii="Cambria" w:hAnsi="Cambria"/>
        </w:rPr>
        <w:t xml:space="preserve">the </w:t>
      </w:r>
      <w:r w:rsidRPr="005375CD">
        <w:rPr>
          <w:rFonts w:ascii="Cambria" w:hAnsi="Cambria"/>
        </w:rPr>
        <w:t>previous year</w:t>
      </w:r>
      <w:r>
        <w:rPr>
          <w:rFonts w:ascii="Cambria" w:hAnsi="Cambria"/>
        </w:rPr>
        <w:t>’s</w:t>
      </w:r>
      <w:r w:rsidRPr="005375CD">
        <w:rPr>
          <w:rFonts w:ascii="Cambria" w:hAnsi="Cambria"/>
        </w:rPr>
        <w:t xml:space="preserve"> economy-wide average wage reported by the National Committee for Statistics. The average wage of contributors is currently about 75</w:t>
      </w:r>
      <w:r>
        <w:rPr>
          <w:rFonts w:ascii="Cambria" w:hAnsi="Cambria"/>
        </w:rPr>
        <w:t xml:space="preserve"> percent</w:t>
      </w:r>
      <w:r w:rsidRPr="005375CD">
        <w:rPr>
          <w:rFonts w:ascii="Cambria" w:hAnsi="Cambria"/>
        </w:rPr>
        <w:t xml:space="preserve"> of the economy-wide average wage.</w:t>
      </w:r>
    </w:p>
  </w:footnote>
  <w:footnote w:id="9">
    <w:p w14:paraId="44957BE1" w14:textId="38B45331" w:rsidR="00AE68F2" w:rsidRPr="005375CD" w:rsidRDefault="00AE68F2" w:rsidP="00B85CEF">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Different countries link indexation of contributions (the so called “notional interest rate”) to different indicators, e.g. average wage, wage bill, GDP, pension fund per capita revenues growth rates. To ensure financial sustainability of an NDC system the notional interest rate should not exceed the growth rate of the revenue base, i.e. insured wage bill. Given that in </w:t>
      </w:r>
      <w:r>
        <w:rPr>
          <w:rFonts w:ascii="Cambria" w:hAnsi="Cambria"/>
        </w:rPr>
        <w:t xml:space="preserve">the </w:t>
      </w:r>
      <w:r w:rsidRPr="005375CD">
        <w:rPr>
          <w:rFonts w:ascii="Cambria" w:hAnsi="Cambria"/>
        </w:rPr>
        <w:t>Kyrgyz</w:t>
      </w:r>
      <w:r>
        <w:rPr>
          <w:rFonts w:ascii="Cambria" w:hAnsi="Cambria"/>
        </w:rPr>
        <w:t xml:space="preserve"> Republic</w:t>
      </w:r>
      <w:r w:rsidRPr="005375CD">
        <w:rPr>
          <w:rFonts w:ascii="Cambria" w:hAnsi="Cambria"/>
        </w:rPr>
        <w:t xml:space="preserve"> the number of insured grows at about 2</w:t>
      </w:r>
      <w:r>
        <w:rPr>
          <w:rFonts w:ascii="Cambria" w:hAnsi="Cambria"/>
        </w:rPr>
        <w:t xml:space="preserve"> percent</w:t>
      </w:r>
      <w:r w:rsidRPr="005375CD">
        <w:rPr>
          <w:rFonts w:ascii="Cambria" w:hAnsi="Cambria"/>
        </w:rPr>
        <w:t xml:space="preserve"> annually, indexation of contributions to 75</w:t>
      </w:r>
      <w:r>
        <w:rPr>
          <w:rFonts w:ascii="Cambria" w:hAnsi="Cambria"/>
        </w:rPr>
        <w:t xml:space="preserve"> percent</w:t>
      </w:r>
      <w:r w:rsidRPr="005375CD">
        <w:rPr>
          <w:rFonts w:ascii="Cambria" w:hAnsi="Cambria"/>
        </w:rPr>
        <w:t xml:space="preserve"> of the average wage growth rate is well below the levels required for sustainability.</w:t>
      </w:r>
    </w:p>
  </w:footnote>
  <w:footnote w:id="10">
    <w:p w14:paraId="35BE3FFB" w14:textId="446C4DAC" w:rsidR="00AE68F2" w:rsidRPr="005375CD" w:rsidRDefault="00AE68F2" w:rsidP="00913031">
      <w:pPr>
        <w:pStyle w:val="FootnoteText"/>
        <w:jc w:val="both"/>
        <w:rPr>
          <w:rFonts w:ascii="Cambria" w:hAnsi="Cambria"/>
        </w:rPr>
      </w:pPr>
      <w:r w:rsidRPr="005375CD">
        <w:rPr>
          <w:rStyle w:val="FootnoteReference"/>
          <w:rFonts w:ascii="Cambria" w:hAnsi="Cambria"/>
        </w:rPr>
        <w:footnoteRef/>
      </w:r>
      <w:r w:rsidRPr="005375CD">
        <w:rPr>
          <w:rFonts w:ascii="Cambria" w:hAnsi="Cambria"/>
        </w:rPr>
        <w:t xml:space="preserve"> For example, an individual’s account balance at the beginning of year T is 100 units, the person contributed 10 units during year T and indexation parameter is 5</w:t>
      </w:r>
      <w:r>
        <w:rPr>
          <w:rFonts w:ascii="Cambria" w:hAnsi="Cambria"/>
        </w:rPr>
        <w:t xml:space="preserve"> percent</w:t>
      </w:r>
      <w:r w:rsidRPr="005375CD">
        <w:rPr>
          <w:rFonts w:ascii="Cambria" w:hAnsi="Cambria"/>
        </w:rPr>
        <w:t>. Then under the Kyrgyz system rules the account balance at the beginning of year T+1 will be 110.5=100+10*1.05. In other countries with NDC systems where indexation parameter is applied to the entire balance it will be 115.5</w:t>
      </w:r>
      <w:proofErr w:type="gramStart"/>
      <w:r w:rsidRPr="005375CD">
        <w:rPr>
          <w:rFonts w:ascii="Cambria" w:hAnsi="Cambria"/>
        </w:rPr>
        <w:t>=(</w:t>
      </w:r>
      <w:proofErr w:type="gramEnd"/>
      <w:r w:rsidRPr="005375CD">
        <w:rPr>
          <w:rFonts w:ascii="Cambria" w:hAnsi="Cambria"/>
        </w:rPr>
        <w:t>100+10)*1.05.</w:t>
      </w:r>
    </w:p>
  </w:footnote>
  <w:footnote w:id="11">
    <w:p w14:paraId="5EA94078" w14:textId="77777777" w:rsidR="00AE68F2" w:rsidRPr="00663267" w:rsidRDefault="00AE68F2" w:rsidP="000E7065">
      <w:pPr>
        <w:pStyle w:val="FootnoteText"/>
        <w:jc w:val="both"/>
        <w:rPr>
          <w:rFonts w:ascii="Cambria" w:hAnsi="Cambria"/>
        </w:rPr>
      </w:pPr>
      <w:r w:rsidRPr="00663267">
        <w:rPr>
          <w:rStyle w:val="FootnoteReference"/>
          <w:rFonts w:ascii="Cambria" w:hAnsi="Cambria"/>
        </w:rPr>
        <w:footnoteRef/>
      </w:r>
      <w:r w:rsidRPr="00663267">
        <w:rPr>
          <w:rFonts w:ascii="Cambria" w:hAnsi="Cambria"/>
        </w:rPr>
        <w:t xml:space="preserve"> Here calculated as population at the statutory retirement age of 63/58 and above divided by working age population of age 15 to 63/58.</w:t>
      </w:r>
    </w:p>
  </w:footnote>
  <w:footnote w:id="12">
    <w:p w14:paraId="1E1B35F4" w14:textId="77777777" w:rsidR="00AE68F2" w:rsidRPr="00F22830" w:rsidRDefault="00AE68F2" w:rsidP="003C76AF">
      <w:pPr>
        <w:pStyle w:val="FootnoteText"/>
        <w:jc w:val="both"/>
        <w:rPr>
          <w:rFonts w:ascii="Cambria" w:hAnsi="Cambria"/>
        </w:rPr>
      </w:pPr>
      <w:r w:rsidRPr="00F22830">
        <w:rPr>
          <w:rStyle w:val="FootnoteReference"/>
          <w:rFonts w:ascii="Cambria" w:hAnsi="Cambria"/>
        </w:rPr>
        <w:footnoteRef/>
      </w:r>
      <w:r w:rsidRPr="00F22830">
        <w:rPr>
          <w:rFonts w:ascii="Cambria" w:hAnsi="Cambria"/>
        </w:rPr>
        <w:t xml:space="preserve"> Benefits from the funded component are excluded here for 2 reasons: (1) farmers and self-employed do not participate in the funded component; (2) contributions paid to the funded component by salaried workers are small, and benefits will most likely be paid out as lump sums. Even if accumulated balances are annuitized the expected outcomes are very uncertain because of the uncertainty of investment returns.</w:t>
      </w:r>
    </w:p>
  </w:footnote>
  <w:footnote w:id="13">
    <w:p w14:paraId="42FB16CC" w14:textId="77777777" w:rsidR="00AE68F2" w:rsidRPr="00E74643" w:rsidRDefault="00AE68F2" w:rsidP="00024C8A">
      <w:pPr>
        <w:pStyle w:val="FootnoteText"/>
        <w:jc w:val="both"/>
        <w:rPr>
          <w:rFonts w:ascii="Cambria" w:hAnsi="Cambria"/>
        </w:rPr>
      </w:pPr>
      <w:r w:rsidRPr="00E74643">
        <w:rPr>
          <w:rStyle w:val="FootnoteReference"/>
          <w:rFonts w:ascii="Cambria" w:hAnsi="Cambria"/>
        </w:rPr>
        <w:footnoteRef/>
      </w:r>
      <w:r w:rsidRPr="00E74643">
        <w:rPr>
          <w:rFonts w:ascii="Cambria" w:hAnsi="Cambria"/>
        </w:rPr>
        <w:t xml:space="preserve"> Public pension spending of about 15</w:t>
      </w:r>
      <w:r>
        <w:rPr>
          <w:rFonts w:ascii="Cambria" w:hAnsi="Cambria"/>
        </w:rPr>
        <w:t xml:space="preserve"> percent</w:t>
      </w:r>
      <w:r w:rsidRPr="00E74643">
        <w:rPr>
          <w:rFonts w:ascii="Cambria" w:hAnsi="Cambria"/>
        </w:rPr>
        <w:t xml:space="preserve"> of GDP is comparable with the highest levels currently observed in countries like</w:t>
      </w:r>
      <w:r>
        <w:rPr>
          <w:rFonts w:ascii="Cambria" w:hAnsi="Cambria"/>
        </w:rPr>
        <w:t xml:space="preserve"> Italy</w:t>
      </w:r>
      <w:r w:rsidRPr="00E74643">
        <w:rPr>
          <w:rFonts w:ascii="Cambria" w:hAnsi="Cambria"/>
        </w:rPr>
        <w:t>, for example. However, in Italy beneficiary coverage rates are much higher and benefits are much more generous than what is projected for the Kyrgyz pension system by 2080.</w:t>
      </w:r>
    </w:p>
  </w:footnote>
  <w:footnote w:id="14">
    <w:p w14:paraId="141BD894" w14:textId="77777777" w:rsidR="00AE68F2" w:rsidRPr="00E74643" w:rsidRDefault="00AE68F2" w:rsidP="00A251DD">
      <w:pPr>
        <w:pStyle w:val="FootnoteText"/>
        <w:jc w:val="both"/>
        <w:rPr>
          <w:rFonts w:ascii="Cambria" w:hAnsi="Cambria"/>
        </w:rPr>
      </w:pPr>
      <w:r w:rsidRPr="00E74643">
        <w:rPr>
          <w:rStyle w:val="FootnoteReference"/>
          <w:rFonts w:ascii="Cambria" w:hAnsi="Cambria"/>
        </w:rPr>
        <w:footnoteRef/>
      </w:r>
      <w:r w:rsidRPr="00E74643">
        <w:rPr>
          <w:rFonts w:ascii="Cambria" w:hAnsi="Cambria"/>
        </w:rPr>
        <w:t xml:space="preserve"> Changes in life expectancy at the retirement age will be different for each gender as the initial retirement age for women is lower by 5 years. Thus, for men the average life expectancy at the retirement age will increase from 13.1 in 2011 to 14.6 by 2080 whereas for women it will decrease from 20.4 to 18.1 respectively. </w:t>
      </w:r>
    </w:p>
  </w:footnote>
  <w:footnote w:id="15">
    <w:p w14:paraId="0B5056C6" w14:textId="77777777" w:rsidR="00AE68F2" w:rsidRPr="00FF6365" w:rsidRDefault="00AE68F2" w:rsidP="005B6B5E">
      <w:pPr>
        <w:pStyle w:val="FootnoteText"/>
        <w:jc w:val="both"/>
        <w:rPr>
          <w:rFonts w:ascii="Cambria" w:hAnsi="Cambria"/>
        </w:rPr>
      </w:pPr>
      <w:r w:rsidRPr="00FF6365">
        <w:rPr>
          <w:rStyle w:val="FootnoteReference"/>
          <w:rFonts w:ascii="Cambria" w:hAnsi="Cambria"/>
        </w:rPr>
        <w:footnoteRef/>
      </w:r>
      <w:r w:rsidRPr="00FF6365">
        <w:rPr>
          <w:rFonts w:ascii="Cambria" w:hAnsi="Cambria"/>
        </w:rPr>
        <w:t xml:space="preserve"> Assuming that all or significant part of those who have to postpone retirement until they reach the new retirement age continue contributing to the system. In an extreme case where all these people stop contributing (e.g. become unemployed, drop out of the labor force) there still will be a positive effect on the system dependency rate via reduced number of pensioners.</w:t>
      </w:r>
    </w:p>
  </w:footnote>
  <w:footnote w:id="16">
    <w:p w14:paraId="241D9577" w14:textId="27C369D9" w:rsidR="00AE68F2" w:rsidRPr="007B12B0" w:rsidRDefault="00AE68F2" w:rsidP="00CB5299">
      <w:pPr>
        <w:pStyle w:val="FootnoteText"/>
        <w:jc w:val="both"/>
        <w:rPr>
          <w:rFonts w:ascii="Cambria" w:hAnsi="Cambria"/>
        </w:rPr>
      </w:pPr>
      <w:r w:rsidRPr="007B12B0">
        <w:rPr>
          <w:rStyle w:val="FootnoteReference"/>
          <w:rFonts w:ascii="Cambria" w:hAnsi="Cambria"/>
        </w:rPr>
        <w:footnoteRef/>
      </w:r>
      <w:r w:rsidRPr="007B12B0">
        <w:rPr>
          <w:rFonts w:ascii="Cambria" w:hAnsi="Cambria"/>
        </w:rPr>
        <w:t xml:space="preserve"> As shown in the “Projections under the no-reform scenario” section, the share of the basic pension in the average pension is projected to increase from the current 37</w:t>
      </w:r>
      <w:r>
        <w:rPr>
          <w:rFonts w:ascii="Cambria" w:hAnsi="Cambria"/>
        </w:rPr>
        <w:t xml:space="preserve"> percent</w:t>
      </w:r>
      <w:r w:rsidRPr="007B12B0">
        <w:rPr>
          <w:rFonts w:ascii="Cambria" w:hAnsi="Cambria"/>
        </w:rPr>
        <w:t xml:space="preserve"> to about 60</w:t>
      </w:r>
      <w:r>
        <w:rPr>
          <w:rFonts w:ascii="Cambria" w:hAnsi="Cambria"/>
        </w:rPr>
        <w:t xml:space="preserve"> percent</w:t>
      </w:r>
      <w:r w:rsidRPr="007B12B0">
        <w:rPr>
          <w:rFonts w:ascii="Cambria" w:hAnsi="Cambria"/>
        </w:rPr>
        <w:t>, the share of the uncovered elderly from less than 10</w:t>
      </w:r>
      <w:r>
        <w:rPr>
          <w:rFonts w:ascii="Cambria" w:hAnsi="Cambria"/>
        </w:rPr>
        <w:t xml:space="preserve"> percent</w:t>
      </w:r>
      <w:r w:rsidRPr="007B12B0">
        <w:rPr>
          <w:rFonts w:ascii="Cambria" w:hAnsi="Cambria"/>
        </w:rPr>
        <w:t xml:space="preserve"> to about 40</w:t>
      </w:r>
      <w:r>
        <w:rPr>
          <w:rFonts w:ascii="Cambria" w:hAnsi="Cambria"/>
        </w:rPr>
        <w:t xml:space="preserve"> percent</w:t>
      </w:r>
      <w:r w:rsidRPr="007B12B0">
        <w:rPr>
          <w:rFonts w:ascii="Cambria" w:hAnsi="Cambria"/>
        </w:rPr>
        <w:t>, and the government’s share in the total spending on labor and social pensions – from 35</w:t>
      </w:r>
      <w:r>
        <w:rPr>
          <w:rFonts w:ascii="Cambria" w:hAnsi="Cambria"/>
        </w:rPr>
        <w:t xml:space="preserve"> percent</w:t>
      </w:r>
      <w:r w:rsidRPr="007B12B0">
        <w:rPr>
          <w:rFonts w:ascii="Cambria" w:hAnsi="Cambria"/>
        </w:rPr>
        <w:t xml:space="preserve"> to 66</w:t>
      </w:r>
      <w:r>
        <w:rPr>
          <w:rFonts w:ascii="Cambria" w:hAnsi="Cambria"/>
        </w:rPr>
        <w:t xml:space="preserve"> percent</w:t>
      </w:r>
      <w:r w:rsidRPr="007B12B0">
        <w:rPr>
          <w:rFonts w:ascii="Cambria" w:hAnsi="Cambria"/>
        </w:rPr>
        <w:t xml:space="preserve"> by around 2050.</w:t>
      </w:r>
    </w:p>
  </w:footnote>
  <w:footnote w:id="17">
    <w:p w14:paraId="286FF21A" w14:textId="77777777" w:rsidR="00AE68F2" w:rsidRPr="00036E8F" w:rsidRDefault="00AE68F2" w:rsidP="00036E8F">
      <w:pPr>
        <w:autoSpaceDE w:val="0"/>
        <w:autoSpaceDN w:val="0"/>
        <w:adjustRightInd w:val="0"/>
        <w:jc w:val="both"/>
        <w:rPr>
          <w:rFonts w:asciiTheme="majorHAnsi" w:hAnsiTheme="majorHAnsi"/>
          <w:sz w:val="20"/>
          <w:szCs w:val="20"/>
        </w:rPr>
      </w:pPr>
      <w:r>
        <w:rPr>
          <w:rStyle w:val="FootnoteReference"/>
        </w:rPr>
        <w:footnoteRef/>
      </w:r>
      <w:r>
        <w:t xml:space="preserve"> </w:t>
      </w:r>
      <w:r w:rsidRPr="00036E8F">
        <w:rPr>
          <w:rFonts w:asciiTheme="majorHAnsi" w:hAnsiTheme="majorHAnsi"/>
          <w:sz w:val="20"/>
          <w:szCs w:val="20"/>
        </w:rPr>
        <w:t xml:space="preserve">In the last decade, most OECD countries have passed legislation that raises the retirement age or the minimum length of contributions required for full pension benefits, e.g. Australia, Italy, Poland, </w:t>
      </w:r>
      <w:proofErr w:type="gramStart"/>
      <w:r w:rsidRPr="00036E8F">
        <w:rPr>
          <w:rFonts w:asciiTheme="majorHAnsi" w:hAnsiTheme="majorHAnsi"/>
          <w:sz w:val="20"/>
          <w:szCs w:val="20"/>
        </w:rPr>
        <w:t>Slovenia</w:t>
      </w:r>
      <w:proofErr w:type="gramEnd"/>
      <w:r w:rsidRPr="00036E8F">
        <w:rPr>
          <w:rFonts w:asciiTheme="majorHAnsi" w:hAnsiTheme="majorHAnsi"/>
          <w:sz w:val="20"/>
          <w:szCs w:val="20"/>
        </w:rPr>
        <w:t xml:space="preserve">. In many of these countries the retirement age has increased to 65-67 or above and has been equalized for men and women. Some countries – like Denmark, Greece, Hungary, Italy, Korea and Turkey – have legislated future automatic adjustment of the retirement age to changes in life expectancy. </w:t>
      </w:r>
    </w:p>
    <w:p w14:paraId="5F700591" w14:textId="79A30436" w:rsidR="00AE68F2" w:rsidRDefault="00AE68F2">
      <w:pPr>
        <w:pStyle w:val="FootnoteText"/>
      </w:pPr>
    </w:p>
  </w:footnote>
  <w:footnote w:id="18">
    <w:p w14:paraId="403A3315" w14:textId="0DDD1159" w:rsidR="00AE68F2" w:rsidRPr="00036E8F" w:rsidRDefault="00AE68F2" w:rsidP="00036E8F">
      <w:pPr>
        <w:pStyle w:val="FootnoteText"/>
        <w:rPr>
          <w:rFonts w:asciiTheme="majorHAnsi" w:hAnsiTheme="majorHAnsi"/>
        </w:rPr>
      </w:pPr>
      <w:r>
        <w:rPr>
          <w:rStyle w:val="FootnoteReference"/>
        </w:rPr>
        <w:footnoteRef/>
      </w:r>
      <w:r>
        <w:t xml:space="preserve"> </w:t>
      </w:r>
      <w:r w:rsidRPr="00036E8F">
        <w:rPr>
          <w:rFonts w:asciiTheme="majorHAnsi" w:hAnsiTheme="majorHAnsi"/>
          <w:szCs w:val="24"/>
        </w:rPr>
        <w:t xml:space="preserve">Some potential general approaches to deal with the early retirement issue used in other countries could be revising the eligibility criteria for early retirement, introducing actuarially </w:t>
      </w:r>
      <w:proofErr w:type="spellStart"/>
      <w:r w:rsidRPr="00036E8F">
        <w:rPr>
          <w:rFonts w:asciiTheme="majorHAnsi" w:hAnsiTheme="majorHAnsi"/>
          <w:szCs w:val="24"/>
        </w:rPr>
        <w:t>fair</w:t>
      </w:r>
      <w:proofErr w:type="spellEnd"/>
      <w:r w:rsidRPr="00036E8F">
        <w:rPr>
          <w:rFonts w:asciiTheme="majorHAnsi" w:hAnsiTheme="majorHAnsi"/>
          <w:szCs w:val="24"/>
        </w:rPr>
        <w:t xml:space="preserve"> reductions in pensions for early retirees, additional contributions from employers in sectors with hazardous conditions. Specific measures that might work in the Kyrgyz republic require a separate discussion; Poland experience may be useful to consider.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67C"/>
    <w:multiLevelType w:val="hybridMultilevel"/>
    <w:tmpl w:val="193E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D7EE6"/>
    <w:multiLevelType w:val="hybridMultilevel"/>
    <w:tmpl w:val="205E297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20E6012"/>
    <w:multiLevelType w:val="multilevel"/>
    <w:tmpl w:val="8B70E884"/>
    <w:lvl w:ilvl="0">
      <w:start w:val="1"/>
      <w:numFmt w:val="decimal"/>
      <w:pStyle w:val="Main"/>
      <w:lvlText w:val="3.%1"/>
      <w:lvlJc w:val="left"/>
      <w:pPr>
        <w:tabs>
          <w:tab w:val="num" w:pos="0"/>
        </w:tabs>
        <w:ind w:left="0" w:firstLine="0"/>
      </w:pPr>
      <w:rPr>
        <w:rFonts w:hint="default"/>
        <w:b/>
        <w:color w:val="auto"/>
      </w:rPr>
    </w:lvl>
    <w:lvl w:ilvl="1">
      <w:start w:val="1"/>
      <w:numFmt w:val="none"/>
      <w:lvlText w:val="3.11"/>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2144FB3"/>
    <w:multiLevelType w:val="hybridMultilevel"/>
    <w:tmpl w:val="B4CC6FB6"/>
    <w:lvl w:ilvl="0" w:tplc="AB568DD2">
      <w:start w:val="44"/>
      <w:numFmt w:val="decimal"/>
      <w:lvlText w:val="%1. "/>
      <w:lvlJc w:val="left"/>
      <w:pPr>
        <w:tabs>
          <w:tab w:val="num" w:pos="720"/>
        </w:tabs>
        <w:ind w:left="0" w:firstLine="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BC0159"/>
    <w:multiLevelType w:val="hybridMultilevel"/>
    <w:tmpl w:val="B3DA4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14BAC"/>
    <w:multiLevelType w:val="hybridMultilevel"/>
    <w:tmpl w:val="AA8E9068"/>
    <w:lvl w:ilvl="0" w:tplc="631A360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4C6322"/>
    <w:multiLevelType w:val="hybridMultilevel"/>
    <w:tmpl w:val="AC6E648C"/>
    <w:lvl w:ilvl="0" w:tplc="631A36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C0850"/>
    <w:multiLevelType w:val="hybridMultilevel"/>
    <w:tmpl w:val="C8A4C198"/>
    <w:lvl w:ilvl="0" w:tplc="281C295E">
      <w:start w:val="52"/>
      <w:numFmt w:val="decimal"/>
      <w:lvlText w:val="%1. "/>
      <w:lvlJc w:val="left"/>
      <w:pPr>
        <w:tabs>
          <w:tab w:val="num" w:pos="720"/>
        </w:tabs>
        <w:ind w:left="0" w:firstLine="0"/>
      </w:pPr>
      <w:rPr>
        <w:rFonts w:hint="default"/>
        <w:b w:val="0"/>
        <w:i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B70E52"/>
    <w:multiLevelType w:val="hybridMultilevel"/>
    <w:tmpl w:val="3A0A1AD0"/>
    <w:lvl w:ilvl="0" w:tplc="FFFFFFFF">
      <w:start w:val="1"/>
      <w:numFmt w:val="bullet"/>
      <w:lvlText w:val=""/>
      <w:lvlJc w:val="left"/>
      <w:pPr>
        <w:tabs>
          <w:tab w:val="num" w:pos="930"/>
        </w:tabs>
        <w:ind w:left="930" w:hanging="360"/>
      </w:pPr>
      <w:rPr>
        <w:rFonts w:ascii="Symbol" w:hAnsi="Symbol" w:hint="default"/>
      </w:rPr>
    </w:lvl>
    <w:lvl w:ilvl="1" w:tplc="FFFFFFFF" w:tentative="1">
      <w:start w:val="1"/>
      <w:numFmt w:val="lowerLetter"/>
      <w:lvlText w:val="%2."/>
      <w:lvlJc w:val="left"/>
      <w:pPr>
        <w:tabs>
          <w:tab w:val="num" w:pos="1650"/>
        </w:tabs>
        <w:ind w:left="1650" w:hanging="360"/>
      </w:p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9">
    <w:nsid w:val="36C01888"/>
    <w:multiLevelType w:val="hybridMultilevel"/>
    <w:tmpl w:val="B904424A"/>
    <w:lvl w:ilvl="0" w:tplc="11041BCA">
      <w:start w:val="7"/>
      <w:numFmt w:val="decimal"/>
      <w:lvlText w:val="%1. "/>
      <w:lvlJc w:val="left"/>
      <w:pPr>
        <w:tabs>
          <w:tab w:val="num" w:pos="720"/>
        </w:tabs>
        <w:ind w:left="0" w:firstLine="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EC05DC"/>
    <w:multiLevelType w:val="hybridMultilevel"/>
    <w:tmpl w:val="A322BA96"/>
    <w:lvl w:ilvl="0" w:tplc="A16AF41E">
      <w:start w:val="80"/>
      <w:numFmt w:val="decimal"/>
      <w:lvlText w:val="%1."/>
      <w:lvlJc w:val="left"/>
      <w:pPr>
        <w:ind w:left="25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14B8E"/>
    <w:multiLevelType w:val="hybridMultilevel"/>
    <w:tmpl w:val="9EDAA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1DD70BF"/>
    <w:multiLevelType w:val="multilevel"/>
    <w:tmpl w:val="D16479FA"/>
    <w:lvl w:ilvl="0">
      <w:start w:val="1"/>
      <w:numFmt w:val="upperRoman"/>
      <w:pStyle w:val="Outline2"/>
      <w:lvlText w:val="%1."/>
      <w:lvlJc w:val="right"/>
      <w:pPr>
        <w:tabs>
          <w:tab w:val="num" w:pos="432"/>
        </w:tabs>
        <w:ind w:left="432" w:hanging="432"/>
      </w:pPr>
    </w:lvl>
    <w:lvl w:ilvl="1">
      <w:start w:val="1"/>
      <w:numFmt w:val="upperLetter"/>
      <w:pStyle w:val="Outline3"/>
      <w:lvlText w:val="%2."/>
      <w:lvlJc w:val="left"/>
      <w:pPr>
        <w:tabs>
          <w:tab w:val="num" w:pos="1152"/>
        </w:tabs>
        <w:ind w:left="1152" w:hanging="576"/>
      </w:pPr>
    </w:lvl>
    <w:lvl w:ilvl="2">
      <w:start w:val="1"/>
      <w:numFmt w:val="decimal"/>
      <w:pStyle w:val="Outline4"/>
      <w:lvlText w:val="%3."/>
      <w:lvlJc w:val="left"/>
      <w:pPr>
        <w:tabs>
          <w:tab w:val="num" w:pos="1728"/>
        </w:tabs>
        <w:ind w:left="1728" w:hanging="432"/>
      </w:pPr>
    </w:lvl>
    <w:lvl w:ilvl="3">
      <w:start w:val="1"/>
      <w:numFmt w:val="lowerLetter"/>
      <w:pStyle w:val="Headinga"/>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nsid w:val="42811D3E"/>
    <w:multiLevelType w:val="hybridMultilevel"/>
    <w:tmpl w:val="540A6C02"/>
    <w:lvl w:ilvl="0" w:tplc="6B5E6F18">
      <w:start w:val="43"/>
      <w:numFmt w:val="decimal"/>
      <w:lvlText w:val="%1."/>
      <w:lvlJc w:val="left"/>
      <w:pPr>
        <w:tabs>
          <w:tab w:val="num" w:pos="720"/>
        </w:tabs>
        <w:ind w:left="0" w:firstLine="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7250D3"/>
    <w:multiLevelType w:val="hybridMultilevel"/>
    <w:tmpl w:val="019AAEE4"/>
    <w:lvl w:ilvl="0" w:tplc="3F0CFD82">
      <w:start w:val="1"/>
      <w:numFmt w:val="upperLetter"/>
      <w:lvlText w:val="%1."/>
      <w:lvlJc w:val="center"/>
      <w:pPr>
        <w:tabs>
          <w:tab w:val="num" w:pos="432"/>
        </w:tabs>
        <w:ind w:left="432" w:hanging="432"/>
      </w:pPr>
      <w:rPr>
        <w:rFonts w:ascii="Times New Roman Bold" w:hAnsi="Times New Roman Bold" w:cs="Times New Roman" w:hint="default"/>
        <w:b/>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7D337B9"/>
    <w:multiLevelType w:val="hybridMultilevel"/>
    <w:tmpl w:val="8E421D70"/>
    <w:lvl w:ilvl="0" w:tplc="C338D4B4">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2A41B5"/>
    <w:multiLevelType w:val="multilevel"/>
    <w:tmpl w:val="C8DC1A18"/>
    <w:lvl w:ilvl="0">
      <w:start w:val="3"/>
      <w:numFmt w:val="upperRoman"/>
      <w:pStyle w:val="ParagraphNumbering"/>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none"/>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5940312E"/>
    <w:multiLevelType w:val="hybridMultilevel"/>
    <w:tmpl w:val="A0A44CDC"/>
    <w:lvl w:ilvl="0" w:tplc="0409000F">
      <w:start w:val="1"/>
      <w:numFmt w:val="decimal"/>
      <w:lvlText w:val="%1."/>
      <w:lvlJc w:val="left"/>
      <w:pPr>
        <w:tabs>
          <w:tab w:val="num" w:pos="720"/>
        </w:tabs>
        <w:ind w:left="0" w:firstLine="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464CC3"/>
    <w:multiLevelType w:val="hybridMultilevel"/>
    <w:tmpl w:val="198E9EAC"/>
    <w:lvl w:ilvl="0" w:tplc="04090001">
      <w:start w:val="1"/>
      <w:numFmt w:val="bullet"/>
      <w:lvlText w:val=""/>
      <w:lvlJc w:val="left"/>
      <w:pPr>
        <w:tabs>
          <w:tab w:val="num" w:pos="1440"/>
        </w:tabs>
        <w:ind w:left="720" w:firstLine="0"/>
      </w:pPr>
      <w:rPr>
        <w:rFonts w:ascii="Symbol" w:hAnsi="Symbol" w:hint="default"/>
        <w:b w:val="0"/>
        <w:i w:val="0"/>
        <w:sz w:val="22"/>
        <w:szCs w:val="22"/>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5FD96566"/>
    <w:multiLevelType w:val="hybridMultilevel"/>
    <w:tmpl w:val="8458A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3E7224"/>
    <w:multiLevelType w:val="hybridMultilevel"/>
    <w:tmpl w:val="94761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BB70CBD"/>
    <w:multiLevelType w:val="hybridMultilevel"/>
    <w:tmpl w:val="94949A30"/>
    <w:lvl w:ilvl="0" w:tplc="5EB81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0D2DAE"/>
    <w:multiLevelType w:val="hybridMultilevel"/>
    <w:tmpl w:val="3AECEC86"/>
    <w:lvl w:ilvl="0" w:tplc="A5BA3B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C93348"/>
    <w:multiLevelType w:val="hybridMultilevel"/>
    <w:tmpl w:val="10782232"/>
    <w:lvl w:ilvl="0" w:tplc="EF1819A4">
      <w:start w:val="1"/>
      <w:numFmt w:val="decimal"/>
      <w:lvlText w:val="%1. "/>
      <w:lvlJc w:val="left"/>
      <w:pPr>
        <w:tabs>
          <w:tab w:val="num" w:pos="720"/>
        </w:tabs>
        <w:ind w:left="0" w:firstLine="0"/>
      </w:pPr>
      <w:rPr>
        <w:rFonts w:hint="default"/>
        <w:b w:val="0"/>
        <w:i w:val="0"/>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0E07F21"/>
    <w:multiLevelType w:val="hybridMultilevel"/>
    <w:tmpl w:val="E4E82546"/>
    <w:lvl w:ilvl="0" w:tplc="49A82E56">
      <w:start w:val="2"/>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C11663"/>
    <w:multiLevelType w:val="multilevel"/>
    <w:tmpl w:val="92D0D18C"/>
    <w:lvl w:ilvl="0">
      <w:start w:val="1"/>
      <w:numFmt w:val="decimal"/>
      <w:pStyle w:val="Heading1"/>
      <w:lvlText w:val="%1."/>
      <w:lvlJc w:val="left"/>
      <w:pPr>
        <w:ind w:left="3352" w:hanging="360"/>
      </w:pPr>
      <w:rPr>
        <w:rFonts w:hint="default"/>
      </w:rPr>
    </w:lvl>
    <w:lvl w:ilvl="1">
      <w:start w:val="1"/>
      <w:numFmt w:val="decimal"/>
      <w:pStyle w:val="MainParawithChapter"/>
      <w:lvlText w:val="%1.%2"/>
      <w:lvlJc w:val="left"/>
      <w:pPr>
        <w:tabs>
          <w:tab w:val="num" w:pos="720"/>
        </w:tabs>
        <w:ind w:left="720" w:hanging="720"/>
      </w:pPr>
      <w:rPr>
        <w:rFonts w:hint="default"/>
        <w:b w:val="0"/>
        <w:i w:val="0"/>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6">
    <w:nsid w:val="74F810AA"/>
    <w:multiLevelType w:val="hybridMultilevel"/>
    <w:tmpl w:val="1D4409A4"/>
    <w:lvl w:ilvl="0" w:tplc="631A3602">
      <w:numFmt w:val="bullet"/>
      <w:lvlText w:val="-"/>
      <w:lvlJc w:val="left"/>
      <w:pPr>
        <w:tabs>
          <w:tab w:val="num" w:pos="720"/>
        </w:tabs>
        <w:ind w:left="0" w:firstLine="0"/>
      </w:pPr>
      <w:rPr>
        <w:rFonts w:ascii="Times New Roman" w:eastAsia="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58429A2"/>
    <w:multiLevelType w:val="hybridMultilevel"/>
    <w:tmpl w:val="C3AAFAE4"/>
    <w:lvl w:ilvl="0" w:tplc="BFAA6C7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2D419E"/>
    <w:multiLevelType w:val="hybridMultilevel"/>
    <w:tmpl w:val="E1785A2C"/>
    <w:lvl w:ilvl="0" w:tplc="0AD28690">
      <w:start w:val="38"/>
      <w:numFmt w:val="decimal"/>
      <w:lvlText w:val="%1."/>
      <w:lvlJc w:val="left"/>
      <w:pPr>
        <w:ind w:left="-180" w:firstLine="360"/>
      </w:pPr>
      <w:rPr>
        <w:rFonts w:hint="default"/>
        <w:b w:val="0"/>
        <w:i w:val="0"/>
        <w:color w:val="auto"/>
      </w:rPr>
    </w:lvl>
    <w:lvl w:ilvl="1" w:tplc="04090019">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9">
    <w:nsid w:val="7CE11C88"/>
    <w:multiLevelType w:val="hybridMultilevel"/>
    <w:tmpl w:val="6B6C6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2F71B2"/>
    <w:multiLevelType w:val="hybridMultilevel"/>
    <w:tmpl w:val="14545554"/>
    <w:lvl w:ilvl="0" w:tplc="FD4881C6">
      <w:start w:val="44"/>
      <w:numFmt w:val="decimal"/>
      <w:lvlText w:val="%1. "/>
      <w:lvlJc w:val="left"/>
      <w:pPr>
        <w:tabs>
          <w:tab w:val="num" w:pos="720"/>
        </w:tabs>
        <w:ind w:left="0" w:firstLine="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23"/>
  </w:num>
  <w:num w:numId="4">
    <w:abstractNumId w:val="25"/>
  </w:num>
  <w:num w:numId="5">
    <w:abstractNumId w:val="8"/>
  </w:num>
  <w:num w:numId="6">
    <w:abstractNumId w:val="0"/>
  </w:num>
  <w:num w:numId="7">
    <w:abstractNumId w:val="18"/>
  </w:num>
  <w:num w:numId="8">
    <w:abstractNumId w:val="16"/>
  </w:num>
  <w:num w:numId="9">
    <w:abstractNumId w:val="12"/>
  </w:num>
  <w:num w:numId="10">
    <w:abstractNumId w:val="2"/>
  </w:num>
  <w:num w:numId="11">
    <w:abstractNumId w:val="28"/>
  </w:num>
  <w:num w:numId="12">
    <w:abstractNumId w:val="19"/>
  </w:num>
  <w:num w:numId="13">
    <w:abstractNumId w:val="4"/>
  </w:num>
  <w:num w:numId="14">
    <w:abstractNumId w:val="29"/>
  </w:num>
  <w:num w:numId="15">
    <w:abstractNumId w:val="27"/>
  </w:num>
  <w:num w:numId="16">
    <w:abstractNumId w:val="9"/>
  </w:num>
  <w:num w:numId="17">
    <w:abstractNumId w:val="10"/>
  </w:num>
  <w:num w:numId="18">
    <w:abstractNumId w:val="20"/>
  </w:num>
  <w:num w:numId="19">
    <w:abstractNumId w:val="6"/>
  </w:num>
  <w:num w:numId="20">
    <w:abstractNumId w:val="5"/>
  </w:num>
  <w:num w:numId="21">
    <w:abstractNumId w:val="17"/>
  </w:num>
  <w:num w:numId="22">
    <w:abstractNumId w:val="13"/>
  </w:num>
  <w:num w:numId="23">
    <w:abstractNumId w:val="26"/>
  </w:num>
  <w:num w:numId="24">
    <w:abstractNumId w:val="3"/>
  </w:num>
  <w:num w:numId="25">
    <w:abstractNumId w:val="30"/>
  </w:num>
  <w:num w:numId="26">
    <w:abstractNumId w:val="15"/>
  </w:num>
  <w:num w:numId="27">
    <w:abstractNumId w:val="7"/>
  </w:num>
  <w:num w:numId="28">
    <w:abstractNumId w:val="11"/>
  </w:num>
  <w:num w:numId="29">
    <w:abstractNumId w:val="22"/>
  </w:num>
  <w:num w:numId="30">
    <w:abstractNumId w:val="21"/>
  </w:num>
  <w:num w:numId="31">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A4A"/>
    <w:rsid w:val="00000288"/>
    <w:rsid w:val="000005E2"/>
    <w:rsid w:val="00000B56"/>
    <w:rsid w:val="0000174E"/>
    <w:rsid w:val="000024A5"/>
    <w:rsid w:val="000027B6"/>
    <w:rsid w:val="00003895"/>
    <w:rsid w:val="0000403F"/>
    <w:rsid w:val="00004843"/>
    <w:rsid w:val="00005097"/>
    <w:rsid w:val="00005561"/>
    <w:rsid w:val="000058D4"/>
    <w:rsid w:val="000064B5"/>
    <w:rsid w:val="00006EBE"/>
    <w:rsid w:val="00006FAC"/>
    <w:rsid w:val="00007C03"/>
    <w:rsid w:val="00010C73"/>
    <w:rsid w:val="000111D8"/>
    <w:rsid w:val="0001134B"/>
    <w:rsid w:val="00011509"/>
    <w:rsid w:val="000128F7"/>
    <w:rsid w:val="00013700"/>
    <w:rsid w:val="00013F75"/>
    <w:rsid w:val="000151B4"/>
    <w:rsid w:val="000152E3"/>
    <w:rsid w:val="00015DCF"/>
    <w:rsid w:val="00015EA7"/>
    <w:rsid w:val="00015FB5"/>
    <w:rsid w:val="00016211"/>
    <w:rsid w:val="0001644E"/>
    <w:rsid w:val="00016A41"/>
    <w:rsid w:val="00016F6F"/>
    <w:rsid w:val="00016FB3"/>
    <w:rsid w:val="000170C6"/>
    <w:rsid w:val="00017BEA"/>
    <w:rsid w:val="00017D06"/>
    <w:rsid w:val="00017DB8"/>
    <w:rsid w:val="0002061F"/>
    <w:rsid w:val="00020C74"/>
    <w:rsid w:val="000211DC"/>
    <w:rsid w:val="0002127A"/>
    <w:rsid w:val="0002188D"/>
    <w:rsid w:val="00022674"/>
    <w:rsid w:val="00022B2C"/>
    <w:rsid w:val="00022F96"/>
    <w:rsid w:val="000232D2"/>
    <w:rsid w:val="00023836"/>
    <w:rsid w:val="00023BD9"/>
    <w:rsid w:val="000243D3"/>
    <w:rsid w:val="00024BDC"/>
    <w:rsid w:val="00024C8A"/>
    <w:rsid w:val="00025073"/>
    <w:rsid w:val="000251B7"/>
    <w:rsid w:val="000252A2"/>
    <w:rsid w:val="0002695B"/>
    <w:rsid w:val="0002761F"/>
    <w:rsid w:val="00027FC7"/>
    <w:rsid w:val="000307A5"/>
    <w:rsid w:val="000316B4"/>
    <w:rsid w:val="00031CFE"/>
    <w:rsid w:val="000333CA"/>
    <w:rsid w:val="0003344B"/>
    <w:rsid w:val="000335A0"/>
    <w:rsid w:val="000339FA"/>
    <w:rsid w:val="00033E50"/>
    <w:rsid w:val="0003456B"/>
    <w:rsid w:val="000345CA"/>
    <w:rsid w:val="000347CC"/>
    <w:rsid w:val="00035E86"/>
    <w:rsid w:val="00036E8F"/>
    <w:rsid w:val="000372B4"/>
    <w:rsid w:val="00037BDC"/>
    <w:rsid w:val="00037D5A"/>
    <w:rsid w:val="00040DE4"/>
    <w:rsid w:val="0004224E"/>
    <w:rsid w:val="00042475"/>
    <w:rsid w:val="000429EC"/>
    <w:rsid w:val="0004305A"/>
    <w:rsid w:val="000431A6"/>
    <w:rsid w:val="00043A64"/>
    <w:rsid w:val="0004461D"/>
    <w:rsid w:val="00044E93"/>
    <w:rsid w:val="00046297"/>
    <w:rsid w:val="00047067"/>
    <w:rsid w:val="000477F9"/>
    <w:rsid w:val="00047C57"/>
    <w:rsid w:val="00050477"/>
    <w:rsid w:val="00050BC4"/>
    <w:rsid w:val="00050D28"/>
    <w:rsid w:val="00051451"/>
    <w:rsid w:val="00051826"/>
    <w:rsid w:val="00051B65"/>
    <w:rsid w:val="000527B6"/>
    <w:rsid w:val="00052F72"/>
    <w:rsid w:val="00053828"/>
    <w:rsid w:val="00053A17"/>
    <w:rsid w:val="0005436D"/>
    <w:rsid w:val="00054B17"/>
    <w:rsid w:val="00054FBC"/>
    <w:rsid w:val="00055312"/>
    <w:rsid w:val="00056384"/>
    <w:rsid w:val="0005692C"/>
    <w:rsid w:val="0005696C"/>
    <w:rsid w:val="000572D5"/>
    <w:rsid w:val="00057427"/>
    <w:rsid w:val="00057712"/>
    <w:rsid w:val="000601C9"/>
    <w:rsid w:val="000614E7"/>
    <w:rsid w:val="0006171D"/>
    <w:rsid w:val="00061C08"/>
    <w:rsid w:val="00061C3B"/>
    <w:rsid w:val="00063334"/>
    <w:rsid w:val="00063A58"/>
    <w:rsid w:val="0006560C"/>
    <w:rsid w:val="000658E7"/>
    <w:rsid w:val="00065DC9"/>
    <w:rsid w:val="00065E2A"/>
    <w:rsid w:val="000660B8"/>
    <w:rsid w:val="0006714E"/>
    <w:rsid w:val="00067E97"/>
    <w:rsid w:val="0007155C"/>
    <w:rsid w:val="00071927"/>
    <w:rsid w:val="00072D49"/>
    <w:rsid w:val="000732B3"/>
    <w:rsid w:val="000734B4"/>
    <w:rsid w:val="000734FE"/>
    <w:rsid w:val="00073511"/>
    <w:rsid w:val="00073C31"/>
    <w:rsid w:val="00074851"/>
    <w:rsid w:val="000749E8"/>
    <w:rsid w:val="00075FA6"/>
    <w:rsid w:val="00075FEB"/>
    <w:rsid w:val="00077029"/>
    <w:rsid w:val="00077250"/>
    <w:rsid w:val="00077614"/>
    <w:rsid w:val="00077875"/>
    <w:rsid w:val="00081319"/>
    <w:rsid w:val="00083095"/>
    <w:rsid w:val="000839F5"/>
    <w:rsid w:val="00083D42"/>
    <w:rsid w:val="0008465E"/>
    <w:rsid w:val="00084A86"/>
    <w:rsid w:val="000851F7"/>
    <w:rsid w:val="0008553C"/>
    <w:rsid w:val="00085720"/>
    <w:rsid w:val="00086023"/>
    <w:rsid w:val="00086341"/>
    <w:rsid w:val="00086848"/>
    <w:rsid w:val="00086B86"/>
    <w:rsid w:val="00087101"/>
    <w:rsid w:val="00087E8D"/>
    <w:rsid w:val="0009004C"/>
    <w:rsid w:val="00090495"/>
    <w:rsid w:val="000909BA"/>
    <w:rsid w:val="00090A93"/>
    <w:rsid w:val="00091080"/>
    <w:rsid w:val="0009237B"/>
    <w:rsid w:val="0009270F"/>
    <w:rsid w:val="000929D7"/>
    <w:rsid w:val="00092FA1"/>
    <w:rsid w:val="000931BA"/>
    <w:rsid w:val="000934B3"/>
    <w:rsid w:val="00093C6D"/>
    <w:rsid w:val="00095957"/>
    <w:rsid w:val="00095B32"/>
    <w:rsid w:val="0009662D"/>
    <w:rsid w:val="00096E23"/>
    <w:rsid w:val="00097995"/>
    <w:rsid w:val="00097E13"/>
    <w:rsid w:val="00097E99"/>
    <w:rsid w:val="000A08F0"/>
    <w:rsid w:val="000A0AE9"/>
    <w:rsid w:val="000A134C"/>
    <w:rsid w:val="000A1965"/>
    <w:rsid w:val="000A1C60"/>
    <w:rsid w:val="000A1D3B"/>
    <w:rsid w:val="000A1FD3"/>
    <w:rsid w:val="000A335F"/>
    <w:rsid w:val="000A3757"/>
    <w:rsid w:val="000A4BA8"/>
    <w:rsid w:val="000A501D"/>
    <w:rsid w:val="000A51F4"/>
    <w:rsid w:val="000A5302"/>
    <w:rsid w:val="000A6B72"/>
    <w:rsid w:val="000A6FED"/>
    <w:rsid w:val="000A781B"/>
    <w:rsid w:val="000A7F45"/>
    <w:rsid w:val="000B0ACE"/>
    <w:rsid w:val="000B183D"/>
    <w:rsid w:val="000B229D"/>
    <w:rsid w:val="000B27ED"/>
    <w:rsid w:val="000B2CD8"/>
    <w:rsid w:val="000B2E28"/>
    <w:rsid w:val="000B3649"/>
    <w:rsid w:val="000B3A2F"/>
    <w:rsid w:val="000B4024"/>
    <w:rsid w:val="000B43F9"/>
    <w:rsid w:val="000B53B3"/>
    <w:rsid w:val="000B5E39"/>
    <w:rsid w:val="000B675A"/>
    <w:rsid w:val="000B699B"/>
    <w:rsid w:val="000B7796"/>
    <w:rsid w:val="000B7895"/>
    <w:rsid w:val="000C0061"/>
    <w:rsid w:val="000C0E7B"/>
    <w:rsid w:val="000C0E7D"/>
    <w:rsid w:val="000C11F6"/>
    <w:rsid w:val="000C13F9"/>
    <w:rsid w:val="000C19B1"/>
    <w:rsid w:val="000C1F01"/>
    <w:rsid w:val="000C29EE"/>
    <w:rsid w:val="000C2E35"/>
    <w:rsid w:val="000C35D6"/>
    <w:rsid w:val="000C36F1"/>
    <w:rsid w:val="000C4244"/>
    <w:rsid w:val="000C430C"/>
    <w:rsid w:val="000C4455"/>
    <w:rsid w:val="000C513A"/>
    <w:rsid w:val="000C5151"/>
    <w:rsid w:val="000C5C4E"/>
    <w:rsid w:val="000C5D94"/>
    <w:rsid w:val="000C63CF"/>
    <w:rsid w:val="000C6F55"/>
    <w:rsid w:val="000C73F1"/>
    <w:rsid w:val="000C765A"/>
    <w:rsid w:val="000C7A8A"/>
    <w:rsid w:val="000C7D52"/>
    <w:rsid w:val="000C7F8D"/>
    <w:rsid w:val="000D0302"/>
    <w:rsid w:val="000D0376"/>
    <w:rsid w:val="000D0439"/>
    <w:rsid w:val="000D0BF2"/>
    <w:rsid w:val="000D0D02"/>
    <w:rsid w:val="000D0D7A"/>
    <w:rsid w:val="000D1E43"/>
    <w:rsid w:val="000D228C"/>
    <w:rsid w:val="000D327A"/>
    <w:rsid w:val="000D3434"/>
    <w:rsid w:val="000D39D1"/>
    <w:rsid w:val="000D3CE0"/>
    <w:rsid w:val="000D44C6"/>
    <w:rsid w:val="000D4506"/>
    <w:rsid w:val="000D462A"/>
    <w:rsid w:val="000D46EE"/>
    <w:rsid w:val="000D4FC1"/>
    <w:rsid w:val="000D54B2"/>
    <w:rsid w:val="000D54ED"/>
    <w:rsid w:val="000D557C"/>
    <w:rsid w:val="000D6262"/>
    <w:rsid w:val="000D6FDF"/>
    <w:rsid w:val="000D7859"/>
    <w:rsid w:val="000D7B7A"/>
    <w:rsid w:val="000D7CF0"/>
    <w:rsid w:val="000D7D42"/>
    <w:rsid w:val="000E0304"/>
    <w:rsid w:val="000E09A6"/>
    <w:rsid w:val="000E0A0C"/>
    <w:rsid w:val="000E0BC0"/>
    <w:rsid w:val="000E11EE"/>
    <w:rsid w:val="000E20EB"/>
    <w:rsid w:val="000E2134"/>
    <w:rsid w:val="000E2BE9"/>
    <w:rsid w:val="000E325A"/>
    <w:rsid w:val="000E3588"/>
    <w:rsid w:val="000E3C16"/>
    <w:rsid w:val="000E47D0"/>
    <w:rsid w:val="000E4912"/>
    <w:rsid w:val="000E4A61"/>
    <w:rsid w:val="000E4C67"/>
    <w:rsid w:val="000E4E6F"/>
    <w:rsid w:val="000E503A"/>
    <w:rsid w:val="000E57D7"/>
    <w:rsid w:val="000E57F9"/>
    <w:rsid w:val="000E5832"/>
    <w:rsid w:val="000E5916"/>
    <w:rsid w:val="000E656F"/>
    <w:rsid w:val="000E6BA0"/>
    <w:rsid w:val="000E7065"/>
    <w:rsid w:val="000E73D5"/>
    <w:rsid w:val="000E749B"/>
    <w:rsid w:val="000E752E"/>
    <w:rsid w:val="000F107B"/>
    <w:rsid w:val="000F1091"/>
    <w:rsid w:val="000F10B9"/>
    <w:rsid w:val="000F1F57"/>
    <w:rsid w:val="000F21D4"/>
    <w:rsid w:val="000F24E1"/>
    <w:rsid w:val="000F2D0A"/>
    <w:rsid w:val="000F3881"/>
    <w:rsid w:val="000F3FBD"/>
    <w:rsid w:val="000F43B5"/>
    <w:rsid w:val="000F5425"/>
    <w:rsid w:val="000F55B4"/>
    <w:rsid w:val="000F5DD2"/>
    <w:rsid w:val="000F5FF7"/>
    <w:rsid w:val="000F6087"/>
    <w:rsid w:val="000F62A6"/>
    <w:rsid w:val="000F6438"/>
    <w:rsid w:val="000F6D10"/>
    <w:rsid w:val="000F6E73"/>
    <w:rsid w:val="000F6FE4"/>
    <w:rsid w:val="000F719A"/>
    <w:rsid w:val="000F7AE2"/>
    <w:rsid w:val="001007CF"/>
    <w:rsid w:val="0010083B"/>
    <w:rsid w:val="00100BAD"/>
    <w:rsid w:val="00100FB5"/>
    <w:rsid w:val="00101651"/>
    <w:rsid w:val="0010183B"/>
    <w:rsid w:val="00101AA5"/>
    <w:rsid w:val="00101FA5"/>
    <w:rsid w:val="00103208"/>
    <w:rsid w:val="00103F66"/>
    <w:rsid w:val="001046FA"/>
    <w:rsid w:val="0010472E"/>
    <w:rsid w:val="00104B9B"/>
    <w:rsid w:val="00104C68"/>
    <w:rsid w:val="00105024"/>
    <w:rsid w:val="00105C65"/>
    <w:rsid w:val="00105DA8"/>
    <w:rsid w:val="00106153"/>
    <w:rsid w:val="00106F48"/>
    <w:rsid w:val="00107159"/>
    <w:rsid w:val="0010751A"/>
    <w:rsid w:val="001076C0"/>
    <w:rsid w:val="00107C84"/>
    <w:rsid w:val="00107F40"/>
    <w:rsid w:val="00107F59"/>
    <w:rsid w:val="0011079F"/>
    <w:rsid w:val="0011091B"/>
    <w:rsid w:val="001114B6"/>
    <w:rsid w:val="00111719"/>
    <w:rsid w:val="00111AE9"/>
    <w:rsid w:val="00111BFD"/>
    <w:rsid w:val="0011234E"/>
    <w:rsid w:val="0011352A"/>
    <w:rsid w:val="001139DB"/>
    <w:rsid w:val="00113D5A"/>
    <w:rsid w:val="00113F19"/>
    <w:rsid w:val="00114259"/>
    <w:rsid w:val="0011482C"/>
    <w:rsid w:val="00114B46"/>
    <w:rsid w:val="00114E95"/>
    <w:rsid w:val="00115862"/>
    <w:rsid w:val="00115E77"/>
    <w:rsid w:val="00115FE2"/>
    <w:rsid w:val="00116405"/>
    <w:rsid w:val="00116621"/>
    <w:rsid w:val="001168ED"/>
    <w:rsid w:val="001178B3"/>
    <w:rsid w:val="00117B55"/>
    <w:rsid w:val="00120C77"/>
    <w:rsid w:val="001213F6"/>
    <w:rsid w:val="00121819"/>
    <w:rsid w:val="00121BCA"/>
    <w:rsid w:val="00121EED"/>
    <w:rsid w:val="00121FA4"/>
    <w:rsid w:val="0012255B"/>
    <w:rsid w:val="00122DBB"/>
    <w:rsid w:val="00122F5C"/>
    <w:rsid w:val="0012375C"/>
    <w:rsid w:val="001239DE"/>
    <w:rsid w:val="0012409F"/>
    <w:rsid w:val="001240A3"/>
    <w:rsid w:val="00124818"/>
    <w:rsid w:val="00124EA3"/>
    <w:rsid w:val="001251E4"/>
    <w:rsid w:val="00125E37"/>
    <w:rsid w:val="0012693A"/>
    <w:rsid w:val="00126BAA"/>
    <w:rsid w:val="00127AFF"/>
    <w:rsid w:val="001301BD"/>
    <w:rsid w:val="0013023F"/>
    <w:rsid w:val="001302C2"/>
    <w:rsid w:val="001302C9"/>
    <w:rsid w:val="0013058B"/>
    <w:rsid w:val="00130AAB"/>
    <w:rsid w:val="00131442"/>
    <w:rsid w:val="0013145B"/>
    <w:rsid w:val="00131DD1"/>
    <w:rsid w:val="0013258B"/>
    <w:rsid w:val="00132A81"/>
    <w:rsid w:val="0013391E"/>
    <w:rsid w:val="00133B7C"/>
    <w:rsid w:val="00133EEC"/>
    <w:rsid w:val="00134C8A"/>
    <w:rsid w:val="00134F5B"/>
    <w:rsid w:val="001354C0"/>
    <w:rsid w:val="001358F2"/>
    <w:rsid w:val="00135F7A"/>
    <w:rsid w:val="00136044"/>
    <w:rsid w:val="00136972"/>
    <w:rsid w:val="00136C97"/>
    <w:rsid w:val="00136CB0"/>
    <w:rsid w:val="00136DC1"/>
    <w:rsid w:val="0013730E"/>
    <w:rsid w:val="0013764C"/>
    <w:rsid w:val="0014042E"/>
    <w:rsid w:val="00140AD0"/>
    <w:rsid w:val="00140FAC"/>
    <w:rsid w:val="00141128"/>
    <w:rsid w:val="0014169E"/>
    <w:rsid w:val="00141824"/>
    <w:rsid w:val="00142210"/>
    <w:rsid w:val="001422DD"/>
    <w:rsid w:val="00142CFD"/>
    <w:rsid w:val="00144012"/>
    <w:rsid w:val="001448C3"/>
    <w:rsid w:val="001451FC"/>
    <w:rsid w:val="0014542B"/>
    <w:rsid w:val="0014581E"/>
    <w:rsid w:val="00145ED3"/>
    <w:rsid w:val="001465EB"/>
    <w:rsid w:val="0014662E"/>
    <w:rsid w:val="0014665E"/>
    <w:rsid w:val="001477BE"/>
    <w:rsid w:val="00147AAB"/>
    <w:rsid w:val="00147DC8"/>
    <w:rsid w:val="00150269"/>
    <w:rsid w:val="00150BF7"/>
    <w:rsid w:val="00150F14"/>
    <w:rsid w:val="00151922"/>
    <w:rsid w:val="00151EDB"/>
    <w:rsid w:val="00151FE6"/>
    <w:rsid w:val="001527D4"/>
    <w:rsid w:val="00153189"/>
    <w:rsid w:val="00153245"/>
    <w:rsid w:val="00153999"/>
    <w:rsid w:val="00153B24"/>
    <w:rsid w:val="00155587"/>
    <w:rsid w:val="00155A69"/>
    <w:rsid w:val="00155BAF"/>
    <w:rsid w:val="00156413"/>
    <w:rsid w:val="001566C8"/>
    <w:rsid w:val="0015709A"/>
    <w:rsid w:val="00157318"/>
    <w:rsid w:val="001575F6"/>
    <w:rsid w:val="001612D3"/>
    <w:rsid w:val="00161A64"/>
    <w:rsid w:val="00162772"/>
    <w:rsid w:val="00162BA9"/>
    <w:rsid w:val="00163096"/>
    <w:rsid w:val="001631DE"/>
    <w:rsid w:val="00163944"/>
    <w:rsid w:val="00163E59"/>
    <w:rsid w:val="00165247"/>
    <w:rsid w:val="0016556A"/>
    <w:rsid w:val="00165653"/>
    <w:rsid w:val="00166091"/>
    <w:rsid w:val="0016617D"/>
    <w:rsid w:val="001662F9"/>
    <w:rsid w:val="0016665C"/>
    <w:rsid w:val="00166726"/>
    <w:rsid w:val="00166A76"/>
    <w:rsid w:val="00167FC8"/>
    <w:rsid w:val="0017045E"/>
    <w:rsid w:val="0017097E"/>
    <w:rsid w:val="00170C59"/>
    <w:rsid w:val="00171D46"/>
    <w:rsid w:val="00173578"/>
    <w:rsid w:val="00173BE5"/>
    <w:rsid w:val="00174692"/>
    <w:rsid w:val="00174BC2"/>
    <w:rsid w:val="00174BCF"/>
    <w:rsid w:val="00174E7D"/>
    <w:rsid w:val="00175436"/>
    <w:rsid w:val="001760DB"/>
    <w:rsid w:val="001766AE"/>
    <w:rsid w:val="0017676A"/>
    <w:rsid w:val="00177180"/>
    <w:rsid w:val="00177B80"/>
    <w:rsid w:val="00177C46"/>
    <w:rsid w:val="00180B5F"/>
    <w:rsid w:val="00180CC3"/>
    <w:rsid w:val="00181A27"/>
    <w:rsid w:val="00181E81"/>
    <w:rsid w:val="00181FB1"/>
    <w:rsid w:val="0018203D"/>
    <w:rsid w:val="0018397B"/>
    <w:rsid w:val="00183ACC"/>
    <w:rsid w:val="00183E3A"/>
    <w:rsid w:val="00184D12"/>
    <w:rsid w:val="00184FC8"/>
    <w:rsid w:val="001852C7"/>
    <w:rsid w:val="00185BD2"/>
    <w:rsid w:val="00185E32"/>
    <w:rsid w:val="00185E6D"/>
    <w:rsid w:val="00186A3C"/>
    <w:rsid w:val="00186C71"/>
    <w:rsid w:val="00186E85"/>
    <w:rsid w:val="00186F41"/>
    <w:rsid w:val="00190946"/>
    <w:rsid w:val="00191321"/>
    <w:rsid w:val="001913F3"/>
    <w:rsid w:val="0019163E"/>
    <w:rsid w:val="001916AE"/>
    <w:rsid w:val="00191744"/>
    <w:rsid w:val="00192564"/>
    <w:rsid w:val="00192878"/>
    <w:rsid w:val="00192AA9"/>
    <w:rsid w:val="00192BA0"/>
    <w:rsid w:val="0019300A"/>
    <w:rsid w:val="00194B06"/>
    <w:rsid w:val="00194B8B"/>
    <w:rsid w:val="001950EF"/>
    <w:rsid w:val="0019542C"/>
    <w:rsid w:val="0019599B"/>
    <w:rsid w:val="00195C6C"/>
    <w:rsid w:val="00195F89"/>
    <w:rsid w:val="00196315"/>
    <w:rsid w:val="00196F1A"/>
    <w:rsid w:val="00197839"/>
    <w:rsid w:val="00197B50"/>
    <w:rsid w:val="001A0BCC"/>
    <w:rsid w:val="001A1195"/>
    <w:rsid w:val="001A12CD"/>
    <w:rsid w:val="001A19DC"/>
    <w:rsid w:val="001A1CDD"/>
    <w:rsid w:val="001A220F"/>
    <w:rsid w:val="001A2768"/>
    <w:rsid w:val="001A298F"/>
    <w:rsid w:val="001A3431"/>
    <w:rsid w:val="001A3739"/>
    <w:rsid w:val="001A39AA"/>
    <w:rsid w:val="001A39C9"/>
    <w:rsid w:val="001A3F46"/>
    <w:rsid w:val="001A4626"/>
    <w:rsid w:val="001A4DE8"/>
    <w:rsid w:val="001A51C1"/>
    <w:rsid w:val="001A5651"/>
    <w:rsid w:val="001A565D"/>
    <w:rsid w:val="001A58CC"/>
    <w:rsid w:val="001A5AF4"/>
    <w:rsid w:val="001A5DB1"/>
    <w:rsid w:val="001A6D3B"/>
    <w:rsid w:val="001A6D9B"/>
    <w:rsid w:val="001A7522"/>
    <w:rsid w:val="001A774A"/>
    <w:rsid w:val="001A7A7A"/>
    <w:rsid w:val="001B0B77"/>
    <w:rsid w:val="001B12F8"/>
    <w:rsid w:val="001B1A70"/>
    <w:rsid w:val="001B1BC4"/>
    <w:rsid w:val="001B1D27"/>
    <w:rsid w:val="001B1DD2"/>
    <w:rsid w:val="001B223E"/>
    <w:rsid w:val="001B2C3A"/>
    <w:rsid w:val="001B303C"/>
    <w:rsid w:val="001B34DF"/>
    <w:rsid w:val="001B38C2"/>
    <w:rsid w:val="001B3A23"/>
    <w:rsid w:val="001B4878"/>
    <w:rsid w:val="001B4ABA"/>
    <w:rsid w:val="001B5716"/>
    <w:rsid w:val="001B578D"/>
    <w:rsid w:val="001B67DF"/>
    <w:rsid w:val="001B69A4"/>
    <w:rsid w:val="001B6B5F"/>
    <w:rsid w:val="001B71DC"/>
    <w:rsid w:val="001B7694"/>
    <w:rsid w:val="001B7991"/>
    <w:rsid w:val="001B7BFC"/>
    <w:rsid w:val="001C0237"/>
    <w:rsid w:val="001C0792"/>
    <w:rsid w:val="001C0C47"/>
    <w:rsid w:val="001C0E81"/>
    <w:rsid w:val="001C244A"/>
    <w:rsid w:val="001C2D84"/>
    <w:rsid w:val="001C2F73"/>
    <w:rsid w:val="001C3049"/>
    <w:rsid w:val="001C340D"/>
    <w:rsid w:val="001C3602"/>
    <w:rsid w:val="001C3876"/>
    <w:rsid w:val="001C3DC8"/>
    <w:rsid w:val="001C46FE"/>
    <w:rsid w:val="001C5371"/>
    <w:rsid w:val="001C59DE"/>
    <w:rsid w:val="001C65A2"/>
    <w:rsid w:val="001C688C"/>
    <w:rsid w:val="001C695A"/>
    <w:rsid w:val="001C6E0F"/>
    <w:rsid w:val="001C796E"/>
    <w:rsid w:val="001C7D63"/>
    <w:rsid w:val="001D008E"/>
    <w:rsid w:val="001D0665"/>
    <w:rsid w:val="001D1A49"/>
    <w:rsid w:val="001D2CDC"/>
    <w:rsid w:val="001D34E3"/>
    <w:rsid w:val="001D3D56"/>
    <w:rsid w:val="001D3DDA"/>
    <w:rsid w:val="001D3E86"/>
    <w:rsid w:val="001D4066"/>
    <w:rsid w:val="001D4203"/>
    <w:rsid w:val="001D47E9"/>
    <w:rsid w:val="001D4E4B"/>
    <w:rsid w:val="001D581B"/>
    <w:rsid w:val="001D61AB"/>
    <w:rsid w:val="001D65EA"/>
    <w:rsid w:val="001D7834"/>
    <w:rsid w:val="001D7D95"/>
    <w:rsid w:val="001E0311"/>
    <w:rsid w:val="001E1003"/>
    <w:rsid w:val="001E10C8"/>
    <w:rsid w:val="001E1752"/>
    <w:rsid w:val="001E1A7E"/>
    <w:rsid w:val="001E1BB3"/>
    <w:rsid w:val="001E1F05"/>
    <w:rsid w:val="001E22C1"/>
    <w:rsid w:val="001E22EC"/>
    <w:rsid w:val="001E38F6"/>
    <w:rsid w:val="001E3CD4"/>
    <w:rsid w:val="001E3E0B"/>
    <w:rsid w:val="001E3E46"/>
    <w:rsid w:val="001E48CD"/>
    <w:rsid w:val="001E4928"/>
    <w:rsid w:val="001E5931"/>
    <w:rsid w:val="001E5968"/>
    <w:rsid w:val="001E63D4"/>
    <w:rsid w:val="001E6453"/>
    <w:rsid w:val="001E6606"/>
    <w:rsid w:val="001E66AC"/>
    <w:rsid w:val="001E6729"/>
    <w:rsid w:val="001E6F75"/>
    <w:rsid w:val="001E7871"/>
    <w:rsid w:val="001E7AC5"/>
    <w:rsid w:val="001F01D5"/>
    <w:rsid w:val="001F04F3"/>
    <w:rsid w:val="001F089D"/>
    <w:rsid w:val="001F1230"/>
    <w:rsid w:val="001F126D"/>
    <w:rsid w:val="001F1767"/>
    <w:rsid w:val="001F18EF"/>
    <w:rsid w:val="001F1966"/>
    <w:rsid w:val="001F212B"/>
    <w:rsid w:val="001F2828"/>
    <w:rsid w:val="001F2914"/>
    <w:rsid w:val="001F2A80"/>
    <w:rsid w:val="001F33F8"/>
    <w:rsid w:val="001F3532"/>
    <w:rsid w:val="001F3752"/>
    <w:rsid w:val="001F3FFB"/>
    <w:rsid w:val="001F48B7"/>
    <w:rsid w:val="001F6194"/>
    <w:rsid w:val="001F6EC7"/>
    <w:rsid w:val="002007AE"/>
    <w:rsid w:val="002009D0"/>
    <w:rsid w:val="00201850"/>
    <w:rsid w:val="00202954"/>
    <w:rsid w:val="00202AD5"/>
    <w:rsid w:val="00202E65"/>
    <w:rsid w:val="00203086"/>
    <w:rsid w:val="00203C86"/>
    <w:rsid w:val="00204C0A"/>
    <w:rsid w:val="00205315"/>
    <w:rsid w:val="00206058"/>
    <w:rsid w:val="00206414"/>
    <w:rsid w:val="00206C7E"/>
    <w:rsid w:val="0021029C"/>
    <w:rsid w:val="0021071E"/>
    <w:rsid w:val="00210AB9"/>
    <w:rsid w:val="002113DA"/>
    <w:rsid w:val="002113E3"/>
    <w:rsid w:val="00211BB0"/>
    <w:rsid w:val="002121C4"/>
    <w:rsid w:val="00212BA6"/>
    <w:rsid w:val="0021348B"/>
    <w:rsid w:val="00213969"/>
    <w:rsid w:val="00214312"/>
    <w:rsid w:val="00214746"/>
    <w:rsid w:val="0021492A"/>
    <w:rsid w:val="00215117"/>
    <w:rsid w:val="00215660"/>
    <w:rsid w:val="00215719"/>
    <w:rsid w:val="00216BD1"/>
    <w:rsid w:val="00216C0A"/>
    <w:rsid w:val="00216FBE"/>
    <w:rsid w:val="00217262"/>
    <w:rsid w:val="00217D87"/>
    <w:rsid w:val="00220747"/>
    <w:rsid w:val="002208CB"/>
    <w:rsid w:val="00220907"/>
    <w:rsid w:val="0022213E"/>
    <w:rsid w:val="00222A9C"/>
    <w:rsid w:val="00222E94"/>
    <w:rsid w:val="00223154"/>
    <w:rsid w:val="00223329"/>
    <w:rsid w:val="00223AD5"/>
    <w:rsid w:val="00223EC9"/>
    <w:rsid w:val="0022520B"/>
    <w:rsid w:val="00225665"/>
    <w:rsid w:val="002263C1"/>
    <w:rsid w:val="0022709F"/>
    <w:rsid w:val="0022744F"/>
    <w:rsid w:val="00227D4E"/>
    <w:rsid w:val="0023091F"/>
    <w:rsid w:val="00230F2D"/>
    <w:rsid w:val="00231195"/>
    <w:rsid w:val="00231AC2"/>
    <w:rsid w:val="00231DFA"/>
    <w:rsid w:val="002339EA"/>
    <w:rsid w:val="00233CA0"/>
    <w:rsid w:val="00234710"/>
    <w:rsid w:val="00234BBC"/>
    <w:rsid w:val="00234F89"/>
    <w:rsid w:val="0023709C"/>
    <w:rsid w:val="00237213"/>
    <w:rsid w:val="00237929"/>
    <w:rsid w:val="00237A06"/>
    <w:rsid w:val="00237A90"/>
    <w:rsid w:val="00240089"/>
    <w:rsid w:val="00240148"/>
    <w:rsid w:val="00240483"/>
    <w:rsid w:val="002405FC"/>
    <w:rsid w:val="002407CE"/>
    <w:rsid w:val="00240C3E"/>
    <w:rsid w:val="00241229"/>
    <w:rsid w:val="0024170E"/>
    <w:rsid w:val="00242AA2"/>
    <w:rsid w:val="00243B22"/>
    <w:rsid w:val="00245AE6"/>
    <w:rsid w:val="002463FE"/>
    <w:rsid w:val="00246808"/>
    <w:rsid w:val="00246EB2"/>
    <w:rsid w:val="00247B1E"/>
    <w:rsid w:val="00247B63"/>
    <w:rsid w:val="002501DD"/>
    <w:rsid w:val="0025067E"/>
    <w:rsid w:val="00250B2B"/>
    <w:rsid w:val="00251248"/>
    <w:rsid w:val="00251A37"/>
    <w:rsid w:val="00251A55"/>
    <w:rsid w:val="002522F1"/>
    <w:rsid w:val="00252CE3"/>
    <w:rsid w:val="00252DA8"/>
    <w:rsid w:val="00253401"/>
    <w:rsid w:val="00253B69"/>
    <w:rsid w:val="00254099"/>
    <w:rsid w:val="002543E4"/>
    <w:rsid w:val="00255126"/>
    <w:rsid w:val="00255565"/>
    <w:rsid w:val="002557BC"/>
    <w:rsid w:val="00256B9C"/>
    <w:rsid w:val="00256D09"/>
    <w:rsid w:val="0025710A"/>
    <w:rsid w:val="002573AD"/>
    <w:rsid w:val="002573E9"/>
    <w:rsid w:val="00260204"/>
    <w:rsid w:val="00260346"/>
    <w:rsid w:val="00260A12"/>
    <w:rsid w:val="00260CEC"/>
    <w:rsid w:val="00261AF2"/>
    <w:rsid w:val="00262D07"/>
    <w:rsid w:val="00262D5F"/>
    <w:rsid w:val="00263026"/>
    <w:rsid w:val="00263454"/>
    <w:rsid w:val="002641B7"/>
    <w:rsid w:val="00264C6F"/>
    <w:rsid w:val="002653C2"/>
    <w:rsid w:val="0026572E"/>
    <w:rsid w:val="00265EF3"/>
    <w:rsid w:val="00266667"/>
    <w:rsid w:val="00266CC5"/>
    <w:rsid w:val="0026727E"/>
    <w:rsid w:val="00271311"/>
    <w:rsid w:val="00271A24"/>
    <w:rsid w:val="00271A84"/>
    <w:rsid w:val="00271B88"/>
    <w:rsid w:val="00271F5F"/>
    <w:rsid w:val="00272506"/>
    <w:rsid w:val="00273326"/>
    <w:rsid w:val="00273B16"/>
    <w:rsid w:val="00273DB9"/>
    <w:rsid w:val="00273EB7"/>
    <w:rsid w:val="002748CE"/>
    <w:rsid w:val="00274C80"/>
    <w:rsid w:val="002751FA"/>
    <w:rsid w:val="00275BC9"/>
    <w:rsid w:val="00275DD0"/>
    <w:rsid w:val="0027634B"/>
    <w:rsid w:val="0027648F"/>
    <w:rsid w:val="00276887"/>
    <w:rsid w:val="0028044F"/>
    <w:rsid w:val="0028057D"/>
    <w:rsid w:val="00280A67"/>
    <w:rsid w:val="00280AB1"/>
    <w:rsid w:val="00281381"/>
    <w:rsid w:val="002817A7"/>
    <w:rsid w:val="00281EAD"/>
    <w:rsid w:val="00281FAA"/>
    <w:rsid w:val="002821C8"/>
    <w:rsid w:val="002831BD"/>
    <w:rsid w:val="00283AA7"/>
    <w:rsid w:val="002842F1"/>
    <w:rsid w:val="002856DF"/>
    <w:rsid w:val="00286692"/>
    <w:rsid w:val="002874BA"/>
    <w:rsid w:val="002875ED"/>
    <w:rsid w:val="00290951"/>
    <w:rsid w:val="00290A9F"/>
    <w:rsid w:val="0029171E"/>
    <w:rsid w:val="00291A50"/>
    <w:rsid w:val="00292451"/>
    <w:rsid w:val="002925BE"/>
    <w:rsid w:val="00292FFF"/>
    <w:rsid w:val="002937CC"/>
    <w:rsid w:val="0029456E"/>
    <w:rsid w:val="0029489E"/>
    <w:rsid w:val="00294AA9"/>
    <w:rsid w:val="00294ABA"/>
    <w:rsid w:val="00294F67"/>
    <w:rsid w:val="00295E8F"/>
    <w:rsid w:val="00296859"/>
    <w:rsid w:val="00296938"/>
    <w:rsid w:val="002969B0"/>
    <w:rsid w:val="00296B6D"/>
    <w:rsid w:val="00296B8F"/>
    <w:rsid w:val="00297315"/>
    <w:rsid w:val="0029770B"/>
    <w:rsid w:val="002A17C3"/>
    <w:rsid w:val="002A193F"/>
    <w:rsid w:val="002A1A00"/>
    <w:rsid w:val="002A23E7"/>
    <w:rsid w:val="002A29C2"/>
    <w:rsid w:val="002A29C8"/>
    <w:rsid w:val="002A2B21"/>
    <w:rsid w:val="002A3172"/>
    <w:rsid w:val="002A3497"/>
    <w:rsid w:val="002A37D2"/>
    <w:rsid w:val="002A4220"/>
    <w:rsid w:val="002A4AB7"/>
    <w:rsid w:val="002A5127"/>
    <w:rsid w:val="002A53BE"/>
    <w:rsid w:val="002A540F"/>
    <w:rsid w:val="002A543C"/>
    <w:rsid w:val="002A55C9"/>
    <w:rsid w:val="002A5B99"/>
    <w:rsid w:val="002A5CBC"/>
    <w:rsid w:val="002A5F51"/>
    <w:rsid w:val="002A70AD"/>
    <w:rsid w:val="002A774A"/>
    <w:rsid w:val="002A7B3F"/>
    <w:rsid w:val="002B0633"/>
    <w:rsid w:val="002B0E99"/>
    <w:rsid w:val="002B0F69"/>
    <w:rsid w:val="002B1055"/>
    <w:rsid w:val="002B1D56"/>
    <w:rsid w:val="002B29B5"/>
    <w:rsid w:val="002B339E"/>
    <w:rsid w:val="002B386F"/>
    <w:rsid w:val="002B3916"/>
    <w:rsid w:val="002B3CA2"/>
    <w:rsid w:val="002B3DE4"/>
    <w:rsid w:val="002B409D"/>
    <w:rsid w:val="002B40FE"/>
    <w:rsid w:val="002B5430"/>
    <w:rsid w:val="002B549A"/>
    <w:rsid w:val="002B5EA7"/>
    <w:rsid w:val="002B5F6F"/>
    <w:rsid w:val="002B6396"/>
    <w:rsid w:val="002B6495"/>
    <w:rsid w:val="002B66E8"/>
    <w:rsid w:val="002B66FC"/>
    <w:rsid w:val="002B6713"/>
    <w:rsid w:val="002B739D"/>
    <w:rsid w:val="002B7598"/>
    <w:rsid w:val="002B7A9A"/>
    <w:rsid w:val="002C0A53"/>
    <w:rsid w:val="002C0BF7"/>
    <w:rsid w:val="002C0C27"/>
    <w:rsid w:val="002C1090"/>
    <w:rsid w:val="002C131A"/>
    <w:rsid w:val="002C13F4"/>
    <w:rsid w:val="002C141D"/>
    <w:rsid w:val="002C148B"/>
    <w:rsid w:val="002C17DE"/>
    <w:rsid w:val="002C1D4B"/>
    <w:rsid w:val="002C2B28"/>
    <w:rsid w:val="002C2F98"/>
    <w:rsid w:val="002C30B3"/>
    <w:rsid w:val="002C3396"/>
    <w:rsid w:val="002C341B"/>
    <w:rsid w:val="002C359E"/>
    <w:rsid w:val="002C3641"/>
    <w:rsid w:val="002C3809"/>
    <w:rsid w:val="002C4048"/>
    <w:rsid w:val="002C477B"/>
    <w:rsid w:val="002C4C6A"/>
    <w:rsid w:val="002C642C"/>
    <w:rsid w:val="002C739A"/>
    <w:rsid w:val="002C75F6"/>
    <w:rsid w:val="002C79BF"/>
    <w:rsid w:val="002D01F1"/>
    <w:rsid w:val="002D0265"/>
    <w:rsid w:val="002D0B26"/>
    <w:rsid w:val="002D10F7"/>
    <w:rsid w:val="002D20E3"/>
    <w:rsid w:val="002D26CC"/>
    <w:rsid w:val="002D2765"/>
    <w:rsid w:val="002D279E"/>
    <w:rsid w:val="002D2B5B"/>
    <w:rsid w:val="002D2C3F"/>
    <w:rsid w:val="002D2F4A"/>
    <w:rsid w:val="002D3070"/>
    <w:rsid w:val="002D34C7"/>
    <w:rsid w:val="002D362E"/>
    <w:rsid w:val="002D3E5C"/>
    <w:rsid w:val="002D418A"/>
    <w:rsid w:val="002D48BB"/>
    <w:rsid w:val="002D5E49"/>
    <w:rsid w:val="002D6439"/>
    <w:rsid w:val="002D6BE1"/>
    <w:rsid w:val="002D770B"/>
    <w:rsid w:val="002D7D23"/>
    <w:rsid w:val="002E0124"/>
    <w:rsid w:val="002E0C18"/>
    <w:rsid w:val="002E1829"/>
    <w:rsid w:val="002E1F78"/>
    <w:rsid w:val="002E20B0"/>
    <w:rsid w:val="002E2930"/>
    <w:rsid w:val="002E2B2B"/>
    <w:rsid w:val="002E3A9F"/>
    <w:rsid w:val="002E4801"/>
    <w:rsid w:val="002E5D28"/>
    <w:rsid w:val="002E5FC2"/>
    <w:rsid w:val="002E6549"/>
    <w:rsid w:val="002E6763"/>
    <w:rsid w:val="002E73A0"/>
    <w:rsid w:val="002F03DA"/>
    <w:rsid w:val="002F049C"/>
    <w:rsid w:val="002F0A7B"/>
    <w:rsid w:val="002F0D86"/>
    <w:rsid w:val="002F1482"/>
    <w:rsid w:val="002F14DC"/>
    <w:rsid w:val="002F1736"/>
    <w:rsid w:val="002F1BEE"/>
    <w:rsid w:val="002F1C16"/>
    <w:rsid w:val="002F1D1E"/>
    <w:rsid w:val="002F1F82"/>
    <w:rsid w:val="002F20C2"/>
    <w:rsid w:val="002F27ED"/>
    <w:rsid w:val="002F27F1"/>
    <w:rsid w:val="002F296B"/>
    <w:rsid w:val="002F2A8F"/>
    <w:rsid w:val="002F2DA9"/>
    <w:rsid w:val="002F2F3D"/>
    <w:rsid w:val="002F30AA"/>
    <w:rsid w:val="002F41F3"/>
    <w:rsid w:val="002F477A"/>
    <w:rsid w:val="002F47F0"/>
    <w:rsid w:val="002F4AAF"/>
    <w:rsid w:val="002F4FF3"/>
    <w:rsid w:val="002F6CF6"/>
    <w:rsid w:val="002F6D6E"/>
    <w:rsid w:val="002F7BA2"/>
    <w:rsid w:val="003002DB"/>
    <w:rsid w:val="00300331"/>
    <w:rsid w:val="00300840"/>
    <w:rsid w:val="00300A3F"/>
    <w:rsid w:val="00300AFD"/>
    <w:rsid w:val="00300E34"/>
    <w:rsid w:val="003011D8"/>
    <w:rsid w:val="003018A9"/>
    <w:rsid w:val="00301BB4"/>
    <w:rsid w:val="00301EC6"/>
    <w:rsid w:val="003025BA"/>
    <w:rsid w:val="0030331F"/>
    <w:rsid w:val="00303533"/>
    <w:rsid w:val="003038E9"/>
    <w:rsid w:val="0030508C"/>
    <w:rsid w:val="003050C0"/>
    <w:rsid w:val="003052B4"/>
    <w:rsid w:val="0030538A"/>
    <w:rsid w:val="00305754"/>
    <w:rsid w:val="00305E82"/>
    <w:rsid w:val="00305F1D"/>
    <w:rsid w:val="003060E9"/>
    <w:rsid w:val="003078F6"/>
    <w:rsid w:val="00307C0C"/>
    <w:rsid w:val="00307F87"/>
    <w:rsid w:val="00310320"/>
    <w:rsid w:val="003105F6"/>
    <w:rsid w:val="003114EF"/>
    <w:rsid w:val="0031160F"/>
    <w:rsid w:val="00311F1E"/>
    <w:rsid w:val="003122B5"/>
    <w:rsid w:val="003143E9"/>
    <w:rsid w:val="003145F1"/>
    <w:rsid w:val="00314B9A"/>
    <w:rsid w:val="00315869"/>
    <w:rsid w:val="00315DF7"/>
    <w:rsid w:val="003170CE"/>
    <w:rsid w:val="003172E2"/>
    <w:rsid w:val="00317989"/>
    <w:rsid w:val="003206E4"/>
    <w:rsid w:val="0032072F"/>
    <w:rsid w:val="00320803"/>
    <w:rsid w:val="00320AD2"/>
    <w:rsid w:val="00320C6C"/>
    <w:rsid w:val="00320CAC"/>
    <w:rsid w:val="00320F11"/>
    <w:rsid w:val="003212D2"/>
    <w:rsid w:val="00321739"/>
    <w:rsid w:val="00321795"/>
    <w:rsid w:val="0032219B"/>
    <w:rsid w:val="00322DD9"/>
    <w:rsid w:val="003237AA"/>
    <w:rsid w:val="003247B2"/>
    <w:rsid w:val="0032497B"/>
    <w:rsid w:val="003249D9"/>
    <w:rsid w:val="00325371"/>
    <w:rsid w:val="0032595E"/>
    <w:rsid w:val="00325F42"/>
    <w:rsid w:val="0032711E"/>
    <w:rsid w:val="003279C3"/>
    <w:rsid w:val="00330498"/>
    <w:rsid w:val="00330CB4"/>
    <w:rsid w:val="003323CC"/>
    <w:rsid w:val="003335B6"/>
    <w:rsid w:val="003336B5"/>
    <w:rsid w:val="003342BB"/>
    <w:rsid w:val="00334997"/>
    <w:rsid w:val="00334E4C"/>
    <w:rsid w:val="00334EFC"/>
    <w:rsid w:val="00334F5A"/>
    <w:rsid w:val="00336D7B"/>
    <w:rsid w:val="00336F2D"/>
    <w:rsid w:val="00336F6E"/>
    <w:rsid w:val="00337293"/>
    <w:rsid w:val="003375C4"/>
    <w:rsid w:val="00337798"/>
    <w:rsid w:val="00337C19"/>
    <w:rsid w:val="00337DF8"/>
    <w:rsid w:val="00340B43"/>
    <w:rsid w:val="00340FB5"/>
    <w:rsid w:val="0034128B"/>
    <w:rsid w:val="0034179A"/>
    <w:rsid w:val="003417CF"/>
    <w:rsid w:val="00342B84"/>
    <w:rsid w:val="00343150"/>
    <w:rsid w:val="003438B8"/>
    <w:rsid w:val="00343FD3"/>
    <w:rsid w:val="00345323"/>
    <w:rsid w:val="0034545D"/>
    <w:rsid w:val="00345AF4"/>
    <w:rsid w:val="00346252"/>
    <w:rsid w:val="00347BD5"/>
    <w:rsid w:val="00350387"/>
    <w:rsid w:val="003503B7"/>
    <w:rsid w:val="00350A07"/>
    <w:rsid w:val="00351468"/>
    <w:rsid w:val="00351718"/>
    <w:rsid w:val="003525B8"/>
    <w:rsid w:val="003528D0"/>
    <w:rsid w:val="00353584"/>
    <w:rsid w:val="00354C91"/>
    <w:rsid w:val="003557A9"/>
    <w:rsid w:val="00356445"/>
    <w:rsid w:val="0035678A"/>
    <w:rsid w:val="00356E92"/>
    <w:rsid w:val="00357B98"/>
    <w:rsid w:val="00357DBD"/>
    <w:rsid w:val="003603F4"/>
    <w:rsid w:val="0036071F"/>
    <w:rsid w:val="00361018"/>
    <w:rsid w:val="003611F3"/>
    <w:rsid w:val="003614ED"/>
    <w:rsid w:val="003616DC"/>
    <w:rsid w:val="003619BA"/>
    <w:rsid w:val="00362216"/>
    <w:rsid w:val="00362BD0"/>
    <w:rsid w:val="0036319A"/>
    <w:rsid w:val="00364554"/>
    <w:rsid w:val="00364630"/>
    <w:rsid w:val="00364D52"/>
    <w:rsid w:val="0036528B"/>
    <w:rsid w:val="0036534C"/>
    <w:rsid w:val="00365FE3"/>
    <w:rsid w:val="00366DCE"/>
    <w:rsid w:val="00367384"/>
    <w:rsid w:val="00370008"/>
    <w:rsid w:val="0037072E"/>
    <w:rsid w:val="0037089F"/>
    <w:rsid w:val="003711F4"/>
    <w:rsid w:val="003716A1"/>
    <w:rsid w:val="003727E1"/>
    <w:rsid w:val="00373097"/>
    <w:rsid w:val="0037394F"/>
    <w:rsid w:val="003741E6"/>
    <w:rsid w:val="00374672"/>
    <w:rsid w:val="00374A3B"/>
    <w:rsid w:val="00374D63"/>
    <w:rsid w:val="00375289"/>
    <w:rsid w:val="0037538B"/>
    <w:rsid w:val="00375A93"/>
    <w:rsid w:val="0037630E"/>
    <w:rsid w:val="00376CCD"/>
    <w:rsid w:val="00377552"/>
    <w:rsid w:val="0037769E"/>
    <w:rsid w:val="00377E64"/>
    <w:rsid w:val="003806BC"/>
    <w:rsid w:val="00380787"/>
    <w:rsid w:val="00380879"/>
    <w:rsid w:val="00380A16"/>
    <w:rsid w:val="00380D5F"/>
    <w:rsid w:val="00381683"/>
    <w:rsid w:val="003816AB"/>
    <w:rsid w:val="0038200A"/>
    <w:rsid w:val="003820CE"/>
    <w:rsid w:val="00382952"/>
    <w:rsid w:val="00384BBB"/>
    <w:rsid w:val="0038589F"/>
    <w:rsid w:val="00385FA7"/>
    <w:rsid w:val="00386272"/>
    <w:rsid w:val="0038682D"/>
    <w:rsid w:val="0038718F"/>
    <w:rsid w:val="00387428"/>
    <w:rsid w:val="00387450"/>
    <w:rsid w:val="00387641"/>
    <w:rsid w:val="00387A59"/>
    <w:rsid w:val="00390A3E"/>
    <w:rsid w:val="00390DBE"/>
    <w:rsid w:val="0039197B"/>
    <w:rsid w:val="00391E1D"/>
    <w:rsid w:val="00392087"/>
    <w:rsid w:val="003922E7"/>
    <w:rsid w:val="00392A39"/>
    <w:rsid w:val="00392D12"/>
    <w:rsid w:val="003937B8"/>
    <w:rsid w:val="00393FB1"/>
    <w:rsid w:val="003940A8"/>
    <w:rsid w:val="003940FD"/>
    <w:rsid w:val="00394150"/>
    <w:rsid w:val="003941FA"/>
    <w:rsid w:val="00394A52"/>
    <w:rsid w:val="00394B23"/>
    <w:rsid w:val="00394E0D"/>
    <w:rsid w:val="00394F27"/>
    <w:rsid w:val="003950CB"/>
    <w:rsid w:val="003950D3"/>
    <w:rsid w:val="003955CC"/>
    <w:rsid w:val="00395E40"/>
    <w:rsid w:val="003964DA"/>
    <w:rsid w:val="003965D3"/>
    <w:rsid w:val="00396AE6"/>
    <w:rsid w:val="00396B5D"/>
    <w:rsid w:val="0039709C"/>
    <w:rsid w:val="0039720B"/>
    <w:rsid w:val="003A111B"/>
    <w:rsid w:val="003A2067"/>
    <w:rsid w:val="003A23CD"/>
    <w:rsid w:val="003A2586"/>
    <w:rsid w:val="003A2909"/>
    <w:rsid w:val="003A2958"/>
    <w:rsid w:val="003A2AA2"/>
    <w:rsid w:val="003A2F26"/>
    <w:rsid w:val="003A39BA"/>
    <w:rsid w:val="003A3A20"/>
    <w:rsid w:val="003A407A"/>
    <w:rsid w:val="003A457E"/>
    <w:rsid w:val="003A4A3A"/>
    <w:rsid w:val="003A4AF0"/>
    <w:rsid w:val="003A515B"/>
    <w:rsid w:val="003A571E"/>
    <w:rsid w:val="003A57E6"/>
    <w:rsid w:val="003A5D16"/>
    <w:rsid w:val="003A6E3C"/>
    <w:rsid w:val="003A7813"/>
    <w:rsid w:val="003A7C3C"/>
    <w:rsid w:val="003A7F56"/>
    <w:rsid w:val="003B0420"/>
    <w:rsid w:val="003B0E78"/>
    <w:rsid w:val="003B0F02"/>
    <w:rsid w:val="003B1273"/>
    <w:rsid w:val="003B16E9"/>
    <w:rsid w:val="003B28D9"/>
    <w:rsid w:val="003B3594"/>
    <w:rsid w:val="003B3685"/>
    <w:rsid w:val="003B3875"/>
    <w:rsid w:val="003B405C"/>
    <w:rsid w:val="003B40F3"/>
    <w:rsid w:val="003B4543"/>
    <w:rsid w:val="003B4732"/>
    <w:rsid w:val="003B50E9"/>
    <w:rsid w:val="003B5A0F"/>
    <w:rsid w:val="003B609D"/>
    <w:rsid w:val="003B697B"/>
    <w:rsid w:val="003B69DD"/>
    <w:rsid w:val="003B6A67"/>
    <w:rsid w:val="003B6A88"/>
    <w:rsid w:val="003B6C8A"/>
    <w:rsid w:val="003B74F0"/>
    <w:rsid w:val="003B7AE5"/>
    <w:rsid w:val="003C0018"/>
    <w:rsid w:val="003C0D8E"/>
    <w:rsid w:val="003C0F9E"/>
    <w:rsid w:val="003C1650"/>
    <w:rsid w:val="003C1656"/>
    <w:rsid w:val="003C1870"/>
    <w:rsid w:val="003C1EAF"/>
    <w:rsid w:val="003C2036"/>
    <w:rsid w:val="003C26DA"/>
    <w:rsid w:val="003C2A5C"/>
    <w:rsid w:val="003C2D86"/>
    <w:rsid w:val="003C3188"/>
    <w:rsid w:val="003C3592"/>
    <w:rsid w:val="003C46A9"/>
    <w:rsid w:val="003C4C69"/>
    <w:rsid w:val="003C5460"/>
    <w:rsid w:val="003C5735"/>
    <w:rsid w:val="003C66A0"/>
    <w:rsid w:val="003C76AF"/>
    <w:rsid w:val="003C780E"/>
    <w:rsid w:val="003C7C49"/>
    <w:rsid w:val="003C7ED6"/>
    <w:rsid w:val="003D000B"/>
    <w:rsid w:val="003D01CC"/>
    <w:rsid w:val="003D05D9"/>
    <w:rsid w:val="003D0892"/>
    <w:rsid w:val="003D0BBA"/>
    <w:rsid w:val="003D1495"/>
    <w:rsid w:val="003D16A1"/>
    <w:rsid w:val="003D1AC6"/>
    <w:rsid w:val="003D2A5F"/>
    <w:rsid w:val="003D2D81"/>
    <w:rsid w:val="003D32F7"/>
    <w:rsid w:val="003D3E86"/>
    <w:rsid w:val="003D44FA"/>
    <w:rsid w:val="003D450A"/>
    <w:rsid w:val="003D4A73"/>
    <w:rsid w:val="003D4D91"/>
    <w:rsid w:val="003D5389"/>
    <w:rsid w:val="003D564C"/>
    <w:rsid w:val="003D6097"/>
    <w:rsid w:val="003D6175"/>
    <w:rsid w:val="003D654B"/>
    <w:rsid w:val="003D6589"/>
    <w:rsid w:val="003D70CC"/>
    <w:rsid w:val="003E08BB"/>
    <w:rsid w:val="003E0C06"/>
    <w:rsid w:val="003E1B65"/>
    <w:rsid w:val="003E22C1"/>
    <w:rsid w:val="003E3558"/>
    <w:rsid w:val="003E37FC"/>
    <w:rsid w:val="003E4857"/>
    <w:rsid w:val="003E4A64"/>
    <w:rsid w:val="003E4D7D"/>
    <w:rsid w:val="003E4DC6"/>
    <w:rsid w:val="003E4E8E"/>
    <w:rsid w:val="003E52FD"/>
    <w:rsid w:val="003E5915"/>
    <w:rsid w:val="003E5F25"/>
    <w:rsid w:val="003E64BC"/>
    <w:rsid w:val="003E6B8E"/>
    <w:rsid w:val="003F06C5"/>
    <w:rsid w:val="003F082B"/>
    <w:rsid w:val="003F0DAD"/>
    <w:rsid w:val="003F1052"/>
    <w:rsid w:val="003F12C3"/>
    <w:rsid w:val="003F1DFE"/>
    <w:rsid w:val="003F20EE"/>
    <w:rsid w:val="003F2DD4"/>
    <w:rsid w:val="003F3043"/>
    <w:rsid w:val="003F31FB"/>
    <w:rsid w:val="003F40C8"/>
    <w:rsid w:val="003F4449"/>
    <w:rsid w:val="003F513E"/>
    <w:rsid w:val="003F583B"/>
    <w:rsid w:val="003F6433"/>
    <w:rsid w:val="003F6F5D"/>
    <w:rsid w:val="003F7692"/>
    <w:rsid w:val="003F76DC"/>
    <w:rsid w:val="003F7718"/>
    <w:rsid w:val="003F7923"/>
    <w:rsid w:val="0040013B"/>
    <w:rsid w:val="00400653"/>
    <w:rsid w:val="00400D31"/>
    <w:rsid w:val="0040108F"/>
    <w:rsid w:val="00401BA9"/>
    <w:rsid w:val="00401C8A"/>
    <w:rsid w:val="00401D51"/>
    <w:rsid w:val="00402522"/>
    <w:rsid w:val="00402B45"/>
    <w:rsid w:val="00402D4E"/>
    <w:rsid w:val="0040305A"/>
    <w:rsid w:val="004031B8"/>
    <w:rsid w:val="00403468"/>
    <w:rsid w:val="004043D1"/>
    <w:rsid w:val="00405791"/>
    <w:rsid w:val="00405928"/>
    <w:rsid w:val="00405DBB"/>
    <w:rsid w:val="00406083"/>
    <w:rsid w:val="00406460"/>
    <w:rsid w:val="00406875"/>
    <w:rsid w:val="00406C96"/>
    <w:rsid w:val="00406F02"/>
    <w:rsid w:val="004074CD"/>
    <w:rsid w:val="0040755A"/>
    <w:rsid w:val="0041019A"/>
    <w:rsid w:val="00410DF3"/>
    <w:rsid w:val="00410E3C"/>
    <w:rsid w:val="0041139D"/>
    <w:rsid w:val="004114B1"/>
    <w:rsid w:val="00411834"/>
    <w:rsid w:val="00411BEE"/>
    <w:rsid w:val="004128A3"/>
    <w:rsid w:val="00412940"/>
    <w:rsid w:val="00413256"/>
    <w:rsid w:val="00413880"/>
    <w:rsid w:val="00413ACD"/>
    <w:rsid w:val="00414081"/>
    <w:rsid w:val="0041458F"/>
    <w:rsid w:val="00415C2F"/>
    <w:rsid w:val="00415E9F"/>
    <w:rsid w:val="00416076"/>
    <w:rsid w:val="004163D7"/>
    <w:rsid w:val="0041654F"/>
    <w:rsid w:val="004168A3"/>
    <w:rsid w:val="00416D8A"/>
    <w:rsid w:val="00417233"/>
    <w:rsid w:val="00417BA2"/>
    <w:rsid w:val="00420BF9"/>
    <w:rsid w:val="00420C06"/>
    <w:rsid w:val="00420E14"/>
    <w:rsid w:val="00421E1F"/>
    <w:rsid w:val="00422077"/>
    <w:rsid w:val="00422330"/>
    <w:rsid w:val="0042343C"/>
    <w:rsid w:val="0042360A"/>
    <w:rsid w:val="004237D4"/>
    <w:rsid w:val="00423A30"/>
    <w:rsid w:val="00423DAB"/>
    <w:rsid w:val="00425018"/>
    <w:rsid w:val="00425195"/>
    <w:rsid w:val="0042573A"/>
    <w:rsid w:val="004262D2"/>
    <w:rsid w:val="00426837"/>
    <w:rsid w:val="004270FF"/>
    <w:rsid w:val="004302DF"/>
    <w:rsid w:val="00430759"/>
    <w:rsid w:val="004315C8"/>
    <w:rsid w:val="00431FBD"/>
    <w:rsid w:val="00433496"/>
    <w:rsid w:val="0043351F"/>
    <w:rsid w:val="0043359A"/>
    <w:rsid w:val="00433766"/>
    <w:rsid w:val="00434785"/>
    <w:rsid w:val="0043482A"/>
    <w:rsid w:val="0043483A"/>
    <w:rsid w:val="0043563F"/>
    <w:rsid w:val="00435742"/>
    <w:rsid w:val="004357EA"/>
    <w:rsid w:val="0043621C"/>
    <w:rsid w:val="004375D5"/>
    <w:rsid w:val="00437B84"/>
    <w:rsid w:val="0044059F"/>
    <w:rsid w:val="00440BB9"/>
    <w:rsid w:val="00441811"/>
    <w:rsid w:val="00441F98"/>
    <w:rsid w:val="004423F6"/>
    <w:rsid w:val="00442904"/>
    <w:rsid w:val="00443EE8"/>
    <w:rsid w:val="004441D2"/>
    <w:rsid w:val="00444D91"/>
    <w:rsid w:val="00445489"/>
    <w:rsid w:val="0044553D"/>
    <w:rsid w:val="00445BCF"/>
    <w:rsid w:val="0044629F"/>
    <w:rsid w:val="0044650B"/>
    <w:rsid w:val="00446D71"/>
    <w:rsid w:val="00446F3A"/>
    <w:rsid w:val="0044709C"/>
    <w:rsid w:val="004470ED"/>
    <w:rsid w:val="0044722C"/>
    <w:rsid w:val="00447993"/>
    <w:rsid w:val="0045064F"/>
    <w:rsid w:val="00450888"/>
    <w:rsid w:val="004509E1"/>
    <w:rsid w:val="00450B95"/>
    <w:rsid w:val="0045158D"/>
    <w:rsid w:val="00451E8A"/>
    <w:rsid w:val="00451EF2"/>
    <w:rsid w:val="00452028"/>
    <w:rsid w:val="0045231B"/>
    <w:rsid w:val="00452D07"/>
    <w:rsid w:val="00452EA0"/>
    <w:rsid w:val="00453429"/>
    <w:rsid w:val="004538B9"/>
    <w:rsid w:val="004538D4"/>
    <w:rsid w:val="00453AA6"/>
    <w:rsid w:val="00453AB7"/>
    <w:rsid w:val="00453DA1"/>
    <w:rsid w:val="00454B8A"/>
    <w:rsid w:val="00455362"/>
    <w:rsid w:val="004556C8"/>
    <w:rsid w:val="004557EA"/>
    <w:rsid w:val="00455BBB"/>
    <w:rsid w:val="004562E3"/>
    <w:rsid w:val="004567F8"/>
    <w:rsid w:val="00457044"/>
    <w:rsid w:val="004577B6"/>
    <w:rsid w:val="00457C65"/>
    <w:rsid w:val="00457C6A"/>
    <w:rsid w:val="00457C92"/>
    <w:rsid w:val="00460A43"/>
    <w:rsid w:val="00461ADE"/>
    <w:rsid w:val="0046238E"/>
    <w:rsid w:val="00462442"/>
    <w:rsid w:val="004626E2"/>
    <w:rsid w:val="004635EA"/>
    <w:rsid w:val="00463C52"/>
    <w:rsid w:val="0046523A"/>
    <w:rsid w:val="0046574B"/>
    <w:rsid w:val="00465A57"/>
    <w:rsid w:val="00465A5B"/>
    <w:rsid w:val="00465DCB"/>
    <w:rsid w:val="004661A6"/>
    <w:rsid w:val="004666B8"/>
    <w:rsid w:val="00466B1A"/>
    <w:rsid w:val="00466E82"/>
    <w:rsid w:val="0046706B"/>
    <w:rsid w:val="00467455"/>
    <w:rsid w:val="00470166"/>
    <w:rsid w:val="004708BF"/>
    <w:rsid w:val="00470BFB"/>
    <w:rsid w:val="0047140A"/>
    <w:rsid w:val="0047185A"/>
    <w:rsid w:val="00471880"/>
    <w:rsid w:val="00471FBB"/>
    <w:rsid w:val="00471FD2"/>
    <w:rsid w:val="00471FEE"/>
    <w:rsid w:val="00472317"/>
    <w:rsid w:val="0047256A"/>
    <w:rsid w:val="00472638"/>
    <w:rsid w:val="00472F96"/>
    <w:rsid w:val="00473071"/>
    <w:rsid w:val="00473669"/>
    <w:rsid w:val="0047453C"/>
    <w:rsid w:val="00474F87"/>
    <w:rsid w:val="004751B0"/>
    <w:rsid w:val="00475B2F"/>
    <w:rsid w:val="004760F3"/>
    <w:rsid w:val="0047676C"/>
    <w:rsid w:val="004767AB"/>
    <w:rsid w:val="004767EE"/>
    <w:rsid w:val="00476947"/>
    <w:rsid w:val="004770B1"/>
    <w:rsid w:val="00477392"/>
    <w:rsid w:val="0047746F"/>
    <w:rsid w:val="004774CF"/>
    <w:rsid w:val="004775AC"/>
    <w:rsid w:val="00477808"/>
    <w:rsid w:val="00477D7B"/>
    <w:rsid w:val="004804FF"/>
    <w:rsid w:val="00480F76"/>
    <w:rsid w:val="004814CC"/>
    <w:rsid w:val="004815D6"/>
    <w:rsid w:val="00481726"/>
    <w:rsid w:val="0048312E"/>
    <w:rsid w:val="00483D38"/>
    <w:rsid w:val="00483E58"/>
    <w:rsid w:val="00484BD1"/>
    <w:rsid w:val="00484CD3"/>
    <w:rsid w:val="00484DF0"/>
    <w:rsid w:val="00484F46"/>
    <w:rsid w:val="004864D3"/>
    <w:rsid w:val="00487078"/>
    <w:rsid w:val="00487903"/>
    <w:rsid w:val="00487F27"/>
    <w:rsid w:val="004904A6"/>
    <w:rsid w:val="004905F4"/>
    <w:rsid w:val="0049301D"/>
    <w:rsid w:val="004933E8"/>
    <w:rsid w:val="00493A46"/>
    <w:rsid w:val="00493DE8"/>
    <w:rsid w:val="00494425"/>
    <w:rsid w:val="00494B81"/>
    <w:rsid w:val="00494CB0"/>
    <w:rsid w:val="00494CEB"/>
    <w:rsid w:val="00495282"/>
    <w:rsid w:val="00495294"/>
    <w:rsid w:val="004956D8"/>
    <w:rsid w:val="00495EBA"/>
    <w:rsid w:val="00496020"/>
    <w:rsid w:val="00496387"/>
    <w:rsid w:val="004967BD"/>
    <w:rsid w:val="00496B85"/>
    <w:rsid w:val="00496EAC"/>
    <w:rsid w:val="004971DC"/>
    <w:rsid w:val="00497428"/>
    <w:rsid w:val="0049746F"/>
    <w:rsid w:val="004974AD"/>
    <w:rsid w:val="004A09C1"/>
    <w:rsid w:val="004A0C71"/>
    <w:rsid w:val="004A2014"/>
    <w:rsid w:val="004A2406"/>
    <w:rsid w:val="004A2EF0"/>
    <w:rsid w:val="004A3164"/>
    <w:rsid w:val="004A3205"/>
    <w:rsid w:val="004A3A85"/>
    <w:rsid w:val="004A4712"/>
    <w:rsid w:val="004A478A"/>
    <w:rsid w:val="004A493E"/>
    <w:rsid w:val="004A4DC3"/>
    <w:rsid w:val="004A4FAA"/>
    <w:rsid w:val="004A501A"/>
    <w:rsid w:val="004A53F1"/>
    <w:rsid w:val="004A6628"/>
    <w:rsid w:val="004A6D1B"/>
    <w:rsid w:val="004A7247"/>
    <w:rsid w:val="004A7694"/>
    <w:rsid w:val="004B0655"/>
    <w:rsid w:val="004B0B2C"/>
    <w:rsid w:val="004B2785"/>
    <w:rsid w:val="004B27C1"/>
    <w:rsid w:val="004B2BD7"/>
    <w:rsid w:val="004B2D5C"/>
    <w:rsid w:val="004B3E70"/>
    <w:rsid w:val="004B472B"/>
    <w:rsid w:val="004B49FA"/>
    <w:rsid w:val="004B57CA"/>
    <w:rsid w:val="004B5839"/>
    <w:rsid w:val="004B6D7C"/>
    <w:rsid w:val="004B7005"/>
    <w:rsid w:val="004B7D5B"/>
    <w:rsid w:val="004C02E8"/>
    <w:rsid w:val="004C1074"/>
    <w:rsid w:val="004C12DD"/>
    <w:rsid w:val="004C177B"/>
    <w:rsid w:val="004C1E0F"/>
    <w:rsid w:val="004C2030"/>
    <w:rsid w:val="004C2690"/>
    <w:rsid w:val="004C292C"/>
    <w:rsid w:val="004C475F"/>
    <w:rsid w:val="004C6089"/>
    <w:rsid w:val="004C6B96"/>
    <w:rsid w:val="004C7350"/>
    <w:rsid w:val="004C7846"/>
    <w:rsid w:val="004D0810"/>
    <w:rsid w:val="004D11CC"/>
    <w:rsid w:val="004D2242"/>
    <w:rsid w:val="004D2CFC"/>
    <w:rsid w:val="004D307B"/>
    <w:rsid w:val="004D3E6B"/>
    <w:rsid w:val="004D441C"/>
    <w:rsid w:val="004D46BB"/>
    <w:rsid w:val="004D4DD8"/>
    <w:rsid w:val="004D52CA"/>
    <w:rsid w:val="004D5838"/>
    <w:rsid w:val="004D6F01"/>
    <w:rsid w:val="004D6FC2"/>
    <w:rsid w:val="004D70D4"/>
    <w:rsid w:val="004D72E2"/>
    <w:rsid w:val="004D7B58"/>
    <w:rsid w:val="004D7B96"/>
    <w:rsid w:val="004D7FBA"/>
    <w:rsid w:val="004E01D0"/>
    <w:rsid w:val="004E0500"/>
    <w:rsid w:val="004E0B5B"/>
    <w:rsid w:val="004E0C53"/>
    <w:rsid w:val="004E108F"/>
    <w:rsid w:val="004E113C"/>
    <w:rsid w:val="004E1969"/>
    <w:rsid w:val="004E1A39"/>
    <w:rsid w:val="004E21DF"/>
    <w:rsid w:val="004E291B"/>
    <w:rsid w:val="004E2E24"/>
    <w:rsid w:val="004E2EB0"/>
    <w:rsid w:val="004E2FDB"/>
    <w:rsid w:val="004E3D79"/>
    <w:rsid w:val="004E3FEB"/>
    <w:rsid w:val="004E47B9"/>
    <w:rsid w:val="004E55A8"/>
    <w:rsid w:val="004E55D1"/>
    <w:rsid w:val="004E5BDC"/>
    <w:rsid w:val="004E6880"/>
    <w:rsid w:val="004E6EAD"/>
    <w:rsid w:val="004E7333"/>
    <w:rsid w:val="004E7878"/>
    <w:rsid w:val="004F0479"/>
    <w:rsid w:val="004F1514"/>
    <w:rsid w:val="004F1795"/>
    <w:rsid w:val="004F1ACF"/>
    <w:rsid w:val="004F1FE6"/>
    <w:rsid w:val="004F23D4"/>
    <w:rsid w:val="004F272A"/>
    <w:rsid w:val="004F2AFB"/>
    <w:rsid w:val="004F3702"/>
    <w:rsid w:val="004F4573"/>
    <w:rsid w:val="004F4701"/>
    <w:rsid w:val="004F4B4B"/>
    <w:rsid w:val="004F4D1A"/>
    <w:rsid w:val="004F54F8"/>
    <w:rsid w:val="004F666F"/>
    <w:rsid w:val="004F6936"/>
    <w:rsid w:val="004F70B4"/>
    <w:rsid w:val="004F71C7"/>
    <w:rsid w:val="004F72F4"/>
    <w:rsid w:val="004F7D5B"/>
    <w:rsid w:val="004F7FD3"/>
    <w:rsid w:val="005005EB"/>
    <w:rsid w:val="00500799"/>
    <w:rsid w:val="00500831"/>
    <w:rsid w:val="0050197B"/>
    <w:rsid w:val="00502B1D"/>
    <w:rsid w:val="00502B71"/>
    <w:rsid w:val="005033F9"/>
    <w:rsid w:val="00503469"/>
    <w:rsid w:val="0050655C"/>
    <w:rsid w:val="00506FE5"/>
    <w:rsid w:val="0050727B"/>
    <w:rsid w:val="00507BAC"/>
    <w:rsid w:val="00507BCC"/>
    <w:rsid w:val="00507C78"/>
    <w:rsid w:val="0051036A"/>
    <w:rsid w:val="00510459"/>
    <w:rsid w:val="005104FC"/>
    <w:rsid w:val="00510BCF"/>
    <w:rsid w:val="005117D8"/>
    <w:rsid w:val="005123FD"/>
    <w:rsid w:val="005139F1"/>
    <w:rsid w:val="00513F5C"/>
    <w:rsid w:val="00515D55"/>
    <w:rsid w:val="005177B7"/>
    <w:rsid w:val="005178CE"/>
    <w:rsid w:val="0052033D"/>
    <w:rsid w:val="00520EC8"/>
    <w:rsid w:val="0052101E"/>
    <w:rsid w:val="00521946"/>
    <w:rsid w:val="0052270E"/>
    <w:rsid w:val="00522EC8"/>
    <w:rsid w:val="00522EE6"/>
    <w:rsid w:val="005235EC"/>
    <w:rsid w:val="0052365C"/>
    <w:rsid w:val="0052391E"/>
    <w:rsid w:val="00523C5A"/>
    <w:rsid w:val="005243A5"/>
    <w:rsid w:val="0052462C"/>
    <w:rsid w:val="00525038"/>
    <w:rsid w:val="005250C3"/>
    <w:rsid w:val="00525156"/>
    <w:rsid w:val="0052539C"/>
    <w:rsid w:val="00525C64"/>
    <w:rsid w:val="0052612C"/>
    <w:rsid w:val="005267B4"/>
    <w:rsid w:val="005267E7"/>
    <w:rsid w:val="00527152"/>
    <w:rsid w:val="005276E9"/>
    <w:rsid w:val="00530147"/>
    <w:rsid w:val="005302F1"/>
    <w:rsid w:val="00530365"/>
    <w:rsid w:val="00530969"/>
    <w:rsid w:val="00531895"/>
    <w:rsid w:val="00531AB4"/>
    <w:rsid w:val="00532267"/>
    <w:rsid w:val="0053246A"/>
    <w:rsid w:val="005326FD"/>
    <w:rsid w:val="00532ABD"/>
    <w:rsid w:val="00533209"/>
    <w:rsid w:val="005334BA"/>
    <w:rsid w:val="00533D21"/>
    <w:rsid w:val="00534560"/>
    <w:rsid w:val="00534BFD"/>
    <w:rsid w:val="00534D0E"/>
    <w:rsid w:val="0053557C"/>
    <w:rsid w:val="00535867"/>
    <w:rsid w:val="00536577"/>
    <w:rsid w:val="00536E72"/>
    <w:rsid w:val="00536E83"/>
    <w:rsid w:val="005375CD"/>
    <w:rsid w:val="005375F7"/>
    <w:rsid w:val="005377E2"/>
    <w:rsid w:val="00537C5B"/>
    <w:rsid w:val="00540F3C"/>
    <w:rsid w:val="00540FF0"/>
    <w:rsid w:val="005413C5"/>
    <w:rsid w:val="00541904"/>
    <w:rsid w:val="005419E5"/>
    <w:rsid w:val="005426AC"/>
    <w:rsid w:val="00542AAA"/>
    <w:rsid w:val="0054300D"/>
    <w:rsid w:val="005438EB"/>
    <w:rsid w:val="00543BC1"/>
    <w:rsid w:val="00543FF7"/>
    <w:rsid w:val="00544674"/>
    <w:rsid w:val="0054513A"/>
    <w:rsid w:val="0054524D"/>
    <w:rsid w:val="0054695C"/>
    <w:rsid w:val="00546C58"/>
    <w:rsid w:val="00547112"/>
    <w:rsid w:val="0054727A"/>
    <w:rsid w:val="0054785D"/>
    <w:rsid w:val="00547A43"/>
    <w:rsid w:val="00550349"/>
    <w:rsid w:val="00550AC3"/>
    <w:rsid w:val="005519E5"/>
    <w:rsid w:val="00552673"/>
    <w:rsid w:val="00552C62"/>
    <w:rsid w:val="0055306B"/>
    <w:rsid w:val="005532DB"/>
    <w:rsid w:val="005538BF"/>
    <w:rsid w:val="00553A24"/>
    <w:rsid w:val="00554BFA"/>
    <w:rsid w:val="00554C72"/>
    <w:rsid w:val="005553D9"/>
    <w:rsid w:val="00555AD8"/>
    <w:rsid w:val="0055608C"/>
    <w:rsid w:val="00556A42"/>
    <w:rsid w:val="00556A55"/>
    <w:rsid w:val="00557102"/>
    <w:rsid w:val="00557802"/>
    <w:rsid w:val="00557C92"/>
    <w:rsid w:val="005607A9"/>
    <w:rsid w:val="00561013"/>
    <w:rsid w:val="005627AF"/>
    <w:rsid w:val="00562FA4"/>
    <w:rsid w:val="005630D1"/>
    <w:rsid w:val="005631E1"/>
    <w:rsid w:val="00563435"/>
    <w:rsid w:val="005638CB"/>
    <w:rsid w:val="0056419E"/>
    <w:rsid w:val="00564F3D"/>
    <w:rsid w:val="00565ECB"/>
    <w:rsid w:val="00565F15"/>
    <w:rsid w:val="00566270"/>
    <w:rsid w:val="005662A1"/>
    <w:rsid w:val="00566893"/>
    <w:rsid w:val="00566C8C"/>
    <w:rsid w:val="005677DB"/>
    <w:rsid w:val="00567F7D"/>
    <w:rsid w:val="00570A0B"/>
    <w:rsid w:val="00570DEE"/>
    <w:rsid w:val="00570F84"/>
    <w:rsid w:val="0057115C"/>
    <w:rsid w:val="005712E0"/>
    <w:rsid w:val="00572058"/>
    <w:rsid w:val="00572654"/>
    <w:rsid w:val="00573236"/>
    <w:rsid w:val="005736AE"/>
    <w:rsid w:val="00573BBB"/>
    <w:rsid w:val="00573C68"/>
    <w:rsid w:val="00573ECD"/>
    <w:rsid w:val="00574108"/>
    <w:rsid w:val="005743B4"/>
    <w:rsid w:val="00574705"/>
    <w:rsid w:val="00575138"/>
    <w:rsid w:val="005763C7"/>
    <w:rsid w:val="005763D1"/>
    <w:rsid w:val="005766D4"/>
    <w:rsid w:val="00576875"/>
    <w:rsid w:val="00576FC6"/>
    <w:rsid w:val="00577585"/>
    <w:rsid w:val="00577ED2"/>
    <w:rsid w:val="0058001C"/>
    <w:rsid w:val="005816BE"/>
    <w:rsid w:val="00581A0F"/>
    <w:rsid w:val="00581F1B"/>
    <w:rsid w:val="0058201F"/>
    <w:rsid w:val="00582AD7"/>
    <w:rsid w:val="0058350F"/>
    <w:rsid w:val="005838C8"/>
    <w:rsid w:val="00584209"/>
    <w:rsid w:val="00586BF2"/>
    <w:rsid w:val="0058709F"/>
    <w:rsid w:val="00587D3E"/>
    <w:rsid w:val="00587E65"/>
    <w:rsid w:val="0059011D"/>
    <w:rsid w:val="005905B7"/>
    <w:rsid w:val="00590878"/>
    <w:rsid w:val="00590D7E"/>
    <w:rsid w:val="00590F16"/>
    <w:rsid w:val="00590FDF"/>
    <w:rsid w:val="00591569"/>
    <w:rsid w:val="005915A2"/>
    <w:rsid w:val="0059247E"/>
    <w:rsid w:val="005935F6"/>
    <w:rsid w:val="0059379C"/>
    <w:rsid w:val="00594B35"/>
    <w:rsid w:val="005950D0"/>
    <w:rsid w:val="0059649D"/>
    <w:rsid w:val="005965E4"/>
    <w:rsid w:val="00596E87"/>
    <w:rsid w:val="00597BA5"/>
    <w:rsid w:val="00597D4D"/>
    <w:rsid w:val="005A059C"/>
    <w:rsid w:val="005A0A23"/>
    <w:rsid w:val="005A1063"/>
    <w:rsid w:val="005A196C"/>
    <w:rsid w:val="005A1DAA"/>
    <w:rsid w:val="005A1DFF"/>
    <w:rsid w:val="005A1F10"/>
    <w:rsid w:val="005A2191"/>
    <w:rsid w:val="005A26AC"/>
    <w:rsid w:val="005A283D"/>
    <w:rsid w:val="005A3449"/>
    <w:rsid w:val="005A42CE"/>
    <w:rsid w:val="005A4868"/>
    <w:rsid w:val="005A4FCF"/>
    <w:rsid w:val="005A55C1"/>
    <w:rsid w:val="005A5B84"/>
    <w:rsid w:val="005A5E50"/>
    <w:rsid w:val="005A63C6"/>
    <w:rsid w:val="005A668D"/>
    <w:rsid w:val="005A6E44"/>
    <w:rsid w:val="005A6E96"/>
    <w:rsid w:val="005A765C"/>
    <w:rsid w:val="005B0CA8"/>
    <w:rsid w:val="005B10BB"/>
    <w:rsid w:val="005B1CF3"/>
    <w:rsid w:val="005B1D3C"/>
    <w:rsid w:val="005B1D6F"/>
    <w:rsid w:val="005B1EF6"/>
    <w:rsid w:val="005B2C06"/>
    <w:rsid w:val="005B2DE8"/>
    <w:rsid w:val="005B3099"/>
    <w:rsid w:val="005B3494"/>
    <w:rsid w:val="005B486F"/>
    <w:rsid w:val="005B4CDF"/>
    <w:rsid w:val="005B523F"/>
    <w:rsid w:val="005B53B5"/>
    <w:rsid w:val="005B60FE"/>
    <w:rsid w:val="005B640E"/>
    <w:rsid w:val="005B6596"/>
    <w:rsid w:val="005B6B5E"/>
    <w:rsid w:val="005B6EC1"/>
    <w:rsid w:val="005B7175"/>
    <w:rsid w:val="005B77C2"/>
    <w:rsid w:val="005B7E4C"/>
    <w:rsid w:val="005C00E1"/>
    <w:rsid w:val="005C0249"/>
    <w:rsid w:val="005C0309"/>
    <w:rsid w:val="005C039E"/>
    <w:rsid w:val="005C0574"/>
    <w:rsid w:val="005C0BA0"/>
    <w:rsid w:val="005C0C8A"/>
    <w:rsid w:val="005C0E9D"/>
    <w:rsid w:val="005C17FB"/>
    <w:rsid w:val="005C19AF"/>
    <w:rsid w:val="005C20E2"/>
    <w:rsid w:val="005C21E6"/>
    <w:rsid w:val="005C2B7D"/>
    <w:rsid w:val="005C2DAD"/>
    <w:rsid w:val="005C37B8"/>
    <w:rsid w:val="005C3E0E"/>
    <w:rsid w:val="005C4129"/>
    <w:rsid w:val="005C430E"/>
    <w:rsid w:val="005C47B1"/>
    <w:rsid w:val="005C627D"/>
    <w:rsid w:val="005C633C"/>
    <w:rsid w:val="005C6827"/>
    <w:rsid w:val="005C78B0"/>
    <w:rsid w:val="005C79BA"/>
    <w:rsid w:val="005C7D28"/>
    <w:rsid w:val="005C7E8A"/>
    <w:rsid w:val="005C7EF8"/>
    <w:rsid w:val="005D00D8"/>
    <w:rsid w:val="005D0B35"/>
    <w:rsid w:val="005D0D18"/>
    <w:rsid w:val="005D13E5"/>
    <w:rsid w:val="005D1466"/>
    <w:rsid w:val="005D18C7"/>
    <w:rsid w:val="005D1DC0"/>
    <w:rsid w:val="005D20C8"/>
    <w:rsid w:val="005D23C7"/>
    <w:rsid w:val="005D29E0"/>
    <w:rsid w:val="005D2AF1"/>
    <w:rsid w:val="005D380E"/>
    <w:rsid w:val="005D3958"/>
    <w:rsid w:val="005D3D50"/>
    <w:rsid w:val="005D4672"/>
    <w:rsid w:val="005D4CAF"/>
    <w:rsid w:val="005D4D6A"/>
    <w:rsid w:val="005D4E53"/>
    <w:rsid w:val="005D5462"/>
    <w:rsid w:val="005D5B35"/>
    <w:rsid w:val="005D5F0D"/>
    <w:rsid w:val="005D60B4"/>
    <w:rsid w:val="005D7025"/>
    <w:rsid w:val="005D7D95"/>
    <w:rsid w:val="005D7E66"/>
    <w:rsid w:val="005E00CA"/>
    <w:rsid w:val="005E048D"/>
    <w:rsid w:val="005E0529"/>
    <w:rsid w:val="005E0B5D"/>
    <w:rsid w:val="005E1D6D"/>
    <w:rsid w:val="005E1EE4"/>
    <w:rsid w:val="005E2DD2"/>
    <w:rsid w:val="005E328B"/>
    <w:rsid w:val="005E36EC"/>
    <w:rsid w:val="005E3932"/>
    <w:rsid w:val="005E3A6D"/>
    <w:rsid w:val="005E3B5D"/>
    <w:rsid w:val="005E3E2B"/>
    <w:rsid w:val="005E42A8"/>
    <w:rsid w:val="005E454F"/>
    <w:rsid w:val="005E4A2E"/>
    <w:rsid w:val="005E52AB"/>
    <w:rsid w:val="005E6CD9"/>
    <w:rsid w:val="005E7F26"/>
    <w:rsid w:val="005F02AA"/>
    <w:rsid w:val="005F0B12"/>
    <w:rsid w:val="005F0BFB"/>
    <w:rsid w:val="005F0F9B"/>
    <w:rsid w:val="005F11CE"/>
    <w:rsid w:val="005F13BA"/>
    <w:rsid w:val="005F1932"/>
    <w:rsid w:val="005F1937"/>
    <w:rsid w:val="005F1A77"/>
    <w:rsid w:val="005F1ACD"/>
    <w:rsid w:val="005F1E61"/>
    <w:rsid w:val="005F1ED2"/>
    <w:rsid w:val="005F1EDD"/>
    <w:rsid w:val="005F21E8"/>
    <w:rsid w:val="005F2BBF"/>
    <w:rsid w:val="005F2CED"/>
    <w:rsid w:val="005F2DB9"/>
    <w:rsid w:val="005F3F5D"/>
    <w:rsid w:val="005F40B4"/>
    <w:rsid w:val="005F4F8F"/>
    <w:rsid w:val="005F56CB"/>
    <w:rsid w:val="005F5B20"/>
    <w:rsid w:val="005F610A"/>
    <w:rsid w:val="005F61E3"/>
    <w:rsid w:val="005F6B70"/>
    <w:rsid w:val="005F7CCB"/>
    <w:rsid w:val="00600B43"/>
    <w:rsid w:val="00600D9B"/>
    <w:rsid w:val="00601803"/>
    <w:rsid w:val="00601B7B"/>
    <w:rsid w:val="00602F61"/>
    <w:rsid w:val="0060308D"/>
    <w:rsid w:val="006031C0"/>
    <w:rsid w:val="006036AB"/>
    <w:rsid w:val="00603C36"/>
    <w:rsid w:val="006043CF"/>
    <w:rsid w:val="00604F2A"/>
    <w:rsid w:val="00605919"/>
    <w:rsid w:val="00605DCC"/>
    <w:rsid w:val="00606899"/>
    <w:rsid w:val="00606D02"/>
    <w:rsid w:val="00607860"/>
    <w:rsid w:val="006079B1"/>
    <w:rsid w:val="00610057"/>
    <w:rsid w:val="00610174"/>
    <w:rsid w:val="006101A8"/>
    <w:rsid w:val="00610968"/>
    <w:rsid w:val="00611418"/>
    <w:rsid w:val="00611487"/>
    <w:rsid w:val="00611822"/>
    <w:rsid w:val="00611857"/>
    <w:rsid w:val="006118A0"/>
    <w:rsid w:val="00612301"/>
    <w:rsid w:val="00613218"/>
    <w:rsid w:val="006141C0"/>
    <w:rsid w:val="00614C61"/>
    <w:rsid w:val="006151A2"/>
    <w:rsid w:val="0061573C"/>
    <w:rsid w:val="00615F22"/>
    <w:rsid w:val="0061604E"/>
    <w:rsid w:val="006160A8"/>
    <w:rsid w:val="00616B59"/>
    <w:rsid w:val="00616CF0"/>
    <w:rsid w:val="00617F47"/>
    <w:rsid w:val="00617F8E"/>
    <w:rsid w:val="00620385"/>
    <w:rsid w:val="006216D9"/>
    <w:rsid w:val="00622490"/>
    <w:rsid w:val="00622946"/>
    <w:rsid w:val="00622BD2"/>
    <w:rsid w:val="00622CDE"/>
    <w:rsid w:val="006231B5"/>
    <w:rsid w:val="006233D1"/>
    <w:rsid w:val="00624184"/>
    <w:rsid w:val="00624728"/>
    <w:rsid w:val="006247FA"/>
    <w:rsid w:val="006248B6"/>
    <w:rsid w:val="00624D5D"/>
    <w:rsid w:val="00624EE4"/>
    <w:rsid w:val="006252C8"/>
    <w:rsid w:val="0062534E"/>
    <w:rsid w:val="0062580C"/>
    <w:rsid w:val="00626AB3"/>
    <w:rsid w:val="00627486"/>
    <w:rsid w:val="0063077D"/>
    <w:rsid w:val="00630D5F"/>
    <w:rsid w:val="006311B8"/>
    <w:rsid w:val="00631348"/>
    <w:rsid w:val="006316A5"/>
    <w:rsid w:val="006321CC"/>
    <w:rsid w:val="006326FB"/>
    <w:rsid w:val="006335C7"/>
    <w:rsid w:val="00633B5E"/>
    <w:rsid w:val="00633BA7"/>
    <w:rsid w:val="00634C23"/>
    <w:rsid w:val="006357DA"/>
    <w:rsid w:val="00635C63"/>
    <w:rsid w:val="00635CA9"/>
    <w:rsid w:val="006365A3"/>
    <w:rsid w:val="006368DA"/>
    <w:rsid w:val="00636A08"/>
    <w:rsid w:val="00636AF0"/>
    <w:rsid w:val="006370A5"/>
    <w:rsid w:val="0063743B"/>
    <w:rsid w:val="006378AC"/>
    <w:rsid w:val="00640118"/>
    <w:rsid w:val="006405E9"/>
    <w:rsid w:val="00640C25"/>
    <w:rsid w:val="00640D1D"/>
    <w:rsid w:val="00640F98"/>
    <w:rsid w:val="00642B53"/>
    <w:rsid w:val="00642C9A"/>
    <w:rsid w:val="006444C9"/>
    <w:rsid w:val="00644574"/>
    <w:rsid w:val="00644C42"/>
    <w:rsid w:val="006452BB"/>
    <w:rsid w:val="00645642"/>
    <w:rsid w:val="0064567B"/>
    <w:rsid w:val="00647799"/>
    <w:rsid w:val="00647972"/>
    <w:rsid w:val="00647BEE"/>
    <w:rsid w:val="00647D7C"/>
    <w:rsid w:val="00650073"/>
    <w:rsid w:val="00650515"/>
    <w:rsid w:val="00650A64"/>
    <w:rsid w:val="0065185F"/>
    <w:rsid w:val="006519C5"/>
    <w:rsid w:val="00651AEC"/>
    <w:rsid w:val="00652050"/>
    <w:rsid w:val="00652524"/>
    <w:rsid w:val="00652B6A"/>
    <w:rsid w:val="0065311F"/>
    <w:rsid w:val="00653484"/>
    <w:rsid w:val="0065408C"/>
    <w:rsid w:val="00654EDD"/>
    <w:rsid w:val="006556A5"/>
    <w:rsid w:val="00655D0B"/>
    <w:rsid w:val="00655F6C"/>
    <w:rsid w:val="0065639F"/>
    <w:rsid w:val="00656B00"/>
    <w:rsid w:val="00656FCF"/>
    <w:rsid w:val="00657196"/>
    <w:rsid w:val="0065786D"/>
    <w:rsid w:val="00657907"/>
    <w:rsid w:val="0065792C"/>
    <w:rsid w:val="00657A8A"/>
    <w:rsid w:val="00657C10"/>
    <w:rsid w:val="006608C4"/>
    <w:rsid w:val="00661304"/>
    <w:rsid w:val="00661328"/>
    <w:rsid w:val="00661D65"/>
    <w:rsid w:val="00662349"/>
    <w:rsid w:val="00662389"/>
    <w:rsid w:val="00662838"/>
    <w:rsid w:val="006630FE"/>
    <w:rsid w:val="00663267"/>
    <w:rsid w:val="006648F9"/>
    <w:rsid w:val="00664AA6"/>
    <w:rsid w:val="006662FA"/>
    <w:rsid w:val="00667ACC"/>
    <w:rsid w:val="00667E71"/>
    <w:rsid w:val="00670196"/>
    <w:rsid w:val="0067124A"/>
    <w:rsid w:val="00671A13"/>
    <w:rsid w:val="00671DAE"/>
    <w:rsid w:val="00672B66"/>
    <w:rsid w:val="006734FE"/>
    <w:rsid w:val="00674291"/>
    <w:rsid w:val="00674532"/>
    <w:rsid w:val="00674A5B"/>
    <w:rsid w:val="0067553D"/>
    <w:rsid w:val="00675788"/>
    <w:rsid w:val="00675826"/>
    <w:rsid w:val="006758D0"/>
    <w:rsid w:val="00675BE0"/>
    <w:rsid w:val="00675EF1"/>
    <w:rsid w:val="0067624B"/>
    <w:rsid w:val="00676C30"/>
    <w:rsid w:val="00676D03"/>
    <w:rsid w:val="00676FC6"/>
    <w:rsid w:val="0067750A"/>
    <w:rsid w:val="00677D34"/>
    <w:rsid w:val="00677D72"/>
    <w:rsid w:val="00677F79"/>
    <w:rsid w:val="0068000D"/>
    <w:rsid w:val="0068042B"/>
    <w:rsid w:val="00680603"/>
    <w:rsid w:val="0068077F"/>
    <w:rsid w:val="00680FE4"/>
    <w:rsid w:val="00681B21"/>
    <w:rsid w:val="00681D7E"/>
    <w:rsid w:val="00681E4C"/>
    <w:rsid w:val="00681EE5"/>
    <w:rsid w:val="006826AA"/>
    <w:rsid w:val="00683CE9"/>
    <w:rsid w:val="00684036"/>
    <w:rsid w:val="00684C78"/>
    <w:rsid w:val="00684D71"/>
    <w:rsid w:val="00684ECE"/>
    <w:rsid w:val="00685001"/>
    <w:rsid w:val="006851E3"/>
    <w:rsid w:val="006854BB"/>
    <w:rsid w:val="0068612E"/>
    <w:rsid w:val="0068724C"/>
    <w:rsid w:val="006874D4"/>
    <w:rsid w:val="00687910"/>
    <w:rsid w:val="006879AB"/>
    <w:rsid w:val="00687EA6"/>
    <w:rsid w:val="00690993"/>
    <w:rsid w:val="006909C9"/>
    <w:rsid w:val="00690E0B"/>
    <w:rsid w:val="00691412"/>
    <w:rsid w:val="0069193B"/>
    <w:rsid w:val="00691BA2"/>
    <w:rsid w:val="00692778"/>
    <w:rsid w:val="00693AEC"/>
    <w:rsid w:val="00693DC6"/>
    <w:rsid w:val="00693E6C"/>
    <w:rsid w:val="00694078"/>
    <w:rsid w:val="00694593"/>
    <w:rsid w:val="00694E1A"/>
    <w:rsid w:val="006967AB"/>
    <w:rsid w:val="00696CEF"/>
    <w:rsid w:val="0069702A"/>
    <w:rsid w:val="00697059"/>
    <w:rsid w:val="006972E9"/>
    <w:rsid w:val="006A020A"/>
    <w:rsid w:val="006A0299"/>
    <w:rsid w:val="006A043E"/>
    <w:rsid w:val="006A060A"/>
    <w:rsid w:val="006A070D"/>
    <w:rsid w:val="006A0CDC"/>
    <w:rsid w:val="006A0DF6"/>
    <w:rsid w:val="006A135C"/>
    <w:rsid w:val="006A14E2"/>
    <w:rsid w:val="006A1601"/>
    <w:rsid w:val="006A185F"/>
    <w:rsid w:val="006A1884"/>
    <w:rsid w:val="006A21AE"/>
    <w:rsid w:val="006A2E7C"/>
    <w:rsid w:val="006A3550"/>
    <w:rsid w:val="006A3F0B"/>
    <w:rsid w:val="006A4D34"/>
    <w:rsid w:val="006A4E82"/>
    <w:rsid w:val="006A5417"/>
    <w:rsid w:val="006A5B4F"/>
    <w:rsid w:val="006A5CC1"/>
    <w:rsid w:val="006A6349"/>
    <w:rsid w:val="006A6716"/>
    <w:rsid w:val="006A6D75"/>
    <w:rsid w:val="006A7571"/>
    <w:rsid w:val="006B0813"/>
    <w:rsid w:val="006B0F9A"/>
    <w:rsid w:val="006B159B"/>
    <w:rsid w:val="006B1F61"/>
    <w:rsid w:val="006B2178"/>
    <w:rsid w:val="006B2B97"/>
    <w:rsid w:val="006B38CC"/>
    <w:rsid w:val="006B4567"/>
    <w:rsid w:val="006B4E1B"/>
    <w:rsid w:val="006B543E"/>
    <w:rsid w:val="006B609F"/>
    <w:rsid w:val="006B60A7"/>
    <w:rsid w:val="006B655C"/>
    <w:rsid w:val="006B6895"/>
    <w:rsid w:val="006B752E"/>
    <w:rsid w:val="006B76BA"/>
    <w:rsid w:val="006C093F"/>
    <w:rsid w:val="006C0FA1"/>
    <w:rsid w:val="006C1B82"/>
    <w:rsid w:val="006C211D"/>
    <w:rsid w:val="006C2421"/>
    <w:rsid w:val="006C242C"/>
    <w:rsid w:val="006C3335"/>
    <w:rsid w:val="006C3538"/>
    <w:rsid w:val="006C3822"/>
    <w:rsid w:val="006C3C83"/>
    <w:rsid w:val="006C3D2C"/>
    <w:rsid w:val="006C4174"/>
    <w:rsid w:val="006C4604"/>
    <w:rsid w:val="006C485E"/>
    <w:rsid w:val="006C4E2B"/>
    <w:rsid w:val="006C53CF"/>
    <w:rsid w:val="006C660A"/>
    <w:rsid w:val="006C69A4"/>
    <w:rsid w:val="006C6B2C"/>
    <w:rsid w:val="006C6B7E"/>
    <w:rsid w:val="006C7E6F"/>
    <w:rsid w:val="006D0385"/>
    <w:rsid w:val="006D06E6"/>
    <w:rsid w:val="006D0B00"/>
    <w:rsid w:val="006D0B2D"/>
    <w:rsid w:val="006D1504"/>
    <w:rsid w:val="006D1E77"/>
    <w:rsid w:val="006D25A7"/>
    <w:rsid w:val="006D267B"/>
    <w:rsid w:val="006D2B69"/>
    <w:rsid w:val="006D376A"/>
    <w:rsid w:val="006D46F6"/>
    <w:rsid w:val="006D5687"/>
    <w:rsid w:val="006D5A24"/>
    <w:rsid w:val="006D64F4"/>
    <w:rsid w:val="006D7028"/>
    <w:rsid w:val="006D70DF"/>
    <w:rsid w:val="006D78FB"/>
    <w:rsid w:val="006D7914"/>
    <w:rsid w:val="006E021E"/>
    <w:rsid w:val="006E1237"/>
    <w:rsid w:val="006E12F1"/>
    <w:rsid w:val="006E1783"/>
    <w:rsid w:val="006E27E6"/>
    <w:rsid w:val="006E2CE3"/>
    <w:rsid w:val="006E3BAD"/>
    <w:rsid w:val="006E3FA3"/>
    <w:rsid w:val="006E45FA"/>
    <w:rsid w:val="006E4BEF"/>
    <w:rsid w:val="006E4D9E"/>
    <w:rsid w:val="006E54EE"/>
    <w:rsid w:val="006E5DA0"/>
    <w:rsid w:val="006E5E29"/>
    <w:rsid w:val="006E5F5C"/>
    <w:rsid w:val="006E60D7"/>
    <w:rsid w:val="006E69A2"/>
    <w:rsid w:val="006E71AA"/>
    <w:rsid w:val="006F08DE"/>
    <w:rsid w:val="006F1230"/>
    <w:rsid w:val="006F1BEC"/>
    <w:rsid w:val="006F1D41"/>
    <w:rsid w:val="006F1FC5"/>
    <w:rsid w:val="006F2228"/>
    <w:rsid w:val="006F23EE"/>
    <w:rsid w:val="006F26F5"/>
    <w:rsid w:val="006F2C8A"/>
    <w:rsid w:val="006F2DD0"/>
    <w:rsid w:val="006F343A"/>
    <w:rsid w:val="006F362B"/>
    <w:rsid w:val="006F3C98"/>
    <w:rsid w:val="006F4371"/>
    <w:rsid w:val="006F48B4"/>
    <w:rsid w:val="006F4DA9"/>
    <w:rsid w:val="006F4DE2"/>
    <w:rsid w:val="006F4DF7"/>
    <w:rsid w:val="006F6C75"/>
    <w:rsid w:val="006F6DA9"/>
    <w:rsid w:val="006F6E61"/>
    <w:rsid w:val="006F74A2"/>
    <w:rsid w:val="007003B1"/>
    <w:rsid w:val="00700806"/>
    <w:rsid w:val="00700823"/>
    <w:rsid w:val="00700AB2"/>
    <w:rsid w:val="00700E28"/>
    <w:rsid w:val="00701D4A"/>
    <w:rsid w:val="00701ECF"/>
    <w:rsid w:val="007021F9"/>
    <w:rsid w:val="0070293B"/>
    <w:rsid w:val="007029A2"/>
    <w:rsid w:val="00702A73"/>
    <w:rsid w:val="00703082"/>
    <w:rsid w:val="007037DD"/>
    <w:rsid w:val="00703BAE"/>
    <w:rsid w:val="00703D2E"/>
    <w:rsid w:val="00703D5F"/>
    <w:rsid w:val="0070474B"/>
    <w:rsid w:val="00704E77"/>
    <w:rsid w:val="00704EB2"/>
    <w:rsid w:val="0070573A"/>
    <w:rsid w:val="00706649"/>
    <w:rsid w:val="0070669B"/>
    <w:rsid w:val="0070674B"/>
    <w:rsid w:val="00706D6F"/>
    <w:rsid w:val="00706DA8"/>
    <w:rsid w:val="0070743D"/>
    <w:rsid w:val="00707642"/>
    <w:rsid w:val="00707A72"/>
    <w:rsid w:val="00710398"/>
    <w:rsid w:val="00710594"/>
    <w:rsid w:val="007107A3"/>
    <w:rsid w:val="0071090B"/>
    <w:rsid w:val="00710D8A"/>
    <w:rsid w:val="00710DF3"/>
    <w:rsid w:val="0071111D"/>
    <w:rsid w:val="007119DA"/>
    <w:rsid w:val="007119E8"/>
    <w:rsid w:val="00712BD9"/>
    <w:rsid w:val="00713D69"/>
    <w:rsid w:val="00713DF6"/>
    <w:rsid w:val="00714653"/>
    <w:rsid w:val="00715021"/>
    <w:rsid w:val="00715341"/>
    <w:rsid w:val="0071538D"/>
    <w:rsid w:val="00715E50"/>
    <w:rsid w:val="00715F4C"/>
    <w:rsid w:val="00716D9A"/>
    <w:rsid w:val="00717488"/>
    <w:rsid w:val="00717A94"/>
    <w:rsid w:val="00720782"/>
    <w:rsid w:val="00720B25"/>
    <w:rsid w:val="007211B2"/>
    <w:rsid w:val="00721950"/>
    <w:rsid w:val="00721E26"/>
    <w:rsid w:val="00721F4D"/>
    <w:rsid w:val="00722BD9"/>
    <w:rsid w:val="00723325"/>
    <w:rsid w:val="007239D0"/>
    <w:rsid w:val="00723A3C"/>
    <w:rsid w:val="007243B0"/>
    <w:rsid w:val="0072457B"/>
    <w:rsid w:val="00724B41"/>
    <w:rsid w:val="00724B9D"/>
    <w:rsid w:val="0072556E"/>
    <w:rsid w:val="00726AA4"/>
    <w:rsid w:val="00726E66"/>
    <w:rsid w:val="00727A5A"/>
    <w:rsid w:val="007304E2"/>
    <w:rsid w:val="0073061B"/>
    <w:rsid w:val="0073075B"/>
    <w:rsid w:val="00730D66"/>
    <w:rsid w:val="0073108E"/>
    <w:rsid w:val="00731274"/>
    <w:rsid w:val="00731B5E"/>
    <w:rsid w:val="007326FB"/>
    <w:rsid w:val="007332C4"/>
    <w:rsid w:val="007339C7"/>
    <w:rsid w:val="00734155"/>
    <w:rsid w:val="00734367"/>
    <w:rsid w:val="0073532B"/>
    <w:rsid w:val="0073559D"/>
    <w:rsid w:val="007356D6"/>
    <w:rsid w:val="00735B03"/>
    <w:rsid w:val="00736008"/>
    <w:rsid w:val="00736C66"/>
    <w:rsid w:val="00736CBB"/>
    <w:rsid w:val="0073707A"/>
    <w:rsid w:val="007378CC"/>
    <w:rsid w:val="0074026E"/>
    <w:rsid w:val="0074040C"/>
    <w:rsid w:val="007408BF"/>
    <w:rsid w:val="00741E30"/>
    <w:rsid w:val="00742080"/>
    <w:rsid w:val="00742C81"/>
    <w:rsid w:val="00743155"/>
    <w:rsid w:val="007433AF"/>
    <w:rsid w:val="00743731"/>
    <w:rsid w:val="007437A3"/>
    <w:rsid w:val="00743F8A"/>
    <w:rsid w:val="007450EB"/>
    <w:rsid w:val="007453B8"/>
    <w:rsid w:val="00745642"/>
    <w:rsid w:val="00745725"/>
    <w:rsid w:val="00746056"/>
    <w:rsid w:val="0075056C"/>
    <w:rsid w:val="007516FA"/>
    <w:rsid w:val="00751F48"/>
    <w:rsid w:val="0075285A"/>
    <w:rsid w:val="0075523A"/>
    <w:rsid w:val="00755977"/>
    <w:rsid w:val="007563B8"/>
    <w:rsid w:val="00756881"/>
    <w:rsid w:val="00756BFC"/>
    <w:rsid w:val="00756D80"/>
    <w:rsid w:val="00756DE9"/>
    <w:rsid w:val="0075779E"/>
    <w:rsid w:val="00757BA7"/>
    <w:rsid w:val="00760984"/>
    <w:rsid w:val="00760D22"/>
    <w:rsid w:val="007615FF"/>
    <w:rsid w:val="0076179F"/>
    <w:rsid w:val="00761AC3"/>
    <w:rsid w:val="00761B65"/>
    <w:rsid w:val="00761DA7"/>
    <w:rsid w:val="00762604"/>
    <w:rsid w:val="00762D7E"/>
    <w:rsid w:val="007638EE"/>
    <w:rsid w:val="00763EF9"/>
    <w:rsid w:val="0076460D"/>
    <w:rsid w:val="00766C69"/>
    <w:rsid w:val="00767361"/>
    <w:rsid w:val="0076738B"/>
    <w:rsid w:val="00767594"/>
    <w:rsid w:val="007703E6"/>
    <w:rsid w:val="0077054C"/>
    <w:rsid w:val="007719B7"/>
    <w:rsid w:val="00771B96"/>
    <w:rsid w:val="00771D6C"/>
    <w:rsid w:val="00773765"/>
    <w:rsid w:val="00774A4E"/>
    <w:rsid w:val="00775225"/>
    <w:rsid w:val="00775333"/>
    <w:rsid w:val="00775698"/>
    <w:rsid w:val="007756D6"/>
    <w:rsid w:val="007760F4"/>
    <w:rsid w:val="0077672A"/>
    <w:rsid w:val="00776A1A"/>
    <w:rsid w:val="00777C8A"/>
    <w:rsid w:val="007806D0"/>
    <w:rsid w:val="0078161A"/>
    <w:rsid w:val="007820FA"/>
    <w:rsid w:val="007825E7"/>
    <w:rsid w:val="007833E7"/>
    <w:rsid w:val="0078371E"/>
    <w:rsid w:val="007844CE"/>
    <w:rsid w:val="00784B18"/>
    <w:rsid w:val="00785264"/>
    <w:rsid w:val="007862E0"/>
    <w:rsid w:val="00786596"/>
    <w:rsid w:val="00786ACB"/>
    <w:rsid w:val="00787007"/>
    <w:rsid w:val="007873B9"/>
    <w:rsid w:val="00787825"/>
    <w:rsid w:val="00787B24"/>
    <w:rsid w:val="00787B79"/>
    <w:rsid w:val="007900D3"/>
    <w:rsid w:val="0079028A"/>
    <w:rsid w:val="00790381"/>
    <w:rsid w:val="007907B4"/>
    <w:rsid w:val="00790CCE"/>
    <w:rsid w:val="007911A9"/>
    <w:rsid w:val="007911B5"/>
    <w:rsid w:val="00791811"/>
    <w:rsid w:val="00791E3E"/>
    <w:rsid w:val="007925EF"/>
    <w:rsid w:val="0079271F"/>
    <w:rsid w:val="007928C2"/>
    <w:rsid w:val="0079317B"/>
    <w:rsid w:val="00793846"/>
    <w:rsid w:val="0079436B"/>
    <w:rsid w:val="0079479F"/>
    <w:rsid w:val="0079485F"/>
    <w:rsid w:val="007954A9"/>
    <w:rsid w:val="0079552B"/>
    <w:rsid w:val="00795AF2"/>
    <w:rsid w:val="00795AF7"/>
    <w:rsid w:val="00795CA2"/>
    <w:rsid w:val="00795DCB"/>
    <w:rsid w:val="0079639C"/>
    <w:rsid w:val="00796450"/>
    <w:rsid w:val="0079675A"/>
    <w:rsid w:val="00796E52"/>
    <w:rsid w:val="007A0F97"/>
    <w:rsid w:val="007A104C"/>
    <w:rsid w:val="007A1AAF"/>
    <w:rsid w:val="007A20FD"/>
    <w:rsid w:val="007A21AB"/>
    <w:rsid w:val="007A283B"/>
    <w:rsid w:val="007A2BE2"/>
    <w:rsid w:val="007A2CCA"/>
    <w:rsid w:val="007A3CF8"/>
    <w:rsid w:val="007A4FCE"/>
    <w:rsid w:val="007A56F5"/>
    <w:rsid w:val="007A5C5D"/>
    <w:rsid w:val="007A5CB9"/>
    <w:rsid w:val="007A64E1"/>
    <w:rsid w:val="007A64EF"/>
    <w:rsid w:val="007A67EE"/>
    <w:rsid w:val="007A6A67"/>
    <w:rsid w:val="007A7981"/>
    <w:rsid w:val="007A7C2E"/>
    <w:rsid w:val="007B02E2"/>
    <w:rsid w:val="007B0395"/>
    <w:rsid w:val="007B090F"/>
    <w:rsid w:val="007B12B0"/>
    <w:rsid w:val="007B1BF4"/>
    <w:rsid w:val="007B2075"/>
    <w:rsid w:val="007B230C"/>
    <w:rsid w:val="007B245E"/>
    <w:rsid w:val="007B2A30"/>
    <w:rsid w:val="007B2BCA"/>
    <w:rsid w:val="007B2E00"/>
    <w:rsid w:val="007B304D"/>
    <w:rsid w:val="007B306C"/>
    <w:rsid w:val="007B31F0"/>
    <w:rsid w:val="007B3A70"/>
    <w:rsid w:val="007B3C41"/>
    <w:rsid w:val="007B4303"/>
    <w:rsid w:val="007B4464"/>
    <w:rsid w:val="007B47C2"/>
    <w:rsid w:val="007B52F5"/>
    <w:rsid w:val="007B62E5"/>
    <w:rsid w:val="007B641A"/>
    <w:rsid w:val="007B6849"/>
    <w:rsid w:val="007B73E1"/>
    <w:rsid w:val="007B7CE7"/>
    <w:rsid w:val="007C041F"/>
    <w:rsid w:val="007C112F"/>
    <w:rsid w:val="007C1208"/>
    <w:rsid w:val="007C1844"/>
    <w:rsid w:val="007C1894"/>
    <w:rsid w:val="007C1A45"/>
    <w:rsid w:val="007C2C7B"/>
    <w:rsid w:val="007C313F"/>
    <w:rsid w:val="007C3686"/>
    <w:rsid w:val="007C418A"/>
    <w:rsid w:val="007C45DB"/>
    <w:rsid w:val="007C49F8"/>
    <w:rsid w:val="007C4F7E"/>
    <w:rsid w:val="007C53FC"/>
    <w:rsid w:val="007C55F8"/>
    <w:rsid w:val="007C5758"/>
    <w:rsid w:val="007C5AD2"/>
    <w:rsid w:val="007C5C11"/>
    <w:rsid w:val="007C5DF3"/>
    <w:rsid w:val="007C6167"/>
    <w:rsid w:val="007C679C"/>
    <w:rsid w:val="007C7943"/>
    <w:rsid w:val="007D0220"/>
    <w:rsid w:val="007D0F54"/>
    <w:rsid w:val="007D14EB"/>
    <w:rsid w:val="007D288B"/>
    <w:rsid w:val="007D2D84"/>
    <w:rsid w:val="007D2E88"/>
    <w:rsid w:val="007D33C8"/>
    <w:rsid w:val="007D37A5"/>
    <w:rsid w:val="007D392E"/>
    <w:rsid w:val="007D3E80"/>
    <w:rsid w:val="007D4317"/>
    <w:rsid w:val="007D49C9"/>
    <w:rsid w:val="007D4E50"/>
    <w:rsid w:val="007D5FDA"/>
    <w:rsid w:val="007D6B37"/>
    <w:rsid w:val="007D7544"/>
    <w:rsid w:val="007D78EA"/>
    <w:rsid w:val="007D7E29"/>
    <w:rsid w:val="007E01C1"/>
    <w:rsid w:val="007E01F4"/>
    <w:rsid w:val="007E0E3F"/>
    <w:rsid w:val="007E12EF"/>
    <w:rsid w:val="007E1A72"/>
    <w:rsid w:val="007E1C3E"/>
    <w:rsid w:val="007E1E2F"/>
    <w:rsid w:val="007E29D0"/>
    <w:rsid w:val="007E2B24"/>
    <w:rsid w:val="007E2B79"/>
    <w:rsid w:val="007E2F75"/>
    <w:rsid w:val="007E34AC"/>
    <w:rsid w:val="007E36AB"/>
    <w:rsid w:val="007E3728"/>
    <w:rsid w:val="007E3DE2"/>
    <w:rsid w:val="007E3DE4"/>
    <w:rsid w:val="007E4517"/>
    <w:rsid w:val="007E48CE"/>
    <w:rsid w:val="007E4BCD"/>
    <w:rsid w:val="007E4C53"/>
    <w:rsid w:val="007E4E2A"/>
    <w:rsid w:val="007E5476"/>
    <w:rsid w:val="007E5490"/>
    <w:rsid w:val="007E59D7"/>
    <w:rsid w:val="007E5BB5"/>
    <w:rsid w:val="007E5D62"/>
    <w:rsid w:val="007E5FA2"/>
    <w:rsid w:val="007E6A3D"/>
    <w:rsid w:val="007E6F6C"/>
    <w:rsid w:val="007E73A7"/>
    <w:rsid w:val="007E7D0B"/>
    <w:rsid w:val="007F009D"/>
    <w:rsid w:val="007F0F45"/>
    <w:rsid w:val="007F263C"/>
    <w:rsid w:val="007F2BCE"/>
    <w:rsid w:val="007F3240"/>
    <w:rsid w:val="007F354A"/>
    <w:rsid w:val="007F39E9"/>
    <w:rsid w:val="007F3DE4"/>
    <w:rsid w:val="007F421F"/>
    <w:rsid w:val="007F4FDF"/>
    <w:rsid w:val="007F5518"/>
    <w:rsid w:val="007F692D"/>
    <w:rsid w:val="007F7008"/>
    <w:rsid w:val="007F70C6"/>
    <w:rsid w:val="007F75FD"/>
    <w:rsid w:val="007F7EE4"/>
    <w:rsid w:val="00800783"/>
    <w:rsid w:val="00801901"/>
    <w:rsid w:val="0080209B"/>
    <w:rsid w:val="0080259D"/>
    <w:rsid w:val="00802D98"/>
    <w:rsid w:val="00803673"/>
    <w:rsid w:val="00803721"/>
    <w:rsid w:val="00803F30"/>
    <w:rsid w:val="00804B26"/>
    <w:rsid w:val="00804BC7"/>
    <w:rsid w:val="00805159"/>
    <w:rsid w:val="00805A26"/>
    <w:rsid w:val="00805ED4"/>
    <w:rsid w:val="00806145"/>
    <w:rsid w:val="00806452"/>
    <w:rsid w:val="00806CF1"/>
    <w:rsid w:val="008070BB"/>
    <w:rsid w:val="008100C5"/>
    <w:rsid w:val="00810461"/>
    <w:rsid w:val="008107EC"/>
    <w:rsid w:val="00810B6B"/>
    <w:rsid w:val="008121F6"/>
    <w:rsid w:val="008126B2"/>
    <w:rsid w:val="00812735"/>
    <w:rsid w:val="0081455F"/>
    <w:rsid w:val="008145FB"/>
    <w:rsid w:val="00815141"/>
    <w:rsid w:val="008158FF"/>
    <w:rsid w:val="00815E9A"/>
    <w:rsid w:val="008205AF"/>
    <w:rsid w:val="00820882"/>
    <w:rsid w:val="0082089B"/>
    <w:rsid w:val="008209A5"/>
    <w:rsid w:val="0082155D"/>
    <w:rsid w:val="008220B9"/>
    <w:rsid w:val="008222CC"/>
    <w:rsid w:val="00822EDF"/>
    <w:rsid w:val="00822F3B"/>
    <w:rsid w:val="008231FB"/>
    <w:rsid w:val="008237D6"/>
    <w:rsid w:val="008245B6"/>
    <w:rsid w:val="0082519F"/>
    <w:rsid w:val="00825649"/>
    <w:rsid w:val="0082592B"/>
    <w:rsid w:val="00825B9D"/>
    <w:rsid w:val="008268C3"/>
    <w:rsid w:val="0083029A"/>
    <w:rsid w:val="0083075B"/>
    <w:rsid w:val="00830E8C"/>
    <w:rsid w:val="00831327"/>
    <w:rsid w:val="008319E4"/>
    <w:rsid w:val="00832458"/>
    <w:rsid w:val="00832FC3"/>
    <w:rsid w:val="00833793"/>
    <w:rsid w:val="008339B3"/>
    <w:rsid w:val="00833C59"/>
    <w:rsid w:val="00834EF7"/>
    <w:rsid w:val="008352AC"/>
    <w:rsid w:val="0083570D"/>
    <w:rsid w:val="00835769"/>
    <w:rsid w:val="0083579A"/>
    <w:rsid w:val="00836096"/>
    <w:rsid w:val="00836405"/>
    <w:rsid w:val="00836453"/>
    <w:rsid w:val="00837067"/>
    <w:rsid w:val="008377A5"/>
    <w:rsid w:val="008378AC"/>
    <w:rsid w:val="00837DE4"/>
    <w:rsid w:val="00840758"/>
    <w:rsid w:val="00840835"/>
    <w:rsid w:val="00840C77"/>
    <w:rsid w:val="0084146D"/>
    <w:rsid w:val="0084188C"/>
    <w:rsid w:val="0084189C"/>
    <w:rsid w:val="008419EF"/>
    <w:rsid w:val="00841B28"/>
    <w:rsid w:val="00841FD3"/>
    <w:rsid w:val="008429EA"/>
    <w:rsid w:val="00843430"/>
    <w:rsid w:val="0084405F"/>
    <w:rsid w:val="0084434C"/>
    <w:rsid w:val="0084457D"/>
    <w:rsid w:val="0084461E"/>
    <w:rsid w:val="00844798"/>
    <w:rsid w:val="00844BA4"/>
    <w:rsid w:val="00844EB7"/>
    <w:rsid w:val="00844EBE"/>
    <w:rsid w:val="00845027"/>
    <w:rsid w:val="00845CF0"/>
    <w:rsid w:val="008469D2"/>
    <w:rsid w:val="00846F4A"/>
    <w:rsid w:val="0084776B"/>
    <w:rsid w:val="00847DCC"/>
    <w:rsid w:val="00847DF8"/>
    <w:rsid w:val="00850AF6"/>
    <w:rsid w:val="00850BE1"/>
    <w:rsid w:val="00851497"/>
    <w:rsid w:val="008517B7"/>
    <w:rsid w:val="0085188C"/>
    <w:rsid w:val="00851C7D"/>
    <w:rsid w:val="00851FBF"/>
    <w:rsid w:val="008527CE"/>
    <w:rsid w:val="00852CFC"/>
    <w:rsid w:val="00852ECE"/>
    <w:rsid w:val="008535CA"/>
    <w:rsid w:val="0085376F"/>
    <w:rsid w:val="00853963"/>
    <w:rsid w:val="00853F01"/>
    <w:rsid w:val="00854AF0"/>
    <w:rsid w:val="0085559D"/>
    <w:rsid w:val="008556BD"/>
    <w:rsid w:val="00855721"/>
    <w:rsid w:val="00855A43"/>
    <w:rsid w:val="00855E57"/>
    <w:rsid w:val="00856035"/>
    <w:rsid w:val="0085675D"/>
    <w:rsid w:val="00856D96"/>
    <w:rsid w:val="0086186D"/>
    <w:rsid w:val="00861B57"/>
    <w:rsid w:val="00861B91"/>
    <w:rsid w:val="00861BD7"/>
    <w:rsid w:val="00862587"/>
    <w:rsid w:val="008626FF"/>
    <w:rsid w:val="00862B0B"/>
    <w:rsid w:val="00864299"/>
    <w:rsid w:val="00864FCD"/>
    <w:rsid w:val="008650CD"/>
    <w:rsid w:val="00865207"/>
    <w:rsid w:val="008652B5"/>
    <w:rsid w:val="008655C3"/>
    <w:rsid w:val="008655D8"/>
    <w:rsid w:val="00865BA6"/>
    <w:rsid w:val="00867417"/>
    <w:rsid w:val="008704E0"/>
    <w:rsid w:val="008706AE"/>
    <w:rsid w:val="008713FF"/>
    <w:rsid w:val="00871B5F"/>
    <w:rsid w:val="00871D97"/>
    <w:rsid w:val="00872B4C"/>
    <w:rsid w:val="00873036"/>
    <w:rsid w:val="008732BA"/>
    <w:rsid w:val="008735B2"/>
    <w:rsid w:val="0087390E"/>
    <w:rsid w:val="00873A69"/>
    <w:rsid w:val="00873BA6"/>
    <w:rsid w:val="00874009"/>
    <w:rsid w:val="00874090"/>
    <w:rsid w:val="00874238"/>
    <w:rsid w:val="00874256"/>
    <w:rsid w:val="00874740"/>
    <w:rsid w:val="00874AE9"/>
    <w:rsid w:val="00874AF8"/>
    <w:rsid w:val="00874BEA"/>
    <w:rsid w:val="00875327"/>
    <w:rsid w:val="00875DAF"/>
    <w:rsid w:val="00875FDE"/>
    <w:rsid w:val="008761F9"/>
    <w:rsid w:val="00876752"/>
    <w:rsid w:val="00876F35"/>
    <w:rsid w:val="00877042"/>
    <w:rsid w:val="008774A4"/>
    <w:rsid w:val="00877754"/>
    <w:rsid w:val="0087781C"/>
    <w:rsid w:val="008802FC"/>
    <w:rsid w:val="008805C4"/>
    <w:rsid w:val="008819CF"/>
    <w:rsid w:val="00881A9B"/>
    <w:rsid w:val="008820C6"/>
    <w:rsid w:val="00882B4C"/>
    <w:rsid w:val="00882EC0"/>
    <w:rsid w:val="008842E8"/>
    <w:rsid w:val="008844ED"/>
    <w:rsid w:val="008845F5"/>
    <w:rsid w:val="00884816"/>
    <w:rsid w:val="008853EC"/>
    <w:rsid w:val="008855CB"/>
    <w:rsid w:val="00885E1D"/>
    <w:rsid w:val="00886B57"/>
    <w:rsid w:val="00886C12"/>
    <w:rsid w:val="00887862"/>
    <w:rsid w:val="008878E0"/>
    <w:rsid w:val="0089031C"/>
    <w:rsid w:val="00890399"/>
    <w:rsid w:val="008908DC"/>
    <w:rsid w:val="00892547"/>
    <w:rsid w:val="0089365E"/>
    <w:rsid w:val="008937BC"/>
    <w:rsid w:val="0089488D"/>
    <w:rsid w:val="00895EDF"/>
    <w:rsid w:val="00896B94"/>
    <w:rsid w:val="00896EE3"/>
    <w:rsid w:val="00897CA7"/>
    <w:rsid w:val="008A0515"/>
    <w:rsid w:val="008A0EB8"/>
    <w:rsid w:val="008A1F93"/>
    <w:rsid w:val="008A21E5"/>
    <w:rsid w:val="008A2474"/>
    <w:rsid w:val="008A32ED"/>
    <w:rsid w:val="008A374B"/>
    <w:rsid w:val="008A41A1"/>
    <w:rsid w:val="008A48C2"/>
    <w:rsid w:val="008A4DC7"/>
    <w:rsid w:val="008A540D"/>
    <w:rsid w:val="008A54AF"/>
    <w:rsid w:val="008A55A8"/>
    <w:rsid w:val="008A5685"/>
    <w:rsid w:val="008A5B9C"/>
    <w:rsid w:val="008A5EC4"/>
    <w:rsid w:val="008A6764"/>
    <w:rsid w:val="008A6843"/>
    <w:rsid w:val="008A77A2"/>
    <w:rsid w:val="008A78E1"/>
    <w:rsid w:val="008B1A52"/>
    <w:rsid w:val="008B2670"/>
    <w:rsid w:val="008B42C2"/>
    <w:rsid w:val="008B4F1D"/>
    <w:rsid w:val="008B525F"/>
    <w:rsid w:val="008B570C"/>
    <w:rsid w:val="008B5A5F"/>
    <w:rsid w:val="008B5F4A"/>
    <w:rsid w:val="008B62CD"/>
    <w:rsid w:val="008B7583"/>
    <w:rsid w:val="008B7C52"/>
    <w:rsid w:val="008C0454"/>
    <w:rsid w:val="008C055F"/>
    <w:rsid w:val="008C0FCE"/>
    <w:rsid w:val="008C117B"/>
    <w:rsid w:val="008C15AD"/>
    <w:rsid w:val="008C16D7"/>
    <w:rsid w:val="008C176C"/>
    <w:rsid w:val="008C25B7"/>
    <w:rsid w:val="008C25C3"/>
    <w:rsid w:val="008C264B"/>
    <w:rsid w:val="008C2DFB"/>
    <w:rsid w:val="008C320B"/>
    <w:rsid w:val="008C37D1"/>
    <w:rsid w:val="008C38D5"/>
    <w:rsid w:val="008C3D36"/>
    <w:rsid w:val="008C439C"/>
    <w:rsid w:val="008C4784"/>
    <w:rsid w:val="008C5D86"/>
    <w:rsid w:val="008C6D56"/>
    <w:rsid w:val="008C7629"/>
    <w:rsid w:val="008C7697"/>
    <w:rsid w:val="008C77D3"/>
    <w:rsid w:val="008C78B2"/>
    <w:rsid w:val="008D013A"/>
    <w:rsid w:val="008D09F4"/>
    <w:rsid w:val="008D0C0E"/>
    <w:rsid w:val="008D1419"/>
    <w:rsid w:val="008D18D6"/>
    <w:rsid w:val="008D1A2F"/>
    <w:rsid w:val="008D1EE4"/>
    <w:rsid w:val="008D3035"/>
    <w:rsid w:val="008D33EC"/>
    <w:rsid w:val="008D3C35"/>
    <w:rsid w:val="008D404C"/>
    <w:rsid w:val="008D40DE"/>
    <w:rsid w:val="008D4154"/>
    <w:rsid w:val="008D46E8"/>
    <w:rsid w:val="008D4D48"/>
    <w:rsid w:val="008D51DF"/>
    <w:rsid w:val="008D53F5"/>
    <w:rsid w:val="008D5A37"/>
    <w:rsid w:val="008D653F"/>
    <w:rsid w:val="008D6933"/>
    <w:rsid w:val="008D6FC0"/>
    <w:rsid w:val="008D7948"/>
    <w:rsid w:val="008E0156"/>
    <w:rsid w:val="008E01D8"/>
    <w:rsid w:val="008E0433"/>
    <w:rsid w:val="008E07A5"/>
    <w:rsid w:val="008E0DED"/>
    <w:rsid w:val="008E20D3"/>
    <w:rsid w:val="008E2321"/>
    <w:rsid w:val="008E24E7"/>
    <w:rsid w:val="008E3014"/>
    <w:rsid w:val="008E4B31"/>
    <w:rsid w:val="008E52D5"/>
    <w:rsid w:val="008E53B6"/>
    <w:rsid w:val="008E5890"/>
    <w:rsid w:val="008E59C9"/>
    <w:rsid w:val="008E6109"/>
    <w:rsid w:val="008E6B6F"/>
    <w:rsid w:val="008E73B6"/>
    <w:rsid w:val="008E78AA"/>
    <w:rsid w:val="008F04EF"/>
    <w:rsid w:val="008F0EED"/>
    <w:rsid w:val="008F0F4D"/>
    <w:rsid w:val="008F108D"/>
    <w:rsid w:val="008F1BEF"/>
    <w:rsid w:val="008F2176"/>
    <w:rsid w:val="008F2B5B"/>
    <w:rsid w:val="008F307C"/>
    <w:rsid w:val="008F3398"/>
    <w:rsid w:val="008F3A0C"/>
    <w:rsid w:val="008F3FF3"/>
    <w:rsid w:val="008F44B1"/>
    <w:rsid w:val="008F635E"/>
    <w:rsid w:val="008F681E"/>
    <w:rsid w:val="0090030A"/>
    <w:rsid w:val="00900D8A"/>
    <w:rsid w:val="00901B79"/>
    <w:rsid w:val="00903D27"/>
    <w:rsid w:val="00903F79"/>
    <w:rsid w:val="00903F9D"/>
    <w:rsid w:val="009058EF"/>
    <w:rsid w:val="00906F05"/>
    <w:rsid w:val="00907048"/>
    <w:rsid w:val="00907364"/>
    <w:rsid w:val="009079C6"/>
    <w:rsid w:val="00907A73"/>
    <w:rsid w:val="009102D6"/>
    <w:rsid w:val="00910524"/>
    <w:rsid w:val="00910D4D"/>
    <w:rsid w:val="009110B3"/>
    <w:rsid w:val="00911850"/>
    <w:rsid w:val="00912ED9"/>
    <w:rsid w:val="00913031"/>
    <w:rsid w:val="00913D14"/>
    <w:rsid w:val="00914B55"/>
    <w:rsid w:val="009156E4"/>
    <w:rsid w:val="009158F4"/>
    <w:rsid w:val="00915A8B"/>
    <w:rsid w:val="00915B66"/>
    <w:rsid w:val="00915F40"/>
    <w:rsid w:val="0091716E"/>
    <w:rsid w:val="00920095"/>
    <w:rsid w:val="009204C6"/>
    <w:rsid w:val="00920758"/>
    <w:rsid w:val="00920B70"/>
    <w:rsid w:val="00921305"/>
    <w:rsid w:val="009216BF"/>
    <w:rsid w:val="00921BC6"/>
    <w:rsid w:val="00921FA6"/>
    <w:rsid w:val="0092201C"/>
    <w:rsid w:val="00922301"/>
    <w:rsid w:val="0092246C"/>
    <w:rsid w:val="009227C2"/>
    <w:rsid w:val="00922D3D"/>
    <w:rsid w:val="00922DBC"/>
    <w:rsid w:val="0092304C"/>
    <w:rsid w:val="00923588"/>
    <w:rsid w:val="009237C7"/>
    <w:rsid w:val="00924061"/>
    <w:rsid w:val="0092423A"/>
    <w:rsid w:val="009242F2"/>
    <w:rsid w:val="00924A21"/>
    <w:rsid w:val="00925CC1"/>
    <w:rsid w:val="00926354"/>
    <w:rsid w:val="00926B70"/>
    <w:rsid w:val="009274BD"/>
    <w:rsid w:val="0092754C"/>
    <w:rsid w:val="00927884"/>
    <w:rsid w:val="00927CE0"/>
    <w:rsid w:val="00927EF0"/>
    <w:rsid w:val="00930442"/>
    <w:rsid w:val="009305A1"/>
    <w:rsid w:val="0093103D"/>
    <w:rsid w:val="009319A8"/>
    <w:rsid w:val="00931AA6"/>
    <w:rsid w:val="009321D0"/>
    <w:rsid w:val="009325BF"/>
    <w:rsid w:val="00932B62"/>
    <w:rsid w:val="00932D8D"/>
    <w:rsid w:val="00932F29"/>
    <w:rsid w:val="00933504"/>
    <w:rsid w:val="009338A9"/>
    <w:rsid w:val="00933AAC"/>
    <w:rsid w:val="00933CBD"/>
    <w:rsid w:val="00933EA6"/>
    <w:rsid w:val="00934173"/>
    <w:rsid w:val="0093431F"/>
    <w:rsid w:val="00934611"/>
    <w:rsid w:val="00934B85"/>
    <w:rsid w:val="00934CE7"/>
    <w:rsid w:val="00934E11"/>
    <w:rsid w:val="00935086"/>
    <w:rsid w:val="00935577"/>
    <w:rsid w:val="0093563C"/>
    <w:rsid w:val="00935F5A"/>
    <w:rsid w:val="009364B6"/>
    <w:rsid w:val="00936C56"/>
    <w:rsid w:val="00937184"/>
    <w:rsid w:val="0093736F"/>
    <w:rsid w:val="00937F12"/>
    <w:rsid w:val="00940ED4"/>
    <w:rsid w:val="00941EB2"/>
    <w:rsid w:val="0094294D"/>
    <w:rsid w:val="00942BC6"/>
    <w:rsid w:val="00943111"/>
    <w:rsid w:val="0094395C"/>
    <w:rsid w:val="00944461"/>
    <w:rsid w:val="00944E94"/>
    <w:rsid w:val="00944EBB"/>
    <w:rsid w:val="00945121"/>
    <w:rsid w:val="00945556"/>
    <w:rsid w:val="00946368"/>
    <w:rsid w:val="0094645E"/>
    <w:rsid w:val="0094652A"/>
    <w:rsid w:val="009468F5"/>
    <w:rsid w:val="00946ACF"/>
    <w:rsid w:val="00946C9F"/>
    <w:rsid w:val="00947B1B"/>
    <w:rsid w:val="00950050"/>
    <w:rsid w:val="00950079"/>
    <w:rsid w:val="00950213"/>
    <w:rsid w:val="009502AF"/>
    <w:rsid w:val="00950610"/>
    <w:rsid w:val="0095070C"/>
    <w:rsid w:val="00950A45"/>
    <w:rsid w:val="009526C7"/>
    <w:rsid w:val="00952D1E"/>
    <w:rsid w:val="0095381C"/>
    <w:rsid w:val="0095428E"/>
    <w:rsid w:val="009548EC"/>
    <w:rsid w:val="009548F7"/>
    <w:rsid w:val="00954C6A"/>
    <w:rsid w:val="009554A9"/>
    <w:rsid w:val="009558AC"/>
    <w:rsid w:val="00955CAD"/>
    <w:rsid w:val="00955E76"/>
    <w:rsid w:val="009562EB"/>
    <w:rsid w:val="009565EE"/>
    <w:rsid w:val="00956A50"/>
    <w:rsid w:val="00956B0B"/>
    <w:rsid w:val="00957CE3"/>
    <w:rsid w:val="00957D7A"/>
    <w:rsid w:val="00957F05"/>
    <w:rsid w:val="00957FB7"/>
    <w:rsid w:val="00960CF9"/>
    <w:rsid w:val="00960E4C"/>
    <w:rsid w:val="009610F6"/>
    <w:rsid w:val="009611CD"/>
    <w:rsid w:val="009615C9"/>
    <w:rsid w:val="00962158"/>
    <w:rsid w:val="009624CC"/>
    <w:rsid w:val="00963297"/>
    <w:rsid w:val="0096360F"/>
    <w:rsid w:val="009637D0"/>
    <w:rsid w:val="00963BD3"/>
    <w:rsid w:val="00963C0E"/>
    <w:rsid w:val="00963DA2"/>
    <w:rsid w:val="00964575"/>
    <w:rsid w:val="00964979"/>
    <w:rsid w:val="00965384"/>
    <w:rsid w:val="009656CE"/>
    <w:rsid w:val="00965DE0"/>
    <w:rsid w:val="0096607A"/>
    <w:rsid w:val="0096632D"/>
    <w:rsid w:val="00966417"/>
    <w:rsid w:val="00967460"/>
    <w:rsid w:val="009677BE"/>
    <w:rsid w:val="00967D3A"/>
    <w:rsid w:val="00967FB1"/>
    <w:rsid w:val="0097024C"/>
    <w:rsid w:val="009712ED"/>
    <w:rsid w:val="0097235F"/>
    <w:rsid w:val="0097236B"/>
    <w:rsid w:val="009740E2"/>
    <w:rsid w:val="009744FD"/>
    <w:rsid w:val="009747C1"/>
    <w:rsid w:val="00974962"/>
    <w:rsid w:val="009753EB"/>
    <w:rsid w:val="0097546A"/>
    <w:rsid w:val="00975EB7"/>
    <w:rsid w:val="009760FC"/>
    <w:rsid w:val="00976277"/>
    <w:rsid w:val="0097630D"/>
    <w:rsid w:val="00976328"/>
    <w:rsid w:val="00977A91"/>
    <w:rsid w:val="00977E9D"/>
    <w:rsid w:val="009807E9"/>
    <w:rsid w:val="00981183"/>
    <w:rsid w:val="009812FF"/>
    <w:rsid w:val="00982C94"/>
    <w:rsid w:val="0098330F"/>
    <w:rsid w:val="00983EBB"/>
    <w:rsid w:val="00983EE5"/>
    <w:rsid w:val="00983FA0"/>
    <w:rsid w:val="0098454C"/>
    <w:rsid w:val="00984D7C"/>
    <w:rsid w:val="0098525C"/>
    <w:rsid w:val="0098538E"/>
    <w:rsid w:val="00986470"/>
    <w:rsid w:val="0098681B"/>
    <w:rsid w:val="00986AC8"/>
    <w:rsid w:val="00987206"/>
    <w:rsid w:val="00987F98"/>
    <w:rsid w:val="009901AD"/>
    <w:rsid w:val="009903F6"/>
    <w:rsid w:val="009903F8"/>
    <w:rsid w:val="00990653"/>
    <w:rsid w:val="00991468"/>
    <w:rsid w:val="009916A0"/>
    <w:rsid w:val="00991874"/>
    <w:rsid w:val="00992B4B"/>
    <w:rsid w:val="00992F58"/>
    <w:rsid w:val="0099354D"/>
    <w:rsid w:val="009937A3"/>
    <w:rsid w:val="009939FE"/>
    <w:rsid w:val="00993DC6"/>
    <w:rsid w:val="009944E3"/>
    <w:rsid w:val="009945EB"/>
    <w:rsid w:val="0099514E"/>
    <w:rsid w:val="0099531F"/>
    <w:rsid w:val="00995E7C"/>
    <w:rsid w:val="00995F69"/>
    <w:rsid w:val="00996246"/>
    <w:rsid w:val="009962F1"/>
    <w:rsid w:val="009969D8"/>
    <w:rsid w:val="00996A6B"/>
    <w:rsid w:val="00996EB8"/>
    <w:rsid w:val="00996EC9"/>
    <w:rsid w:val="00997125"/>
    <w:rsid w:val="00997366"/>
    <w:rsid w:val="0099736D"/>
    <w:rsid w:val="00997668"/>
    <w:rsid w:val="00997E98"/>
    <w:rsid w:val="009A03C3"/>
    <w:rsid w:val="009A05DC"/>
    <w:rsid w:val="009A0AE8"/>
    <w:rsid w:val="009A0C9F"/>
    <w:rsid w:val="009A1191"/>
    <w:rsid w:val="009A11CF"/>
    <w:rsid w:val="009A1D45"/>
    <w:rsid w:val="009A2D1E"/>
    <w:rsid w:val="009A2F23"/>
    <w:rsid w:val="009A33D0"/>
    <w:rsid w:val="009A343F"/>
    <w:rsid w:val="009A381A"/>
    <w:rsid w:val="009A4369"/>
    <w:rsid w:val="009A464A"/>
    <w:rsid w:val="009A4DE2"/>
    <w:rsid w:val="009A4E6B"/>
    <w:rsid w:val="009A5654"/>
    <w:rsid w:val="009A63F2"/>
    <w:rsid w:val="009A65B0"/>
    <w:rsid w:val="009A6947"/>
    <w:rsid w:val="009A6D06"/>
    <w:rsid w:val="009A6F71"/>
    <w:rsid w:val="009A76E7"/>
    <w:rsid w:val="009B0711"/>
    <w:rsid w:val="009B0DBB"/>
    <w:rsid w:val="009B22A8"/>
    <w:rsid w:val="009B2C3F"/>
    <w:rsid w:val="009B33E0"/>
    <w:rsid w:val="009B350F"/>
    <w:rsid w:val="009B358F"/>
    <w:rsid w:val="009B359B"/>
    <w:rsid w:val="009B35C0"/>
    <w:rsid w:val="009B3787"/>
    <w:rsid w:val="009B3E7A"/>
    <w:rsid w:val="009B40C0"/>
    <w:rsid w:val="009B4990"/>
    <w:rsid w:val="009B5545"/>
    <w:rsid w:val="009B5560"/>
    <w:rsid w:val="009B63D4"/>
    <w:rsid w:val="009B659C"/>
    <w:rsid w:val="009B7AAD"/>
    <w:rsid w:val="009B7D6C"/>
    <w:rsid w:val="009C0586"/>
    <w:rsid w:val="009C09D4"/>
    <w:rsid w:val="009C0B09"/>
    <w:rsid w:val="009C15BA"/>
    <w:rsid w:val="009C17E0"/>
    <w:rsid w:val="009C2655"/>
    <w:rsid w:val="009C2A26"/>
    <w:rsid w:val="009C3BAB"/>
    <w:rsid w:val="009C4694"/>
    <w:rsid w:val="009C4808"/>
    <w:rsid w:val="009C4B82"/>
    <w:rsid w:val="009C4FB1"/>
    <w:rsid w:val="009C5B38"/>
    <w:rsid w:val="009C5EAB"/>
    <w:rsid w:val="009C65DE"/>
    <w:rsid w:val="009C6859"/>
    <w:rsid w:val="009C6A8C"/>
    <w:rsid w:val="009C6E7C"/>
    <w:rsid w:val="009C7BF9"/>
    <w:rsid w:val="009C7C90"/>
    <w:rsid w:val="009D0A0E"/>
    <w:rsid w:val="009D0C91"/>
    <w:rsid w:val="009D16D0"/>
    <w:rsid w:val="009D21DD"/>
    <w:rsid w:val="009D22A2"/>
    <w:rsid w:val="009D39C3"/>
    <w:rsid w:val="009D56A7"/>
    <w:rsid w:val="009D5C38"/>
    <w:rsid w:val="009D7E35"/>
    <w:rsid w:val="009E0C42"/>
    <w:rsid w:val="009E0EB7"/>
    <w:rsid w:val="009E1089"/>
    <w:rsid w:val="009E15E6"/>
    <w:rsid w:val="009E2116"/>
    <w:rsid w:val="009E2337"/>
    <w:rsid w:val="009E2633"/>
    <w:rsid w:val="009E265F"/>
    <w:rsid w:val="009E2F22"/>
    <w:rsid w:val="009E3C89"/>
    <w:rsid w:val="009E3FDA"/>
    <w:rsid w:val="009E4062"/>
    <w:rsid w:val="009E45E3"/>
    <w:rsid w:val="009E469C"/>
    <w:rsid w:val="009E4973"/>
    <w:rsid w:val="009E4A2F"/>
    <w:rsid w:val="009E4BE8"/>
    <w:rsid w:val="009E55C1"/>
    <w:rsid w:val="009E742D"/>
    <w:rsid w:val="009E76A2"/>
    <w:rsid w:val="009E7777"/>
    <w:rsid w:val="009E7B5F"/>
    <w:rsid w:val="009F041C"/>
    <w:rsid w:val="009F0D1D"/>
    <w:rsid w:val="009F11BE"/>
    <w:rsid w:val="009F1B61"/>
    <w:rsid w:val="009F212B"/>
    <w:rsid w:val="009F2F94"/>
    <w:rsid w:val="009F346A"/>
    <w:rsid w:val="009F3A11"/>
    <w:rsid w:val="009F3FA8"/>
    <w:rsid w:val="009F5F58"/>
    <w:rsid w:val="009F6DB1"/>
    <w:rsid w:val="009F6E85"/>
    <w:rsid w:val="009F7712"/>
    <w:rsid w:val="009F77ED"/>
    <w:rsid w:val="009F7B55"/>
    <w:rsid w:val="009F7E5B"/>
    <w:rsid w:val="00A0035E"/>
    <w:rsid w:val="00A00A46"/>
    <w:rsid w:val="00A0108F"/>
    <w:rsid w:val="00A01475"/>
    <w:rsid w:val="00A023D9"/>
    <w:rsid w:val="00A0263A"/>
    <w:rsid w:val="00A02D71"/>
    <w:rsid w:val="00A03ECA"/>
    <w:rsid w:val="00A042FC"/>
    <w:rsid w:val="00A04697"/>
    <w:rsid w:val="00A05EE9"/>
    <w:rsid w:val="00A05F1B"/>
    <w:rsid w:val="00A06312"/>
    <w:rsid w:val="00A0655F"/>
    <w:rsid w:val="00A06FF7"/>
    <w:rsid w:val="00A074BE"/>
    <w:rsid w:val="00A0782A"/>
    <w:rsid w:val="00A07A52"/>
    <w:rsid w:val="00A107D7"/>
    <w:rsid w:val="00A10E07"/>
    <w:rsid w:val="00A11329"/>
    <w:rsid w:val="00A11B2B"/>
    <w:rsid w:val="00A11D79"/>
    <w:rsid w:val="00A126B3"/>
    <w:rsid w:val="00A12C28"/>
    <w:rsid w:val="00A12C61"/>
    <w:rsid w:val="00A12EC3"/>
    <w:rsid w:val="00A12F4A"/>
    <w:rsid w:val="00A13AD8"/>
    <w:rsid w:val="00A1410C"/>
    <w:rsid w:val="00A1474D"/>
    <w:rsid w:val="00A1485A"/>
    <w:rsid w:val="00A14B9B"/>
    <w:rsid w:val="00A14F6A"/>
    <w:rsid w:val="00A1522E"/>
    <w:rsid w:val="00A1596A"/>
    <w:rsid w:val="00A15F80"/>
    <w:rsid w:val="00A16911"/>
    <w:rsid w:val="00A16C83"/>
    <w:rsid w:val="00A170BC"/>
    <w:rsid w:val="00A17409"/>
    <w:rsid w:val="00A17A1A"/>
    <w:rsid w:val="00A17D75"/>
    <w:rsid w:val="00A17FEF"/>
    <w:rsid w:val="00A202DF"/>
    <w:rsid w:val="00A20A9F"/>
    <w:rsid w:val="00A20B06"/>
    <w:rsid w:val="00A21D51"/>
    <w:rsid w:val="00A22AE6"/>
    <w:rsid w:val="00A22C39"/>
    <w:rsid w:val="00A23862"/>
    <w:rsid w:val="00A238F3"/>
    <w:rsid w:val="00A242E8"/>
    <w:rsid w:val="00A2433D"/>
    <w:rsid w:val="00A251AB"/>
    <w:rsid w:val="00A251DD"/>
    <w:rsid w:val="00A2554D"/>
    <w:rsid w:val="00A25B3B"/>
    <w:rsid w:val="00A25BEC"/>
    <w:rsid w:val="00A267BA"/>
    <w:rsid w:val="00A26B3C"/>
    <w:rsid w:val="00A26B67"/>
    <w:rsid w:val="00A27780"/>
    <w:rsid w:val="00A27884"/>
    <w:rsid w:val="00A27CF2"/>
    <w:rsid w:val="00A30156"/>
    <w:rsid w:val="00A30AA9"/>
    <w:rsid w:val="00A30DB5"/>
    <w:rsid w:val="00A32033"/>
    <w:rsid w:val="00A3240A"/>
    <w:rsid w:val="00A32480"/>
    <w:rsid w:val="00A33599"/>
    <w:rsid w:val="00A33FB7"/>
    <w:rsid w:val="00A344B7"/>
    <w:rsid w:val="00A349F8"/>
    <w:rsid w:val="00A360B1"/>
    <w:rsid w:val="00A363CF"/>
    <w:rsid w:val="00A36E3D"/>
    <w:rsid w:val="00A36EB8"/>
    <w:rsid w:val="00A3701B"/>
    <w:rsid w:val="00A37348"/>
    <w:rsid w:val="00A37608"/>
    <w:rsid w:val="00A4044A"/>
    <w:rsid w:val="00A40DB5"/>
    <w:rsid w:val="00A41035"/>
    <w:rsid w:val="00A41877"/>
    <w:rsid w:val="00A41EEA"/>
    <w:rsid w:val="00A41FCE"/>
    <w:rsid w:val="00A41FFD"/>
    <w:rsid w:val="00A425AA"/>
    <w:rsid w:val="00A42A32"/>
    <w:rsid w:val="00A43468"/>
    <w:rsid w:val="00A4357A"/>
    <w:rsid w:val="00A43A1F"/>
    <w:rsid w:val="00A44294"/>
    <w:rsid w:val="00A452B6"/>
    <w:rsid w:val="00A4547B"/>
    <w:rsid w:val="00A45E68"/>
    <w:rsid w:val="00A45F59"/>
    <w:rsid w:val="00A467D6"/>
    <w:rsid w:val="00A47C53"/>
    <w:rsid w:val="00A50EBC"/>
    <w:rsid w:val="00A511DD"/>
    <w:rsid w:val="00A51B4A"/>
    <w:rsid w:val="00A523A0"/>
    <w:rsid w:val="00A525B1"/>
    <w:rsid w:val="00A53126"/>
    <w:rsid w:val="00A53609"/>
    <w:rsid w:val="00A5374E"/>
    <w:rsid w:val="00A54041"/>
    <w:rsid w:val="00A54500"/>
    <w:rsid w:val="00A54672"/>
    <w:rsid w:val="00A54A5B"/>
    <w:rsid w:val="00A54B90"/>
    <w:rsid w:val="00A54C61"/>
    <w:rsid w:val="00A553BD"/>
    <w:rsid w:val="00A5591C"/>
    <w:rsid w:val="00A55D09"/>
    <w:rsid w:val="00A57221"/>
    <w:rsid w:val="00A574D9"/>
    <w:rsid w:val="00A57633"/>
    <w:rsid w:val="00A57E76"/>
    <w:rsid w:val="00A60A88"/>
    <w:rsid w:val="00A60B08"/>
    <w:rsid w:val="00A60CA0"/>
    <w:rsid w:val="00A61067"/>
    <w:rsid w:val="00A61239"/>
    <w:rsid w:val="00A612BD"/>
    <w:rsid w:val="00A6131D"/>
    <w:rsid w:val="00A618D2"/>
    <w:rsid w:val="00A61E74"/>
    <w:rsid w:val="00A62CF9"/>
    <w:rsid w:val="00A637D4"/>
    <w:rsid w:val="00A63F74"/>
    <w:rsid w:val="00A640B1"/>
    <w:rsid w:val="00A64696"/>
    <w:rsid w:val="00A656CC"/>
    <w:rsid w:val="00A65ED1"/>
    <w:rsid w:val="00A65F84"/>
    <w:rsid w:val="00A6656F"/>
    <w:rsid w:val="00A66F46"/>
    <w:rsid w:val="00A6719A"/>
    <w:rsid w:val="00A671D9"/>
    <w:rsid w:val="00A673C6"/>
    <w:rsid w:val="00A7003B"/>
    <w:rsid w:val="00A70AAD"/>
    <w:rsid w:val="00A70DF1"/>
    <w:rsid w:val="00A717AA"/>
    <w:rsid w:val="00A71CDA"/>
    <w:rsid w:val="00A71DA7"/>
    <w:rsid w:val="00A72C05"/>
    <w:rsid w:val="00A7339C"/>
    <w:rsid w:val="00A73868"/>
    <w:rsid w:val="00A74CDC"/>
    <w:rsid w:val="00A74FC3"/>
    <w:rsid w:val="00A75132"/>
    <w:rsid w:val="00A755BC"/>
    <w:rsid w:val="00A75A74"/>
    <w:rsid w:val="00A76C3D"/>
    <w:rsid w:val="00A76C7F"/>
    <w:rsid w:val="00A76C82"/>
    <w:rsid w:val="00A76E14"/>
    <w:rsid w:val="00A77709"/>
    <w:rsid w:val="00A8003F"/>
    <w:rsid w:val="00A806EA"/>
    <w:rsid w:val="00A813E9"/>
    <w:rsid w:val="00A81884"/>
    <w:rsid w:val="00A8195F"/>
    <w:rsid w:val="00A82246"/>
    <w:rsid w:val="00A82EC9"/>
    <w:rsid w:val="00A82F3F"/>
    <w:rsid w:val="00A83214"/>
    <w:rsid w:val="00A83A85"/>
    <w:rsid w:val="00A843F7"/>
    <w:rsid w:val="00A85554"/>
    <w:rsid w:val="00A85966"/>
    <w:rsid w:val="00A8640C"/>
    <w:rsid w:val="00A86C60"/>
    <w:rsid w:val="00A86EF7"/>
    <w:rsid w:val="00A86FD4"/>
    <w:rsid w:val="00A8782A"/>
    <w:rsid w:val="00A87869"/>
    <w:rsid w:val="00A87A74"/>
    <w:rsid w:val="00A87CE5"/>
    <w:rsid w:val="00A87FAC"/>
    <w:rsid w:val="00A90620"/>
    <w:rsid w:val="00A90708"/>
    <w:rsid w:val="00A908EB"/>
    <w:rsid w:val="00A90CB7"/>
    <w:rsid w:val="00A9109B"/>
    <w:rsid w:val="00A91C0D"/>
    <w:rsid w:val="00A92781"/>
    <w:rsid w:val="00A930D3"/>
    <w:rsid w:val="00A93B70"/>
    <w:rsid w:val="00A9462E"/>
    <w:rsid w:val="00A9492E"/>
    <w:rsid w:val="00A95F00"/>
    <w:rsid w:val="00A96321"/>
    <w:rsid w:val="00A96B85"/>
    <w:rsid w:val="00A96BA0"/>
    <w:rsid w:val="00A96BDE"/>
    <w:rsid w:val="00A96C4C"/>
    <w:rsid w:val="00A96D62"/>
    <w:rsid w:val="00A9705D"/>
    <w:rsid w:val="00A97499"/>
    <w:rsid w:val="00A977D2"/>
    <w:rsid w:val="00A97CEB"/>
    <w:rsid w:val="00AA0927"/>
    <w:rsid w:val="00AA0D86"/>
    <w:rsid w:val="00AA1323"/>
    <w:rsid w:val="00AA1E32"/>
    <w:rsid w:val="00AA1EA3"/>
    <w:rsid w:val="00AA20BD"/>
    <w:rsid w:val="00AA2503"/>
    <w:rsid w:val="00AA38D4"/>
    <w:rsid w:val="00AA3ADF"/>
    <w:rsid w:val="00AA4577"/>
    <w:rsid w:val="00AA4A7D"/>
    <w:rsid w:val="00AA4C5A"/>
    <w:rsid w:val="00AA4EAB"/>
    <w:rsid w:val="00AA4F4D"/>
    <w:rsid w:val="00AA5607"/>
    <w:rsid w:val="00AA5A20"/>
    <w:rsid w:val="00AA6860"/>
    <w:rsid w:val="00AA69CA"/>
    <w:rsid w:val="00AA7797"/>
    <w:rsid w:val="00AA7AAD"/>
    <w:rsid w:val="00AA7BA9"/>
    <w:rsid w:val="00AA7DC9"/>
    <w:rsid w:val="00AB0075"/>
    <w:rsid w:val="00AB04DC"/>
    <w:rsid w:val="00AB1088"/>
    <w:rsid w:val="00AB121F"/>
    <w:rsid w:val="00AB1792"/>
    <w:rsid w:val="00AB18A3"/>
    <w:rsid w:val="00AB2506"/>
    <w:rsid w:val="00AB384C"/>
    <w:rsid w:val="00AB446E"/>
    <w:rsid w:val="00AB4D43"/>
    <w:rsid w:val="00AB4D67"/>
    <w:rsid w:val="00AB5CDE"/>
    <w:rsid w:val="00AB6222"/>
    <w:rsid w:val="00AB656C"/>
    <w:rsid w:val="00AB68BB"/>
    <w:rsid w:val="00AB6C20"/>
    <w:rsid w:val="00AB6CBA"/>
    <w:rsid w:val="00AB728E"/>
    <w:rsid w:val="00AB7CCB"/>
    <w:rsid w:val="00AB7CE9"/>
    <w:rsid w:val="00AC0D52"/>
    <w:rsid w:val="00AC0E6A"/>
    <w:rsid w:val="00AC11FA"/>
    <w:rsid w:val="00AC1552"/>
    <w:rsid w:val="00AC1BE1"/>
    <w:rsid w:val="00AC1D77"/>
    <w:rsid w:val="00AC20AA"/>
    <w:rsid w:val="00AC235A"/>
    <w:rsid w:val="00AC23BA"/>
    <w:rsid w:val="00AC2E80"/>
    <w:rsid w:val="00AC3479"/>
    <w:rsid w:val="00AC46FA"/>
    <w:rsid w:val="00AC512F"/>
    <w:rsid w:val="00AC5C93"/>
    <w:rsid w:val="00AC636E"/>
    <w:rsid w:val="00AC6551"/>
    <w:rsid w:val="00AC672A"/>
    <w:rsid w:val="00AC6DAB"/>
    <w:rsid w:val="00AC7311"/>
    <w:rsid w:val="00AC75F2"/>
    <w:rsid w:val="00AC7D96"/>
    <w:rsid w:val="00AC7DDF"/>
    <w:rsid w:val="00AD09EB"/>
    <w:rsid w:val="00AD0C76"/>
    <w:rsid w:val="00AD0D96"/>
    <w:rsid w:val="00AD118A"/>
    <w:rsid w:val="00AD142A"/>
    <w:rsid w:val="00AD2B3A"/>
    <w:rsid w:val="00AD2C81"/>
    <w:rsid w:val="00AD2E2D"/>
    <w:rsid w:val="00AD3A17"/>
    <w:rsid w:val="00AD41B8"/>
    <w:rsid w:val="00AD52A8"/>
    <w:rsid w:val="00AD539A"/>
    <w:rsid w:val="00AD7425"/>
    <w:rsid w:val="00AD7E50"/>
    <w:rsid w:val="00AE0845"/>
    <w:rsid w:val="00AE14B7"/>
    <w:rsid w:val="00AE15CF"/>
    <w:rsid w:val="00AE38AC"/>
    <w:rsid w:val="00AE51A4"/>
    <w:rsid w:val="00AE66DB"/>
    <w:rsid w:val="00AE6795"/>
    <w:rsid w:val="00AE68F2"/>
    <w:rsid w:val="00AF053D"/>
    <w:rsid w:val="00AF192C"/>
    <w:rsid w:val="00AF1A6D"/>
    <w:rsid w:val="00AF2A56"/>
    <w:rsid w:val="00AF2A7D"/>
    <w:rsid w:val="00AF319A"/>
    <w:rsid w:val="00AF37AE"/>
    <w:rsid w:val="00AF3F0B"/>
    <w:rsid w:val="00AF3F39"/>
    <w:rsid w:val="00AF425E"/>
    <w:rsid w:val="00AF5D6E"/>
    <w:rsid w:val="00AF5F8F"/>
    <w:rsid w:val="00AF627B"/>
    <w:rsid w:val="00B00198"/>
    <w:rsid w:val="00B00E76"/>
    <w:rsid w:val="00B01098"/>
    <w:rsid w:val="00B018A9"/>
    <w:rsid w:val="00B020A2"/>
    <w:rsid w:val="00B022F2"/>
    <w:rsid w:val="00B02409"/>
    <w:rsid w:val="00B02AC2"/>
    <w:rsid w:val="00B02CA2"/>
    <w:rsid w:val="00B02EDE"/>
    <w:rsid w:val="00B03578"/>
    <w:rsid w:val="00B03C2E"/>
    <w:rsid w:val="00B03CA3"/>
    <w:rsid w:val="00B03DD2"/>
    <w:rsid w:val="00B04473"/>
    <w:rsid w:val="00B04934"/>
    <w:rsid w:val="00B04990"/>
    <w:rsid w:val="00B0548B"/>
    <w:rsid w:val="00B05894"/>
    <w:rsid w:val="00B05D4C"/>
    <w:rsid w:val="00B06042"/>
    <w:rsid w:val="00B10D1C"/>
    <w:rsid w:val="00B11956"/>
    <w:rsid w:val="00B11DDA"/>
    <w:rsid w:val="00B11F79"/>
    <w:rsid w:val="00B1224D"/>
    <w:rsid w:val="00B126C7"/>
    <w:rsid w:val="00B13C07"/>
    <w:rsid w:val="00B14245"/>
    <w:rsid w:val="00B1427F"/>
    <w:rsid w:val="00B1461B"/>
    <w:rsid w:val="00B14E6A"/>
    <w:rsid w:val="00B1505D"/>
    <w:rsid w:val="00B150B8"/>
    <w:rsid w:val="00B15324"/>
    <w:rsid w:val="00B15C84"/>
    <w:rsid w:val="00B15CCB"/>
    <w:rsid w:val="00B16630"/>
    <w:rsid w:val="00B169A0"/>
    <w:rsid w:val="00B16D55"/>
    <w:rsid w:val="00B17659"/>
    <w:rsid w:val="00B20D54"/>
    <w:rsid w:val="00B2108F"/>
    <w:rsid w:val="00B21318"/>
    <w:rsid w:val="00B21985"/>
    <w:rsid w:val="00B21D66"/>
    <w:rsid w:val="00B220D0"/>
    <w:rsid w:val="00B22A8C"/>
    <w:rsid w:val="00B232A4"/>
    <w:rsid w:val="00B233E3"/>
    <w:rsid w:val="00B2343A"/>
    <w:rsid w:val="00B2345C"/>
    <w:rsid w:val="00B24C22"/>
    <w:rsid w:val="00B25171"/>
    <w:rsid w:val="00B257FB"/>
    <w:rsid w:val="00B25929"/>
    <w:rsid w:val="00B26802"/>
    <w:rsid w:val="00B26924"/>
    <w:rsid w:val="00B26F81"/>
    <w:rsid w:val="00B27320"/>
    <w:rsid w:val="00B27499"/>
    <w:rsid w:val="00B276D8"/>
    <w:rsid w:val="00B2799B"/>
    <w:rsid w:val="00B27EBD"/>
    <w:rsid w:val="00B30380"/>
    <w:rsid w:val="00B312B6"/>
    <w:rsid w:val="00B31843"/>
    <w:rsid w:val="00B3198C"/>
    <w:rsid w:val="00B31E65"/>
    <w:rsid w:val="00B31F5C"/>
    <w:rsid w:val="00B3220F"/>
    <w:rsid w:val="00B32AC4"/>
    <w:rsid w:val="00B32CBE"/>
    <w:rsid w:val="00B3351B"/>
    <w:rsid w:val="00B336F5"/>
    <w:rsid w:val="00B337F8"/>
    <w:rsid w:val="00B3491F"/>
    <w:rsid w:val="00B34DA2"/>
    <w:rsid w:val="00B35805"/>
    <w:rsid w:val="00B35E51"/>
    <w:rsid w:val="00B36745"/>
    <w:rsid w:val="00B36818"/>
    <w:rsid w:val="00B370B0"/>
    <w:rsid w:val="00B370CB"/>
    <w:rsid w:val="00B374E8"/>
    <w:rsid w:val="00B376EB"/>
    <w:rsid w:val="00B37807"/>
    <w:rsid w:val="00B379F3"/>
    <w:rsid w:val="00B37A2D"/>
    <w:rsid w:val="00B407A4"/>
    <w:rsid w:val="00B408C8"/>
    <w:rsid w:val="00B408F6"/>
    <w:rsid w:val="00B40C3A"/>
    <w:rsid w:val="00B40D9D"/>
    <w:rsid w:val="00B41064"/>
    <w:rsid w:val="00B41851"/>
    <w:rsid w:val="00B41DC1"/>
    <w:rsid w:val="00B41F93"/>
    <w:rsid w:val="00B42032"/>
    <w:rsid w:val="00B4217A"/>
    <w:rsid w:val="00B4288F"/>
    <w:rsid w:val="00B42EB7"/>
    <w:rsid w:val="00B42F29"/>
    <w:rsid w:val="00B43608"/>
    <w:rsid w:val="00B4373F"/>
    <w:rsid w:val="00B441B4"/>
    <w:rsid w:val="00B44934"/>
    <w:rsid w:val="00B44B63"/>
    <w:rsid w:val="00B44DE1"/>
    <w:rsid w:val="00B45C7B"/>
    <w:rsid w:val="00B4680A"/>
    <w:rsid w:val="00B46A8D"/>
    <w:rsid w:val="00B46F3D"/>
    <w:rsid w:val="00B47039"/>
    <w:rsid w:val="00B47162"/>
    <w:rsid w:val="00B479DA"/>
    <w:rsid w:val="00B47C5B"/>
    <w:rsid w:val="00B47E69"/>
    <w:rsid w:val="00B47EE6"/>
    <w:rsid w:val="00B47FAD"/>
    <w:rsid w:val="00B500E0"/>
    <w:rsid w:val="00B50835"/>
    <w:rsid w:val="00B51751"/>
    <w:rsid w:val="00B51E64"/>
    <w:rsid w:val="00B5229D"/>
    <w:rsid w:val="00B532D2"/>
    <w:rsid w:val="00B533B4"/>
    <w:rsid w:val="00B53919"/>
    <w:rsid w:val="00B53C70"/>
    <w:rsid w:val="00B54152"/>
    <w:rsid w:val="00B54E1A"/>
    <w:rsid w:val="00B559A8"/>
    <w:rsid w:val="00B56686"/>
    <w:rsid w:val="00B569CA"/>
    <w:rsid w:val="00B56F42"/>
    <w:rsid w:val="00B56FB8"/>
    <w:rsid w:val="00B570C2"/>
    <w:rsid w:val="00B576BB"/>
    <w:rsid w:val="00B5785F"/>
    <w:rsid w:val="00B605A5"/>
    <w:rsid w:val="00B6085E"/>
    <w:rsid w:val="00B60B68"/>
    <w:rsid w:val="00B61A66"/>
    <w:rsid w:val="00B61BBB"/>
    <w:rsid w:val="00B62155"/>
    <w:rsid w:val="00B6346F"/>
    <w:rsid w:val="00B644D3"/>
    <w:rsid w:val="00B64B30"/>
    <w:rsid w:val="00B652D4"/>
    <w:rsid w:val="00B65DCD"/>
    <w:rsid w:val="00B661BC"/>
    <w:rsid w:val="00B6624E"/>
    <w:rsid w:val="00B66438"/>
    <w:rsid w:val="00B66A24"/>
    <w:rsid w:val="00B66B4D"/>
    <w:rsid w:val="00B67461"/>
    <w:rsid w:val="00B67970"/>
    <w:rsid w:val="00B67A55"/>
    <w:rsid w:val="00B70A46"/>
    <w:rsid w:val="00B7123E"/>
    <w:rsid w:val="00B72B18"/>
    <w:rsid w:val="00B73E91"/>
    <w:rsid w:val="00B73F20"/>
    <w:rsid w:val="00B7519A"/>
    <w:rsid w:val="00B75253"/>
    <w:rsid w:val="00B75DCD"/>
    <w:rsid w:val="00B75E37"/>
    <w:rsid w:val="00B76643"/>
    <w:rsid w:val="00B767C0"/>
    <w:rsid w:val="00B76EDE"/>
    <w:rsid w:val="00B77F9C"/>
    <w:rsid w:val="00B803C2"/>
    <w:rsid w:val="00B808D1"/>
    <w:rsid w:val="00B812B4"/>
    <w:rsid w:val="00B8199A"/>
    <w:rsid w:val="00B8212B"/>
    <w:rsid w:val="00B82D03"/>
    <w:rsid w:val="00B83174"/>
    <w:rsid w:val="00B83AEE"/>
    <w:rsid w:val="00B83F98"/>
    <w:rsid w:val="00B84F41"/>
    <w:rsid w:val="00B85CEF"/>
    <w:rsid w:val="00B85F0C"/>
    <w:rsid w:val="00B85F61"/>
    <w:rsid w:val="00B86118"/>
    <w:rsid w:val="00B8666C"/>
    <w:rsid w:val="00B87383"/>
    <w:rsid w:val="00B87471"/>
    <w:rsid w:val="00B879F9"/>
    <w:rsid w:val="00B87C33"/>
    <w:rsid w:val="00B90F42"/>
    <w:rsid w:val="00B914EA"/>
    <w:rsid w:val="00B91EA0"/>
    <w:rsid w:val="00B93968"/>
    <w:rsid w:val="00B94391"/>
    <w:rsid w:val="00B94775"/>
    <w:rsid w:val="00B956DD"/>
    <w:rsid w:val="00B96147"/>
    <w:rsid w:val="00B96288"/>
    <w:rsid w:val="00B96F3F"/>
    <w:rsid w:val="00B97521"/>
    <w:rsid w:val="00B978B3"/>
    <w:rsid w:val="00BA032B"/>
    <w:rsid w:val="00BA0734"/>
    <w:rsid w:val="00BA1811"/>
    <w:rsid w:val="00BA21C9"/>
    <w:rsid w:val="00BA25AB"/>
    <w:rsid w:val="00BA3253"/>
    <w:rsid w:val="00BA434B"/>
    <w:rsid w:val="00BA4C27"/>
    <w:rsid w:val="00BA4F20"/>
    <w:rsid w:val="00BA50AC"/>
    <w:rsid w:val="00BA5230"/>
    <w:rsid w:val="00BA5376"/>
    <w:rsid w:val="00BA53F5"/>
    <w:rsid w:val="00BA5DBE"/>
    <w:rsid w:val="00BA631E"/>
    <w:rsid w:val="00BA66D4"/>
    <w:rsid w:val="00BA69D8"/>
    <w:rsid w:val="00BA6CE2"/>
    <w:rsid w:val="00BA7850"/>
    <w:rsid w:val="00BA7905"/>
    <w:rsid w:val="00BB0319"/>
    <w:rsid w:val="00BB070F"/>
    <w:rsid w:val="00BB1E6A"/>
    <w:rsid w:val="00BB1FEB"/>
    <w:rsid w:val="00BB23CB"/>
    <w:rsid w:val="00BB2908"/>
    <w:rsid w:val="00BB2C83"/>
    <w:rsid w:val="00BB3029"/>
    <w:rsid w:val="00BB474C"/>
    <w:rsid w:val="00BB4A37"/>
    <w:rsid w:val="00BB4B21"/>
    <w:rsid w:val="00BB53B7"/>
    <w:rsid w:val="00BB5F13"/>
    <w:rsid w:val="00BB631A"/>
    <w:rsid w:val="00BB6D17"/>
    <w:rsid w:val="00BB7862"/>
    <w:rsid w:val="00BB7DBC"/>
    <w:rsid w:val="00BB7FAC"/>
    <w:rsid w:val="00BC0AD4"/>
    <w:rsid w:val="00BC0F48"/>
    <w:rsid w:val="00BC1CE1"/>
    <w:rsid w:val="00BC29B6"/>
    <w:rsid w:val="00BC388A"/>
    <w:rsid w:val="00BC395E"/>
    <w:rsid w:val="00BC39EE"/>
    <w:rsid w:val="00BC4EFD"/>
    <w:rsid w:val="00BC50A9"/>
    <w:rsid w:val="00BC50CF"/>
    <w:rsid w:val="00BC5D6D"/>
    <w:rsid w:val="00BC6431"/>
    <w:rsid w:val="00BC6F31"/>
    <w:rsid w:val="00BC70FA"/>
    <w:rsid w:val="00BC78A7"/>
    <w:rsid w:val="00BC7B12"/>
    <w:rsid w:val="00BC7CBC"/>
    <w:rsid w:val="00BC7F61"/>
    <w:rsid w:val="00BD10A1"/>
    <w:rsid w:val="00BD10FA"/>
    <w:rsid w:val="00BD15DC"/>
    <w:rsid w:val="00BD1C32"/>
    <w:rsid w:val="00BD1C73"/>
    <w:rsid w:val="00BD2002"/>
    <w:rsid w:val="00BD2621"/>
    <w:rsid w:val="00BD269E"/>
    <w:rsid w:val="00BD2FCB"/>
    <w:rsid w:val="00BD3660"/>
    <w:rsid w:val="00BD3B4B"/>
    <w:rsid w:val="00BD416A"/>
    <w:rsid w:val="00BD416C"/>
    <w:rsid w:val="00BD4D30"/>
    <w:rsid w:val="00BD4DE1"/>
    <w:rsid w:val="00BD5005"/>
    <w:rsid w:val="00BD5212"/>
    <w:rsid w:val="00BD740E"/>
    <w:rsid w:val="00BD772E"/>
    <w:rsid w:val="00BD7857"/>
    <w:rsid w:val="00BD7A68"/>
    <w:rsid w:val="00BE22AA"/>
    <w:rsid w:val="00BE2943"/>
    <w:rsid w:val="00BE3032"/>
    <w:rsid w:val="00BE321D"/>
    <w:rsid w:val="00BE3B33"/>
    <w:rsid w:val="00BE42D3"/>
    <w:rsid w:val="00BE471F"/>
    <w:rsid w:val="00BE4D55"/>
    <w:rsid w:val="00BE4D80"/>
    <w:rsid w:val="00BE5562"/>
    <w:rsid w:val="00BE5DCB"/>
    <w:rsid w:val="00BE600B"/>
    <w:rsid w:val="00BE609F"/>
    <w:rsid w:val="00BE63F6"/>
    <w:rsid w:val="00BE678F"/>
    <w:rsid w:val="00BE72CF"/>
    <w:rsid w:val="00BE73AF"/>
    <w:rsid w:val="00BE74D2"/>
    <w:rsid w:val="00BE75E6"/>
    <w:rsid w:val="00BE7877"/>
    <w:rsid w:val="00BF07C2"/>
    <w:rsid w:val="00BF1EAC"/>
    <w:rsid w:val="00BF22B8"/>
    <w:rsid w:val="00BF2382"/>
    <w:rsid w:val="00BF2B52"/>
    <w:rsid w:val="00BF2D77"/>
    <w:rsid w:val="00BF350E"/>
    <w:rsid w:val="00BF3620"/>
    <w:rsid w:val="00BF3746"/>
    <w:rsid w:val="00BF38A3"/>
    <w:rsid w:val="00BF3B32"/>
    <w:rsid w:val="00BF41FB"/>
    <w:rsid w:val="00BF4513"/>
    <w:rsid w:val="00BF6C26"/>
    <w:rsid w:val="00BF7424"/>
    <w:rsid w:val="00BF7642"/>
    <w:rsid w:val="00C00270"/>
    <w:rsid w:val="00C01DFC"/>
    <w:rsid w:val="00C020E8"/>
    <w:rsid w:val="00C02268"/>
    <w:rsid w:val="00C023F4"/>
    <w:rsid w:val="00C030A0"/>
    <w:rsid w:val="00C032DA"/>
    <w:rsid w:val="00C03379"/>
    <w:rsid w:val="00C034CD"/>
    <w:rsid w:val="00C03B1E"/>
    <w:rsid w:val="00C03B72"/>
    <w:rsid w:val="00C04617"/>
    <w:rsid w:val="00C04718"/>
    <w:rsid w:val="00C057FC"/>
    <w:rsid w:val="00C065D5"/>
    <w:rsid w:val="00C06835"/>
    <w:rsid w:val="00C071F7"/>
    <w:rsid w:val="00C07672"/>
    <w:rsid w:val="00C101E4"/>
    <w:rsid w:val="00C10D63"/>
    <w:rsid w:val="00C11331"/>
    <w:rsid w:val="00C11A93"/>
    <w:rsid w:val="00C12152"/>
    <w:rsid w:val="00C125ED"/>
    <w:rsid w:val="00C127EB"/>
    <w:rsid w:val="00C12996"/>
    <w:rsid w:val="00C12F9E"/>
    <w:rsid w:val="00C13702"/>
    <w:rsid w:val="00C13777"/>
    <w:rsid w:val="00C13798"/>
    <w:rsid w:val="00C147C5"/>
    <w:rsid w:val="00C15428"/>
    <w:rsid w:val="00C1593C"/>
    <w:rsid w:val="00C1670F"/>
    <w:rsid w:val="00C173D2"/>
    <w:rsid w:val="00C1776E"/>
    <w:rsid w:val="00C17805"/>
    <w:rsid w:val="00C204A2"/>
    <w:rsid w:val="00C20EC5"/>
    <w:rsid w:val="00C212E8"/>
    <w:rsid w:val="00C21A0F"/>
    <w:rsid w:val="00C2234C"/>
    <w:rsid w:val="00C22422"/>
    <w:rsid w:val="00C233C6"/>
    <w:rsid w:val="00C2473E"/>
    <w:rsid w:val="00C25027"/>
    <w:rsid w:val="00C25230"/>
    <w:rsid w:val="00C25BA3"/>
    <w:rsid w:val="00C25F0B"/>
    <w:rsid w:val="00C26150"/>
    <w:rsid w:val="00C26549"/>
    <w:rsid w:val="00C266A9"/>
    <w:rsid w:val="00C2733D"/>
    <w:rsid w:val="00C27A2E"/>
    <w:rsid w:val="00C27B2A"/>
    <w:rsid w:val="00C31350"/>
    <w:rsid w:val="00C3144C"/>
    <w:rsid w:val="00C314F3"/>
    <w:rsid w:val="00C31BC2"/>
    <w:rsid w:val="00C31FF7"/>
    <w:rsid w:val="00C32450"/>
    <w:rsid w:val="00C32A2A"/>
    <w:rsid w:val="00C33422"/>
    <w:rsid w:val="00C33AB3"/>
    <w:rsid w:val="00C33F47"/>
    <w:rsid w:val="00C34490"/>
    <w:rsid w:val="00C345E8"/>
    <w:rsid w:val="00C347B6"/>
    <w:rsid w:val="00C35B5E"/>
    <w:rsid w:val="00C35F30"/>
    <w:rsid w:val="00C36211"/>
    <w:rsid w:val="00C363C6"/>
    <w:rsid w:val="00C36A99"/>
    <w:rsid w:val="00C36F81"/>
    <w:rsid w:val="00C37CC2"/>
    <w:rsid w:val="00C400EF"/>
    <w:rsid w:val="00C40231"/>
    <w:rsid w:val="00C4043A"/>
    <w:rsid w:val="00C405A6"/>
    <w:rsid w:val="00C40955"/>
    <w:rsid w:val="00C41A94"/>
    <w:rsid w:val="00C433A2"/>
    <w:rsid w:val="00C43B5A"/>
    <w:rsid w:val="00C43DE6"/>
    <w:rsid w:val="00C44868"/>
    <w:rsid w:val="00C44E8D"/>
    <w:rsid w:val="00C4690F"/>
    <w:rsid w:val="00C46A2B"/>
    <w:rsid w:val="00C46EED"/>
    <w:rsid w:val="00C47261"/>
    <w:rsid w:val="00C47324"/>
    <w:rsid w:val="00C474AE"/>
    <w:rsid w:val="00C4752E"/>
    <w:rsid w:val="00C4765E"/>
    <w:rsid w:val="00C47B61"/>
    <w:rsid w:val="00C47E5D"/>
    <w:rsid w:val="00C50B5C"/>
    <w:rsid w:val="00C50D29"/>
    <w:rsid w:val="00C50DDE"/>
    <w:rsid w:val="00C5112B"/>
    <w:rsid w:val="00C51A51"/>
    <w:rsid w:val="00C52066"/>
    <w:rsid w:val="00C525A4"/>
    <w:rsid w:val="00C52D17"/>
    <w:rsid w:val="00C5318C"/>
    <w:rsid w:val="00C53428"/>
    <w:rsid w:val="00C53DD0"/>
    <w:rsid w:val="00C5486B"/>
    <w:rsid w:val="00C55632"/>
    <w:rsid w:val="00C55783"/>
    <w:rsid w:val="00C55BB5"/>
    <w:rsid w:val="00C560B8"/>
    <w:rsid w:val="00C57713"/>
    <w:rsid w:val="00C577FF"/>
    <w:rsid w:val="00C57BEC"/>
    <w:rsid w:val="00C60C7F"/>
    <w:rsid w:val="00C614CE"/>
    <w:rsid w:val="00C61552"/>
    <w:rsid w:val="00C6175F"/>
    <w:rsid w:val="00C61A01"/>
    <w:rsid w:val="00C6311D"/>
    <w:rsid w:val="00C63300"/>
    <w:rsid w:val="00C63DAB"/>
    <w:rsid w:val="00C64339"/>
    <w:rsid w:val="00C646A3"/>
    <w:rsid w:val="00C6497D"/>
    <w:rsid w:val="00C64B37"/>
    <w:rsid w:val="00C658AF"/>
    <w:rsid w:val="00C65E5F"/>
    <w:rsid w:val="00C65ED4"/>
    <w:rsid w:val="00C66981"/>
    <w:rsid w:val="00C66AE9"/>
    <w:rsid w:val="00C670F8"/>
    <w:rsid w:val="00C67C6E"/>
    <w:rsid w:val="00C701F7"/>
    <w:rsid w:val="00C70614"/>
    <w:rsid w:val="00C70C93"/>
    <w:rsid w:val="00C70CCA"/>
    <w:rsid w:val="00C71EA3"/>
    <w:rsid w:val="00C72BDF"/>
    <w:rsid w:val="00C72CB4"/>
    <w:rsid w:val="00C72F02"/>
    <w:rsid w:val="00C74BFE"/>
    <w:rsid w:val="00C752BF"/>
    <w:rsid w:val="00C75872"/>
    <w:rsid w:val="00C7597F"/>
    <w:rsid w:val="00C7634F"/>
    <w:rsid w:val="00C76EB2"/>
    <w:rsid w:val="00C775A0"/>
    <w:rsid w:val="00C80165"/>
    <w:rsid w:val="00C8058C"/>
    <w:rsid w:val="00C80E8E"/>
    <w:rsid w:val="00C815BA"/>
    <w:rsid w:val="00C815DB"/>
    <w:rsid w:val="00C81A42"/>
    <w:rsid w:val="00C81F82"/>
    <w:rsid w:val="00C82003"/>
    <w:rsid w:val="00C82055"/>
    <w:rsid w:val="00C82519"/>
    <w:rsid w:val="00C82663"/>
    <w:rsid w:val="00C8279D"/>
    <w:rsid w:val="00C8308A"/>
    <w:rsid w:val="00C830AB"/>
    <w:rsid w:val="00C8509C"/>
    <w:rsid w:val="00C85129"/>
    <w:rsid w:val="00C85B44"/>
    <w:rsid w:val="00C862BF"/>
    <w:rsid w:val="00C873F0"/>
    <w:rsid w:val="00C87712"/>
    <w:rsid w:val="00C9045C"/>
    <w:rsid w:val="00C90EC7"/>
    <w:rsid w:val="00C91750"/>
    <w:rsid w:val="00C91B46"/>
    <w:rsid w:val="00C92733"/>
    <w:rsid w:val="00C928F1"/>
    <w:rsid w:val="00C9290A"/>
    <w:rsid w:val="00C92954"/>
    <w:rsid w:val="00C92955"/>
    <w:rsid w:val="00C93163"/>
    <w:rsid w:val="00C93E0E"/>
    <w:rsid w:val="00C94867"/>
    <w:rsid w:val="00C94F86"/>
    <w:rsid w:val="00C95D53"/>
    <w:rsid w:val="00C95FBB"/>
    <w:rsid w:val="00C967DF"/>
    <w:rsid w:val="00C975AB"/>
    <w:rsid w:val="00C97842"/>
    <w:rsid w:val="00CA00EE"/>
    <w:rsid w:val="00CA0C7B"/>
    <w:rsid w:val="00CA0EEB"/>
    <w:rsid w:val="00CA1555"/>
    <w:rsid w:val="00CA1C66"/>
    <w:rsid w:val="00CA1D10"/>
    <w:rsid w:val="00CA1FCC"/>
    <w:rsid w:val="00CA208F"/>
    <w:rsid w:val="00CA2147"/>
    <w:rsid w:val="00CA2F47"/>
    <w:rsid w:val="00CA34C4"/>
    <w:rsid w:val="00CA3D50"/>
    <w:rsid w:val="00CA441A"/>
    <w:rsid w:val="00CA450B"/>
    <w:rsid w:val="00CA5E32"/>
    <w:rsid w:val="00CA6352"/>
    <w:rsid w:val="00CA6853"/>
    <w:rsid w:val="00CA6E0C"/>
    <w:rsid w:val="00CA6F60"/>
    <w:rsid w:val="00CB0A6A"/>
    <w:rsid w:val="00CB13F2"/>
    <w:rsid w:val="00CB147B"/>
    <w:rsid w:val="00CB1675"/>
    <w:rsid w:val="00CB1790"/>
    <w:rsid w:val="00CB1D8B"/>
    <w:rsid w:val="00CB209F"/>
    <w:rsid w:val="00CB23CF"/>
    <w:rsid w:val="00CB2E7F"/>
    <w:rsid w:val="00CB3E46"/>
    <w:rsid w:val="00CB4242"/>
    <w:rsid w:val="00CB489B"/>
    <w:rsid w:val="00CB5299"/>
    <w:rsid w:val="00CB5957"/>
    <w:rsid w:val="00CB63D1"/>
    <w:rsid w:val="00CB67B8"/>
    <w:rsid w:val="00CB73C5"/>
    <w:rsid w:val="00CB7788"/>
    <w:rsid w:val="00CC02F6"/>
    <w:rsid w:val="00CC0400"/>
    <w:rsid w:val="00CC0CBE"/>
    <w:rsid w:val="00CC1418"/>
    <w:rsid w:val="00CC16F5"/>
    <w:rsid w:val="00CC1C0C"/>
    <w:rsid w:val="00CC24FD"/>
    <w:rsid w:val="00CC2F0F"/>
    <w:rsid w:val="00CC3230"/>
    <w:rsid w:val="00CC334F"/>
    <w:rsid w:val="00CC33DF"/>
    <w:rsid w:val="00CC342F"/>
    <w:rsid w:val="00CC357A"/>
    <w:rsid w:val="00CC42E1"/>
    <w:rsid w:val="00CC4C10"/>
    <w:rsid w:val="00CC529A"/>
    <w:rsid w:val="00CC5579"/>
    <w:rsid w:val="00CC593F"/>
    <w:rsid w:val="00CC5CD2"/>
    <w:rsid w:val="00CC5D29"/>
    <w:rsid w:val="00CC5E0A"/>
    <w:rsid w:val="00CC5F48"/>
    <w:rsid w:val="00CC63C6"/>
    <w:rsid w:val="00CC6412"/>
    <w:rsid w:val="00CC69B8"/>
    <w:rsid w:val="00CC6BB8"/>
    <w:rsid w:val="00CC6C69"/>
    <w:rsid w:val="00CC7958"/>
    <w:rsid w:val="00CC7BAC"/>
    <w:rsid w:val="00CD01CA"/>
    <w:rsid w:val="00CD0956"/>
    <w:rsid w:val="00CD0E0E"/>
    <w:rsid w:val="00CD164F"/>
    <w:rsid w:val="00CD175B"/>
    <w:rsid w:val="00CD1AF2"/>
    <w:rsid w:val="00CD21B5"/>
    <w:rsid w:val="00CD29B6"/>
    <w:rsid w:val="00CD2C42"/>
    <w:rsid w:val="00CD342A"/>
    <w:rsid w:val="00CD38B4"/>
    <w:rsid w:val="00CD404E"/>
    <w:rsid w:val="00CD4DD5"/>
    <w:rsid w:val="00CD51F2"/>
    <w:rsid w:val="00CD5681"/>
    <w:rsid w:val="00CD579B"/>
    <w:rsid w:val="00CD5E0B"/>
    <w:rsid w:val="00CD6250"/>
    <w:rsid w:val="00CD6375"/>
    <w:rsid w:val="00CD686A"/>
    <w:rsid w:val="00CD6BBE"/>
    <w:rsid w:val="00CD712D"/>
    <w:rsid w:val="00CD7DCC"/>
    <w:rsid w:val="00CE0785"/>
    <w:rsid w:val="00CE191D"/>
    <w:rsid w:val="00CE1A20"/>
    <w:rsid w:val="00CE1E4D"/>
    <w:rsid w:val="00CE255B"/>
    <w:rsid w:val="00CE2F66"/>
    <w:rsid w:val="00CE310D"/>
    <w:rsid w:val="00CE389F"/>
    <w:rsid w:val="00CE3BA1"/>
    <w:rsid w:val="00CE49A5"/>
    <w:rsid w:val="00CE4B47"/>
    <w:rsid w:val="00CE5CB2"/>
    <w:rsid w:val="00CE77BF"/>
    <w:rsid w:val="00CE7839"/>
    <w:rsid w:val="00CF04BE"/>
    <w:rsid w:val="00CF0930"/>
    <w:rsid w:val="00CF09A5"/>
    <w:rsid w:val="00CF0E61"/>
    <w:rsid w:val="00CF1071"/>
    <w:rsid w:val="00CF127C"/>
    <w:rsid w:val="00CF14D6"/>
    <w:rsid w:val="00CF1650"/>
    <w:rsid w:val="00CF202D"/>
    <w:rsid w:val="00CF23FB"/>
    <w:rsid w:val="00CF27A8"/>
    <w:rsid w:val="00CF2E2F"/>
    <w:rsid w:val="00CF3466"/>
    <w:rsid w:val="00CF3F63"/>
    <w:rsid w:val="00CF3F64"/>
    <w:rsid w:val="00CF48A2"/>
    <w:rsid w:val="00CF4BAB"/>
    <w:rsid w:val="00CF4DA8"/>
    <w:rsid w:val="00CF4F97"/>
    <w:rsid w:val="00CF61CA"/>
    <w:rsid w:val="00CF6573"/>
    <w:rsid w:val="00CF6800"/>
    <w:rsid w:val="00CF6D49"/>
    <w:rsid w:val="00CF70F8"/>
    <w:rsid w:val="00CF7E09"/>
    <w:rsid w:val="00D00FB8"/>
    <w:rsid w:val="00D01009"/>
    <w:rsid w:val="00D012DA"/>
    <w:rsid w:val="00D0141D"/>
    <w:rsid w:val="00D01564"/>
    <w:rsid w:val="00D01B89"/>
    <w:rsid w:val="00D02475"/>
    <w:rsid w:val="00D02A21"/>
    <w:rsid w:val="00D02E91"/>
    <w:rsid w:val="00D02F28"/>
    <w:rsid w:val="00D03873"/>
    <w:rsid w:val="00D038CD"/>
    <w:rsid w:val="00D0393E"/>
    <w:rsid w:val="00D03F9E"/>
    <w:rsid w:val="00D0433F"/>
    <w:rsid w:val="00D05CEC"/>
    <w:rsid w:val="00D05D63"/>
    <w:rsid w:val="00D06446"/>
    <w:rsid w:val="00D06717"/>
    <w:rsid w:val="00D06956"/>
    <w:rsid w:val="00D07220"/>
    <w:rsid w:val="00D07383"/>
    <w:rsid w:val="00D0740C"/>
    <w:rsid w:val="00D07542"/>
    <w:rsid w:val="00D07863"/>
    <w:rsid w:val="00D108AE"/>
    <w:rsid w:val="00D10A08"/>
    <w:rsid w:val="00D11933"/>
    <w:rsid w:val="00D11A2C"/>
    <w:rsid w:val="00D12057"/>
    <w:rsid w:val="00D12129"/>
    <w:rsid w:val="00D121E6"/>
    <w:rsid w:val="00D12B76"/>
    <w:rsid w:val="00D12CEF"/>
    <w:rsid w:val="00D137CA"/>
    <w:rsid w:val="00D13EBD"/>
    <w:rsid w:val="00D150C1"/>
    <w:rsid w:val="00D16252"/>
    <w:rsid w:val="00D16680"/>
    <w:rsid w:val="00D16CE2"/>
    <w:rsid w:val="00D17674"/>
    <w:rsid w:val="00D17696"/>
    <w:rsid w:val="00D177A1"/>
    <w:rsid w:val="00D17879"/>
    <w:rsid w:val="00D17DFB"/>
    <w:rsid w:val="00D17EF8"/>
    <w:rsid w:val="00D17F41"/>
    <w:rsid w:val="00D202A9"/>
    <w:rsid w:val="00D2030D"/>
    <w:rsid w:val="00D203ED"/>
    <w:rsid w:val="00D20458"/>
    <w:rsid w:val="00D20711"/>
    <w:rsid w:val="00D20AF4"/>
    <w:rsid w:val="00D21D33"/>
    <w:rsid w:val="00D21E1C"/>
    <w:rsid w:val="00D2209B"/>
    <w:rsid w:val="00D223AC"/>
    <w:rsid w:val="00D225F1"/>
    <w:rsid w:val="00D22A5B"/>
    <w:rsid w:val="00D22B39"/>
    <w:rsid w:val="00D22E97"/>
    <w:rsid w:val="00D22F28"/>
    <w:rsid w:val="00D231D7"/>
    <w:rsid w:val="00D2330A"/>
    <w:rsid w:val="00D2373D"/>
    <w:rsid w:val="00D240E2"/>
    <w:rsid w:val="00D2422A"/>
    <w:rsid w:val="00D24405"/>
    <w:rsid w:val="00D24726"/>
    <w:rsid w:val="00D24AE2"/>
    <w:rsid w:val="00D24B64"/>
    <w:rsid w:val="00D2503D"/>
    <w:rsid w:val="00D25461"/>
    <w:rsid w:val="00D258CD"/>
    <w:rsid w:val="00D25EE6"/>
    <w:rsid w:val="00D2641A"/>
    <w:rsid w:val="00D26E41"/>
    <w:rsid w:val="00D26E78"/>
    <w:rsid w:val="00D27C7C"/>
    <w:rsid w:val="00D27CBE"/>
    <w:rsid w:val="00D30513"/>
    <w:rsid w:val="00D31F77"/>
    <w:rsid w:val="00D32962"/>
    <w:rsid w:val="00D32B82"/>
    <w:rsid w:val="00D32B91"/>
    <w:rsid w:val="00D3300E"/>
    <w:rsid w:val="00D3391F"/>
    <w:rsid w:val="00D33CF3"/>
    <w:rsid w:val="00D3488F"/>
    <w:rsid w:val="00D34EBB"/>
    <w:rsid w:val="00D3511F"/>
    <w:rsid w:val="00D36356"/>
    <w:rsid w:val="00D37779"/>
    <w:rsid w:val="00D37A30"/>
    <w:rsid w:val="00D37E76"/>
    <w:rsid w:val="00D423EB"/>
    <w:rsid w:val="00D426D7"/>
    <w:rsid w:val="00D42E30"/>
    <w:rsid w:val="00D43053"/>
    <w:rsid w:val="00D430B6"/>
    <w:rsid w:val="00D433AD"/>
    <w:rsid w:val="00D44832"/>
    <w:rsid w:val="00D44B50"/>
    <w:rsid w:val="00D46C0C"/>
    <w:rsid w:val="00D46F07"/>
    <w:rsid w:val="00D4728E"/>
    <w:rsid w:val="00D50087"/>
    <w:rsid w:val="00D511AF"/>
    <w:rsid w:val="00D51520"/>
    <w:rsid w:val="00D51DD3"/>
    <w:rsid w:val="00D5288C"/>
    <w:rsid w:val="00D53033"/>
    <w:rsid w:val="00D533ED"/>
    <w:rsid w:val="00D53766"/>
    <w:rsid w:val="00D53C4E"/>
    <w:rsid w:val="00D53E9F"/>
    <w:rsid w:val="00D53F85"/>
    <w:rsid w:val="00D543D9"/>
    <w:rsid w:val="00D545C6"/>
    <w:rsid w:val="00D54E11"/>
    <w:rsid w:val="00D55559"/>
    <w:rsid w:val="00D56027"/>
    <w:rsid w:val="00D5618B"/>
    <w:rsid w:val="00D56CC8"/>
    <w:rsid w:val="00D56DC7"/>
    <w:rsid w:val="00D57BB4"/>
    <w:rsid w:val="00D57BEF"/>
    <w:rsid w:val="00D6003E"/>
    <w:rsid w:val="00D60597"/>
    <w:rsid w:val="00D61243"/>
    <w:rsid w:val="00D61885"/>
    <w:rsid w:val="00D61D82"/>
    <w:rsid w:val="00D621F9"/>
    <w:rsid w:val="00D62388"/>
    <w:rsid w:val="00D62A61"/>
    <w:rsid w:val="00D63008"/>
    <w:rsid w:val="00D6302D"/>
    <w:rsid w:val="00D63931"/>
    <w:rsid w:val="00D63ABC"/>
    <w:rsid w:val="00D63ACF"/>
    <w:rsid w:val="00D63F63"/>
    <w:rsid w:val="00D64292"/>
    <w:rsid w:val="00D65055"/>
    <w:rsid w:val="00D654E5"/>
    <w:rsid w:val="00D656F4"/>
    <w:rsid w:val="00D65F9C"/>
    <w:rsid w:val="00D6606F"/>
    <w:rsid w:val="00D67F37"/>
    <w:rsid w:val="00D7060A"/>
    <w:rsid w:val="00D7074D"/>
    <w:rsid w:val="00D70D39"/>
    <w:rsid w:val="00D70E2D"/>
    <w:rsid w:val="00D71629"/>
    <w:rsid w:val="00D7235E"/>
    <w:rsid w:val="00D723BB"/>
    <w:rsid w:val="00D73ED9"/>
    <w:rsid w:val="00D73F91"/>
    <w:rsid w:val="00D74FDB"/>
    <w:rsid w:val="00D7527C"/>
    <w:rsid w:val="00D7551C"/>
    <w:rsid w:val="00D75A6A"/>
    <w:rsid w:val="00D76071"/>
    <w:rsid w:val="00D765D5"/>
    <w:rsid w:val="00D76FF5"/>
    <w:rsid w:val="00D77A0C"/>
    <w:rsid w:val="00D77E47"/>
    <w:rsid w:val="00D80448"/>
    <w:rsid w:val="00D80454"/>
    <w:rsid w:val="00D811B8"/>
    <w:rsid w:val="00D81288"/>
    <w:rsid w:val="00D81611"/>
    <w:rsid w:val="00D81A21"/>
    <w:rsid w:val="00D81B7F"/>
    <w:rsid w:val="00D81BDB"/>
    <w:rsid w:val="00D81E3A"/>
    <w:rsid w:val="00D828DD"/>
    <w:rsid w:val="00D83FC8"/>
    <w:rsid w:val="00D8434B"/>
    <w:rsid w:val="00D849C1"/>
    <w:rsid w:val="00D849C3"/>
    <w:rsid w:val="00D855E2"/>
    <w:rsid w:val="00D85874"/>
    <w:rsid w:val="00D85D29"/>
    <w:rsid w:val="00D86291"/>
    <w:rsid w:val="00D8653A"/>
    <w:rsid w:val="00D867BF"/>
    <w:rsid w:val="00D869E7"/>
    <w:rsid w:val="00D86DF0"/>
    <w:rsid w:val="00D901A8"/>
    <w:rsid w:val="00D9068E"/>
    <w:rsid w:val="00D907AE"/>
    <w:rsid w:val="00D90CD7"/>
    <w:rsid w:val="00D9150F"/>
    <w:rsid w:val="00D9167D"/>
    <w:rsid w:val="00D91C21"/>
    <w:rsid w:val="00D91D29"/>
    <w:rsid w:val="00D92C78"/>
    <w:rsid w:val="00D92D9D"/>
    <w:rsid w:val="00D9301F"/>
    <w:rsid w:val="00D93878"/>
    <w:rsid w:val="00D9394E"/>
    <w:rsid w:val="00D93EAB"/>
    <w:rsid w:val="00D94786"/>
    <w:rsid w:val="00D947F9"/>
    <w:rsid w:val="00D95F0C"/>
    <w:rsid w:val="00D96511"/>
    <w:rsid w:val="00D9725B"/>
    <w:rsid w:val="00D97822"/>
    <w:rsid w:val="00D97CBB"/>
    <w:rsid w:val="00DA019D"/>
    <w:rsid w:val="00DA02BA"/>
    <w:rsid w:val="00DA15FE"/>
    <w:rsid w:val="00DA2F7A"/>
    <w:rsid w:val="00DA305E"/>
    <w:rsid w:val="00DA312B"/>
    <w:rsid w:val="00DA41B3"/>
    <w:rsid w:val="00DA45B5"/>
    <w:rsid w:val="00DA4E33"/>
    <w:rsid w:val="00DA5142"/>
    <w:rsid w:val="00DA5453"/>
    <w:rsid w:val="00DA581A"/>
    <w:rsid w:val="00DA655A"/>
    <w:rsid w:val="00DA65BB"/>
    <w:rsid w:val="00DA698F"/>
    <w:rsid w:val="00DA78F2"/>
    <w:rsid w:val="00DB0146"/>
    <w:rsid w:val="00DB014C"/>
    <w:rsid w:val="00DB05E8"/>
    <w:rsid w:val="00DB0B95"/>
    <w:rsid w:val="00DB17A9"/>
    <w:rsid w:val="00DB182D"/>
    <w:rsid w:val="00DB2AF4"/>
    <w:rsid w:val="00DB2B3F"/>
    <w:rsid w:val="00DB3224"/>
    <w:rsid w:val="00DB3436"/>
    <w:rsid w:val="00DB34A8"/>
    <w:rsid w:val="00DB48DC"/>
    <w:rsid w:val="00DB4C06"/>
    <w:rsid w:val="00DB4C60"/>
    <w:rsid w:val="00DB4CE1"/>
    <w:rsid w:val="00DB4F83"/>
    <w:rsid w:val="00DB51DC"/>
    <w:rsid w:val="00DB5BFC"/>
    <w:rsid w:val="00DB5DAA"/>
    <w:rsid w:val="00DB622E"/>
    <w:rsid w:val="00DB6E1F"/>
    <w:rsid w:val="00DB7202"/>
    <w:rsid w:val="00DB73D9"/>
    <w:rsid w:val="00DB7437"/>
    <w:rsid w:val="00DC0000"/>
    <w:rsid w:val="00DC0D41"/>
    <w:rsid w:val="00DC1253"/>
    <w:rsid w:val="00DC2C84"/>
    <w:rsid w:val="00DC3880"/>
    <w:rsid w:val="00DC3AC7"/>
    <w:rsid w:val="00DC4A19"/>
    <w:rsid w:val="00DC4F4A"/>
    <w:rsid w:val="00DC67E3"/>
    <w:rsid w:val="00DC6CD1"/>
    <w:rsid w:val="00DC6F0A"/>
    <w:rsid w:val="00DD05D2"/>
    <w:rsid w:val="00DD08A1"/>
    <w:rsid w:val="00DD1208"/>
    <w:rsid w:val="00DD1406"/>
    <w:rsid w:val="00DD29BA"/>
    <w:rsid w:val="00DD2C6C"/>
    <w:rsid w:val="00DD3A85"/>
    <w:rsid w:val="00DD3F60"/>
    <w:rsid w:val="00DD42F9"/>
    <w:rsid w:val="00DD5916"/>
    <w:rsid w:val="00DD6733"/>
    <w:rsid w:val="00DD6995"/>
    <w:rsid w:val="00DD6C21"/>
    <w:rsid w:val="00DD77DF"/>
    <w:rsid w:val="00DD7B51"/>
    <w:rsid w:val="00DE05E2"/>
    <w:rsid w:val="00DE0F75"/>
    <w:rsid w:val="00DE103A"/>
    <w:rsid w:val="00DE2070"/>
    <w:rsid w:val="00DE2465"/>
    <w:rsid w:val="00DE3A61"/>
    <w:rsid w:val="00DE556D"/>
    <w:rsid w:val="00DE583F"/>
    <w:rsid w:val="00DE5CA0"/>
    <w:rsid w:val="00DE704A"/>
    <w:rsid w:val="00DE7A10"/>
    <w:rsid w:val="00DE7D01"/>
    <w:rsid w:val="00DE7DBE"/>
    <w:rsid w:val="00DF0137"/>
    <w:rsid w:val="00DF07F6"/>
    <w:rsid w:val="00DF086F"/>
    <w:rsid w:val="00DF0976"/>
    <w:rsid w:val="00DF187E"/>
    <w:rsid w:val="00DF1C63"/>
    <w:rsid w:val="00DF1E1B"/>
    <w:rsid w:val="00DF2095"/>
    <w:rsid w:val="00DF3096"/>
    <w:rsid w:val="00DF32C8"/>
    <w:rsid w:val="00DF33B4"/>
    <w:rsid w:val="00DF44C6"/>
    <w:rsid w:val="00DF55EE"/>
    <w:rsid w:val="00DF56C6"/>
    <w:rsid w:val="00DF5A76"/>
    <w:rsid w:val="00DF5BF6"/>
    <w:rsid w:val="00DF60D4"/>
    <w:rsid w:val="00DF6283"/>
    <w:rsid w:val="00DF63D6"/>
    <w:rsid w:val="00DF63D7"/>
    <w:rsid w:val="00DF6714"/>
    <w:rsid w:val="00DF78D1"/>
    <w:rsid w:val="00DF7980"/>
    <w:rsid w:val="00DF7BEA"/>
    <w:rsid w:val="00DF7C35"/>
    <w:rsid w:val="00E00067"/>
    <w:rsid w:val="00E0098F"/>
    <w:rsid w:val="00E01A6D"/>
    <w:rsid w:val="00E02578"/>
    <w:rsid w:val="00E02BCD"/>
    <w:rsid w:val="00E03A48"/>
    <w:rsid w:val="00E03C5F"/>
    <w:rsid w:val="00E03D34"/>
    <w:rsid w:val="00E03DBA"/>
    <w:rsid w:val="00E04468"/>
    <w:rsid w:val="00E04BDF"/>
    <w:rsid w:val="00E053EF"/>
    <w:rsid w:val="00E056A8"/>
    <w:rsid w:val="00E06893"/>
    <w:rsid w:val="00E06DF9"/>
    <w:rsid w:val="00E06FBA"/>
    <w:rsid w:val="00E07038"/>
    <w:rsid w:val="00E071EF"/>
    <w:rsid w:val="00E07B52"/>
    <w:rsid w:val="00E07FD8"/>
    <w:rsid w:val="00E1100F"/>
    <w:rsid w:val="00E110A8"/>
    <w:rsid w:val="00E11F81"/>
    <w:rsid w:val="00E12A42"/>
    <w:rsid w:val="00E12E1A"/>
    <w:rsid w:val="00E12EB4"/>
    <w:rsid w:val="00E13270"/>
    <w:rsid w:val="00E1394D"/>
    <w:rsid w:val="00E13D08"/>
    <w:rsid w:val="00E14733"/>
    <w:rsid w:val="00E15F70"/>
    <w:rsid w:val="00E16710"/>
    <w:rsid w:val="00E16BB5"/>
    <w:rsid w:val="00E16EC0"/>
    <w:rsid w:val="00E17A6E"/>
    <w:rsid w:val="00E17E9B"/>
    <w:rsid w:val="00E20062"/>
    <w:rsid w:val="00E20354"/>
    <w:rsid w:val="00E20D07"/>
    <w:rsid w:val="00E216D2"/>
    <w:rsid w:val="00E21AEB"/>
    <w:rsid w:val="00E22FF4"/>
    <w:rsid w:val="00E24829"/>
    <w:rsid w:val="00E2508F"/>
    <w:rsid w:val="00E25292"/>
    <w:rsid w:val="00E25F29"/>
    <w:rsid w:val="00E25FD1"/>
    <w:rsid w:val="00E264D0"/>
    <w:rsid w:val="00E26566"/>
    <w:rsid w:val="00E26A76"/>
    <w:rsid w:val="00E27198"/>
    <w:rsid w:val="00E27270"/>
    <w:rsid w:val="00E27282"/>
    <w:rsid w:val="00E2740F"/>
    <w:rsid w:val="00E27516"/>
    <w:rsid w:val="00E27C19"/>
    <w:rsid w:val="00E27DE4"/>
    <w:rsid w:val="00E300A9"/>
    <w:rsid w:val="00E3113B"/>
    <w:rsid w:val="00E31299"/>
    <w:rsid w:val="00E320E9"/>
    <w:rsid w:val="00E325A3"/>
    <w:rsid w:val="00E3301D"/>
    <w:rsid w:val="00E33C89"/>
    <w:rsid w:val="00E33DA6"/>
    <w:rsid w:val="00E342B9"/>
    <w:rsid w:val="00E343B5"/>
    <w:rsid w:val="00E353E5"/>
    <w:rsid w:val="00E35FA9"/>
    <w:rsid w:val="00E36D51"/>
    <w:rsid w:val="00E36E59"/>
    <w:rsid w:val="00E37321"/>
    <w:rsid w:val="00E3773D"/>
    <w:rsid w:val="00E37771"/>
    <w:rsid w:val="00E379A4"/>
    <w:rsid w:val="00E402A7"/>
    <w:rsid w:val="00E40827"/>
    <w:rsid w:val="00E40829"/>
    <w:rsid w:val="00E40E10"/>
    <w:rsid w:val="00E41752"/>
    <w:rsid w:val="00E41AF7"/>
    <w:rsid w:val="00E42120"/>
    <w:rsid w:val="00E43291"/>
    <w:rsid w:val="00E438D3"/>
    <w:rsid w:val="00E44250"/>
    <w:rsid w:val="00E45BA9"/>
    <w:rsid w:val="00E45BDA"/>
    <w:rsid w:val="00E45E48"/>
    <w:rsid w:val="00E45E6A"/>
    <w:rsid w:val="00E46228"/>
    <w:rsid w:val="00E46A14"/>
    <w:rsid w:val="00E47AB4"/>
    <w:rsid w:val="00E50D52"/>
    <w:rsid w:val="00E5236B"/>
    <w:rsid w:val="00E523E4"/>
    <w:rsid w:val="00E528B2"/>
    <w:rsid w:val="00E52A4E"/>
    <w:rsid w:val="00E52D3C"/>
    <w:rsid w:val="00E53068"/>
    <w:rsid w:val="00E5342F"/>
    <w:rsid w:val="00E53A39"/>
    <w:rsid w:val="00E53B5A"/>
    <w:rsid w:val="00E5412F"/>
    <w:rsid w:val="00E545C7"/>
    <w:rsid w:val="00E55CEE"/>
    <w:rsid w:val="00E55D28"/>
    <w:rsid w:val="00E55E14"/>
    <w:rsid w:val="00E56067"/>
    <w:rsid w:val="00E566B2"/>
    <w:rsid w:val="00E56A2B"/>
    <w:rsid w:val="00E56B66"/>
    <w:rsid w:val="00E56FD4"/>
    <w:rsid w:val="00E57013"/>
    <w:rsid w:val="00E5771D"/>
    <w:rsid w:val="00E6017B"/>
    <w:rsid w:val="00E60FE9"/>
    <w:rsid w:val="00E612BC"/>
    <w:rsid w:val="00E630FB"/>
    <w:rsid w:val="00E63121"/>
    <w:rsid w:val="00E631A0"/>
    <w:rsid w:val="00E636B5"/>
    <w:rsid w:val="00E6382D"/>
    <w:rsid w:val="00E6392B"/>
    <w:rsid w:val="00E639DA"/>
    <w:rsid w:val="00E63B18"/>
    <w:rsid w:val="00E64313"/>
    <w:rsid w:val="00E6476E"/>
    <w:rsid w:val="00E64ECF"/>
    <w:rsid w:val="00E651F3"/>
    <w:rsid w:val="00E655BB"/>
    <w:rsid w:val="00E65716"/>
    <w:rsid w:val="00E65873"/>
    <w:rsid w:val="00E664AC"/>
    <w:rsid w:val="00E66DFB"/>
    <w:rsid w:val="00E66E45"/>
    <w:rsid w:val="00E671A3"/>
    <w:rsid w:val="00E674BC"/>
    <w:rsid w:val="00E67549"/>
    <w:rsid w:val="00E67DF7"/>
    <w:rsid w:val="00E67F89"/>
    <w:rsid w:val="00E7155D"/>
    <w:rsid w:val="00E72370"/>
    <w:rsid w:val="00E725C6"/>
    <w:rsid w:val="00E7313C"/>
    <w:rsid w:val="00E73504"/>
    <w:rsid w:val="00E73D20"/>
    <w:rsid w:val="00E74643"/>
    <w:rsid w:val="00E74E24"/>
    <w:rsid w:val="00E74F24"/>
    <w:rsid w:val="00E75117"/>
    <w:rsid w:val="00E75530"/>
    <w:rsid w:val="00E759F8"/>
    <w:rsid w:val="00E75AE5"/>
    <w:rsid w:val="00E75F6A"/>
    <w:rsid w:val="00E76696"/>
    <w:rsid w:val="00E76AAB"/>
    <w:rsid w:val="00E76C0B"/>
    <w:rsid w:val="00E76CF0"/>
    <w:rsid w:val="00E76D3B"/>
    <w:rsid w:val="00E776E3"/>
    <w:rsid w:val="00E803A2"/>
    <w:rsid w:val="00E803DB"/>
    <w:rsid w:val="00E80581"/>
    <w:rsid w:val="00E805C1"/>
    <w:rsid w:val="00E80BFE"/>
    <w:rsid w:val="00E80D06"/>
    <w:rsid w:val="00E82D40"/>
    <w:rsid w:val="00E8301C"/>
    <w:rsid w:val="00E83B9A"/>
    <w:rsid w:val="00E83D42"/>
    <w:rsid w:val="00E840CE"/>
    <w:rsid w:val="00E84143"/>
    <w:rsid w:val="00E8420B"/>
    <w:rsid w:val="00E84346"/>
    <w:rsid w:val="00E84FF0"/>
    <w:rsid w:val="00E86A23"/>
    <w:rsid w:val="00E87851"/>
    <w:rsid w:val="00E901C6"/>
    <w:rsid w:val="00E90425"/>
    <w:rsid w:val="00E90877"/>
    <w:rsid w:val="00E9088D"/>
    <w:rsid w:val="00E90A47"/>
    <w:rsid w:val="00E90B8E"/>
    <w:rsid w:val="00E91879"/>
    <w:rsid w:val="00E91F23"/>
    <w:rsid w:val="00E934EC"/>
    <w:rsid w:val="00E93F8F"/>
    <w:rsid w:val="00E9586C"/>
    <w:rsid w:val="00E958B4"/>
    <w:rsid w:val="00E95A20"/>
    <w:rsid w:val="00E95D81"/>
    <w:rsid w:val="00E95DBB"/>
    <w:rsid w:val="00E9677C"/>
    <w:rsid w:val="00E96BA7"/>
    <w:rsid w:val="00E97500"/>
    <w:rsid w:val="00E976F5"/>
    <w:rsid w:val="00E97764"/>
    <w:rsid w:val="00E97EC3"/>
    <w:rsid w:val="00EA0457"/>
    <w:rsid w:val="00EA15B0"/>
    <w:rsid w:val="00EA1A13"/>
    <w:rsid w:val="00EA242D"/>
    <w:rsid w:val="00EA24D5"/>
    <w:rsid w:val="00EA2758"/>
    <w:rsid w:val="00EA27D0"/>
    <w:rsid w:val="00EA2D59"/>
    <w:rsid w:val="00EA4628"/>
    <w:rsid w:val="00EA47C3"/>
    <w:rsid w:val="00EA4822"/>
    <w:rsid w:val="00EA4C13"/>
    <w:rsid w:val="00EA4C6A"/>
    <w:rsid w:val="00EA56A8"/>
    <w:rsid w:val="00EA5C75"/>
    <w:rsid w:val="00EA6084"/>
    <w:rsid w:val="00EA6465"/>
    <w:rsid w:val="00EA7122"/>
    <w:rsid w:val="00EB07EB"/>
    <w:rsid w:val="00EB0CA9"/>
    <w:rsid w:val="00EB1049"/>
    <w:rsid w:val="00EB1063"/>
    <w:rsid w:val="00EB11F4"/>
    <w:rsid w:val="00EB14B3"/>
    <w:rsid w:val="00EB1B7B"/>
    <w:rsid w:val="00EB1E2A"/>
    <w:rsid w:val="00EB1EA1"/>
    <w:rsid w:val="00EB2289"/>
    <w:rsid w:val="00EB26BF"/>
    <w:rsid w:val="00EB2785"/>
    <w:rsid w:val="00EB2A88"/>
    <w:rsid w:val="00EB2D3A"/>
    <w:rsid w:val="00EB3732"/>
    <w:rsid w:val="00EB44EE"/>
    <w:rsid w:val="00EB471C"/>
    <w:rsid w:val="00EB4809"/>
    <w:rsid w:val="00EB49D5"/>
    <w:rsid w:val="00EB52A3"/>
    <w:rsid w:val="00EB5390"/>
    <w:rsid w:val="00EB5761"/>
    <w:rsid w:val="00EB5B2F"/>
    <w:rsid w:val="00EB5B65"/>
    <w:rsid w:val="00EB6BEC"/>
    <w:rsid w:val="00EB77ED"/>
    <w:rsid w:val="00EC0153"/>
    <w:rsid w:val="00EC0159"/>
    <w:rsid w:val="00EC0B8C"/>
    <w:rsid w:val="00EC0D94"/>
    <w:rsid w:val="00EC13B7"/>
    <w:rsid w:val="00EC14E2"/>
    <w:rsid w:val="00EC15D5"/>
    <w:rsid w:val="00EC1B11"/>
    <w:rsid w:val="00EC24B0"/>
    <w:rsid w:val="00EC2A7B"/>
    <w:rsid w:val="00EC2E63"/>
    <w:rsid w:val="00EC3046"/>
    <w:rsid w:val="00EC384F"/>
    <w:rsid w:val="00EC46AC"/>
    <w:rsid w:val="00EC4DE2"/>
    <w:rsid w:val="00EC4F21"/>
    <w:rsid w:val="00EC4F51"/>
    <w:rsid w:val="00EC596D"/>
    <w:rsid w:val="00EC65A0"/>
    <w:rsid w:val="00EC6721"/>
    <w:rsid w:val="00EC699A"/>
    <w:rsid w:val="00EC77A0"/>
    <w:rsid w:val="00EC7F33"/>
    <w:rsid w:val="00ED0C2A"/>
    <w:rsid w:val="00ED24E7"/>
    <w:rsid w:val="00ED2627"/>
    <w:rsid w:val="00ED264C"/>
    <w:rsid w:val="00ED26C0"/>
    <w:rsid w:val="00ED2A2B"/>
    <w:rsid w:val="00ED2F18"/>
    <w:rsid w:val="00ED2F33"/>
    <w:rsid w:val="00ED2FE9"/>
    <w:rsid w:val="00ED302C"/>
    <w:rsid w:val="00ED3370"/>
    <w:rsid w:val="00ED3D9F"/>
    <w:rsid w:val="00ED3DDD"/>
    <w:rsid w:val="00ED50FD"/>
    <w:rsid w:val="00ED5FB3"/>
    <w:rsid w:val="00ED6936"/>
    <w:rsid w:val="00ED7491"/>
    <w:rsid w:val="00EE0473"/>
    <w:rsid w:val="00EE0660"/>
    <w:rsid w:val="00EE14D1"/>
    <w:rsid w:val="00EE17AC"/>
    <w:rsid w:val="00EE195B"/>
    <w:rsid w:val="00EE277F"/>
    <w:rsid w:val="00EE2C71"/>
    <w:rsid w:val="00EE37C1"/>
    <w:rsid w:val="00EE37CE"/>
    <w:rsid w:val="00EE3ECC"/>
    <w:rsid w:val="00EE4576"/>
    <w:rsid w:val="00EE501A"/>
    <w:rsid w:val="00EE5E35"/>
    <w:rsid w:val="00EE6C2C"/>
    <w:rsid w:val="00EE7144"/>
    <w:rsid w:val="00EE7421"/>
    <w:rsid w:val="00EE7C38"/>
    <w:rsid w:val="00EE7C4E"/>
    <w:rsid w:val="00EF04F0"/>
    <w:rsid w:val="00EF0EF3"/>
    <w:rsid w:val="00EF17DF"/>
    <w:rsid w:val="00EF18DA"/>
    <w:rsid w:val="00EF1B17"/>
    <w:rsid w:val="00EF2025"/>
    <w:rsid w:val="00EF2F35"/>
    <w:rsid w:val="00EF330A"/>
    <w:rsid w:val="00EF39CE"/>
    <w:rsid w:val="00EF3A19"/>
    <w:rsid w:val="00EF466C"/>
    <w:rsid w:val="00EF4681"/>
    <w:rsid w:val="00EF4AFB"/>
    <w:rsid w:val="00EF5A5D"/>
    <w:rsid w:val="00EF5CBB"/>
    <w:rsid w:val="00EF62EC"/>
    <w:rsid w:val="00EF6A89"/>
    <w:rsid w:val="00EF6DA7"/>
    <w:rsid w:val="00EF729A"/>
    <w:rsid w:val="00EF787B"/>
    <w:rsid w:val="00EF79A3"/>
    <w:rsid w:val="00EF7A54"/>
    <w:rsid w:val="00F019D6"/>
    <w:rsid w:val="00F01EB3"/>
    <w:rsid w:val="00F01FE8"/>
    <w:rsid w:val="00F02FF7"/>
    <w:rsid w:val="00F03312"/>
    <w:rsid w:val="00F033E3"/>
    <w:rsid w:val="00F0430D"/>
    <w:rsid w:val="00F043E7"/>
    <w:rsid w:val="00F04501"/>
    <w:rsid w:val="00F047CF"/>
    <w:rsid w:val="00F04C10"/>
    <w:rsid w:val="00F05724"/>
    <w:rsid w:val="00F05966"/>
    <w:rsid w:val="00F068AF"/>
    <w:rsid w:val="00F06ADA"/>
    <w:rsid w:val="00F06E5F"/>
    <w:rsid w:val="00F06E9B"/>
    <w:rsid w:val="00F06F2B"/>
    <w:rsid w:val="00F07119"/>
    <w:rsid w:val="00F0767A"/>
    <w:rsid w:val="00F07ABC"/>
    <w:rsid w:val="00F10D72"/>
    <w:rsid w:val="00F1107E"/>
    <w:rsid w:val="00F11593"/>
    <w:rsid w:val="00F11AF1"/>
    <w:rsid w:val="00F1210D"/>
    <w:rsid w:val="00F13FEE"/>
    <w:rsid w:val="00F14B76"/>
    <w:rsid w:val="00F14CDC"/>
    <w:rsid w:val="00F14CEE"/>
    <w:rsid w:val="00F1507E"/>
    <w:rsid w:val="00F1555F"/>
    <w:rsid w:val="00F15C1A"/>
    <w:rsid w:val="00F16385"/>
    <w:rsid w:val="00F16961"/>
    <w:rsid w:val="00F16CA2"/>
    <w:rsid w:val="00F1750B"/>
    <w:rsid w:val="00F17AB3"/>
    <w:rsid w:val="00F17CE8"/>
    <w:rsid w:val="00F17DE9"/>
    <w:rsid w:val="00F2064E"/>
    <w:rsid w:val="00F206A8"/>
    <w:rsid w:val="00F20D24"/>
    <w:rsid w:val="00F213C2"/>
    <w:rsid w:val="00F21A03"/>
    <w:rsid w:val="00F21D85"/>
    <w:rsid w:val="00F22830"/>
    <w:rsid w:val="00F234CF"/>
    <w:rsid w:val="00F23808"/>
    <w:rsid w:val="00F23D48"/>
    <w:rsid w:val="00F24492"/>
    <w:rsid w:val="00F24530"/>
    <w:rsid w:val="00F246E2"/>
    <w:rsid w:val="00F24B3E"/>
    <w:rsid w:val="00F24C7E"/>
    <w:rsid w:val="00F25947"/>
    <w:rsid w:val="00F25B27"/>
    <w:rsid w:val="00F27B27"/>
    <w:rsid w:val="00F27D47"/>
    <w:rsid w:val="00F3019C"/>
    <w:rsid w:val="00F304EE"/>
    <w:rsid w:val="00F3053D"/>
    <w:rsid w:val="00F30E55"/>
    <w:rsid w:val="00F30EB1"/>
    <w:rsid w:val="00F31014"/>
    <w:rsid w:val="00F3155D"/>
    <w:rsid w:val="00F318F0"/>
    <w:rsid w:val="00F31CF4"/>
    <w:rsid w:val="00F31E81"/>
    <w:rsid w:val="00F31EC8"/>
    <w:rsid w:val="00F32074"/>
    <w:rsid w:val="00F3239B"/>
    <w:rsid w:val="00F32B7A"/>
    <w:rsid w:val="00F32ED2"/>
    <w:rsid w:val="00F33019"/>
    <w:rsid w:val="00F33872"/>
    <w:rsid w:val="00F34FF3"/>
    <w:rsid w:val="00F35398"/>
    <w:rsid w:val="00F356EB"/>
    <w:rsid w:val="00F35A1F"/>
    <w:rsid w:val="00F36071"/>
    <w:rsid w:val="00F3612C"/>
    <w:rsid w:val="00F36F10"/>
    <w:rsid w:val="00F371C1"/>
    <w:rsid w:val="00F374F4"/>
    <w:rsid w:val="00F376F7"/>
    <w:rsid w:val="00F37E3D"/>
    <w:rsid w:val="00F37F36"/>
    <w:rsid w:val="00F40330"/>
    <w:rsid w:val="00F40699"/>
    <w:rsid w:val="00F419D2"/>
    <w:rsid w:val="00F41DC4"/>
    <w:rsid w:val="00F41E7A"/>
    <w:rsid w:val="00F41F78"/>
    <w:rsid w:val="00F42A12"/>
    <w:rsid w:val="00F42B36"/>
    <w:rsid w:val="00F443EB"/>
    <w:rsid w:val="00F44825"/>
    <w:rsid w:val="00F4484E"/>
    <w:rsid w:val="00F44C3B"/>
    <w:rsid w:val="00F45113"/>
    <w:rsid w:val="00F4534B"/>
    <w:rsid w:val="00F460FE"/>
    <w:rsid w:val="00F4666A"/>
    <w:rsid w:val="00F468AA"/>
    <w:rsid w:val="00F4760E"/>
    <w:rsid w:val="00F47660"/>
    <w:rsid w:val="00F47814"/>
    <w:rsid w:val="00F512FB"/>
    <w:rsid w:val="00F51ADC"/>
    <w:rsid w:val="00F51B76"/>
    <w:rsid w:val="00F51CBD"/>
    <w:rsid w:val="00F52104"/>
    <w:rsid w:val="00F5257E"/>
    <w:rsid w:val="00F525AD"/>
    <w:rsid w:val="00F52623"/>
    <w:rsid w:val="00F52791"/>
    <w:rsid w:val="00F5288C"/>
    <w:rsid w:val="00F52A0F"/>
    <w:rsid w:val="00F54851"/>
    <w:rsid w:val="00F548DE"/>
    <w:rsid w:val="00F55925"/>
    <w:rsid w:val="00F55C90"/>
    <w:rsid w:val="00F55EB0"/>
    <w:rsid w:val="00F57125"/>
    <w:rsid w:val="00F60014"/>
    <w:rsid w:val="00F600B2"/>
    <w:rsid w:val="00F60183"/>
    <w:rsid w:val="00F60C09"/>
    <w:rsid w:val="00F615F2"/>
    <w:rsid w:val="00F61955"/>
    <w:rsid w:val="00F61BE1"/>
    <w:rsid w:val="00F61C39"/>
    <w:rsid w:val="00F62209"/>
    <w:rsid w:val="00F634D1"/>
    <w:rsid w:val="00F63604"/>
    <w:rsid w:val="00F63692"/>
    <w:rsid w:val="00F6404A"/>
    <w:rsid w:val="00F64911"/>
    <w:rsid w:val="00F663EB"/>
    <w:rsid w:val="00F664DE"/>
    <w:rsid w:val="00F675F4"/>
    <w:rsid w:val="00F67CF7"/>
    <w:rsid w:val="00F67F63"/>
    <w:rsid w:val="00F7024F"/>
    <w:rsid w:val="00F70CF7"/>
    <w:rsid w:val="00F70E71"/>
    <w:rsid w:val="00F7176C"/>
    <w:rsid w:val="00F71DEC"/>
    <w:rsid w:val="00F72A9A"/>
    <w:rsid w:val="00F72B12"/>
    <w:rsid w:val="00F73183"/>
    <w:rsid w:val="00F7325A"/>
    <w:rsid w:val="00F732C6"/>
    <w:rsid w:val="00F7416A"/>
    <w:rsid w:val="00F7467E"/>
    <w:rsid w:val="00F74740"/>
    <w:rsid w:val="00F75175"/>
    <w:rsid w:val="00F752D0"/>
    <w:rsid w:val="00F75FA8"/>
    <w:rsid w:val="00F7636D"/>
    <w:rsid w:val="00F7662B"/>
    <w:rsid w:val="00F7677F"/>
    <w:rsid w:val="00F76A51"/>
    <w:rsid w:val="00F76C04"/>
    <w:rsid w:val="00F77776"/>
    <w:rsid w:val="00F778E7"/>
    <w:rsid w:val="00F80B8D"/>
    <w:rsid w:val="00F80C8C"/>
    <w:rsid w:val="00F81279"/>
    <w:rsid w:val="00F81AF3"/>
    <w:rsid w:val="00F81F8D"/>
    <w:rsid w:val="00F84327"/>
    <w:rsid w:val="00F8453A"/>
    <w:rsid w:val="00F84675"/>
    <w:rsid w:val="00F84944"/>
    <w:rsid w:val="00F84DA7"/>
    <w:rsid w:val="00F85409"/>
    <w:rsid w:val="00F854F3"/>
    <w:rsid w:val="00F8598F"/>
    <w:rsid w:val="00F859D9"/>
    <w:rsid w:val="00F85A06"/>
    <w:rsid w:val="00F85F18"/>
    <w:rsid w:val="00F87E25"/>
    <w:rsid w:val="00F9146C"/>
    <w:rsid w:val="00F91851"/>
    <w:rsid w:val="00F91897"/>
    <w:rsid w:val="00F91974"/>
    <w:rsid w:val="00F92FBD"/>
    <w:rsid w:val="00F94959"/>
    <w:rsid w:val="00F94F7A"/>
    <w:rsid w:val="00F9572E"/>
    <w:rsid w:val="00F95E10"/>
    <w:rsid w:val="00F9689D"/>
    <w:rsid w:val="00F969B1"/>
    <w:rsid w:val="00F9701B"/>
    <w:rsid w:val="00F97793"/>
    <w:rsid w:val="00F97ABF"/>
    <w:rsid w:val="00F97EA1"/>
    <w:rsid w:val="00FA10A0"/>
    <w:rsid w:val="00FA1C4D"/>
    <w:rsid w:val="00FA208B"/>
    <w:rsid w:val="00FA2B44"/>
    <w:rsid w:val="00FA38AC"/>
    <w:rsid w:val="00FA3BC7"/>
    <w:rsid w:val="00FA3F24"/>
    <w:rsid w:val="00FA41F6"/>
    <w:rsid w:val="00FA42AD"/>
    <w:rsid w:val="00FA46FE"/>
    <w:rsid w:val="00FA522D"/>
    <w:rsid w:val="00FA62F6"/>
    <w:rsid w:val="00FA7434"/>
    <w:rsid w:val="00FA7D3A"/>
    <w:rsid w:val="00FA7EB5"/>
    <w:rsid w:val="00FB07FF"/>
    <w:rsid w:val="00FB0F8C"/>
    <w:rsid w:val="00FB101A"/>
    <w:rsid w:val="00FB118E"/>
    <w:rsid w:val="00FB2597"/>
    <w:rsid w:val="00FB385B"/>
    <w:rsid w:val="00FB3F60"/>
    <w:rsid w:val="00FB436A"/>
    <w:rsid w:val="00FB47FD"/>
    <w:rsid w:val="00FB4D5A"/>
    <w:rsid w:val="00FB56D7"/>
    <w:rsid w:val="00FB68DD"/>
    <w:rsid w:val="00FB6A3B"/>
    <w:rsid w:val="00FB7C16"/>
    <w:rsid w:val="00FB7FF3"/>
    <w:rsid w:val="00FC0CE8"/>
    <w:rsid w:val="00FC1444"/>
    <w:rsid w:val="00FC1A8F"/>
    <w:rsid w:val="00FC1CEA"/>
    <w:rsid w:val="00FC1FBB"/>
    <w:rsid w:val="00FC21D9"/>
    <w:rsid w:val="00FC23E7"/>
    <w:rsid w:val="00FC2B96"/>
    <w:rsid w:val="00FC4216"/>
    <w:rsid w:val="00FC55BA"/>
    <w:rsid w:val="00FC61C3"/>
    <w:rsid w:val="00FC62F4"/>
    <w:rsid w:val="00FC6751"/>
    <w:rsid w:val="00FC6B88"/>
    <w:rsid w:val="00FC7FF6"/>
    <w:rsid w:val="00FD02EB"/>
    <w:rsid w:val="00FD0C32"/>
    <w:rsid w:val="00FD156B"/>
    <w:rsid w:val="00FD1742"/>
    <w:rsid w:val="00FD1E27"/>
    <w:rsid w:val="00FD1F8A"/>
    <w:rsid w:val="00FD239E"/>
    <w:rsid w:val="00FD288A"/>
    <w:rsid w:val="00FD2926"/>
    <w:rsid w:val="00FD44AC"/>
    <w:rsid w:val="00FD47B8"/>
    <w:rsid w:val="00FD4853"/>
    <w:rsid w:val="00FD5399"/>
    <w:rsid w:val="00FD584F"/>
    <w:rsid w:val="00FD5EF1"/>
    <w:rsid w:val="00FD5F86"/>
    <w:rsid w:val="00FD66FE"/>
    <w:rsid w:val="00FD684C"/>
    <w:rsid w:val="00FD68F0"/>
    <w:rsid w:val="00FD6910"/>
    <w:rsid w:val="00FD6A4A"/>
    <w:rsid w:val="00FD6B14"/>
    <w:rsid w:val="00FD6BB8"/>
    <w:rsid w:val="00FD70FA"/>
    <w:rsid w:val="00FD7DCB"/>
    <w:rsid w:val="00FE003E"/>
    <w:rsid w:val="00FE09FF"/>
    <w:rsid w:val="00FE1BE6"/>
    <w:rsid w:val="00FE20B1"/>
    <w:rsid w:val="00FE2201"/>
    <w:rsid w:val="00FE2417"/>
    <w:rsid w:val="00FE2CD7"/>
    <w:rsid w:val="00FE2DB1"/>
    <w:rsid w:val="00FE379F"/>
    <w:rsid w:val="00FE4061"/>
    <w:rsid w:val="00FE51BA"/>
    <w:rsid w:val="00FE5AD2"/>
    <w:rsid w:val="00FE5DBF"/>
    <w:rsid w:val="00FE5FFD"/>
    <w:rsid w:val="00FE63CD"/>
    <w:rsid w:val="00FE6C01"/>
    <w:rsid w:val="00FE7206"/>
    <w:rsid w:val="00FE7E6B"/>
    <w:rsid w:val="00FF012D"/>
    <w:rsid w:val="00FF0C11"/>
    <w:rsid w:val="00FF1D2A"/>
    <w:rsid w:val="00FF2106"/>
    <w:rsid w:val="00FF3444"/>
    <w:rsid w:val="00FF359B"/>
    <w:rsid w:val="00FF3A1E"/>
    <w:rsid w:val="00FF40AE"/>
    <w:rsid w:val="00FF4859"/>
    <w:rsid w:val="00FF4A0E"/>
    <w:rsid w:val="00FF4C45"/>
    <w:rsid w:val="00FF5515"/>
    <w:rsid w:val="00FF55C5"/>
    <w:rsid w:val="00FF55FC"/>
    <w:rsid w:val="00FF6365"/>
    <w:rsid w:val="00FF68FC"/>
    <w:rsid w:val="00FF6DE6"/>
    <w:rsid w:val="00FF7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76B7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Simple 1"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A4A"/>
    <w:pPr>
      <w:spacing w:before="0" w:beforeAutospacing="0" w:after="0" w:afterAutospacing="0"/>
    </w:pPr>
    <w:rPr>
      <w:rFonts w:eastAsia="Times New Roman"/>
    </w:rPr>
  </w:style>
  <w:style w:type="paragraph" w:styleId="Heading1">
    <w:name w:val="heading 1"/>
    <w:basedOn w:val="Normal"/>
    <w:next w:val="Normal"/>
    <w:link w:val="Heading1Char"/>
    <w:qFormat/>
    <w:rsid w:val="009A5654"/>
    <w:pPr>
      <w:keepNext/>
      <w:numPr>
        <w:numId w:val="4"/>
      </w:numPr>
      <w:spacing w:before="360" w:after="360"/>
      <w:ind w:left="0" w:firstLine="0"/>
      <w:jc w:val="center"/>
      <w:outlineLvl w:val="0"/>
    </w:pPr>
    <w:rPr>
      <w:rFonts w:ascii="Cambria" w:hAnsi="Cambria" w:cs="Arial"/>
      <w:b/>
      <w:bCs/>
      <w:kern w:val="32"/>
      <w:sz w:val="28"/>
      <w:szCs w:val="32"/>
    </w:rPr>
  </w:style>
  <w:style w:type="paragraph" w:styleId="Heading2">
    <w:name w:val="heading 2"/>
    <w:basedOn w:val="Normal"/>
    <w:next w:val="Normal"/>
    <w:link w:val="Heading2Char1"/>
    <w:qFormat/>
    <w:rsid w:val="00155587"/>
    <w:pPr>
      <w:keepNext/>
      <w:keepLines/>
      <w:spacing w:before="360" w:after="360"/>
      <w:jc w:val="center"/>
      <w:outlineLvl w:val="1"/>
    </w:pPr>
    <w:rPr>
      <w:rFonts w:ascii="Cambria" w:hAnsi="Cambria" w:cs="Arial"/>
      <w:b/>
      <w:bCs/>
      <w:iCs/>
      <w:smallCaps/>
      <w:szCs w:val="28"/>
    </w:rPr>
  </w:style>
  <w:style w:type="paragraph" w:styleId="Heading3">
    <w:name w:val="heading 3"/>
    <w:basedOn w:val="Normal"/>
    <w:next w:val="Normal"/>
    <w:link w:val="Heading3Char"/>
    <w:qFormat/>
    <w:rsid w:val="00155587"/>
    <w:pPr>
      <w:keepNext/>
      <w:spacing w:before="240" w:after="240"/>
      <w:outlineLvl w:val="2"/>
    </w:pPr>
    <w:rPr>
      <w:rFonts w:ascii="Cambria" w:hAnsi="Cambria"/>
      <w:b/>
      <w:sz w:val="22"/>
      <w:szCs w:val="20"/>
      <w:lang w:val="en-GB" w:eastAsia="hr-HR"/>
    </w:rPr>
  </w:style>
  <w:style w:type="paragraph" w:styleId="Heading4">
    <w:name w:val="heading 4"/>
    <w:basedOn w:val="Normal"/>
    <w:next w:val="Normal"/>
    <w:link w:val="Heading4Char"/>
    <w:qFormat/>
    <w:rsid w:val="00A83214"/>
    <w:pPr>
      <w:keepNext/>
      <w:spacing w:before="240" w:after="60"/>
      <w:outlineLvl w:val="3"/>
    </w:pPr>
    <w:rPr>
      <w:rFonts w:ascii="Arial" w:hAnsi="Arial"/>
      <w:b/>
      <w:szCs w:val="20"/>
      <w:lang w:val="en-GB" w:eastAsia="hr-HR"/>
    </w:rPr>
  </w:style>
  <w:style w:type="paragraph" w:styleId="Heading5">
    <w:name w:val="heading 5"/>
    <w:basedOn w:val="Normal"/>
    <w:next w:val="Normal"/>
    <w:link w:val="Heading5Char"/>
    <w:qFormat/>
    <w:rsid w:val="00A83214"/>
    <w:pPr>
      <w:keepNext/>
      <w:jc w:val="center"/>
      <w:outlineLvl w:val="4"/>
    </w:pPr>
    <w:rPr>
      <w:sz w:val="32"/>
      <w:szCs w:val="20"/>
      <w:lang w:eastAsia="hr-HR"/>
    </w:rPr>
  </w:style>
  <w:style w:type="paragraph" w:styleId="Heading8">
    <w:name w:val="heading 8"/>
    <w:basedOn w:val="Normal"/>
    <w:next w:val="Normal"/>
    <w:link w:val="Heading8Char"/>
    <w:qFormat/>
    <w:rsid w:val="00A83214"/>
    <w:pPr>
      <w:spacing w:before="240" w:after="60"/>
      <w:outlineLvl w:val="7"/>
    </w:pPr>
    <w:rPr>
      <w:rFonts w:ascii="Calibri" w:hAnsi="Calibri"/>
      <w:i/>
      <w:iCs/>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654"/>
    <w:rPr>
      <w:rFonts w:ascii="Cambria" w:eastAsia="Times New Roman" w:hAnsi="Cambria" w:cs="Arial"/>
      <w:b/>
      <w:bCs/>
      <w:kern w:val="32"/>
      <w:sz w:val="28"/>
      <w:szCs w:val="32"/>
    </w:rPr>
  </w:style>
  <w:style w:type="character" w:customStyle="1" w:styleId="Heading2Char">
    <w:name w:val="Heading 2 Char"/>
    <w:basedOn w:val="DefaultParagraphFont"/>
    <w:uiPriority w:val="9"/>
    <w:semiHidden/>
    <w:rsid w:val="00FD6A4A"/>
    <w:rPr>
      <w:rFonts w:asciiTheme="majorHAnsi" w:eastAsiaTheme="majorEastAsia" w:hAnsiTheme="majorHAnsi" w:cstheme="majorBidi"/>
      <w:b/>
      <w:bCs/>
      <w:color w:val="4F81BD" w:themeColor="accent1"/>
      <w:sz w:val="26"/>
      <w:szCs w:val="26"/>
    </w:rPr>
  </w:style>
  <w:style w:type="character" w:customStyle="1" w:styleId="Heading2Char1">
    <w:name w:val="Heading 2 Char1"/>
    <w:basedOn w:val="DefaultParagraphFont"/>
    <w:link w:val="Heading2"/>
    <w:rsid w:val="00155587"/>
    <w:rPr>
      <w:rFonts w:ascii="Cambria" w:eastAsia="Times New Roman" w:hAnsi="Cambria" w:cs="Arial"/>
      <w:b/>
      <w:bCs/>
      <w:iCs/>
      <w:smallCaps/>
      <w:szCs w:val="28"/>
    </w:rPr>
  </w:style>
  <w:style w:type="paragraph" w:styleId="FootnoteText">
    <w:name w:val="footnote text"/>
    <w:aliases w:val="fn,Footnote Text Char Char Char Char Char Char,single space,footnote text,FOOTNOTES,WB-Fußnotentext,Footnote,Fußnote,ADB,Char4,ft,WB-Fußnotentext Char Char,Fußnotentext Char,Footnote text,Footnote Text Char1,Footnote Text Char2 Char"/>
    <w:basedOn w:val="Normal"/>
    <w:link w:val="FootnoteTextChar"/>
    <w:rsid w:val="00B36818"/>
    <w:pPr>
      <w:keepLines/>
    </w:pPr>
    <w:rPr>
      <w:sz w:val="20"/>
      <w:szCs w:val="20"/>
    </w:rPr>
  </w:style>
  <w:style w:type="character" w:customStyle="1" w:styleId="FootnoteTextChar">
    <w:name w:val="Footnote Text Char"/>
    <w:aliases w:val="fn Char,Footnote Text Char Char Char Char Char Char Char,single space Char,footnote text Char,FOOTNOTES Char,WB-Fußnotentext Char,Footnote Char,Fußnote Char,ADB Char,Char4 Char,ft Char,WB-Fußnotentext Char Char Char,Footnote text Char"/>
    <w:basedOn w:val="DefaultParagraphFont"/>
    <w:link w:val="FootnoteText"/>
    <w:rsid w:val="00B36818"/>
    <w:rPr>
      <w:rFonts w:eastAsia="Times New Roman"/>
      <w:sz w:val="20"/>
      <w:szCs w:val="20"/>
    </w:rPr>
  </w:style>
  <w:style w:type="character" w:styleId="FootnoteReference">
    <w:name w:val="footnote reference"/>
    <w:aliases w:val="ftref,Footnote Reference Number"/>
    <w:basedOn w:val="DefaultParagraphFont"/>
    <w:uiPriority w:val="99"/>
    <w:rsid w:val="00FD6A4A"/>
    <w:rPr>
      <w:vertAlign w:val="superscript"/>
    </w:rPr>
  </w:style>
  <w:style w:type="paragraph" w:styleId="Caption">
    <w:name w:val="caption"/>
    <w:basedOn w:val="Normal"/>
    <w:next w:val="Normal"/>
    <w:qFormat/>
    <w:rsid w:val="00D25461"/>
    <w:pPr>
      <w:spacing w:after="80"/>
      <w:jc w:val="center"/>
      <w:outlineLvl w:val="0"/>
    </w:pPr>
    <w:rPr>
      <w:rFonts w:ascii="Cambria" w:hAnsi="Cambria"/>
      <w:b/>
      <w:sz w:val="20"/>
    </w:rPr>
  </w:style>
  <w:style w:type="paragraph" w:styleId="BalloonText">
    <w:name w:val="Balloon Text"/>
    <w:basedOn w:val="Normal"/>
    <w:link w:val="BalloonTextChar"/>
    <w:semiHidden/>
    <w:rsid w:val="00FD6A4A"/>
    <w:rPr>
      <w:rFonts w:ascii="Tahoma" w:hAnsi="Tahoma" w:cs="Tahoma"/>
      <w:sz w:val="16"/>
      <w:szCs w:val="16"/>
    </w:rPr>
  </w:style>
  <w:style w:type="character" w:customStyle="1" w:styleId="BalloonTextChar">
    <w:name w:val="Balloon Text Char"/>
    <w:basedOn w:val="DefaultParagraphFont"/>
    <w:link w:val="BalloonText"/>
    <w:semiHidden/>
    <w:rsid w:val="00FD6A4A"/>
    <w:rPr>
      <w:rFonts w:ascii="Tahoma" w:eastAsia="Times New Roman" w:hAnsi="Tahoma" w:cs="Tahoma"/>
      <w:sz w:val="16"/>
      <w:szCs w:val="16"/>
    </w:rPr>
  </w:style>
  <w:style w:type="table" w:styleId="TableGrid">
    <w:name w:val="Table Grid"/>
    <w:basedOn w:val="TableNormal"/>
    <w:uiPriority w:val="59"/>
    <w:rsid w:val="00FD6A4A"/>
    <w:pPr>
      <w:spacing w:before="0" w:beforeAutospacing="0" w:after="0" w:afterAutospacing="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ParawithChapter">
    <w:name w:val="Main Para with Chapter#"/>
    <w:basedOn w:val="Normal"/>
    <w:link w:val="MainParawithChapterChar"/>
    <w:rsid w:val="00FD6A4A"/>
    <w:pPr>
      <w:numPr>
        <w:ilvl w:val="1"/>
        <w:numId w:val="4"/>
      </w:numPr>
      <w:spacing w:after="240"/>
      <w:outlineLvl w:val="1"/>
    </w:pPr>
  </w:style>
  <w:style w:type="paragraph" w:customStyle="1" w:styleId="Sub-Para1underXY">
    <w:name w:val="Sub-Para 1 under X.Y"/>
    <w:basedOn w:val="Normal"/>
    <w:rsid w:val="00FD6A4A"/>
    <w:pPr>
      <w:numPr>
        <w:ilvl w:val="2"/>
        <w:numId w:val="4"/>
      </w:numPr>
      <w:spacing w:after="240"/>
      <w:outlineLvl w:val="2"/>
    </w:pPr>
  </w:style>
  <w:style w:type="paragraph" w:customStyle="1" w:styleId="Sub-Para2underXY">
    <w:name w:val="Sub-Para 2 under X.Y"/>
    <w:basedOn w:val="Normal"/>
    <w:rsid w:val="00FD6A4A"/>
    <w:pPr>
      <w:numPr>
        <w:ilvl w:val="3"/>
        <w:numId w:val="4"/>
      </w:numPr>
      <w:spacing w:after="240"/>
      <w:outlineLvl w:val="3"/>
    </w:pPr>
  </w:style>
  <w:style w:type="paragraph" w:customStyle="1" w:styleId="Sub-Para3underXY">
    <w:name w:val="Sub-Para 3 under X.Y"/>
    <w:basedOn w:val="Normal"/>
    <w:rsid w:val="00FD6A4A"/>
    <w:pPr>
      <w:numPr>
        <w:ilvl w:val="4"/>
        <w:numId w:val="4"/>
      </w:numPr>
      <w:spacing w:after="240"/>
      <w:outlineLvl w:val="4"/>
    </w:pPr>
  </w:style>
  <w:style w:type="paragraph" w:customStyle="1" w:styleId="Sub-Para4underXY">
    <w:name w:val="Sub-Para 4 under X.Y"/>
    <w:basedOn w:val="Normal"/>
    <w:rsid w:val="00FD6A4A"/>
    <w:pPr>
      <w:numPr>
        <w:ilvl w:val="5"/>
        <w:numId w:val="4"/>
      </w:numPr>
      <w:spacing w:after="240"/>
      <w:outlineLvl w:val="5"/>
    </w:pPr>
  </w:style>
  <w:style w:type="paragraph" w:styleId="BodyText">
    <w:name w:val="Body Text"/>
    <w:aliases w:val=" uvlaka 3,  uvlaka 2,uvlaka 3"/>
    <w:basedOn w:val="Normal"/>
    <w:link w:val="BodyTextChar"/>
    <w:unhideWhenUsed/>
    <w:rsid w:val="00FD6A4A"/>
    <w:pPr>
      <w:spacing w:after="120"/>
    </w:pPr>
  </w:style>
  <w:style w:type="character" w:customStyle="1" w:styleId="BodyTextChar">
    <w:name w:val="Body Text Char"/>
    <w:aliases w:val=" uvlaka 3 Char,  uvlaka 2 Char,uvlaka 3 Char1"/>
    <w:basedOn w:val="DefaultParagraphFont"/>
    <w:link w:val="BodyText"/>
    <w:uiPriority w:val="99"/>
    <w:semiHidden/>
    <w:rsid w:val="00FD6A4A"/>
    <w:rPr>
      <w:rFonts w:eastAsia="Times New Roman"/>
    </w:rPr>
  </w:style>
  <w:style w:type="paragraph" w:styleId="BodyTextFirstIndent">
    <w:name w:val="Body Text First Indent"/>
    <w:basedOn w:val="BodyText"/>
    <w:link w:val="BodyTextFirstIndentChar"/>
    <w:rsid w:val="00FD6A4A"/>
    <w:pPr>
      <w:ind w:firstLine="210"/>
    </w:pPr>
  </w:style>
  <w:style w:type="character" w:customStyle="1" w:styleId="BodyTextFirstIndentChar">
    <w:name w:val="Body Text First Indent Char"/>
    <w:basedOn w:val="BodyTextChar"/>
    <w:link w:val="BodyTextFirstIndent"/>
    <w:rsid w:val="00FD6A4A"/>
    <w:rPr>
      <w:rFonts w:eastAsia="Times New Roman"/>
    </w:rPr>
  </w:style>
  <w:style w:type="paragraph" w:customStyle="1" w:styleId="Tables">
    <w:name w:val="Tables"/>
    <w:basedOn w:val="Normal"/>
    <w:rsid w:val="00FD6A4A"/>
    <w:pPr>
      <w:keepNext/>
    </w:pPr>
    <w:rPr>
      <w:sz w:val="18"/>
      <w:szCs w:val="20"/>
    </w:rPr>
  </w:style>
  <w:style w:type="table" w:styleId="TableSimple1">
    <w:name w:val="Table Simple 1"/>
    <w:basedOn w:val="TableNormal"/>
    <w:rsid w:val="00FD6A4A"/>
    <w:pPr>
      <w:spacing w:before="0" w:beforeAutospacing="0" w:after="0" w:afterAutospacing="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MainParawithChapter11pt">
    <w:name w:val="Style Main Para with Chapter# + 11 pt"/>
    <w:basedOn w:val="MainParawithChapter"/>
    <w:link w:val="StyleMainParawithChapter11ptChar"/>
    <w:rsid w:val="00FD6A4A"/>
    <w:pPr>
      <w:jc w:val="both"/>
    </w:pPr>
    <w:rPr>
      <w:sz w:val="22"/>
    </w:rPr>
  </w:style>
  <w:style w:type="character" w:customStyle="1" w:styleId="MainParawithChapterChar">
    <w:name w:val="Main Para with Chapter# Char"/>
    <w:basedOn w:val="DefaultParagraphFont"/>
    <w:link w:val="MainParawithChapter"/>
    <w:rsid w:val="00FD6A4A"/>
    <w:rPr>
      <w:rFonts w:eastAsia="Times New Roman"/>
    </w:rPr>
  </w:style>
  <w:style w:type="character" w:customStyle="1" w:styleId="StyleMainParawithChapter11ptChar">
    <w:name w:val="Style Main Para with Chapter# + 11 pt Char"/>
    <w:basedOn w:val="MainParawithChapterChar"/>
    <w:link w:val="StyleMainParawithChapter11pt"/>
    <w:rsid w:val="00FD6A4A"/>
    <w:rPr>
      <w:rFonts w:eastAsia="Times New Roman"/>
      <w:sz w:val="22"/>
    </w:rPr>
  </w:style>
  <w:style w:type="paragraph" w:styleId="ListParagraph">
    <w:name w:val="List Paragraph"/>
    <w:basedOn w:val="Normal"/>
    <w:link w:val="ListParagraphChar"/>
    <w:uiPriority w:val="34"/>
    <w:qFormat/>
    <w:rsid w:val="001B69A4"/>
    <w:pPr>
      <w:ind w:left="720"/>
      <w:contextualSpacing/>
    </w:pPr>
  </w:style>
  <w:style w:type="character" w:styleId="Hyperlink">
    <w:name w:val="Hyperlink"/>
    <w:basedOn w:val="DefaultParagraphFont"/>
    <w:uiPriority w:val="99"/>
    <w:unhideWhenUsed/>
    <w:rsid w:val="0070674B"/>
    <w:rPr>
      <w:color w:val="0000FF" w:themeColor="hyperlink"/>
      <w:u w:val="single"/>
    </w:rPr>
  </w:style>
  <w:style w:type="character" w:customStyle="1" w:styleId="hps">
    <w:name w:val="hps"/>
    <w:basedOn w:val="DefaultParagraphFont"/>
    <w:rsid w:val="0070674B"/>
  </w:style>
  <w:style w:type="paragraph" w:styleId="BodyTextIndent3">
    <w:name w:val="Body Text Indent 3"/>
    <w:aliases w:val=" uvlaka 31"/>
    <w:basedOn w:val="Normal"/>
    <w:link w:val="BodyTextIndent3Char"/>
    <w:unhideWhenUsed/>
    <w:rsid w:val="00470166"/>
    <w:pPr>
      <w:spacing w:after="120"/>
      <w:ind w:left="360"/>
    </w:pPr>
    <w:rPr>
      <w:sz w:val="16"/>
      <w:szCs w:val="16"/>
    </w:rPr>
  </w:style>
  <w:style w:type="character" w:customStyle="1" w:styleId="BodyTextIndent3Char">
    <w:name w:val="Body Text Indent 3 Char"/>
    <w:aliases w:val=" uvlaka 31 Char"/>
    <w:basedOn w:val="DefaultParagraphFont"/>
    <w:link w:val="BodyTextIndent3"/>
    <w:uiPriority w:val="99"/>
    <w:semiHidden/>
    <w:rsid w:val="00470166"/>
    <w:rPr>
      <w:rFonts w:eastAsia="Times New Roman"/>
      <w:sz w:val="16"/>
      <w:szCs w:val="16"/>
    </w:rPr>
  </w:style>
  <w:style w:type="paragraph" w:styleId="BodyTextIndent">
    <w:name w:val="Body Text Indent"/>
    <w:basedOn w:val="Normal"/>
    <w:link w:val="BodyTextIndentChar"/>
    <w:unhideWhenUsed/>
    <w:rsid w:val="00FA3BC7"/>
    <w:pPr>
      <w:spacing w:after="120"/>
      <w:ind w:left="360"/>
    </w:pPr>
  </w:style>
  <w:style w:type="character" w:customStyle="1" w:styleId="BodyTextIndentChar">
    <w:name w:val="Body Text Indent Char"/>
    <w:basedOn w:val="DefaultParagraphFont"/>
    <w:link w:val="BodyTextIndent"/>
    <w:uiPriority w:val="99"/>
    <w:semiHidden/>
    <w:rsid w:val="00FA3BC7"/>
    <w:rPr>
      <w:rFonts w:eastAsia="Times New Roman"/>
    </w:rPr>
  </w:style>
  <w:style w:type="character" w:customStyle="1" w:styleId="ListParagraphChar">
    <w:name w:val="List Paragraph Char"/>
    <w:basedOn w:val="DefaultParagraphFont"/>
    <w:link w:val="ListParagraph"/>
    <w:uiPriority w:val="34"/>
    <w:locked/>
    <w:rsid w:val="00FA3BC7"/>
    <w:rPr>
      <w:rFonts w:eastAsia="Times New Roman"/>
    </w:rPr>
  </w:style>
  <w:style w:type="character" w:customStyle="1" w:styleId="Heading3Char">
    <w:name w:val="Heading 3 Char"/>
    <w:basedOn w:val="DefaultParagraphFont"/>
    <w:link w:val="Heading3"/>
    <w:rsid w:val="00155587"/>
    <w:rPr>
      <w:rFonts w:ascii="Cambria" w:eastAsia="Times New Roman" w:hAnsi="Cambria"/>
      <w:b/>
      <w:sz w:val="22"/>
      <w:szCs w:val="20"/>
      <w:lang w:val="en-GB" w:eastAsia="hr-HR"/>
    </w:rPr>
  </w:style>
  <w:style w:type="character" w:customStyle="1" w:styleId="Heading4Char">
    <w:name w:val="Heading 4 Char"/>
    <w:basedOn w:val="DefaultParagraphFont"/>
    <w:link w:val="Heading4"/>
    <w:rsid w:val="00A83214"/>
    <w:rPr>
      <w:rFonts w:ascii="Arial" w:eastAsia="Times New Roman" w:hAnsi="Arial"/>
      <w:b/>
      <w:szCs w:val="20"/>
      <w:lang w:val="en-GB" w:eastAsia="hr-HR"/>
    </w:rPr>
  </w:style>
  <w:style w:type="character" w:customStyle="1" w:styleId="Heading5Char">
    <w:name w:val="Heading 5 Char"/>
    <w:basedOn w:val="DefaultParagraphFont"/>
    <w:link w:val="Heading5"/>
    <w:rsid w:val="00A83214"/>
    <w:rPr>
      <w:rFonts w:eastAsia="Times New Roman"/>
      <w:sz w:val="32"/>
      <w:szCs w:val="20"/>
      <w:lang w:eastAsia="hr-HR"/>
    </w:rPr>
  </w:style>
  <w:style w:type="character" w:customStyle="1" w:styleId="Heading8Char">
    <w:name w:val="Heading 8 Char"/>
    <w:basedOn w:val="DefaultParagraphFont"/>
    <w:link w:val="Heading8"/>
    <w:rsid w:val="00A83214"/>
    <w:rPr>
      <w:rFonts w:ascii="Calibri" w:eastAsia="Times New Roman" w:hAnsi="Calibri"/>
      <w:i/>
      <w:iCs/>
      <w:lang w:eastAsia="hr-HR"/>
    </w:rPr>
  </w:style>
  <w:style w:type="paragraph" w:customStyle="1" w:styleId="Tijeloteksta21">
    <w:name w:val="Tijelo teksta 21"/>
    <w:basedOn w:val="Normal"/>
    <w:rsid w:val="00A83214"/>
    <w:pPr>
      <w:jc w:val="both"/>
    </w:pPr>
    <w:rPr>
      <w:szCs w:val="20"/>
      <w:lang w:val="en-GB" w:eastAsia="hr-HR"/>
    </w:rPr>
  </w:style>
  <w:style w:type="paragraph" w:styleId="BodyTextIndent2">
    <w:name w:val="Body Text Indent 2"/>
    <w:aliases w:val="  uvlaka 21"/>
    <w:basedOn w:val="Normal"/>
    <w:link w:val="BodyTextIndent2Char"/>
    <w:rsid w:val="00A83214"/>
    <w:pPr>
      <w:ind w:firstLine="540"/>
      <w:jc w:val="both"/>
    </w:pPr>
    <w:rPr>
      <w:lang w:eastAsia="hr-HR"/>
    </w:rPr>
  </w:style>
  <w:style w:type="character" w:customStyle="1" w:styleId="BodyTextIndent2Char">
    <w:name w:val="Body Text Indent 2 Char"/>
    <w:aliases w:val="  uvlaka 21 Char"/>
    <w:basedOn w:val="DefaultParagraphFont"/>
    <w:link w:val="BodyTextIndent2"/>
    <w:rsid w:val="00A83214"/>
    <w:rPr>
      <w:rFonts w:eastAsia="Times New Roman"/>
      <w:lang w:eastAsia="hr-HR"/>
    </w:rPr>
  </w:style>
  <w:style w:type="paragraph" w:styleId="Footer">
    <w:name w:val="footer"/>
    <w:basedOn w:val="Normal"/>
    <w:link w:val="FooterChar"/>
    <w:uiPriority w:val="99"/>
    <w:rsid w:val="00A83214"/>
    <w:pPr>
      <w:tabs>
        <w:tab w:val="center" w:pos="4536"/>
        <w:tab w:val="right" w:pos="9072"/>
      </w:tabs>
    </w:pPr>
    <w:rPr>
      <w:lang w:eastAsia="hr-HR"/>
    </w:rPr>
  </w:style>
  <w:style w:type="character" w:customStyle="1" w:styleId="FooterChar">
    <w:name w:val="Footer Char"/>
    <w:basedOn w:val="DefaultParagraphFont"/>
    <w:link w:val="Footer"/>
    <w:uiPriority w:val="99"/>
    <w:rsid w:val="00A83214"/>
    <w:rPr>
      <w:rFonts w:eastAsia="Times New Roman"/>
      <w:lang w:eastAsia="hr-HR"/>
    </w:rPr>
  </w:style>
  <w:style w:type="character" w:styleId="PageNumber">
    <w:name w:val="page number"/>
    <w:basedOn w:val="DefaultParagraphFont"/>
    <w:rsid w:val="00A83214"/>
  </w:style>
  <w:style w:type="paragraph" w:styleId="NormalWeb">
    <w:name w:val="Normal (Web)"/>
    <w:basedOn w:val="Normal"/>
    <w:uiPriority w:val="99"/>
    <w:rsid w:val="00A83214"/>
    <w:pPr>
      <w:spacing w:before="100" w:beforeAutospacing="1" w:after="100" w:afterAutospacing="1"/>
    </w:pPr>
    <w:rPr>
      <w:lang w:val="ru-RU" w:eastAsia="ru-RU"/>
    </w:rPr>
  </w:style>
  <w:style w:type="paragraph" w:styleId="BodyText2">
    <w:name w:val="Body Text 2"/>
    <w:basedOn w:val="Normal"/>
    <w:link w:val="BodyText2Char"/>
    <w:rsid w:val="00A83214"/>
    <w:pPr>
      <w:jc w:val="both"/>
    </w:pPr>
    <w:rPr>
      <w:sz w:val="20"/>
      <w:lang w:eastAsia="hr-HR"/>
    </w:rPr>
  </w:style>
  <w:style w:type="character" w:customStyle="1" w:styleId="BodyText2Char">
    <w:name w:val="Body Text 2 Char"/>
    <w:basedOn w:val="DefaultParagraphFont"/>
    <w:link w:val="BodyText2"/>
    <w:rsid w:val="00A83214"/>
    <w:rPr>
      <w:rFonts w:eastAsia="Times New Roman"/>
      <w:sz w:val="20"/>
      <w:lang w:eastAsia="hr-HR"/>
    </w:rPr>
  </w:style>
  <w:style w:type="paragraph" w:customStyle="1" w:styleId="TEXT">
    <w:name w:val="TEXT"/>
    <w:basedOn w:val="Normal"/>
    <w:autoRedefine/>
    <w:rsid w:val="00A83214"/>
    <w:pPr>
      <w:ind w:firstLine="709"/>
      <w:jc w:val="both"/>
    </w:pPr>
    <w:rPr>
      <w:rFonts w:ascii="Book Antiqua" w:hAnsi="Book Antiqua"/>
      <w:sz w:val="20"/>
      <w:szCs w:val="20"/>
      <w:lang w:val="en-AU" w:eastAsia="ru-RU"/>
    </w:rPr>
  </w:style>
  <w:style w:type="paragraph" w:styleId="Header">
    <w:name w:val="header"/>
    <w:basedOn w:val="Normal"/>
    <w:link w:val="HeaderChar"/>
    <w:uiPriority w:val="99"/>
    <w:rsid w:val="00A83214"/>
    <w:pPr>
      <w:tabs>
        <w:tab w:val="center" w:pos="4536"/>
        <w:tab w:val="right" w:pos="9072"/>
      </w:tabs>
    </w:pPr>
    <w:rPr>
      <w:lang w:eastAsia="hr-HR"/>
    </w:rPr>
  </w:style>
  <w:style w:type="character" w:customStyle="1" w:styleId="HeaderChar">
    <w:name w:val="Header Char"/>
    <w:basedOn w:val="DefaultParagraphFont"/>
    <w:link w:val="Header"/>
    <w:uiPriority w:val="99"/>
    <w:rsid w:val="00A83214"/>
    <w:rPr>
      <w:rFonts w:eastAsia="Times New Roman"/>
      <w:lang w:eastAsia="hr-HR"/>
    </w:rPr>
  </w:style>
  <w:style w:type="character" w:customStyle="1" w:styleId="Char">
    <w:name w:val="Char"/>
    <w:basedOn w:val="DefaultParagraphFont"/>
    <w:rsid w:val="00A83214"/>
    <w:rPr>
      <w:b/>
      <w:bCs/>
      <w:sz w:val="24"/>
      <w:szCs w:val="24"/>
      <w:lang w:val="hr-HR" w:eastAsia="hr-HR" w:bidi="ar-SA"/>
    </w:rPr>
  </w:style>
  <w:style w:type="character" w:customStyle="1" w:styleId="uvlaka3Char">
    <w:name w:val="uvlaka 3 Char"/>
    <w:basedOn w:val="DefaultParagraphFont"/>
    <w:rsid w:val="00A83214"/>
    <w:rPr>
      <w:sz w:val="24"/>
      <w:lang w:val="bs-Latn-BA" w:eastAsia="hr-HR" w:bidi="ar-SA"/>
    </w:rPr>
  </w:style>
  <w:style w:type="paragraph" w:styleId="Subtitle">
    <w:name w:val="Subtitle"/>
    <w:basedOn w:val="Normal"/>
    <w:link w:val="SubtitleChar"/>
    <w:qFormat/>
    <w:rsid w:val="00A83214"/>
    <w:pPr>
      <w:spacing w:before="120" w:after="120"/>
      <w:ind w:firstLine="720"/>
      <w:jc w:val="center"/>
    </w:pPr>
    <w:rPr>
      <w:b/>
      <w:bCs/>
      <w:lang w:val="ro-RO"/>
    </w:rPr>
  </w:style>
  <w:style w:type="character" w:customStyle="1" w:styleId="SubtitleChar">
    <w:name w:val="Subtitle Char"/>
    <w:basedOn w:val="DefaultParagraphFont"/>
    <w:link w:val="Subtitle"/>
    <w:rsid w:val="00A83214"/>
    <w:rPr>
      <w:rFonts w:eastAsia="Times New Roman"/>
      <w:b/>
      <w:bCs/>
      <w:lang w:val="ro-RO"/>
    </w:rPr>
  </w:style>
  <w:style w:type="character" w:styleId="SubtleEmphasis">
    <w:name w:val="Subtle Emphasis"/>
    <w:basedOn w:val="DefaultParagraphFont"/>
    <w:uiPriority w:val="19"/>
    <w:qFormat/>
    <w:rsid w:val="00A83214"/>
    <w:rPr>
      <w:rFonts w:eastAsia="Times New Roman" w:cs="Times New Roman"/>
      <w:bCs w:val="0"/>
      <w:i/>
      <w:iCs/>
      <w:color w:val="808080"/>
      <w:szCs w:val="22"/>
      <w:lang w:val="en-US"/>
    </w:rPr>
  </w:style>
  <w:style w:type="paragraph" w:styleId="Revision">
    <w:name w:val="Revision"/>
    <w:hidden/>
    <w:uiPriority w:val="99"/>
    <w:semiHidden/>
    <w:rsid w:val="00A83214"/>
    <w:pPr>
      <w:spacing w:before="0" w:beforeAutospacing="0" w:after="0" w:afterAutospacing="0"/>
    </w:pPr>
    <w:rPr>
      <w:rFonts w:eastAsia="Times New Roman"/>
      <w:lang w:eastAsia="hr-HR"/>
    </w:rPr>
  </w:style>
  <w:style w:type="paragraph" w:customStyle="1" w:styleId="ParagraphNumbering">
    <w:name w:val="Paragraph Numbering"/>
    <w:basedOn w:val="Normal"/>
    <w:link w:val="ParagraphNumberingChar"/>
    <w:rsid w:val="00A83214"/>
    <w:pPr>
      <w:numPr>
        <w:numId w:val="8"/>
      </w:numPr>
      <w:spacing w:after="240" w:line="264" w:lineRule="auto"/>
    </w:pPr>
  </w:style>
  <w:style w:type="character" w:customStyle="1" w:styleId="ParagraphNumberingChar">
    <w:name w:val="Paragraph Numbering Char"/>
    <w:basedOn w:val="DefaultParagraphFont"/>
    <w:link w:val="ParagraphNumbering"/>
    <w:rsid w:val="00A83214"/>
    <w:rPr>
      <w:rFonts w:eastAsia="Times New Roman"/>
    </w:rPr>
  </w:style>
  <w:style w:type="paragraph" w:customStyle="1" w:styleId="BankNormal">
    <w:name w:val="BankNormal"/>
    <w:basedOn w:val="Normal"/>
    <w:rsid w:val="00A83214"/>
    <w:pPr>
      <w:spacing w:after="240"/>
    </w:pPr>
    <w:rPr>
      <w:szCs w:val="20"/>
    </w:rPr>
  </w:style>
  <w:style w:type="paragraph" w:styleId="Title">
    <w:name w:val="Title"/>
    <w:basedOn w:val="Normal"/>
    <w:link w:val="TitleChar"/>
    <w:qFormat/>
    <w:rsid w:val="00C20EC5"/>
    <w:pPr>
      <w:spacing w:before="360" w:after="360"/>
      <w:jc w:val="center"/>
    </w:pPr>
    <w:rPr>
      <w:rFonts w:ascii="Cambria" w:hAnsi="Cambria"/>
      <w:b/>
      <w:bCs/>
      <w:sz w:val="28"/>
    </w:rPr>
  </w:style>
  <w:style w:type="character" w:customStyle="1" w:styleId="TitleChar">
    <w:name w:val="Title Char"/>
    <w:basedOn w:val="DefaultParagraphFont"/>
    <w:link w:val="Title"/>
    <w:rsid w:val="00C20EC5"/>
    <w:rPr>
      <w:rFonts w:ascii="Cambria" w:eastAsia="Times New Roman" w:hAnsi="Cambria"/>
      <w:b/>
      <w:bCs/>
      <w:sz w:val="28"/>
    </w:rPr>
  </w:style>
  <w:style w:type="paragraph" w:customStyle="1" w:styleId="Outline2">
    <w:name w:val="Outline2"/>
    <w:basedOn w:val="Normal"/>
    <w:rsid w:val="00A83214"/>
    <w:pPr>
      <w:numPr>
        <w:numId w:val="9"/>
      </w:numPr>
      <w:tabs>
        <w:tab w:val="clear" w:pos="432"/>
        <w:tab w:val="num" w:pos="864"/>
      </w:tabs>
      <w:spacing w:before="240"/>
      <w:ind w:left="864" w:hanging="504"/>
    </w:pPr>
    <w:rPr>
      <w:kern w:val="28"/>
      <w:szCs w:val="20"/>
    </w:rPr>
  </w:style>
  <w:style w:type="paragraph" w:customStyle="1" w:styleId="Outline3">
    <w:name w:val="Outline3"/>
    <w:basedOn w:val="Normal"/>
    <w:rsid w:val="00A83214"/>
    <w:pPr>
      <w:numPr>
        <w:ilvl w:val="1"/>
        <w:numId w:val="9"/>
      </w:numPr>
      <w:tabs>
        <w:tab w:val="clear" w:pos="1152"/>
        <w:tab w:val="num" w:pos="1368"/>
      </w:tabs>
      <w:spacing w:before="240"/>
      <w:ind w:left="1368" w:hanging="504"/>
    </w:pPr>
    <w:rPr>
      <w:kern w:val="28"/>
      <w:szCs w:val="20"/>
    </w:rPr>
  </w:style>
  <w:style w:type="paragraph" w:customStyle="1" w:styleId="Outline4">
    <w:name w:val="Outline4"/>
    <w:basedOn w:val="Normal"/>
    <w:rsid w:val="00A83214"/>
    <w:pPr>
      <w:numPr>
        <w:ilvl w:val="2"/>
        <w:numId w:val="9"/>
      </w:numPr>
      <w:tabs>
        <w:tab w:val="clear" w:pos="1728"/>
        <w:tab w:val="num" w:pos="1872"/>
      </w:tabs>
      <w:spacing w:before="240"/>
      <w:ind w:left="1872" w:hanging="504"/>
    </w:pPr>
    <w:rPr>
      <w:kern w:val="28"/>
      <w:szCs w:val="20"/>
    </w:rPr>
  </w:style>
  <w:style w:type="paragraph" w:customStyle="1" w:styleId="Headinga">
    <w:name w:val="Heading a"/>
    <w:basedOn w:val="Normal"/>
    <w:rsid w:val="00A83214"/>
    <w:pPr>
      <w:widowControl w:val="0"/>
      <w:numPr>
        <w:ilvl w:val="3"/>
        <w:numId w:val="9"/>
      </w:numPr>
      <w:tabs>
        <w:tab w:val="clear" w:pos="2304"/>
      </w:tabs>
      <w:spacing w:after="120"/>
      <w:ind w:left="0" w:firstLine="0"/>
    </w:pPr>
    <w:rPr>
      <w:sz w:val="22"/>
      <w:szCs w:val="20"/>
    </w:rPr>
  </w:style>
  <w:style w:type="paragraph" w:customStyle="1" w:styleId="Main">
    <w:name w:val="Main"/>
    <w:basedOn w:val="Normal"/>
    <w:rsid w:val="00A83214"/>
    <w:pPr>
      <w:numPr>
        <w:numId w:val="10"/>
      </w:numPr>
      <w:jc w:val="both"/>
    </w:pPr>
    <w:rPr>
      <w:sz w:val="22"/>
      <w:szCs w:val="22"/>
      <w:lang w:val="en-GB"/>
    </w:rPr>
  </w:style>
  <w:style w:type="paragraph" w:customStyle="1" w:styleId="QERcaption">
    <w:name w:val="QER caption"/>
    <w:basedOn w:val="Normal"/>
    <w:link w:val="QERcaptionChar"/>
    <w:rsid w:val="00A83214"/>
    <w:pPr>
      <w:spacing w:before="60"/>
    </w:pPr>
    <w:rPr>
      <w:rFonts w:ascii="Trebuchet MS" w:hAnsi="Trebuchet MS"/>
      <w:b/>
      <w:lang w:eastAsia="pl-PL"/>
    </w:rPr>
  </w:style>
  <w:style w:type="character" w:customStyle="1" w:styleId="QERcaptionChar">
    <w:name w:val="QER caption Char"/>
    <w:basedOn w:val="DefaultParagraphFont"/>
    <w:link w:val="QERcaption"/>
    <w:rsid w:val="00A83214"/>
    <w:rPr>
      <w:rFonts w:ascii="Trebuchet MS" w:eastAsia="Times New Roman" w:hAnsi="Trebuchet MS"/>
      <w:b/>
      <w:lang w:eastAsia="pl-PL"/>
    </w:rPr>
  </w:style>
  <w:style w:type="character" w:styleId="CommentReference">
    <w:name w:val="annotation reference"/>
    <w:basedOn w:val="DefaultParagraphFont"/>
    <w:semiHidden/>
    <w:rsid w:val="00A83214"/>
    <w:rPr>
      <w:sz w:val="16"/>
      <w:szCs w:val="16"/>
    </w:rPr>
  </w:style>
  <w:style w:type="paragraph" w:styleId="CommentText">
    <w:name w:val="annotation text"/>
    <w:basedOn w:val="Normal"/>
    <w:link w:val="CommentTextChar"/>
    <w:semiHidden/>
    <w:rsid w:val="00A83214"/>
    <w:rPr>
      <w:sz w:val="20"/>
      <w:szCs w:val="20"/>
      <w:lang w:eastAsia="hr-HR"/>
    </w:rPr>
  </w:style>
  <w:style w:type="character" w:customStyle="1" w:styleId="CommentTextChar">
    <w:name w:val="Comment Text Char"/>
    <w:basedOn w:val="DefaultParagraphFont"/>
    <w:link w:val="CommentText"/>
    <w:semiHidden/>
    <w:rsid w:val="00A83214"/>
    <w:rPr>
      <w:rFonts w:eastAsia="Times New Roman"/>
      <w:sz w:val="20"/>
      <w:szCs w:val="20"/>
      <w:lang w:eastAsia="hr-HR"/>
    </w:rPr>
  </w:style>
  <w:style w:type="paragraph" w:styleId="CommentSubject">
    <w:name w:val="annotation subject"/>
    <w:basedOn w:val="CommentText"/>
    <w:next w:val="CommentText"/>
    <w:link w:val="CommentSubjectChar"/>
    <w:semiHidden/>
    <w:rsid w:val="00A83214"/>
    <w:rPr>
      <w:b/>
      <w:bCs/>
    </w:rPr>
  </w:style>
  <w:style w:type="character" w:customStyle="1" w:styleId="CommentSubjectChar">
    <w:name w:val="Comment Subject Char"/>
    <w:basedOn w:val="CommentTextChar"/>
    <w:link w:val="CommentSubject"/>
    <w:semiHidden/>
    <w:rsid w:val="00A83214"/>
    <w:rPr>
      <w:rFonts w:eastAsia="Times New Roman"/>
      <w:b/>
      <w:bCs/>
      <w:sz w:val="20"/>
      <w:szCs w:val="20"/>
      <w:lang w:eastAsia="hr-HR"/>
    </w:rPr>
  </w:style>
  <w:style w:type="table" w:styleId="TableClassic1">
    <w:name w:val="Table Classic 1"/>
    <w:basedOn w:val="TableNormal"/>
    <w:rsid w:val="00A83214"/>
    <w:pPr>
      <w:spacing w:before="0" w:beforeAutospacing="0" w:after="0" w:afterAutospacing="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BookTitle">
    <w:name w:val="Book Title"/>
    <w:basedOn w:val="DefaultParagraphFont"/>
    <w:uiPriority w:val="33"/>
    <w:qFormat/>
    <w:rsid w:val="00C20EC5"/>
    <w:rPr>
      <w:b/>
      <w:bCs/>
      <w:smallCaps/>
      <w:spacing w:val="5"/>
    </w:rPr>
  </w:style>
  <w:style w:type="paragraph" w:styleId="TOC1">
    <w:name w:val="toc 1"/>
    <w:basedOn w:val="Normal"/>
    <w:next w:val="Normal"/>
    <w:autoRedefine/>
    <w:uiPriority w:val="39"/>
    <w:unhideWhenUsed/>
    <w:rsid w:val="00C11A93"/>
    <w:pPr>
      <w:spacing w:after="100"/>
    </w:pPr>
  </w:style>
  <w:style w:type="paragraph" w:styleId="TOC2">
    <w:name w:val="toc 2"/>
    <w:basedOn w:val="Normal"/>
    <w:next w:val="Normal"/>
    <w:autoRedefine/>
    <w:uiPriority w:val="39"/>
    <w:unhideWhenUsed/>
    <w:rsid w:val="00B05D4C"/>
    <w:pPr>
      <w:tabs>
        <w:tab w:val="right" w:leader="dot" w:pos="9350"/>
      </w:tabs>
      <w:spacing w:after="60"/>
      <w:ind w:left="630"/>
    </w:pPr>
  </w:style>
  <w:style w:type="paragraph" w:styleId="TOC3">
    <w:name w:val="toc 3"/>
    <w:basedOn w:val="Normal"/>
    <w:next w:val="Normal"/>
    <w:autoRedefine/>
    <w:uiPriority w:val="39"/>
    <w:unhideWhenUsed/>
    <w:rsid w:val="00B05D4C"/>
    <w:pPr>
      <w:tabs>
        <w:tab w:val="right" w:leader="dot" w:pos="9350"/>
      </w:tabs>
      <w:spacing w:after="60"/>
      <w:ind w:left="630"/>
    </w:pPr>
  </w:style>
  <w:style w:type="paragraph" w:styleId="TableofFigures">
    <w:name w:val="table of figures"/>
    <w:basedOn w:val="Normal"/>
    <w:next w:val="Normal"/>
    <w:uiPriority w:val="99"/>
    <w:unhideWhenUsed/>
    <w:rsid w:val="00C11A93"/>
  </w:style>
  <w:style w:type="paragraph" w:styleId="EndnoteText">
    <w:name w:val="endnote text"/>
    <w:basedOn w:val="Normal"/>
    <w:link w:val="EndnoteTextChar"/>
    <w:uiPriority w:val="99"/>
    <w:semiHidden/>
    <w:unhideWhenUsed/>
    <w:rsid w:val="00C5486B"/>
    <w:rPr>
      <w:sz w:val="20"/>
      <w:szCs w:val="20"/>
    </w:rPr>
  </w:style>
  <w:style w:type="character" w:customStyle="1" w:styleId="EndnoteTextChar">
    <w:name w:val="Endnote Text Char"/>
    <w:basedOn w:val="DefaultParagraphFont"/>
    <w:link w:val="EndnoteText"/>
    <w:uiPriority w:val="99"/>
    <w:semiHidden/>
    <w:rsid w:val="00C5486B"/>
    <w:rPr>
      <w:rFonts w:eastAsia="Times New Roman"/>
      <w:sz w:val="20"/>
      <w:szCs w:val="20"/>
    </w:rPr>
  </w:style>
  <w:style w:type="character" w:styleId="EndnoteReference">
    <w:name w:val="endnote reference"/>
    <w:basedOn w:val="DefaultParagraphFont"/>
    <w:uiPriority w:val="99"/>
    <w:semiHidden/>
    <w:unhideWhenUsed/>
    <w:rsid w:val="00C548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Simple 1"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A4A"/>
    <w:pPr>
      <w:spacing w:before="0" w:beforeAutospacing="0" w:after="0" w:afterAutospacing="0"/>
    </w:pPr>
    <w:rPr>
      <w:rFonts w:eastAsia="Times New Roman"/>
    </w:rPr>
  </w:style>
  <w:style w:type="paragraph" w:styleId="Heading1">
    <w:name w:val="heading 1"/>
    <w:basedOn w:val="Normal"/>
    <w:next w:val="Normal"/>
    <w:link w:val="Heading1Char"/>
    <w:qFormat/>
    <w:rsid w:val="009A5654"/>
    <w:pPr>
      <w:keepNext/>
      <w:numPr>
        <w:numId w:val="4"/>
      </w:numPr>
      <w:spacing w:before="360" w:after="360"/>
      <w:ind w:left="0" w:firstLine="0"/>
      <w:jc w:val="center"/>
      <w:outlineLvl w:val="0"/>
    </w:pPr>
    <w:rPr>
      <w:rFonts w:ascii="Cambria" w:hAnsi="Cambria" w:cs="Arial"/>
      <w:b/>
      <w:bCs/>
      <w:kern w:val="32"/>
      <w:sz w:val="28"/>
      <w:szCs w:val="32"/>
    </w:rPr>
  </w:style>
  <w:style w:type="paragraph" w:styleId="Heading2">
    <w:name w:val="heading 2"/>
    <w:basedOn w:val="Normal"/>
    <w:next w:val="Normal"/>
    <w:link w:val="Heading2Char1"/>
    <w:qFormat/>
    <w:rsid w:val="00155587"/>
    <w:pPr>
      <w:keepNext/>
      <w:keepLines/>
      <w:spacing w:before="360" w:after="360"/>
      <w:jc w:val="center"/>
      <w:outlineLvl w:val="1"/>
    </w:pPr>
    <w:rPr>
      <w:rFonts w:ascii="Cambria" w:hAnsi="Cambria" w:cs="Arial"/>
      <w:b/>
      <w:bCs/>
      <w:iCs/>
      <w:smallCaps/>
      <w:szCs w:val="28"/>
    </w:rPr>
  </w:style>
  <w:style w:type="paragraph" w:styleId="Heading3">
    <w:name w:val="heading 3"/>
    <w:basedOn w:val="Normal"/>
    <w:next w:val="Normal"/>
    <w:link w:val="Heading3Char"/>
    <w:qFormat/>
    <w:rsid w:val="00155587"/>
    <w:pPr>
      <w:keepNext/>
      <w:spacing w:before="240" w:after="240"/>
      <w:outlineLvl w:val="2"/>
    </w:pPr>
    <w:rPr>
      <w:rFonts w:ascii="Cambria" w:hAnsi="Cambria"/>
      <w:b/>
      <w:sz w:val="22"/>
      <w:szCs w:val="20"/>
      <w:lang w:val="en-GB" w:eastAsia="hr-HR"/>
    </w:rPr>
  </w:style>
  <w:style w:type="paragraph" w:styleId="Heading4">
    <w:name w:val="heading 4"/>
    <w:basedOn w:val="Normal"/>
    <w:next w:val="Normal"/>
    <w:link w:val="Heading4Char"/>
    <w:qFormat/>
    <w:rsid w:val="00A83214"/>
    <w:pPr>
      <w:keepNext/>
      <w:spacing w:before="240" w:after="60"/>
      <w:outlineLvl w:val="3"/>
    </w:pPr>
    <w:rPr>
      <w:rFonts w:ascii="Arial" w:hAnsi="Arial"/>
      <w:b/>
      <w:szCs w:val="20"/>
      <w:lang w:val="en-GB" w:eastAsia="hr-HR"/>
    </w:rPr>
  </w:style>
  <w:style w:type="paragraph" w:styleId="Heading5">
    <w:name w:val="heading 5"/>
    <w:basedOn w:val="Normal"/>
    <w:next w:val="Normal"/>
    <w:link w:val="Heading5Char"/>
    <w:qFormat/>
    <w:rsid w:val="00A83214"/>
    <w:pPr>
      <w:keepNext/>
      <w:jc w:val="center"/>
      <w:outlineLvl w:val="4"/>
    </w:pPr>
    <w:rPr>
      <w:sz w:val="32"/>
      <w:szCs w:val="20"/>
      <w:lang w:eastAsia="hr-HR"/>
    </w:rPr>
  </w:style>
  <w:style w:type="paragraph" w:styleId="Heading8">
    <w:name w:val="heading 8"/>
    <w:basedOn w:val="Normal"/>
    <w:next w:val="Normal"/>
    <w:link w:val="Heading8Char"/>
    <w:qFormat/>
    <w:rsid w:val="00A83214"/>
    <w:pPr>
      <w:spacing w:before="240" w:after="60"/>
      <w:outlineLvl w:val="7"/>
    </w:pPr>
    <w:rPr>
      <w:rFonts w:ascii="Calibri" w:hAnsi="Calibri"/>
      <w:i/>
      <w:iCs/>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654"/>
    <w:rPr>
      <w:rFonts w:ascii="Cambria" w:eastAsia="Times New Roman" w:hAnsi="Cambria" w:cs="Arial"/>
      <w:b/>
      <w:bCs/>
      <w:kern w:val="32"/>
      <w:sz w:val="28"/>
      <w:szCs w:val="32"/>
    </w:rPr>
  </w:style>
  <w:style w:type="character" w:customStyle="1" w:styleId="Heading2Char">
    <w:name w:val="Heading 2 Char"/>
    <w:basedOn w:val="DefaultParagraphFont"/>
    <w:uiPriority w:val="9"/>
    <w:semiHidden/>
    <w:rsid w:val="00FD6A4A"/>
    <w:rPr>
      <w:rFonts w:asciiTheme="majorHAnsi" w:eastAsiaTheme="majorEastAsia" w:hAnsiTheme="majorHAnsi" w:cstheme="majorBidi"/>
      <w:b/>
      <w:bCs/>
      <w:color w:val="4F81BD" w:themeColor="accent1"/>
      <w:sz w:val="26"/>
      <w:szCs w:val="26"/>
    </w:rPr>
  </w:style>
  <w:style w:type="character" w:customStyle="1" w:styleId="Heading2Char1">
    <w:name w:val="Heading 2 Char1"/>
    <w:basedOn w:val="DefaultParagraphFont"/>
    <w:link w:val="Heading2"/>
    <w:rsid w:val="00155587"/>
    <w:rPr>
      <w:rFonts w:ascii="Cambria" w:eastAsia="Times New Roman" w:hAnsi="Cambria" w:cs="Arial"/>
      <w:b/>
      <w:bCs/>
      <w:iCs/>
      <w:smallCaps/>
      <w:szCs w:val="28"/>
    </w:rPr>
  </w:style>
  <w:style w:type="paragraph" w:styleId="FootnoteText">
    <w:name w:val="footnote text"/>
    <w:aliases w:val="fn,Footnote Text Char Char Char Char Char Char,single space,footnote text,FOOTNOTES,WB-Fußnotentext,Footnote,Fußnote,ADB,Char4,ft,WB-Fußnotentext Char Char,Fußnotentext Char,Footnote text,Footnote Text Char1,Footnote Text Char2 Char"/>
    <w:basedOn w:val="Normal"/>
    <w:link w:val="FootnoteTextChar"/>
    <w:rsid w:val="00B36818"/>
    <w:pPr>
      <w:keepLines/>
    </w:pPr>
    <w:rPr>
      <w:sz w:val="20"/>
      <w:szCs w:val="20"/>
    </w:rPr>
  </w:style>
  <w:style w:type="character" w:customStyle="1" w:styleId="FootnoteTextChar">
    <w:name w:val="Footnote Text Char"/>
    <w:aliases w:val="fn Char,Footnote Text Char Char Char Char Char Char Char,single space Char,footnote text Char,FOOTNOTES Char,WB-Fußnotentext Char,Footnote Char,Fußnote Char,ADB Char,Char4 Char,ft Char,WB-Fußnotentext Char Char Char,Footnote text Char"/>
    <w:basedOn w:val="DefaultParagraphFont"/>
    <w:link w:val="FootnoteText"/>
    <w:rsid w:val="00B36818"/>
    <w:rPr>
      <w:rFonts w:eastAsia="Times New Roman"/>
      <w:sz w:val="20"/>
      <w:szCs w:val="20"/>
    </w:rPr>
  </w:style>
  <w:style w:type="character" w:styleId="FootnoteReference">
    <w:name w:val="footnote reference"/>
    <w:aliases w:val="ftref,Footnote Reference Number"/>
    <w:basedOn w:val="DefaultParagraphFont"/>
    <w:uiPriority w:val="99"/>
    <w:rsid w:val="00FD6A4A"/>
    <w:rPr>
      <w:vertAlign w:val="superscript"/>
    </w:rPr>
  </w:style>
  <w:style w:type="paragraph" w:styleId="Caption">
    <w:name w:val="caption"/>
    <w:basedOn w:val="Normal"/>
    <w:next w:val="Normal"/>
    <w:qFormat/>
    <w:rsid w:val="00D25461"/>
    <w:pPr>
      <w:spacing w:after="80"/>
      <w:jc w:val="center"/>
      <w:outlineLvl w:val="0"/>
    </w:pPr>
    <w:rPr>
      <w:rFonts w:ascii="Cambria" w:hAnsi="Cambria"/>
      <w:b/>
      <w:sz w:val="20"/>
    </w:rPr>
  </w:style>
  <w:style w:type="paragraph" w:styleId="BalloonText">
    <w:name w:val="Balloon Text"/>
    <w:basedOn w:val="Normal"/>
    <w:link w:val="BalloonTextChar"/>
    <w:semiHidden/>
    <w:rsid w:val="00FD6A4A"/>
    <w:rPr>
      <w:rFonts w:ascii="Tahoma" w:hAnsi="Tahoma" w:cs="Tahoma"/>
      <w:sz w:val="16"/>
      <w:szCs w:val="16"/>
    </w:rPr>
  </w:style>
  <w:style w:type="character" w:customStyle="1" w:styleId="BalloonTextChar">
    <w:name w:val="Balloon Text Char"/>
    <w:basedOn w:val="DefaultParagraphFont"/>
    <w:link w:val="BalloonText"/>
    <w:semiHidden/>
    <w:rsid w:val="00FD6A4A"/>
    <w:rPr>
      <w:rFonts w:ascii="Tahoma" w:eastAsia="Times New Roman" w:hAnsi="Tahoma" w:cs="Tahoma"/>
      <w:sz w:val="16"/>
      <w:szCs w:val="16"/>
    </w:rPr>
  </w:style>
  <w:style w:type="table" w:styleId="TableGrid">
    <w:name w:val="Table Grid"/>
    <w:basedOn w:val="TableNormal"/>
    <w:uiPriority w:val="59"/>
    <w:rsid w:val="00FD6A4A"/>
    <w:pPr>
      <w:spacing w:before="0" w:beforeAutospacing="0" w:after="0" w:afterAutospacing="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ParawithChapter">
    <w:name w:val="Main Para with Chapter#"/>
    <w:basedOn w:val="Normal"/>
    <w:link w:val="MainParawithChapterChar"/>
    <w:rsid w:val="00FD6A4A"/>
    <w:pPr>
      <w:numPr>
        <w:ilvl w:val="1"/>
        <w:numId w:val="4"/>
      </w:numPr>
      <w:spacing w:after="240"/>
      <w:outlineLvl w:val="1"/>
    </w:pPr>
  </w:style>
  <w:style w:type="paragraph" w:customStyle="1" w:styleId="Sub-Para1underXY">
    <w:name w:val="Sub-Para 1 under X.Y"/>
    <w:basedOn w:val="Normal"/>
    <w:rsid w:val="00FD6A4A"/>
    <w:pPr>
      <w:numPr>
        <w:ilvl w:val="2"/>
        <w:numId w:val="4"/>
      </w:numPr>
      <w:spacing w:after="240"/>
      <w:outlineLvl w:val="2"/>
    </w:pPr>
  </w:style>
  <w:style w:type="paragraph" w:customStyle="1" w:styleId="Sub-Para2underXY">
    <w:name w:val="Sub-Para 2 under X.Y"/>
    <w:basedOn w:val="Normal"/>
    <w:rsid w:val="00FD6A4A"/>
    <w:pPr>
      <w:numPr>
        <w:ilvl w:val="3"/>
        <w:numId w:val="4"/>
      </w:numPr>
      <w:spacing w:after="240"/>
      <w:outlineLvl w:val="3"/>
    </w:pPr>
  </w:style>
  <w:style w:type="paragraph" w:customStyle="1" w:styleId="Sub-Para3underXY">
    <w:name w:val="Sub-Para 3 under X.Y"/>
    <w:basedOn w:val="Normal"/>
    <w:rsid w:val="00FD6A4A"/>
    <w:pPr>
      <w:numPr>
        <w:ilvl w:val="4"/>
        <w:numId w:val="4"/>
      </w:numPr>
      <w:spacing w:after="240"/>
      <w:outlineLvl w:val="4"/>
    </w:pPr>
  </w:style>
  <w:style w:type="paragraph" w:customStyle="1" w:styleId="Sub-Para4underXY">
    <w:name w:val="Sub-Para 4 under X.Y"/>
    <w:basedOn w:val="Normal"/>
    <w:rsid w:val="00FD6A4A"/>
    <w:pPr>
      <w:numPr>
        <w:ilvl w:val="5"/>
        <w:numId w:val="4"/>
      </w:numPr>
      <w:spacing w:after="240"/>
      <w:outlineLvl w:val="5"/>
    </w:pPr>
  </w:style>
  <w:style w:type="paragraph" w:styleId="BodyText">
    <w:name w:val="Body Text"/>
    <w:aliases w:val=" uvlaka 3,  uvlaka 2,uvlaka 3"/>
    <w:basedOn w:val="Normal"/>
    <w:link w:val="BodyTextChar"/>
    <w:unhideWhenUsed/>
    <w:rsid w:val="00FD6A4A"/>
    <w:pPr>
      <w:spacing w:after="120"/>
    </w:pPr>
  </w:style>
  <w:style w:type="character" w:customStyle="1" w:styleId="BodyTextChar">
    <w:name w:val="Body Text Char"/>
    <w:aliases w:val=" uvlaka 3 Char,  uvlaka 2 Char,uvlaka 3 Char1"/>
    <w:basedOn w:val="DefaultParagraphFont"/>
    <w:link w:val="BodyText"/>
    <w:uiPriority w:val="99"/>
    <w:semiHidden/>
    <w:rsid w:val="00FD6A4A"/>
    <w:rPr>
      <w:rFonts w:eastAsia="Times New Roman"/>
    </w:rPr>
  </w:style>
  <w:style w:type="paragraph" w:styleId="BodyTextFirstIndent">
    <w:name w:val="Body Text First Indent"/>
    <w:basedOn w:val="BodyText"/>
    <w:link w:val="BodyTextFirstIndentChar"/>
    <w:rsid w:val="00FD6A4A"/>
    <w:pPr>
      <w:ind w:firstLine="210"/>
    </w:pPr>
  </w:style>
  <w:style w:type="character" w:customStyle="1" w:styleId="BodyTextFirstIndentChar">
    <w:name w:val="Body Text First Indent Char"/>
    <w:basedOn w:val="BodyTextChar"/>
    <w:link w:val="BodyTextFirstIndent"/>
    <w:rsid w:val="00FD6A4A"/>
    <w:rPr>
      <w:rFonts w:eastAsia="Times New Roman"/>
    </w:rPr>
  </w:style>
  <w:style w:type="paragraph" w:customStyle="1" w:styleId="Tables">
    <w:name w:val="Tables"/>
    <w:basedOn w:val="Normal"/>
    <w:rsid w:val="00FD6A4A"/>
    <w:pPr>
      <w:keepNext/>
    </w:pPr>
    <w:rPr>
      <w:sz w:val="18"/>
      <w:szCs w:val="20"/>
    </w:rPr>
  </w:style>
  <w:style w:type="table" w:styleId="TableSimple1">
    <w:name w:val="Table Simple 1"/>
    <w:basedOn w:val="TableNormal"/>
    <w:rsid w:val="00FD6A4A"/>
    <w:pPr>
      <w:spacing w:before="0" w:beforeAutospacing="0" w:after="0" w:afterAutospacing="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MainParawithChapter11pt">
    <w:name w:val="Style Main Para with Chapter# + 11 pt"/>
    <w:basedOn w:val="MainParawithChapter"/>
    <w:link w:val="StyleMainParawithChapter11ptChar"/>
    <w:rsid w:val="00FD6A4A"/>
    <w:pPr>
      <w:jc w:val="both"/>
    </w:pPr>
    <w:rPr>
      <w:sz w:val="22"/>
    </w:rPr>
  </w:style>
  <w:style w:type="character" w:customStyle="1" w:styleId="MainParawithChapterChar">
    <w:name w:val="Main Para with Chapter# Char"/>
    <w:basedOn w:val="DefaultParagraphFont"/>
    <w:link w:val="MainParawithChapter"/>
    <w:rsid w:val="00FD6A4A"/>
    <w:rPr>
      <w:rFonts w:eastAsia="Times New Roman"/>
    </w:rPr>
  </w:style>
  <w:style w:type="character" w:customStyle="1" w:styleId="StyleMainParawithChapter11ptChar">
    <w:name w:val="Style Main Para with Chapter# + 11 pt Char"/>
    <w:basedOn w:val="MainParawithChapterChar"/>
    <w:link w:val="StyleMainParawithChapter11pt"/>
    <w:rsid w:val="00FD6A4A"/>
    <w:rPr>
      <w:rFonts w:eastAsia="Times New Roman"/>
      <w:sz w:val="22"/>
    </w:rPr>
  </w:style>
  <w:style w:type="paragraph" w:styleId="ListParagraph">
    <w:name w:val="List Paragraph"/>
    <w:basedOn w:val="Normal"/>
    <w:link w:val="ListParagraphChar"/>
    <w:uiPriority w:val="34"/>
    <w:qFormat/>
    <w:rsid w:val="001B69A4"/>
    <w:pPr>
      <w:ind w:left="720"/>
      <w:contextualSpacing/>
    </w:pPr>
  </w:style>
  <w:style w:type="character" w:styleId="Hyperlink">
    <w:name w:val="Hyperlink"/>
    <w:basedOn w:val="DefaultParagraphFont"/>
    <w:uiPriority w:val="99"/>
    <w:unhideWhenUsed/>
    <w:rsid w:val="0070674B"/>
    <w:rPr>
      <w:color w:val="0000FF" w:themeColor="hyperlink"/>
      <w:u w:val="single"/>
    </w:rPr>
  </w:style>
  <w:style w:type="character" w:customStyle="1" w:styleId="hps">
    <w:name w:val="hps"/>
    <w:basedOn w:val="DefaultParagraphFont"/>
    <w:rsid w:val="0070674B"/>
  </w:style>
  <w:style w:type="paragraph" w:styleId="BodyTextIndent3">
    <w:name w:val="Body Text Indent 3"/>
    <w:aliases w:val=" uvlaka 31"/>
    <w:basedOn w:val="Normal"/>
    <w:link w:val="BodyTextIndent3Char"/>
    <w:unhideWhenUsed/>
    <w:rsid w:val="00470166"/>
    <w:pPr>
      <w:spacing w:after="120"/>
      <w:ind w:left="360"/>
    </w:pPr>
    <w:rPr>
      <w:sz w:val="16"/>
      <w:szCs w:val="16"/>
    </w:rPr>
  </w:style>
  <w:style w:type="character" w:customStyle="1" w:styleId="BodyTextIndent3Char">
    <w:name w:val="Body Text Indent 3 Char"/>
    <w:aliases w:val=" uvlaka 31 Char"/>
    <w:basedOn w:val="DefaultParagraphFont"/>
    <w:link w:val="BodyTextIndent3"/>
    <w:uiPriority w:val="99"/>
    <w:semiHidden/>
    <w:rsid w:val="00470166"/>
    <w:rPr>
      <w:rFonts w:eastAsia="Times New Roman"/>
      <w:sz w:val="16"/>
      <w:szCs w:val="16"/>
    </w:rPr>
  </w:style>
  <w:style w:type="paragraph" w:styleId="BodyTextIndent">
    <w:name w:val="Body Text Indent"/>
    <w:basedOn w:val="Normal"/>
    <w:link w:val="BodyTextIndentChar"/>
    <w:unhideWhenUsed/>
    <w:rsid w:val="00FA3BC7"/>
    <w:pPr>
      <w:spacing w:after="120"/>
      <w:ind w:left="360"/>
    </w:pPr>
  </w:style>
  <w:style w:type="character" w:customStyle="1" w:styleId="BodyTextIndentChar">
    <w:name w:val="Body Text Indent Char"/>
    <w:basedOn w:val="DefaultParagraphFont"/>
    <w:link w:val="BodyTextIndent"/>
    <w:uiPriority w:val="99"/>
    <w:semiHidden/>
    <w:rsid w:val="00FA3BC7"/>
    <w:rPr>
      <w:rFonts w:eastAsia="Times New Roman"/>
    </w:rPr>
  </w:style>
  <w:style w:type="character" w:customStyle="1" w:styleId="ListParagraphChar">
    <w:name w:val="List Paragraph Char"/>
    <w:basedOn w:val="DefaultParagraphFont"/>
    <w:link w:val="ListParagraph"/>
    <w:uiPriority w:val="34"/>
    <w:locked/>
    <w:rsid w:val="00FA3BC7"/>
    <w:rPr>
      <w:rFonts w:eastAsia="Times New Roman"/>
    </w:rPr>
  </w:style>
  <w:style w:type="character" w:customStyle="1" w:styleId="Heading3Char">
    <w:name w:val="Heading 3 Char"/>
    <w:basedOn w:val="DefaultParagraphFont"/>
    <w:link w:val="Heading3"/>
    <w:rsid w:val="00155587"/>
    <w:rPr>
      <w:rFonts w:ascii="Cambria" w:eastAsia="Times New Roman" w:hAnsi="Cambria"/>
      <w:b/>
      <w:sz w:val="22"/>
      <w:szCs w:val="20"/>
      <w:lang w:val="en-GB" w:eastAsia="hr-HR"/>
    </w:rPr>
  </w:style>
  <w:style w:type="character" w:customStyle="1" w:styleId="Heading4Char">
    <w:name w:val="Heading 4 Char"/>
    <w:basedOn w:val="DefaultParagraphFont"/>
    <w:link w:val="Heading4"/>
    <w:rsid w:val="00A83214"/>
    <w:rPr>
      <w:rFonts w:ascii="Arial" w:eastAsia="Times New Roman" w:hAnsi="Arial"/>
      <w:b/>
      <w:szCs w:val="20"/>
      <w:lang w:val="en-GB" w:eastAsia="hr-HR"/>
    </w:rPr>
  </w:style>
  <w:style w:type="character" w:customStyle="1" w:styleId="Heading5Char">
    <w:name w:val="Heading 5 Char"/>
    <w:basedOn w:val="DefaultParagraphFont"/>
    <w:link w:val="Heading5"/>
    <w:rsid w:val="00A83214"/>
    <w:rPr>
      <w:rFonts w:eastAsia="Times New Roman"/>
      <w:sz w:val="32"/>
      <w:szCs w:val="20"/>
      <w:lang w:eastAsia="hr-HR"/>
    </w:rPr>
  </w:style>
  <w:style w:type="character" w:customStyle="1" w:styleId="Heading8Char">
    <w:name w:val="Heading 8 Char"/>
    <w:basedOn w:val="DefaultParagraphFont"/>
    <w:link w:val="Heading8"/>
    <w:rsid w:val="00A83214"/>
    <w:rPr>
      <w:rFonts w:ascii="Calibri" w:eastAsia="Times New Roman" w:hAnsi="Calibri"/>
      <w:i/>
      <w:iCs/>
      <w:lang w:eastAsia="hr-HR"/>
    </w:rPr>
  </w:style>
  <w:style w:type="paragraph" w:customStyle="1" w:styleId="Tijeloteksta21">
    <w:name w:val="Tijelo teksta 21"/>
    <w:basedOn w:val="Normal"/>
    <w:rsid w:val="00A83214"/>
    <w:pPr>
      <w:jc w:val="both"/>
    </w:pPr>
    <w:rPr>
      <w:szCs w:val="20"/>
      <w:lang w:val="en-GB" w:eastAsia="hr-HR"/>
    </w:rPr>
  </w:style>
  <w:style w:type="paragraph" w:styleId="BodyTextIndent2">
    <w:name w:val="Body Text Indent 2"/>
    <w:aliases w:val="  uvlaka 21"/>
    <w:basedOn w:val="Normal"/>
    <w:link w:val="BodyTextIndent2Char"/>
    <w:rsid w:val="00A83214"/>
    <w:pPr>
      <w:ind w:firstLine="540"/>
      <w:jc w:val="both"/>
    </w:pPr>
    <w:rPr>
      <w:lang w:eastAsia="hr-HR"/>
    </w:rPr>
  </w:style>
  <w:style w:type="character" w:customStyle="1" w:styleId="BodyTextIndent2Char">
    <w:name w:val="Body Text Indent 2 Char"/>
    <w:aliases w:val="  uvlaka 21 Char"/>
    <w:basedOn w:val="DefaultParagraphFont"/>
    <w:link w:val="BodyTextIndent2"/>
    <w:rsid w:val="00A83214"/>
    <w:rPr>
      <w:rFonts w:eastAsia="Times New Roman"/>
      <w:lang w:eastAsia="hr-HR"/>
    </w:rPr>
  </w:style>
  <w:style w:type="paragraph" w:styleId="Footer">
    <w:name w:val="footer"/>
    <w:basedOn w:val="Normal"/>
    <w:link w:val="FooterChar"/>
    <w:uiPriority w:val="99"/>
    <w:rsid w:val="00A83214"/>
    <w:pPr>
      <w:tabs>
        <w:tab w:val="center" w:pos="4536"/>
        <w:tab w:val="right" w:pos="9072"/>
      </w:tabs>
    </w:pPr>
    <w:rPr>
      <w:lang w:eastAsia="hr-HR"/>
    </w:rPr>
  </w:style>
  <w:style w:type="character" w:customStyle="1" w:styleId="FooterChar">
    <w:name w:val="Footer Char"/>
    <w:basedOn w:val="DefaultParagraphFont"/>
    <w:link w:val="Footer"/>
    <w:uiPriority w:val="99"/>
    <w:rsid w:val="00A83214"/>
    <w:rPr>
      <w:rFonts w:eastAsia="Times New Roman"/>
      <w:lang w:eastAsia="hr-HR"/>
    </w:rPr>
  </w:style>
  <w:style w:type="character" w:styleId="PageNumber">
    <w:name w:val="page number"/>
    <w:basedOn w:val="DefaultParagraphFont"/>
    <w:rsid w:val="00A83214"/>
  </w:style>
  <w:style w:type="paragraph" w:styleId="NormalWeb">
    <w:name w:val="Normal (Web)"/>
    <w:basedOn w:val="Normal"/>
    <w:uiPriority w:val="99"/>
    <w:rsid w:val="00A83214"/>
    <w:pPr>
      <w:spacing w:before="100" w:beforeAutospacing="1" w:after="100" w:afterAutospacing="1"/>
    </w:pPr>
    <w:rPr>
      <w:lang w:val="ru-RU" w:eastAsia="ru-RU"/>
    </w:rPr>
  </w:style>
  <w:style w:type="paragraph" w:styleId="BodyText2">
    <w:name w:val="Body Text 2"/>
    <w:basedOn w:val="Normal"/>
    <w:link w:val="BodyText2Char"/>
    <w:rsid w:val="00A83214"/>
    <w:pPr>
      <w:jc w:val="both"/>
    </w:pPr>
    <w:rPr>
      <w:sz w:val="20"/>
      <w:lang w:eastAsia="hr-HR"/>
    </w:rPr>
  </w:style>
  <w:style w:type="character" w:customStyle="1" w:styleId="BodyText2Char">
    <w:name w:val="Body Text 2 Char"/>
    <w:basedOn w:val="DefaultParagraphFont"/>
    <w:link w:val="BodyText2"/>
    <w:rsid w:val="00A83214"/>
    <w:rPr>
      <w:rFonts w:eastAsia="Times New Roman"/>
      <w:sz w:val="20"/>
      <w:lang w:eastAsia="hr-HR"/>
    </w:rPr>
  </w:style>
  <w:style w:type="paragraph" w:customStyle="1" w:styleId="TEXT">
    <w:name w:val="TEXT"/>
    <w:basedOn w:val="Normal"/>
    <w:autoRedefine/>
    <w:rsid w:val="00A83214"/>
    <w:pPr>
      <w:ind w:firstLine="709"/>
      <w:jc w:val="both"/>
    </w:pPr>
    <w:rPr>
      <w:rFonts w:ascii="Book Antiqua" w:hAnsi="Book Antiqua"/>
      <w:sz w:val="20"/>
      <w:szCs w:val="20"/>
      <w:lang w:val="en-AU" w:eastAsia="ru-RU"/>
    </w:rPr>
  </w:style>
  <w:style w:type="paragraph" w:styleId="Header">
    <w:name w:val="header"/>
    <w:basedOn w:val="Normal"/>
    <w:link w:val="HeaderChar"/>
    <w:uiPriority w:val="99"/>
    <w:rsid w:val="00A83214"/>
    <w:pPr>
      <w:tabs>
        <w:tab w:val="center" w:pos="4536"/>
        <w:tab w:val="right" w:pos="9072"/>
      </w:tabs>
    </w:pPr>
    <w:rPr>
      <w:lang w:eastAsia="hr-HR"/>
    </w:rPr>
  </w:style>
  <w:style w:type="character" w:customStyle="1" w:styleId="HeaderChar">
    <w:name w:val="Header Char"/>
    <w:basedOn w:val="DefaultParagraphFont"/>
    <w:link w:val="Header"/>
    <w:uiPriority w:val="99"/>
    <w:rsid w:val="00A83214"/>
    <w:rPr>
      <w:rFonts w:eastAsia="Times New Roman"/>
      <w:lang w:eastAsia="hr-HR"/>
    </w:rPr>
  </w:style>
  <w:style w:type="character" w:customStyle="1" w:styleId="Char">
    <w:name w:val="Char"/>
    <w:basedOn w:val="DefaultParagraphFont"/>
    <w:rsid w:val="00A83214"/>
    <w:rPr>
      <w:b/>
      <w:bCs/>
      <w:sz w:val="24"/>
      <w:szCs w:val="24"/>
      <w:lang w:val="hr-HR" w:eastAsia="hr-HR" w:bidi="ar-SA"/>
    </w:rPr>
  </w:style>
  <w:style w:type="character" w:customStyle="1" w:styleId="uvlaka3Char">
    <w:name w:val="uvlaka 3 Char"/>
    <w:basedOn w:val="DefaultParagraphFont"/>
    <w:rsid w:val="00A83214"/>
    <w:rPr>
      <w:sz w:val="24"/>
      <w:lang w:val="bs-Latn-BA" w:eastAsia="hr-HR" w:bidi="ar-SA"/>
    </w:rPr>
  </w:style>
  <w:style w:type="paragraph" w:styleId="Subtitle">
    <w:name w:val="Subtitle"/>
    <w:basedOn w:val="Normal"/>
    <w:link w:val="SubtitleChar"/>
    <w:qFormat/>
    <w:rsid w:val="00A83214"/>
    <w:pPr>
      <w:spacing w:before="120" w:after="120"/>
      <w:ind w:firstLine="720"/>
      <w:jc w:val="center"/>
    </w:pPr>
    <w:rPr>
      <w:b/>
      <w:bCs/>
      <w:lang w:val="ro-RO"/>
    </w:rPr>
  </w:style>
  <w:style w:type="character" w:customStyle="1" w:styleId="SubtitleChar">
    <w:name w:val="Subtitle Char"/>
    <w:basedOn w:val="DefaultParagraphFont"/>
    <w:link w:val="Subtitle"/>
    <w:rsid w:val="00A83214"/>
    <w:rPr>
      <w:rFonts w:eastAsia="Times New Roman"/>
      <w:b/>
      <w:bCs/>
      <w:lang w:val="ro-RO"/>
    </w:rPr>
  </w:style>
  <w:style w:type="character" w:styleId="SubtleEmphasis">
    <w:name w:val="Subtle Emphasis"/>
    <w:basedOn w:val="DefaultParagraphFont"/>
    <w:uiPriority w:val="19"/>
    <w:qFormat/>
    <w:rsid w:val="00A83214"/>
    <w:rPr>
      <w:rFonts w:eastAsia="Times New Roman" w:cs="Times New Roman"/>
      <w:bCs w:val="0"/>
      <w:i/>
      <w:iCs/>
      <w:color w:val="808080"/>
      <w:szCs w:val="22"/>
      <w:lang w:val="en-US"/>
    </w:rPr>
  </w:style>
  <w:style w:type="paragraph" w:styleId="Revision">
    <w:name w:val="Revision"/>
    <w:hidden/>
    <w:uiPriority w:val="99"/>
    <w:semiHidden/>
    <w:rsid w:val="00A83214"/>
    <w:pPr>
      <w:spacing w:before="0" w:beforeAutospacing="0" w:after="0" w:afterAutospacing="0"/>
    </w:pPr>
    <w:rPr>
      <w:rFonts w:eastAsia="Times New Roman"/>
      <w:lang w:eastAsia="hr-HR"/>
    </w:rPr>
  </w:style>
  <w:style w:type="paragraph" w:customStyle="1" w:styleId="ParagraphNumbering">
    <w:name w:val="Paragraph Numbering"/>
    <w:basedOn w:val="Normal"/>
    <w:link w:val="ParagraphNumberingChar"/>
    <w:rsid w:val="00A83214"/>
    <w:pPr>
      <w:numPr>
        <w:numId w:val="8"/>
      </w:numPr>
      <w:spacing w:after="240" w:line="264" w:lineRule="auto"/>
    </w:pPr>
  </w:style>
  <w:style w:type="character" w:customStyle="1" w:styleId="ParagraphNumberingChar">
    <w:name w:val="Paragraph Numbering Char"/>
    <w:basedOn w:val="DefaultParagraphFont"/>
    <w:link w:val="ParagraphNumbering"/>
    <w:rsid w:val="00A83214"/>
    <w:rPr>
      <w:rFonts w:eastAsia="Times New Roman"/>
    </w:rPr>
  </w:style>
  <w:style w:type="paragraph" w:customStyle="1" w:styleId="BankNormal">
    <w:name w:val="BankNormal"/>
    <w:basedOn w:val="Normal"/>
    <w:rsid w:val="00A83214"/>
    <w:pPr>
      <w:spacing w:after="240"/>
    </w:pPr>
    <w:rPr>
      <w:szCs w:val="20"/>
    </w:rPr>
  </w:style>
  <w:style w:type="paragraph" w:styleId="Title">
    <w:name w:val="Title"/>
    <w:basedOn w:val="Normal"/>
    <w:link w:val="TitleChar"/>
    <w:qFormat/>
    <w:rsid w:val="00C20EC5"/>
    <w:pPr>
      <w:spacing w:before="360" w:after="360"/>
      <w:jc w:val="center"/>
    </w:pPr>
    <w:rPr>
      <w:rFonts w:ascii="Cambria" w:hAnsi="Cambria"/>
      <w:b/>
      <w:bCs/>
      <w:sz w:val="28"/>
    </w:rPr>
  </w:style>
  <w:style w:type="character" w:customStyle="1" w:styleId="TitleChar">
    <w:name w:val="Title Char"/>
    <w:basedOn w:val="DefaultParagraphFont"/>
    <w:link w:val="Title"/>
    <w:rsid w:val="00C20EC5"/>
    <w:rPr>
      <w:rFonts w:ascii="Cambria" w:eastAsia="Times New Roman" w:hAnsi="Cambria"/>
      <w:b/>
      <w:bCs/>
      <w:sz w:val="28"/>
    </w:rPr>
  </w:style>
  <w:style w:type="paragraph" w:customStyle="1" w:styleId="Outline2">
    <w:name w:val="Outline2"/>
    <w:basedOn w:val="Normal"/>
    <w:rsid w:val="00A83214"/>
    <w:pPr>
      <w:numPr>
        <w:numId w:val="9"/>
      </w:numPr>
      <w:tabs>
        <w:tab w:val="clear" w:pos="432"/>
        <w:tab w:val="num" w:pos="864"/>
      </w:tabs>
      <w:spacing w:before="240"/>
      <w:ind w:left="864" w:hanging="504"/>
    </w:pPr>
    <w:rPr>
      <w:kern w:val="28"/>
      <w:szCs w:val="20"/>
    </w:rPr>
  </w:style>
  <w:style w:type="paragraph" w:customStyle="1" w:styleId="Outline3">
    <w:name w:val="Outline3"/>
    <w:basedOn w:val="Normal"/>
    <w:rsid w:val="00A83214"/>
    <w:pPr>
      <w:numPr>
        <w:ilvl w:val="1"/>
        <w:numId w:val="9"/>
      </w:numPr>
      <w:tabs>
        <w:tab w:val="clear" w:pos="1152"/>
        <w:tab w:val="num" w:pos="1368"/>
      </w:tabs>
      <w:spacing w:before="240"/>
      <w:ind w:left="1368" w:hanging="504"/>
    </w:pPr>
    <w:rPr>
      <w:kern w:val="28"/>
      <w:szCs w:val="20"/>
    </w:rPr>
  </w:style>
  <w:style w:type="paragraph" w:customStyle="1" w:styleId="Outline4">
    <w:name w:val="Outline4"/>
    <w:basedOn w:val="Normal"/>
    <w:rsid w:val="00A83214"/>
    <w:pPr>
      <w:numPr>
        <w:ilvl w:val="2"/>
        <w:numId w:val="9"/>
      </w:numPr>
      <w:tabs>
        <w:tab w:val="clear" w:pos="1728"/>
        <w:tab w:val="num" w:pos="1872"/>
      </w:tabs>
      <w:spacing w:before="240"/>
      <w:ind w:left="1872" w:hanging="504"/>
    </w:pPr>
    <w:rPr>
      <w:kern w:val="28"/>
      <w:szCs w:val="20"/>
    </w:rPr>
  </w:style>
  <w:style w:type="paragraph" w:customStyle="1" w:styleId="Headinga">
    <w:name w:val="Heading a"/>
    <w:basedOn w:val="Normal"/>
    <w:rsid w:val="00A83214"/>
    <w:pPr>
      <w:widowControl w:val="0"/>
      <w:numPr>
        <w:ilvl w:val="3"/>
        <w:numId w:val="9"/>
      </w:numPr>
      <w:tabs>
        <w:tab w:val="clear" w:pos="2304"/>
      </w:tabs>
      <w:spacing w:after="120"/>
      <w:ind w:left="0" w:firstLine="0"/>
    </w:pPr>
    <w:rPr>
      <w:sz w:val="22"/>
      <w:szCs w:val="20"/>
    </w:rPr>
  </w:style>
  <w:style w:type="paragraph" w:customStyle="1" w:styleId="Main">
    <w:name w:val="Main"/>
    <w:basedOn w:val="Normal"/>
    <w:rsid w:val="00A83214"/>
    <w:pPr>
      <w:numPr>
        <w:numId w:val="10"/>
      </w:numPr>
      <w:jc w:val="both"/>
    </w:pPr>
    <w:rPr>
      <w:sz w:val="22"/>
      <w:szCs w:val="22"/>
      <w:lang w:val="en-GB"/>
    </w:rPr>
  </w:style>
  <w:style w:type="paragraph" w:customStyle="1" w:styleId="QERcaption">
    <w:name w:val="QER caption"/>
    <w:basedOn w:val="Normal"/>
    <w:link w:val="QERcaptionChar"/>
    <w:rsid w:val="00A83214"/>
    <w:pPr>
      <w:spacing w:before="60"/>
    </w:pPr>
    <w:rPr>
      <w:rFonts w:ascii="Trebuchet MS" w:hAnsi="Trebuchet MS"/>
      <w:b/>
      <w:lang w:eastAsia="pl-PL"/>
    </w:rPr>
  </w:style>
  <w:style w:type="character" w:customStyle="1" w:styleId="QERcaptionChar">
    <w:name w:val="QER caption Char"/>
    <w:basedOn w:val="DefaultParagraphFont"/>
    <w:link w:val="QERcaption"/>
    <w:rsid w:val="00A83214"/>
    <w:rPr>
      <w:rFonts w:ascii="Trebuchet MS" w:eastAsia="Times New Roman" w:hAnsi="Trebuchet MS"/>
      <w:b/>
      <w:lang w:eastAsia="pl-PL"/>
    </w:rPr>
  </w:style>
  <w:style w:type="character" w:styleId="CommentReference">
    <w:name w:val="annotation reference"/>
    <w:basedOn w:val="DefaultParagraphFont"/>
    <w:semiHidden/>
    <w:rsid w:val="00A83214"/>
    <w:rPr>
      <w:sz w:val="16"/>
      <w:szCs w:val="16"/>
    </w:rPr>
  </w:style>
  <w:style w:type="paragraph" w:styleId="CommentText">
    <w:name w:val="annotation text"/>
    <w:basedOn w:val="Normal"/>
    <w:link w:val="CommentTextChar"/>
    <w:semiHidden/>
    <w:rsid w:val="00A83214"/>
    <w:rPr>
      <w:sz w:val="20"/>
      <w:szCs w:val="20"/>
      <w:lang w:eastAsia="hr-HR"/>
    </w:rPr>
  </w:style>
  <w:style w:type="character" w:customStyle="1" w:styleId="CommentTextChar">
    <w:name w:val="Comment Text Char"/>
    <w:basedOn w:val="DefaultParagraphFont"/>
    <w:link w:val="CommentText"/>
    <w:semiHidden/>
    <w:rsid w:val="00A83214"/>
    <w:rPr>
      <w:rFonts w:eastAsia="Times New Roman"/>
      <w:sz w:val="20"/>
      <w:szCs w:val="20"/>
      <w:lang w:eastAsia="hr-HR"/>
    </w:rPr>
  </w:style>
  <w:style w:type="paragraph" w:styleId="CommentSubject">
    <w:name w:val="annotation subject"/>
    <w:basedOn w:val="CommentText"/>
    <w:next w:val="CommentText"/>
    <w:link w:val="CommentSubjectChar"/>
    <w:semiHidden/>
    <w:rsid w:val="00A83214"/>
    <w:rPr>
      <w:b/>
      <w:bCs/>
    </w:rPr>
  </w:style>
  <w:style w:type="character" w:customStyle="1" w:styleId="CommentSubjectChar">
    <w:name w:val="Comment Subject Char"/>
    <w:basedOn w:val="CommentTextChar"/>
    <w:link w:val="CommentSubject"/>
    <w:semiHidden/>
    <w:rsid w:val="00A83214"/>
    <w:rPr>
      <w:rFonts w:eastAsia="Times New Roman"/>
      <w:b/>
      <w:bCs/>
      <w:sz w:val="20"/>
      <w:szCs w:val="20"/>
      <w:lang w:eastAsia="hr-HR"/>
    </w:rPr>
  </w:style>
  <w:style w:type="table" w:styleId="TableClassic1">
    <w:name w:val="Table Classic 1"/>
    <w:basedOn w:val="TableNormal"/>
    <w:rsid w:val="00A83214"/>
    <w:pPr>
      <w:spacing w:before="0" w:beforeAutospacing="0" w:after="0" w:afterAutospacing="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BookTitle">
    <w:name w:val="Book Title"/>
    <w:basedOn w:val="DefaultParagraphFont"/>
    <w:uiPriority w:val="33"/>
    <w:qFormat/>
    <w:rsid w:val="00C20EC5"/>
    <w:rPr>
      <w:b/>
      <w:bCs/>
      <w:smallCaps/>
      <w:spacing w:val="5"/>
    </w:rPr>
  </w:style>
  <w:style w:type="paragraph" w:styleId="TOC1">
    <w:name w:val="toc 1"/>
    <w:basedOn w:val="Normal"/>
    <w:next w:val="Normal"/>
    <w:autoRedefine/>
    <w:uiPriority w:val="39"/>
    <w:unhideWhenUsed/>
    <w:rsid w:val="00C11A93"/>
    <w:pPr>
      <w:spacing w:after="100"/>
    </w:pPr>
  </w:style>
  <w:style w:type="paragraph" w:styleId="TOC2">
    <w:name w:val="toc 2"/>
    <w:basedOn w:val="Normal"/>
    <w:next w:val="Normal"/>
    <w:autoRedefine/>
    <w:uiPriority w:val="39"/>
    <w:unhideWhenUsed/>
    <w:rsid w:val="00B05D4C"/>
    <w:pPr>
      <w:tabs>
        <w:tab w:val="right" w:leader="dot" w:pos="9350"/>
      </w:tabs>
      <w:spacing w:after="60"/>
      <w:ind w:left="630"/>
    </w:pPr>
  </w:style>
  <w:style w:type="paragraph" w:styleId="TOC3">
    <w:name w:val="toc 3"/>
    <w:basedOn w:val="Normal"/>
    <w:next w:val="Normal"/>
    <w:autoRedefine/>
    <w:uiPriority w:val="39"/>
    <w:unhideWhenUsed/>
    <w:rsid w:val="00B05D4C"/>
    <w:pPr>
      <w:tabs>
        <w:tab w:val="right" w:leader="dot" w:pos="9350"/>
      </w:tabs>
      <w:spacing w:after="60"/>
      <w:ind w:left="630"/>
    </w:pPr>
  </w:style>
  <w:style w:type="paragraph" w:styleId="TableofFigures">
    <w:name w:val="table of figures"/>
    <w:basedOn w:val="Normal"/>
    <w:next w:val="Normal"/>
    <w:uiPriority w:val="99"/>
    <w:unhideWhenUsed/>
    <w:rsid w:val="00C11A93"/>
  </w:style>
  <w:style w:type="paragraph" w:styleId="EndnoteText">
    <w:name w:val="endnote text"/>
    <w:basedOn w:val="Normal"/>
    <w:link w:val="EndnoteTextChar"/>
    <w:uiPriority w:val="99"/>
    <w:semiHidden/>
    <w:unhideWhenUsed/>
    <w:rsid w:val="00C5486B"/>
    <w:rPr>
      <w:sz w:val="20"/>
      <w:szCs w:val="20"/>
    </w:rPr>
  </w:style>
  <w:style w:type="character" w:customStyle="1" w:styleId="EndnoteTextChar">
    <w:name w:val="Endnote Text Char"/>
    <w:basedOn w:val="DefaultParagraphFont"/>
    <w:link w:val="EndnoteText"/>
    <w:uiPriority w:val="99"/>
    <w:semiHidden/>
    <w:rsid w:val="00C5486B"/>
    <w:rPr>
      <w:rFonts w:eastAsia="Times New Roman"/>
      <w:sz w:val="20"/>
      <w:szCs w:val="20"/>
    </w:rPr>
  </w:style>
  <w:style w:type="character" w:styleId="EndnoteReference">
    <w:name w:val="endnote reference"/>
    <w:basedOn w:val="DefaultParagraphFont"/>
    <w:uiPriority w:val="99"/>
    <w:semiHidden/>
    <w:unhideWhenUsed/>
    <w:rsid w:val="00C548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13825">
      <w:bodyDiv w:val="1"/>
      <w:marLeft w:val="0"/>
      <w:marRight w:val="0"/>
      <w:marTop w:val="0"/>
      <w:marBottom w:val="0"/>
      <w:divBdr>
        <w:top w:val="none" w:sz="0" w:space="0" w:color="auto"/>
        <w:left w:val="none" w:sz="0" w:space="0" w:color="auto"/>
        <w:bottom w:val="none" w:sz="0" w:space="0" w:color="auto"/>
        <w:right w:val="none" w:sz="0" w:space="0" w:color="auto"/>
      </w:divBdr>
    </w:div>
    <w:div w:id="444496172">
      <w:bodyDiv w:val="1"/>
      <w:marLeft w:val="0"/>
      <w:marRight w:val="0"/>
      <w:marTop w:val="0"/>
      <w:marBottom w:val="0"/>
      <w:divBdr>
        <w:top w:val="none" w:sz="0" w:space="0" w:color="auto"/>
        <w:left w:val="none" w:sz="0" w:space="0" w:color="auto"/>
        <w:bottom w:val="none" w:sz="0" w:space="0" w:color="auto"/>
        <w:right w:val="none" w:sz="0" w:space="0" w:color="auto"/>
      </w:divBdr>
    </w:div>
    <w:div w:id="938219773">
      <w:bodyDiv w:val="1"/>
      <w:marLeft w:val="0"/>
      <w:marRight w:val="0"/>
      <w:marTop w:val="0"/>
      <w:marBottom w:val="0"/>
      <w:divBdr>
        <w:top w:val="none" w:sz="0" w:space="0" w:color="auto"/>
        <w:left w:val="none" w:sz="0" w:space="0" w:color="auto"/>
        <w:bottom w:val="none" w:sz="0" w:space="0" w:color="auto"/>
        <w:right w:val="none" w:sz="0" w:space="0" w:color="auto"/>
      </w:divBdr>
    </w:div>
    <w:div w:id="1971587109">
      <w:bodyDiv w:val="1"/>
      <w:marLeft w:val="0"/>
      <w:marRight w:val="0"/>
      <w:marTop w:val="0"/>
      <w:marBottom w:val="0"/>
      <w:divBdr>
        <w:top w:val="none" w:sz="0" w:space="0" w:color="auto"/>
        <w:left w:val="none" w:sz="0" w:space="0" w:color="auto"/>
        <w:bottom w:val="none" w:sz="0" w:space="0" w:color="auto"/>
        <w:right w:val="none" w:sz="0" w:space="0" w:color="auto"/>
      </w:divBdr>
    </w:div>
    <w:div w:id="211323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emf"/><Relationship Id="rId26" Type="http://schemas.openxmlformats.org/officeDocument/2006/relationships/chart" Target="charts/chart8.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chart" Target="charts/chart16.xml"/><Relationship Id="rId42"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0.emf"/><Relationship Id="rId33" Type="http://schemas.openxmlformats.org/officeDocument/2006/relationships/chart" Target="charts/chart15.xml"/><Relationship Id="rId38" Type="http://schemas.openxmlformats.org/officeDocument/2006/relationships/image" Target="media/image1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emf"/><Relationship Id="rId29" Type="http://schemas.openxmlformats.org/officeDocument/2006/relationships/chart" Target="charts/chart11.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chart" Target="charts/chart13.xm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gif"/><Relationship Id="rId22" Type="http://schemas.openxmlformats.org/officeDocument/2006/relationships/image" Target="media/image8.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1.emf"/><Relationship Id="rId43" Type="http://schemas.openxmlformats.org/officeDocument/2006/relationships/hyperlink" Target="http://web.worldbank.org/pension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9.jpeg"/></Relationships>
</file>

<file path=word/charts/_rels/chart11.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9.jpeg"/></Relationships>
</file>

<file path=word/charts/_rels/chart12.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9.jpeg"/></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172079\AppData\Local\Temp\notesF456B9\Pension%20chapter-Fig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b172079\AppData\Local\Temp\notesF456B9\pension%20chapter%20fig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172079\AppData\Local\Temp\notesF456B9\pension%20chapter%20fig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172079\AppData\Local\Temp\notesF456B9\pension%20chapter%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iteresources.worldbank.org/INTPENSIONS/Resources/395443-1340311559210/Pension-Spending_3Q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b225808\Documents\Central%20Asia%20-%20Kyrgyz%20PER\Copy%20of%20Beneficiaries_Coverage_3Q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225808\Documents\Central%20Asia%20-%20Kyrgyz%20PER\Copy%20of%20Active_Coverage_3Q20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225808\Documents\Central%20Asia%20-%20Kyrgyz%20PER\Copy%20of%20Design_Contribution_Rates_2Q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172079\AppData\Local\Temp\notesF456B9\pension%20chapter%20figure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9.jpeg"/></Relationships>
</file>

<file path=word/charts/_rels/chart8.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9.jpeg"/></Relationships>
</file>

<file path=word/charts/_rels/chart9.xml.rels><?xml version="1.0" encoding="UTF-8" standalone="yes"?>
<Relationships xmlns="http://schemas.openxmlformats.org/package/2006/relationships"><Relationship Id="rId2" Type="http://schemas.openxmlformats.org/officeDocument/2006/relationships/oleObject" Target="file:///C:\Users\wb172079\AppData\Local\Temp\notesF456B9\pension%20chapter%20figures.xlsx" TargetMode="External"/><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45746958053658"/>
          <c:y val="6.2983109075293447E-2"/>
          <c:w val="0.80525784717968796"/>
          <c:h val="0.6889119430574584"/>
        </c:manualLayout>
      </c:layout>
      <c:barChart>
        <c:barDir val="col"/>
        <c:grouping val="stacked"/>
        <c:varyColors val="0"/>
        <c:ser>
          <c:idx val="0"/>
          <c:order val="0"/>
          <c:tx>
            <c:strRef>
              <c:f>'Gvt transfers'!$B$3</c:f>
              <c:strCache>
                <c:ptCount val="1"/>
                <c:pt idx="0">
                  <c:v>Basic pension</c:v>
                </c:pt>
              </c:strCache>
            </c:strRef>
          </c:tx>
          <c:spPr>
            <a:solidFill>
              <a:sysClr val="windowText" lastClr="000000"/>
            </a:solidFill>
          </c:spPr>
          <c:invertIfNegative val="0"/>
          <c:cat>
            <c:numRef>
              <c:f>'Gvt transfers'!$C$2:$E$2</c:f>
              <c:numCache>
                <c:formatCode>General</c:formatCode>
                <c:ptCount val="3"/>
                <c:pt idx="0">
                  <c:v>2009</c:v>
                </c:pt>
                <c:pt idx="1">
                  <c:v>2010</c:v>
                </c:pt>
                <c:pt idx="2">
                  <c:v>2011</c:v>
                </c:pt>
              </c:numCache>
            </c:numRef>
          </c:cat>
          <c:val>
            <c:numRef>
              <c:f>'Gvt transfers'!$C$10:$E$10</c:f>
              <c:numCache>
                <c:formatCode>0.0%</c:formatCode>
                <c:ptCount val="3"/>
                <c:pt idx="0">
                  <c:v>0</c:v>
                </c:pt>
                <c:pt idx="1">
                  <c:v>4.9878073725099798E-3</c:v>
                </c:pt>
                <c:pt idx="2">
                  <c:v>1.0306792142491601E-2</c:v>
                </c:pt>
              </c:numCache>
            </c:numRef>
          </c:val>
        </c:ser>
        <c:ser>
          <c:idx val="1"/>
          <c:order val="1"/>
          <c:tx>
            <c:strRef>
              <c:f>'Gvt transfers'!$B$4</c:f>
              <c:strCache>
                <c:ptCount val="1"/>
                <c:pt idx="0">
                  <c:v>Military pensions</c:v>
                </c:pt>
              </c:strCache>
            </c:strRef>
          </c:tx>
          <c:spPr>
            <a:solidFill>
              <a:schemeClr val="bg1">
                <a:lumMod val="85000"/>
              </a:schemeClr>
            </a:solidFill>
          </c:spPr>
          <c:invertIfNegative val="0"/>
          <c:cat>
            <c:numRef>
              <c:f>'Gvt transfers'!$C$2:$E$2</c:f>
              <c:numCache>
                <c:formatCode>General</c:formatCode>
                <c:ptCount val="3"/>
                <c:pt idx="0">
                  <c:v>2009</c:v>
                </c:pt>
                <c:pt idx="1">
                  <c:v>2010</c:v>
                </c:pt>
                <c:pt idx="2">
                  <c:v>2011</c:v>
                </c:pt>
              </c:numCache>
            </c:numRef>
          </c:cat>
          <c:val>
            <c:numRef>
              <c:f>'Gvt transfers'!$C$11:$E$11</c:f>
              <c:numCache>
                <c:formatCode>0.0%</c:formatCode>
                <c:ptCount val="3"/>
                <c:pt idx="0">
                  <c:v>2.5663987585981501E-3</c:v>
                </c:pt>
                <c:pt idx="1">
                  <c:v>4.2054431810362499E-3</c:v>
                </c:pt>
                <c:pt idx="2">
                  <c:v>3.8539316709372599E-3</c:v>
                </c:pt>
              </c:numCache>
            </c:numRef>
          </c:val>
        </c:ser>
        <c:ser>
          <c:idx val="2"/>
          <c:order val="2"/>
          <c:tx>
            <c:strRef>
              <c:f>'Gvt transfers'!$B$5</c:f>
              <c:strCache>
                <c:ptCount val="1"/>
                <c:pt idx="0">
                  <c:v>Energy compensation </c:v>
                </c:pt>
              </c:strCache>
            </c:strRef>
          </c:tx>
          <c:spPr>
            <a:blipFill>
              <a:blip xmlns:r="http://schemas.openxmlformats.org/officeDocument/2006/relationships" r:embed="rId1"/>
              <a:tile tx="0" ty="0" sx="100000" sy="100000" flip="none" algn="tl"/>
            </a:blipFill>
          </c:spPr>
          <c:invertIfNegative val="0"/>
          <c:cat>
            <c:numRef>
              <c:f>'Gvt transfers'!$C$2:$E$2</c:f>
              <c:numCache>
                <c:formatCode>General</c:formatCode>
                <c:ptCount val="3"/>
                <c:pt idx="0">
                  <c:v>2009</c:v>
                </c:pt>
                <c:pt idx="1">
                  <c:v>2010</c:v>
                </c:pt>
                <c:pt idx="2">
                  <c:v>2011</c:v>
                </c:pt>
              </c:numCache>
            </c:numRef>
          </c:cat>
          <c:val>
            <c:numRef>
              <c:f>'Gvt transfers'!$C$12:$E$12</c:f>
              <c:numCache>
                <c:formatCode>0.0%</c:formatCode>
                <c:ptCount val="3"/>
                <c:pt idx="0">
                  <c:v>2.6794200885740999E-3</c:v>
                </c:pt>
                <c:pt idx="1">
                  <c:v>8.1153789234857197E-3</c:v>
                </c:pt>
                <c:pt idx="2">
                  <c:v>6.3897812512128897E-3</c:v>
                </c:pt>
              </c:numCache>
            </c:numRef>
          </c:val>
        </c:ser>
        <c:ser>
          <c:idx val="3"/>
          <c:order val="3"/>
          <c:tx>
            <c:strRef>
              <c:f>'Gvt transfers'!$B$6</c:f>
              <c:strCache>
                <c:ptCount val="1"/>
                <c:pt idx="0">
                  <c:v>Special groups</c:v>
                </c:pt>
              </c:strCache>
            </c:strRef>
          </c:tx>
          <c:spPr>
            <a:solidFill>
              <a:schemeClr val="tx1">
                <a:lumMod val="50000"/>
                <a:lumOff val="50000"/>
              </a:schemeClr>
            </a:solidFill>
          </c:spPr>
          <c:invertIfNegative val="0"/>
          <c:cat>
            <c:numRef>
              <c:f>'Gvt transfers'!$C$2:$E$2</c:f>
              <c:numCache>
                <c:formatCode>General</c:formatCode>
                <c:ptCount val="3"/>
                <c:pt idx="0">
                  <c:v>2009</c:v>
                </c:pt>
                <c:pt idx="1">
                  <c:v>2010</c:v>
                </c:pt>
                <c:pt idx="2">
                  <c:v>2011</c:v>
                </c:pt>
              </c:numCache>
            </c:numRef>
          </c:cat>
          <c:val>
            <c:numRef>
              <c:f>'Gvt transfers'!$C$13:$E$13</c:f>
              <c:numCache>
                <c:formatCode>0.0%</c:formatCode>
                <c:ptCount val="3"/>
                <c:pt idx="0">
                  <c:v>6.9477571629813399E-3</c:v>
                </c:pt>
                <c:pt idx="1">
                  <c:v>8.9745656229174194E-3</c:v>
                </c:pt>
                <c:pt idx="2">
                  <c:v>7.89392393772715E-3</c:v>
                </c:pt>
              </c:numCache>
            </c:numRef>
          </c:val>
        </c:ser>
        <c:dLbls>
          <c:showLegendKey val="0"/>
          <c:showVal val="0"/>
          <c:showCatName val="0"/>
          <c:showSerName val="0"/>
          <c:showPercent val="0"/>
          <c:showBubbleSize val="0"/>
        </c:dLbls>
        <c:gapWidth val="75"/>
        <c:overlap val="100"/>
        <c:axId val="290740864"/>
        <c:axId val="290746752"/>
      </c:barChart>
      <c:catAx>
        <c:axId val="290740864"/>
        <c:scaling>
          <c:orientation val="minMax"/>
        </c:scaling>
        <c:delete val="0"/>
        <c:axPos val="b"/>
        <c:numFmt formatCode="General" sourceLinked="1"/>
        <c:majorTickMark val="none"/>
        <c:minorTickMark val="none"/>
        <c:tickLblPos val="nextTo"/>
        <c:crossAx val="290746752"/>
        <c:crosses val="autoZero"/>
        <c:auto val="1"/>
        <c:lblAlgn val="ctr"/>
        <c:lblOffset val="100"/>
        <c:noMultiLvlLbl val="0"/>
      </c:catAx>
      <c:valAx>
        <c:axId val="290746752"/>
        <c:scaling>
          <c:orientation val="minMax"/>
        </c:scaling>
        <c:delete val="0"/>
        <c:axPos val="l"/>
        <c:majorGridlines/>
        <c:title>
          <c:tx>
            <c:rich>
              <a:bodyPr/>
              <a:lstStyle/>
              <a:p>
                <a:pPr>
                  <a:defRPr/>
                </a:pPr>
                <a:r>
                  <a:rPr lang="en-US"/>
                  <a:t>in percent of</a:t>
                </a:r>
                <a:r>
                  <a:rPr lang="en-US" baseline="0"/>
                  <a:t> GDP</a:t>
                </a:r>
                <a:endParaRPr lang="en-US"/>
              </a:p>
            </c:rich>
          </c:tx>
          <c:overlay val="0"/>
        </c:title>
        <c:numFmt formatCode="0.0%" sourceLinked="0"/>
        <c:majorTickMark val="out"/>
        <c:minorTickMark val="none"/>
        <c:tickLblPos val="nextTo"/>
        <c:crossAx val="290740864"/>
        <c:crosses val="autoZero"/>
        <c:crossBetween val="between"/>
      </c:valAx>
    </c:plotArea>
    <c:legend>
      <c:legendPos val="b"/>
      <c:layout>
        <c:manualLayout>
          <c:xMode val="edge"/>
          <c:yMode val="edge"/>
          <c:x val="1.9978308277949774E-2"/>
          <c:y val="0.83417219821269173"/>
          <c:w val="0.95639646621510044"/>
          <c:h val="0.16566416168662956"/>
        </c:manualLayout>
      </c:layout>
      <c:overlay val="0"/>
    </c:legend>
    <c:plotVisOnly val="1"/>
    <c:dispBlanksAs val="gap"/>
    <c:showDLblsOverMax val="0"/>
  </c:chart>
  <c:txPr>
    <a:bodyPr/>
    <a:lstStyle/>
    <a:p>
      <a:pPr>
        <a:defRPr sz="800" b="0">
          <a:latin typeface="Cambria"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v>basic/demogrant</c:v>
          </c:tx>
          <c:spPr>
            <a:solidFill>
              <a:schemeClr val="tx1"/>
            </a:solidFill>
            <a:ln w="9525">
              <a:solidFill>
                <a:schemeClr val="tx1"/>
              </a:solidFill>
            </a:ln>
          </c:spPr>
          <c:val>
            <c:numRef>
              <c:f>'ref3'!$B$32:$BS$32</c:f>
              <c:numCache>
                <c:formatCode>0%</c:formatCode>
                <c:ptCount val="70"/>
                <c:pt idx="0">
                  <c:v>0.16119705488001601</c:v>
                </c:pt>
                <c:pt idx="1">
                  <c:v>0.17405235256944701</c:v>
                </c:pt>
                <c:pt idx="2">
                  <c:v>0.13670698915083301</c:v>
                </c:pt>
                <c:pt idx="3">
                  <c:v>0.136930076874823</c:v>
                </c:pt>
                <c:pt idx="4">
                  <c:v>0.14884197250770601</c:v>
                </c:pt>
                <c:pt idx="5">
                  <c:v>0.14905081521494501</c:v>
                </c:pt>
                <c:pt idx="6">
                  <c:v>0.14902375661512801</c:v>
                </c:pt>
                <c:pt idx="7">
                  <c:v>0.14901642375083399</c:v>
                </c:pt>
                <c:pt idx="8">
                  <c:v>0.14902500437947999</c:v>
                </c:pt>
                <c:pt idx="9">
                  <c:v>0.14904687277092901</c:v>
                </c:pt>
                <c:pt idx="10">
                  <c:v>0.14908151751681301</c:v>
                </c:pt>
                <c:pt idx="11">
                  <c:v>0.14913020975463701</c:v>
                </c:pt>
                <c:pt idx="12">
                  <c:v>0.149178249679641</c:v>
                </c:pt>
                <c:pt idx="13">
                  <c:v>0.14922934341438701</c:v>
                </c:pt>
                <c:pt idx="14">
                  <c:v>0.14928446429580899</c:v>
                </c:pt>
                <c:pt idx="15">
                  <c:v>0.14922386256159101</c:v>
                </c:pt>
                <c:pt idx="16">
                  <c:v>0.149262218679766</c:v>
                </c:pt>
                <c:pt idx="17">
                  <c:v>0.14929473453983699</c:v>
                </c:pt>
                <c:pt idx="18">
                  <c:v>0.14931572914788499</c:v>
                </c:pt>
                <c:pt idx="19">
                  <c:v>0.149323540041572</c:v>
                </c:pt>
                <c:pt idx="20">
                  <c:v>0.14931964277128101</c:v>
                </c:pt>
                <c:pt idx="21">
                  <c:v>0.149305809358902</c:v>
                </c:pt>
                <c:pt idx="22">
                  <c:v>0.149286794236766</c:v>
                </c:pt>
                <c:pt idx="23">
                  <c:v>0.14926565934736899</c:v>
                </c:pt>
                <c:pt idx="24">
                  <c:v>0.14925106363878099</c:v>
                </c:pt>
                <c:pt idx="25">
                  <c:v>0.149926268210194</c:v>
                </c:pt>
                <c:pt idx="26">
                  <c:v>0.14992597261839499</c:v>
                </c:pt>
                <c:pt idx="27">
                  <c:v>0.14991555382893401</c:v>
                </c:pt>
                <c:pt idx="28">
                  <c:v>0.14990463307971799</c:v>
                </c:pt>
                <c:pt idx="29">
                  <c:v>0.14990245687513601</c:v>
                </c:pt>
                <c:pt idx="30">
                  <c:v>0.14988342287852599</c:v>
                </c:pt>
                <c:pt idx="31">
                  <c:v>0.149866658296686</c:v>
                </c:pt>
                <c:pt idx="32">
                  <c:v>0.149855359812302</c:v>
                </c:pt>
                <c:pt idx="33">
                  <c:v>0.14985091790421901</c:v>
                </c:pt>
                <c:pt idx="34">
                  <c:v>0.14985343918365299</c:v>
                </c:pt>
                <c:pt idx="35">
                  <c:v>0.14985941582770201</c:v>
                </c:pt>
                <c:pt idx="36">
                  <c:v>0.14986797877588401</c:v>
                </c:pt>
                <c:pt idx="37">
                  <c:v>0.14988136446165901</c:v>
                </c:pt>
                <c:pt idx="38">
                  <c:v>0.14989979357906</c:v>
                </c:pt>
                <c:pt idx="39">
                  <c:v>0.149920629752408</c:v>
                </c:pt>
                <c:pt idx="40">
                  <c:v>0.149940365399544</c:v>
                </c:pt>
                <c:pt idx="41">
                  <c:v>0.149963117636433</c:v>
                </c:pt>
                <c:pt idx="42">
                  <c:v>0.14997832480551301</c:v>
                </c:pt>
                <c:pt idx="43">
                  <c:v>0.14999156257689999</c:v>
                </c:pt>
                <c:pt idx="44">
                  <c:v>0.150001595619043</c:v>
                </c:pt>
                <c:pt idx="45">
                  <c:v>0.15000144350282599</c:v>
                </c:pt>
                <c:pt idx="46">
                  <c:v>0.14999945910020801</c:v>
                </c:pt>
                <c:pt idx="47">
                  <c:v>0.14999948526102599</c:v>
                </c:pt>
                <c:pt idx="48">
                  <c:v>0.14999546323898399</c:v>
                </c:pt>
                <c:pt idx="49">
                  <c:v>0.14999001162035999</c:v>
                </c:pt>
                <c:pt idx="50">
                  <c:v>0.14998490261610101</c:v>
                </c:pt>
                <c:pt idx="51">
                  <c:v>0.14997275143807101</c:v>
                </c:pt>
                <c:pt idx="52">
                  <c:v>0.14996294597218099</c:v>
                </c:pt>
                <c:pt idx="53">
                  <c:v>0.149954938789996</c:v>
                </c:pt>
                <c:pt idx="54">
                  <c:v>0.149946286444645</c:v>
                </c:pt>
                <c:pt idx="55">
                  <c:v>0.14993673591002701</c:v>
                </c:pt>
                <c:pt idx="56">
                  <c:v>0.14993187432531499</c:v>
                </c:pt>
                <c:pt idx="57">
                  <c:v>0.14992593735488099</c:v>
                </c:pt>
                <c:pt idx="58">
                  <c:v>0.149922493039119</c:v>
                </c:pt>
                <c:pt idx="59">
                  <c:v>0.14992207605326599</c:v>
                </c:pt>
                <c:pt idx="60">
                  <c:v>0.149924511902329</c:v>
                </c:pt>
                <c:pt idx="61">
                  <c:v>0.149927094228062</c:v>
                </c:pt>
                <c:pt idx="62">
                  <c:v>0.149934620588625</c:v>
                </c:pt>
                <c:pt idx="63">
                  <c:v>0.14994612579455299</c:v>
                </c:pt>
                <c:pt idx="64">
                  <c:v>0.149963703302391</c:v>
                </c:pt>
                <c:pt idx="65">
                  <c:v>0.14996761750923901</c:v>
                </c:pt>
                <c:pt idx="66">
                  <c:v>0.14997761512339999</c:v>
                </c:pt>
                <c:pt idx="67">
                  <c:v>0.14998657819978001</c:v>
                </c:pt>
                <c:pt idx="68">
                  <c:v>0.14998890618671601</c:v>
                </c:pt>
                <c:pt idx="69">
                  <c:v>0.14998926326887699</c:v>
                </c:pt>
              </c:numCache>
            </c:numRef>
          </c:val>
        </c:ser>
        <c:ser>
          <c:idx val="0"/>
          <c:order val="1"/>
          <c:tx>
            <c:v>SP1+SP2</c:v>
          </c:tx>
          <c:spPr>
            <a:blipFill>
              <a:blip xmlns:r="http://schemas.openxmlformats.org/officeDocument/2006/relationships" r:embed="rId1"/>
              <a:tile tx="0" ty="0" sx="100000" sy="100000" flip="none" algn="tl"/>
            </a:blipFill>
            <a:ln w="9525">
              <a:solidFill>
                <a:schemeClr val="tx1"/>
              </a:solidFill>
            </a:ln>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'ref3'!$B$28:$BS$28</c:f>
              <c:numCache>
                <c:formatCode>0%</c:formatCode>
                <c:ptCount val="70"/>
                <c:pt idx="0">
                  <c:v>0.26910343659559099</c:v>
                </c:pt>
                <c:pt idx="1">
                  <c:v>0.30089375165500098</c:v>
                </c:pt>
                <c:pt idx="2">
                  <c:v>0.270151191283454</c:v>
                </c:pt>
                <c:pt idx="3">
                  <c:v>0.25387533758324499</c:v>
                </c:pt>
                <c:pt idx="4">
                  <c:v>0.258606664845275</c:v>
                </c:pt>
                <c:pt idx="5">
                  <c:v>0.26136950695606098</c:v>
                </c:pt>
                <c:pt idx="6">
                  <c:v>0.26245906045110801</c:v>
                </c:pt>
                <c:pt idx="7">
                  <c:v>0.26223334461492298</c:v>
                </c:pt>
                <c:pt idx="8">
                  <c:v>0.260720035127401</c:v>
                </c:pt>
                <c:pt idx="9">
                  <c:v>0.257945312274731</c:v>
                </c:pt>
                <c:pt idx="10">
                  <c:v>0.25398526274727301</c:v>
                </c:pt>
                <c:pt idx="11">
                  <c:v>0.24894315693124799</c:v>
                </c:pt>
                <c:pt idx="12">
                  <c:v>0.24292463816302701</c:v>
                </c:pt>
                <c:pt idx="13">
                  <c:v>0.23701771713950101</c:v>
                </c:pt>
                <c:pt idx="14">
                  <c:v>0.23109534728442799</c:v>
                </c:pt>
                <c:pt idx="15">
                  <c:v>0.22482823312505301</c:v>
                </c:pt>
                <c:pt idx="16">
                  <c:v>0.21878309564853801</c:v>
                </c:pt>
                <c:pt idx="17">
                  <c:v>0.21298109456626099</c:v>
                </c:pt>
                <c:pt idx="18">
                  <c:v>0.207372380341245</c:v>
                </c:pt>
                <c:pt idx="19">
                  <c:v>0.201956364094628</c:v>
                </c:pt>
                <c:pt idx="20">
                  <c:v>0.19676377221987401</c:v>
                </c:pt>
                <c:pt idx="21">
                  <c:v>0.19181652765426799</c:v>
                </c:pt>
                <c:pt idx="22">
                  <c:v>0.187303905137405</c:v>
                </c:pt>
                <c:pt idx="23">
                  <c:v>0.18322954796570301</c:v>
                </c:pt>
                <c:pt idx="24">
                  <c:v>0.17962919661799701</c:v>
                </c:pt>
                <c:pt idx="25">
                  <c:v>0.1773298497553</c:v>
                </c:pt>
                <c:pt idx="26">
                  <c:v>0.17545494364942099</c:v>
                </c:pt>
                <c:pt idx="27">
                  <c:v>0.17396149526626201</c:v>
                </c:pt>
                <c:pt idx="28">
                  <c:v>0.17279678089473099</c:v>
                </c:pt>
                <c:pt idx="29">
                  <c:v>0.172153894545474</c:v>
                </c:pt>
                <c:pt idx="30">
                  <c:v>0.17192062537059599</c:v>
                </c:pt>
                <c:pt idx="31">
                  <c:v>0.17209768764071401</c:v>
                </c:pt>
                <c:pt idx="32">
                  <c:v>0.172677028888267</c:v>
                </c:pt>
                <c:pt idx="33">
                  <c:v>0.17363836209056799</c:v>
                </c:pt>
                <c:pt idx="34">
                  <c:v>0.17493065607979</c:v>
                </c:pt>
                <c:pt idx="35">
                  <c:v>0.17650979895650101</c:v>
                </c:pt>
                <c:pt idx="36">
                  <c:v>0.178313300084219</c:v>
                </c:pt>
                <c:pt idx="37">
                  <c:v>0.180285640729377</c:v>
                </c:pt>
                <c:pt idx="38">
                  <c:v>0.18241306106658001</c:v>
                </c:pt>
                <c:pt idx="39">
                  <c:v>0.18466551247563101</c:v>
                </c:pt>
                <c:pt idx="40">
                  <c:v>0.18697042066887601</c:v>
                </c:pt>
                <c:pt idx="41">
                  <c:v>0.18919490875078801</c:v>
                </c:pt>
                <c:pt idx="42">
                  <c:v>0.191204828943456</c:v>
                </c:pt>
                <c:pt idx="43">
                  <c:v>0.19315223012770499</c:v>
                </c:pt>
                <c:pt idx="44">
                  <c:v>0.19490439736034401</c:v>
                </c:pt>
                <c:pt idx="45">
                  <c:v>0.19639807748608201</c:v>
                </c:pt>
                <c:pt idx="46">
                  <c:v>0.197663896226284</c:v>
                </c:pt>
                <c:pt idx="47">
                  <c:v>0.19873902412750899</c:v>
                </c:pt>
                <c:pt idx="48">
                  <c:v>0.199600810732661</c:v>
                </c:pt>
                <c:pt idx="49">
                  <c:v>0.20034427005581601</c:v>
                </c:pt>
                <c:pt idx="50">
                  <c:v>0.20089932300439101</c:v>
                </c:pt>
                <c:pt idx="51">
                  <c:v>0.201290027848366</c:v>
                </c:pt>
                <c:pt idx="52">
                  <c:v>0.201529367659671</c:v>
                </c:pt>
                <c:pt idx="53">
                  <c:v>0.20166958860883499</c:v>
                </c:pt>
                <c:pt idx="54">
                  <c:v>0.20173478794663499</c:v>
                </c:pt>
                <c:pt idx="55">
                  <c:v>0.20173494875357101</c:v>
                </c:pt>
                <c:pt idx="56">
                  <c:v>0.20182931614146099</c:v>
                </c:pt>
                <c:pt idx="57">
                  <c:v>0.20199426642858501</c:v>
                </c:pt>
                <c:pt idx="58">
                  <c:v>0.20226294608258</c:v>
                </c:pt>
                <c:pt idx="59">
                  <c:v>0.20271268965724901</c:v>
                </c:pt>
                <c:pt idx="60">
                  <c:v>0.20342672958393801</c:v>
                </c:pt>
                <c:pt idx="61">
                  <c:v>0.20442367082013399</c:v>
                </c:pt>
                <c:pt idx="62">
                  <c:v>0.20571925994584001</c:v>
                </c:pt>
                <c:pt idx="63">
                  <c:v>0.20738441125510801</c:v>
                </c:pt>
                <c:pt idx="64">
                  <c:v>0.209308612902362</c:v>
                </c:pt>
                <c:pt idx="65">
                  <c:v>0.21146148939626599</c:v>
                </c:pt>
                <c:pt idx="66">
                  <c:v>0.21395164301002301</c:v>
                </c:pt>
                <c:pt idx="67">
                  <c:v>0.21665406213244501</c:v>
                </c:pt>
                <c:pt idx="68">
                  <c:v>0.219337213623269</c:v>
                </c:pt>
                <c:pt idx="69">
                  <c:v>0.22205095393301699</c:v>
                </c:pt>
              </c:numCache>
            </c:numRef>
          </c:val>
        </c:ser>
        <c:dLbls>
          <c:showLegendKey val="0"/>
          <c:showVal val="0"/>
          <c:showCatName val="0"/>
          <c:showSerName val="0"/>
          <c:showPercent val="0"/>
          <c:showBubbleSize val="0"/>
        </c:dLbls>
        <c:axId val="295348480"/>
        <c:axId val="295362560"/>
      </c:areaChart>
      <c:catAx>
        <c:axId val="295348480"/>
        <c:scaling>
          <c:orientation val="minMax"/>
        </c:scaling>
        <c:delete val="0"/>
        <c:axPos val="b"/>
        <c:numFmt formatCode="0000" sourceLinked="1"/>
        <c:majorTickMark val="out"/>
        <c:minorTickMark val="none"/>
        <c:tickLblPos val="nextTo"/>
        <c:txPr>
          <a:bodyPr rot="2700000"/>
          <a:lstStyle/>
          <a:p>
            <a:pPr>
              <a:defRPr sz="800" b="0"/>
            </a:pPr>
            <a:endParaRPr lang="en-US"/>
          </a:p>
        </c:txPr>
        <c:crossAx val="295362560"/>
        <c:crosses val="autoZero"/>
        <c:auto val="1"/>
        <c:lblAlgn val="ctr"/>
        <c:lblOffset val="100"/>
        <c:noMultiLvlLbl val="0"/>
      </c:catAx>
      <c:valAx>
        <c:axId val="295362560"/>
        <c:scaling>
          <c:orientation val="minMax"/>
        </c:scaling>
        <c:delete val="0"/>
        <c:axPos val="l"/>
        <c:majorGridlines/>
        <c:numFmt formatCode="0%" sourceLinked="0"/>
        <c:majorTickMark val="out"/>
        <c:minorTickMark val="none"/>
        <c:tickLblPos val="nextTo"/>
        <c:txPr>
          <a:bodyPr/>
          <a:lstStyle/>
          <a:p>
            <a:pPr>
              <a:defRPr sz="800" b="0"/>
            </a:pPr>
            <a:endParaRPr lang="en-US"/>
          </a:p>
        </c:txPr>
        <c:crossAx val="295348480"/>
        <c:crosses val="autoZero"/>
        <c:crossBetween val="midCat"/>
      </c:valAx>
    </c:plotArea>
    <c:legend>
      <c:legendPos val="b"/>
      <c:overlay val="0"/>
      <c:txPr>
        <a:bodyPr/>
        <a:lstStyle/>
        <a:p>
          <a:pPr>
            <a:defRPr sz="1000" b="0"/>
          </a:pPr>
          <a:endParaRPr lang="en-US"/>
        </a:p>
      </c:txPr>
    </c:legend>
    <c:plotVisOnly val="1"/>
    <c:dispBlanksAs val="gap"/>
    <c:showDLblsOverMax val="0"/>
  </c:chart>
  <c:txPr>
    <a:bodyPr/>
    <a:lstStyle/>
    <a:p>
      <a:pPr>
        <a:defRPr sz="1600" b="1">
          <a:latin typeface="Times New Roman" pitchFamily="18" charset="0"/>
          <a:cs typeface="Times New Roman"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54768153980799E-2"/>
          <c:y val="6.6066066066066104E-2"/>
          <c:w val="0.83037822399859595"/>
          <c:h val="0.62284646851575998"/>
        </c:manualLayout>
      </c:layout>
      <c:areaChart>
        <c:grouping val="stacked"/>
        <c:varyColors val="0"/>
        <c:ser>
          <c:idx val="1"/>
          <c:order val="0"/>
          <c:tx>
            <c:v>basic/demogrant</c:v>
          </c:tx>
          <c:spPr>
            <a:solidFill>
              <a:schemeClr val="tx1"/>
            </a:solidFill>
            <a:ln w="9525">
              <a:solidFill>
                <a:schemeClr val="tx1"/>
              </a:solidFill>
            </a:ln>
          </c:spPr>
          <c:val>
            <c:numRef>
              <c:f>ref4a!$B$33:$BS$33</c:f>
              <c:numCache>
                <c:formatCode>0%</c:formatCode>
                <c:ptCount val="70"/>
                <c:pt idx="0">
                  <c:v>0.16119705488001601</c:v>
                </c:pt>
                <c:pt idx="1">
                  <c:v>0.17405235256944701</c:v>
                </c:pt>
                <c:pt idx="2">
                  <c:v>7.9660048327832703E-2</c:v>
                </c:pt>
                <c:pt idx="3">
                  <c:v>6.8882878603277201E-2</c:v>
                </c:pt>
                <c:pt idx="4">
                  <c:v>7.3007698899378304E-2</c:v>
                </c:pt>
                <c:pt idx="5">
                  <c:v>7.1754830862314503E-2</c:v>
                </c:pt>
                <c:pt idx="6">
                  <c:v>6.9527689293096995E-2</c:v>
                </c:pt>
                <c:pt idx="7">
                  <c:v>7.0313419320442105E-2</c:v>
                </c:pt>
                <c:pt idx="8">
                  <c:v>7.2483398222063594E-2</c:v>
                </c:pt>
                <c:pt idx="9">
                  <c:v>7.4139158541195405E-2</c:v>
                </c:pt>
                <c:pt idx="10">
                  <c:v>7.5986978243701306E-2</c:v>
                </c:pt>
                <c:pt idx="11">
                  <c:v>7.6421886788221802E-2</c:v>
                </c:pt>
                <c:pt idx="12">
                  <c:v>7.7731376703116195E-2</c:v>
                </c:pt>
                <c:pt idx="13">
                  <c:v>8.0754013796382598E-2</c:v>
                </c:pt>
                <c:pt idx="14">
                  <c:v>8.2681496649951697E-2</c:v>
                </c:pt>
                <c:pt idx="15">
                  <c:v>8.4907120786393106E-2</c:v>
                </c:pt>
                <c:pt idx="16">
                  <c:v>8.6557938988873595E-2</c:v>
                </c:pt>
                <c:pt idx="17">
                  <c:v>8.8286544212781704E-2</c:v>
                </c:pt>
                <c:pt idx="18">
                  <c:v>8.9961940129731799E-2</c:v>
                </c:pt>
                <c:pt idx="19">
                  <c:v>9.0959109403668206E-2</c:v>
                </c:pt>
                <c:pt idx="20">
                  <c:v>9.1642200905225596E-2</c:v>
                </c:pt>
                <c:pt idx="21">
                  <c:v>9.1738357590788605E-2</c:v>
                </c:pt>
                <c:pt idx="22">
                  <c:v>9.1662897894067605E-2</c:v>
                </c:pt>
                <c:pt idx="23">
                  <c:v>9.1615809291981196E-2</c:v>
                </c:pt>
                <c:pt idx="24">
                  <c:v>9.1684096335254997E-2</c:v>
                </c:pt>
                <c:pt idx="25">
                  <c:v>9.2237328283598499E-2</c:v>
                </c:pt>
                <c:pt idx="26">
                  <c:v>9.2438640793767998E-2</c:v>
                </c:pt>
                <c:pt idx="27">
                  <c:v>9.2585586383889806E-2</c:v>
                </c:pt>
                <c:pt idx="28">
                  <c:v>9.2529590986982893E-2</c:v>
                </c:pt>
                <c:pt idx="29">
                  <c:v>9.2210081197453206E-2</c:v>
                </c:pt>
                <c:pt idx="30">
                  <c:v>9.1679566319722794E-2</c:v>
                </c:pt>
                <c:pt idx="31">
                  <c:v>9.0925586173746104E-2</c:v>
                </c:pt>
                <c:pt idx="32">
                  <c:v>9.0081974397166698E-2</c:v>
                </c:pt>
                <c:pt idx="33">
                  <c:v>8.9350350645614807E-2</c:v>
                </c:pt>
                <c:pt idx="34">
                  <c:v>8.8865874425082703E-2</c:v>
                </c:pt>
                <c:pt idx="35">
                  <c:v>8.8595656892965405E-2</c:v>
                </c:pt>
                <c:pt idx="36">
                  <c:v>8.8505761033731006E-2</c:v>
                </c:pt>
                <c:pt idx="37">
                  <c:v>8.8705797620153404E-2</c:v>
                </c:pt>
                <c:pt idx="38">
                  <c:v>8.9328598997076195E-2</c:v>
                </c:pt>
                <c:pt idx="39">
                  <c:v>9.0423730963598098E-2</c:v>
                </c:pt>
                <c:pt idx="40">
                  <c:v>9.1937998060115697E-2</c:v>
                </c:pt>
                <c:pt idx="41">
                  <c:v>9.3873919443984002E-2</c:v>
                </c:pt>
                <c:pt idx="42">
                  <c:v>9.6042047362522504E-2</c:v>
                </c:pt>
                <c:pt idx="43">
                  <c:v>9.8167019640779493E-2</c:v>
                </c:pt>
                <c:pt idx="44">
                  <c:v>0.10007138842489199</c:v>
                </c:pt>
                <c:pt idx="45">
                  <c:v>0.101780011625498</c:v>
                </c:pt>
                <c:pt idx="46">
                  <c:v>0.103261315663796</c:v>
                </c:pt>
                <c:pt idx="47">
                  <c:v>0.10447529468099399</c:v>
                </c:pt>
                <c:pt idx="48">
                  <c:v>0.105364718880051</c:v>
                </c:pt>
                <c:pt idx="49">
                  <c:v>0.105901007648083</c:v>
                </c:pt>
                <c:pt idx="50">
                  <c:v>0.106237919824079</c:v>
                </c:pt>
                <c:pt idx="51">
                  <c:v>0.106322302114172</c:v>
                </c:pt>
                <c:pt idx="52">
                  <c:v>0.106154911489574</c:v>
                </c:pt>
                <c:pt idx="53">
                  <c:v>0.105735736101989</c:v>
                </c:pt>
                <c:pt idx="54">
                  <c:v>0.10507158342534</c:v>
                </c:pt>
                <c:pt idx="55">
                  <c:v>0.104258160287861</c:v>
                </c:pt>
                <c:pt idx="56">
                  <c:v>0.103281667740306</c:v>
                </c:pt>
                <c:pt idx="57">
                  <c:v>0.102183728903044</c:v>
                </c:pt>
                <c:pt idx="58">
                  <c:v>0.101083630354975</c:v>
                </c:pt>
                <c:pt idx="59">
                  <c:v>0.100079609497288</c:v>
                </c:pt>
                <c:pt idx="60">
                  <c:v>9.9287431740520404E-2</c:v>
                </c:pt>
                <c:pt idx="61">
                  <c:v>9.8753470988466999E-2</c:v>
                </c:pt>
                <c:pt idx="62">
                  <c:v>9.8570795667154001E-2</c:v>
                </c:pt>
                <c:pt idx="63">
                  <c:v>9.88875324858038E-2</c:v>
                </c:pt>
                <c:pt idx="64">
                  <c:v>9.9612660219277699E-2</c:v>
                </c:pt>
                <c:pt idx="65">
                  <c:v>9.9777006221482695E-2</c:v>
                </c:pt>
                <c:pt idx="66">
                  <c:v>0.10008183068712199</c:v>
                </c:pt>
                <c:pt idx="67">
                  <c:v>0.10050483685422699</c:v>
                </c:pt>
                <c:pt idx="68">
                  <c:v>0.101019881928823</c:v>
                </c:pt>
                <c:pt idx="69">
                  <c:v>0.10159804781359801</c:v>
                </c:pt>
              </c:numCache>
            </c:numRef>
          </c:val>
        </c:ser>
        <c:ser>
          <c:idx val="0"/>
          <c:order val="1"/>
          <c:tx>
            <c:v>SP1+SP2</c:v>
          </c:tx>
          <c:spPr>
            <a:blipFill>
              <a:blip xmlns:r="http://schemas.openxmlformats.org/officeDocument/2006/relationships" r:embed="rId1"/>
              <a:tile tx="0" ty="0" sx="100000" sy="100000" flip="none" algn="tl"/>
            </a:blipFill>
            <a:ln w="9525">
              <a:solidFill>
                <a:schemeClr val="tx1"/>
              </a:solidFill>
            </a:ln>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ref4a!$B$28:$BS$28</c:f>
              <c:numCache>
                <c:formatCode>0%</c:formatCode>
                <c:ptCount val="70"/>
                <c:pt idx="0">
                  <c:v>0.26910343659559099</c:v>
                </c:pt>
                <c:pt idx="1">
                  <c:v>0.300893765973129</c:v>
                </c:pt>
                <c:pt idx="2">
                  <c:v>0.30027442544065802</c:v>
                </c:pt>
                <c:pt idx="3">
                  <c:v>0.28913476620398698</c:v>
                </c:pt>
                <c:pt idx="4">
                  <c:v>0.30555618868145001</c:v>
                </c:pt>
                <c:pt idx="5">
                  <c:v>0.29745746280412899</c:v>
                </c:pt>
                <c:pt idx="6">
                  <c:v>0.289095114136732</c:v>
                </c:pt>
                <c:pt idx="7">
                  <c:v>0.28075422566574498</c:v>
                </c:pt>
                <c:pt idx="8">
                  <c:v>0.27252437022359799</c:v>
                </c:pt>
                <c:pt idx="9">
                  <c:v>0.26440796364545399</c:v>
                </c:pt>
                <c:pt idx="10">
                  <c:v>0.25642543512212101</c:v>
                </c:pt>
                <c:pt idx="11">
                  <c:v>0.24867422154941299</c:v>
                </c:pt>
                <c:pt idx="12">
                  <c:v>0.241167439057798</c:v>
                </c:pt>
                <c:pt idx="13">
                  <c:v>0.233864410451599</c:v>
                </c:pt>
                <c:pt idx="14">
                  <c:v>0.22661258921077801</c:v>
                </c:pt>
                <c:pt idx="15">
                  <c:v>0.21926348768155099</c:v>
                </c:pt>
                <c:pt idx="16">
                  <c:v>0.212165458879263</c:v>
                </c:pt>
                <c:pt idx="17">
                  <c:v>0.20506525972270201</c:v>
                </c:pt>
                <c:pt idx="18">
                  <c:v>0.197940613211466</c:v>
                </c:pt>
                <c:pt idx="19">
                  <c:v>0.19089610881587801</c:v>
                </c:pt>
                <c:pt idx="20">
                  <c:v>0.18395377673862101</c:v>
                </c:pt>
                <c:pt idx="21">
                  <c:v>0.17716353711800401</c:v>
                </c:pt>
                <c:pt idx="22">
                  <c:v>0.17055577769741601</c:v>
                </c:pt>
                <c:pt idx="23">
                  <c:v>0.164159782646049</c:v>
                </c:pt>
                <c:pt idx="24">
                  <c:v>0.158016725581272</c:v>
                </c:pt>
                <c:pt idx="25">
                  <c:v>0.152803538160419</c:v>
                </c:pt>
                <c:pt idx="26">
                  <c:v>0.14706818162058699</c:v>
                </c:pt>
                <c:pt idx="27">
                  <c:v>0.14163056574501101</c:v>
                </c:pt>
                <c:pt idx="28">
                  <c:v>0.13651871992516701</c:v>
                </c:pt>
                <c:pt idx="29">
                  <c:v>0.131756698954684</c:v>
                </c:pt>
                <c:pt idx="30">
                  <c:v>0.127356534779585</c:v>
                </c:pt>
                <c:pt idx="31">
                  <c:v>0.123343804869576</c:v>
                </c:pt>
                <c:pt idx="32">
                  <c:v>0.11972664208830699</c:v>
                </c:pt>
                <c:pt idx="33">
                  <c:v>0.116511590751088</c:v>
                </c:pt>
                <c:pt idx="34">
                  <c:v>0.11369455310559599</c:v>
                </c:pt>
                <c:pt idx="35">
                  <c:v>0.111264149155835</c:v>
                </c:pt>
                <c:pt idx="36">
                  <c:v>0.10920634118471501</c:v>
                </c:pt>
                <c:pt idx="37">
                  <c:v>0.107506330136384</c:v>
                </c:pt>
                <c:pt idx="38">
                  <c:v>0.106120173796481</c:v>
                </c:pt>
                <c:pt idx="39">
                  <c:v>0.10501318779130001</c:v>
                </c:pt>
                <c:pt idx="40">
                  <c:v>0.104133816021043</c:v>
                </c:pt>
                <c:pt idx="41">
                  <c:v>0.103452929984786</c:v>
                </c:pt>
                <c:pt idx="42">
                  <c:v>0.102935724550121</c:v>
                </c:pt>
                <c:pt idx="43">
                  <c:v>0.102530123312442</c:v>
                </c:pt>
                <c:pt idx="44">
                  <c:v>0.102244097894975</c:v>
                </c:pt>
                <c:pt idx="45">
                  <c:v>0.102060784647876</c:v>
                </c:pt>
                <c:pt idx="46">
                  <c:v>0.10194849642715199</c:v>
                </c:pt>
                <c:pt idx="47">
                  <c:v>0.10191145507145399</c:v>
                </c:pt>
                <c:pt idx="48">
                  <c:v>0.101896112399152</c:v>
                </c:pt>
                <c:pt idx="49">
                  <c:v>0.101883252813112</c:v>
                </c:pt>
                <c:pt idx="50">
                  <c:v>0.101927112919778</c:v>
                </c:pt>
                <c:pt idx="51">
                  <c:v>0.101990814203663</c:v>
                </c:pt>
                <c:pt idx="52">
                  <c:v>0.102094072358952</c:v>
                </c:pt>
                <c:pt idx="53">
                  <c:v>0.102220510778815</c:v>
                </c:pt>
                <c:pt idx="54">
                  <c:v>0.10237075691849799</c:v>
                </c:pt>
                <c:pt idx="55">
                  <c:v>0.102558738709043</c:v>
                </c:pt>
                <c:pt idx="56">
                  <c:v>0.10279284801946</c:v>
                </c:pt>
                <c:pt idx="57">
                  <c:v>0.103080549593559</c:v>
                </c:pt>
                <c:pt idx="58">
                  <c:v>0.10340756543862401</c:v>
                </c:pt>
                <c:pt idx="59">
                  <c:v>0.10377263060475</c:v>
                </c:pt>
                <c:pt idx="60">
                  <c:v>0.10415019751019</c:v>
                </c:pt>
                <c:pt idx="61">
                  <c:v>0.104566415125665</c:v>
                </c:pt>
                <c:pt idx="62">
                  <c:v>0.105009405630679</c:v>
                </c:pt>
                <c:pt idx="63">
                  <c:v>0.105415122188595</c:v>
                </c:pt>
                <c:pt idx="64">
                  <c:v>0.105783779202745</c:v>
                </c:pt>
                <c:pt idx="65">
                  <c:v>0.106146390437532</c:v>
                </c:pt>
                <c:pt idx="66">
                  <c:v>0.10649031929116599</c:v>
                </c:pt>
                <c:pt idx="67">
                  <c:v>0.10680816436137</c:v>
                </c:pt>
                <c:pt idx="68">
                  <c:v>0.10709769861818</c:v>
                </c:pt>
                <c:pt idx="69">
                  <c:v>0.10735822717041101</c:v>
                </c:pt>
              </c:numCache>
            </c:numRef>
          </c:val>
        </c:ser>
        <c:dLbls>
          <c:showLegendKey val="0"/>
          <c:showVal val="0"/>
          <c:showCatName val="0"/>
          <c:showSerName val="0"/>
          <c:showPercent val="0"/>
          <c:showBubbleSize val="0"/>
        </c:dLbls>
        <c:axId val="295383808"/>
        <c:axId val="295385344"/>
      </c:areaChart>
      <c:catAx>
        <c:axId val="295383808"/>
        <c:scaling>
          <c:orientation val="minMax"/>
        </c:scaling>
        <c:delete val="0"/>
        <c:axPos val="b"/>
        <c:numFmt formatCode="0000" sourceLinked="1"/>
        <c:majorTickMark val="out"/>
        <c:minorTickMark val="none"/>
        <c:tickLblPos val="nextTo"/>
        <c:txPr>
          <a:bodyPr rot="2700000"/>
          <a:lstStyle/>
          <a:p>
            <a:pPr>
              <a:defRPr sz="800" b="0"/>
            </a:pPr>
            <a:endParaRPr lang="en-US"/>
          </a:p>
        </c:txPr>
        <c:crossAx val="295385344"/>
        <c:crosses val="autoZero"/>
        <c:auto val="1"/>
        <c:lblAlgn val="ctr"/>
        <c:lblOffset val="100"/>
        <c:noMultiLvlLbl val="0"/>
      </c:catAx>
      <c:valAx>
        <c:axId val="295385344"/>
        <c:scaling>
          <c:orientation val="minMax"/>
        </c:scaling>
        <c:delete val="0"/>
        <c:axPos val="l"/>
        <c:majorGridlines/>
        <c:numFmt formatCode="0%" sourceLinked="0"/>
        <c:majorTickMark val="out"/>
        <c:minorTickMark val="none"/>
        <c:tickLblPos val="nextTo"/>
        <c:txPr>
          <a:bodyPr/>
          <a:lstStyle/>
          <a:p>
            <a:pPr>
              <a:defRPr sz="800" b="0"/>
            </a:pPr>
            <a:endParaRPr lang="en-US"/>
          </a:p>
        </c:txPr>
        <c:crossAx val="295383808"/>
        <c:crosses val="autoZero"/>
        <c:crossBetween val="midCat"/>
      </c:valAx>
    </c:plotArea>
    <c:legend>
      <c:legendPos val="b"/>
      <c:overlay val="0"/>
      <c:txPr>
        <a:bodyPr/>
        <a:lstStyle/>
        <a:p>
          <a:pPr>
            <a:defRPr sz="1000" b="0"/>
          </a:pPr>
          <a:endParaRPr lang="en-US"/>
        </a:p>
      </c:txPr>
    </c:legend>
    <c:plotVisOnly val="1"/>
    <c:dispBlanksAs val="gap"/>
    <c:showDLblsOverMax val="0"/>
  </c:chart>
  <c:txPr>
    <a:bodyPr/>
    <a:lstStyle/>
    <a:p>
      <a:pPr>
        <a:defRPr sz="1600" b="1">
          <a:latin typeface="Times New Roman" pitchFamily="18" charset="0"/>
          <a:cs typeface="Times New Roman"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v>basic/demogrant</c:v>
          </c:tx>
          <c:spPr>
            <a:solidFill>
              <a:schemeClr val="tx1"/>
            </a:solidFill>
            <a:ln w="9525">
              <a:solidFill>
                <a:schemeClr val="tx1"/>
              </a:solidFill>
            </a:ln>
          </c:spPr>
          <c:val>
            <c:numRef>
              <c:f>ref4b!$B$33:$BS$33</c:f>
              <c:numCache>
                <c:formatCode>0%</c:formatCode>
                <c:ptCount val="70"/>
                <c:pt idx="0">
                  <c:v>0.16119705488001601</c:v>
                </c:pt>
                <c:pt idx="1">
                  <c:v>0.17405235256944701</c:v>
                </c:pt>
                <c:pt idx="2">
                  <c:v>7.9660048327832703E-2</c:v>
                </c:pt>
                <c:pt idx="3">
                  <c:v>7.0488769465101006E-2</c:v>
                </c:pt>
                <c:pt idx="4">
                  <c:v>6.93653844470382E-2</c:v>
                </c:pt>
                <c:pt idx="5">
                  <c:v>6.82286694717682E-2</c:v>
                </c:pt>
                <c:pt idx="6">
                  <c:v>6.5883065080685393E-2</c:v>
                </c:pt>
                <c:pt idx="7">
                  <c:v>6.60729088508311E-2</c:v>
                </c:pt>
                <c:pt idx="8">
                  <c:v>6.7221751653062101E-2</c:v>
                </c:pt>
                <c:pt idx="9">
                  <c:v>6.7539661104876303E-2</c:v>
                </c:pt>
                <c:pt idx="10">
                  <c:v>6.7681915462028799E-2</c:v>
                </c:pt>
                <c:pt idx="11">
                  <c:v>6.6249635399857398E-2</c:v>
                </c:pt>
                <c:pt idx="12">
                  <c:v>6.5288278442268297E-2</c:v>
                </c:pt>
                <c:pt idx="13">
                  <c:v>6.57383194262183E-2</c:v>
                </c:pt>
                <c:pt idx="14">
                  <c:v>6.5257343804742005E-2</c:v>
                </c:pt>
                <c:pt idx="15">
                  <c:v>6.4997130586884402E-2</c:v>
                </c:pt>
                <c:pt idx="16">
                  <c:v>6.4251483755020697E-2</c:v>
                </c:pt>
                <c:pt idx="17">
                  <c:v>6.3564404398221599E-2</c:v>
                </c:pt>
                <c:pt idx="18">
                  <c:v>6.2837157041174804E-2</c:v>
                </c:pt>
                <c:pt idx="19">
                  <c:v>6.1646100632203098E-2</c:v>
                </c:pt>
                <c:pt idx="20">
                  <c:v>6.02677956662903E-2</c:v>
                </c:pt>
                <c:pt idx="21">
                  <c:v>5.8541978135300002E-2</c:v>
                </c:pt>
                <c:pt idx="22">
                  <c:v>5.6755385243085502E-2</c:v>
                </c:pt>
                <c:pt idx="23">
                  <c:v>5.5034499304178898E-2</c:v>
                </c:pt>
                <c:pt idx="24">
                  <c:v>5.3426493632493598E-2</c:v>
                </c:pt>
                <c:pt idx="25">
                  <c:v>5.21350451985177E-2</c:v>
                </c:pt>
                <c:pt idx="26">
                  <c:v>5.0904634893595799E-2</c:v>
                </c:pt>
                <c:pt idx="27">
                  <c:v>4.9673359536432898E-2</c:v>
                </c:pt>
                <c:pt idx="28">
                  <c:v>4.8361742180056101E-2</c:v>
                </c:pt>
                <c:pt idx="29">
                  <c:v>4.6947507597802897E-2</c:v>
                </c:pt>
                <c:pt idx="30">
                  <c:v>4.5465806656461299E-2</c:v>
                </c:pt>
                <c:pt idx="31">
                  <c:v>4.3916504036714397E-2</c:v>
                </c:pt>
                <c:pt idx="32">
                  <c:v>4.23713397006606E-2</c:v>
                </c:pt>
                <c:pt idx="33">
                  <c:v>4.0927202617064298E-2</c:v>
                </c:pt>
                <c:pt idx="34">
                  <c:v>3.9640683341010299E-2</c:v>
                </c:pt>
                <c:pt idx="35">
                  <c:v>3.84883581202351E-2</c:v>
                </c:pt>
                <c:pt idx="36">
                  <c:v>3.7447685162525203E-2</c:v>
                </c:pt>
                <c:pt idx="37">
                  <c:v>3.6557962131180899E-2</c:v>
                </c:pt>
                <c:pt idx="38">
                  <c:v>3.5863225251753797E-2</c:v>
                </c:pt>
                <c:pt idx="39">
                  <c:v>3.5369363026904903E-2</c:v>
                </c:pt>
                <c:pt idx="40">
                  <c:v>3.5041106642884602E-2</c:v>
                </c:pt>
                <c:pt idx="41">
                  <c:v>3.4866462699246301E-2</c:v>
                </c:pt>
                <c:pt idx="42">
                  <c:v>3.4764924465259799E-2</c:v>
                </c:pt>
                <c:pt idx="43">
                  <c:v>3.46306714524829E-2</c:v>
                </c:pt>
                <c:pt idx="44">
                  <c:v>3.4404774340209603E-2</c:v>
                </c:pt>
                <c:pt idx="45">
                  <c:v>3.4102539062428203E-2</c:v>
                </c:pt>
                <c:pt idx="46">
                  <c:v>3.3717943323252703E-2</c:v>
                </c:pt>
                <c:pt idx="47">
                  <c:v>3.3244491194267901E-2</c:v>
                </c:pt>
                <c:pt idx="48">
                  <c:v>3.2671984825489997E-2</c:v>
                </c:pt>
                <c:pt idx="49">
                  <c:v>3.1998950864353802E-2</c:v>
                </c:pt>
                <c:pt idx="50">
                  <c:v>3.1278744208776799E-2</c:v>
                </c:pt>
                <c:pt idx="51">
                  <c:v>3.05009312258336E-2</c:v>
                </c:pt>
                <c:pt idx="52">
                  <c:v>2.9669877578538801E-2</c:v>
                </c:pt>
                <c:pt idx="53">
                  <c:v>2.8791627801995401E-2</c:v>
                </c:pt>
                <c:pt idx="54">
                  <c:v>2.78734738951288E-2</c:v>
                </c:pt>
                <c:pt idx="55">
                  <c:v>2.6944688162246599E-2</c:v>
                </c:pt>
                <c:pt idx="56">
                  <c:v>2.60034922112263E-2</c:v>
                </c:pt>
                <c:pt idx="57">
                  <c:v>2.5063862506748899E-2</c:v>
                </c:pt>
                <c:pt idx="58">
                  <c:v>2.4155855825672999E-2</c:v>
                </c:pt>
                <c:pt idx="59">
                  <c:v>2.3301664019472802E-2</c:v>
                </c:pt>
                <c:pt idx="60">
                  <c:v>2.2525379025079902E-2</c:v>
                </c:pt>
                <c:pt idx="61">
                  <c:v>2.1831533952816101E-2</c:v>
                </c:pt>
                <c:pt idx="62">
                  <c:v>2.12358960418805E-2</c:v>
                </c:pt>
                <c:pt idx="63">
                  <c:v>2.0763328332641599E-2</c:v>
                </c:pt>
                <c:pt idx="64">
                  <c:v>2.0383917234642501E-2</c:v>
                </c:pt>
                <c:pt idx="65">
                  <c:v>1.98977438618737E-2</c:v>
                </c:pt>
                <c:pt idx="66">
                  <c:v>1.9450835005142799E-2</c:v>
                </c:pt>
                <c:pt idx="67">
                  <c:v>1.9036493676274101E-2</c:v>
                </c:pt>
                <c:pt idx="68">
                  <c:v>1.8647801583152698E-2</c:v>
                </c:pt>
                <c:pt idx="69">
                  <c:v>1.8278004044997301E-2</c:v>
                </c:pt>
              </c:numCache>
            </c:numRef>
          </c:val>
        </c:ser>
        <c:ser>
          <c:idx val="0"/>
          <c:order val="1"/>
          <c:tx>
            <c:v>SP1+SP2</c:v>
          </c:tx>
          <c:spPr>
            <a:blipFill>
              <a:blip xmlns:r="http://schemas.openxmlformats.org/officeDocument/2006/relationships" r:embed="rId1"/>
              <a:tile tx="0" ty="0" sx="100000" sy="100000" flip="none" algn="tl"/>
            </a:blipFill>
            <a:ln w="9525">
              <a:solidFill>
                <a:schemeClr val="tx1"/>
              </a:solidFill>
            </a:ln>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ref4b!$B$28:$BS$28</c:f>
              <c:numCache>
                <c:formatCode>0%</c:formatCode>
                <c:ptCount val="70"/>
                <c:pt idx="0">
                  <c:v>0.26910343659559099</c:v>
                </c:pt>
                <c:pt idx="1">
                  <c:v>0.300893765973129</c:v>
                </c:pt>
                <c:pt idx="2">
                  <c:v>0.30027442544065802</c:v>
                </c:pt>
                <c:pt idx="3">
                  <c:v>0.28913476620398698</c:v>
                </c:pt>
                <c:pt idx="4">
                  <c:v>0.30555618868145001</c:v>
                </c:pt>
                <c:pt idx="5">
                  <c:v>0.29745746280412899</c:v>
                </c:pt>
                <c:pt idx="6">
                  <c:v>0.289095114136732</c:v>
                </c:pt>
                <c:pt idx="7">
                  <c:v>0.28075422566574498</c:v>
                </c:pt>
                <c:pt idx="8">
                  <c:v>0.27252437022359799</c:v>
                </c:pt>
                <c:pt idx="9">
                  <c:v>0.26440796364545399</c:v>
                </c:pt>
                <c:pt idx="10">
                  <c:v>0.25642543512212101</c:v>
                </c:pt>
                <c:pt idx="11">
                  <c:v>0.24867422154941299</c:v>
                </c:pt>
                <c:pt idx="12">
                  <c:v>0.241167439057798</c:v>
                </c:pt>
                <c:pt idx="13">
                  <c:v>0.233864410451599</c:v>
                </c:pt>
                <c:pt idx="14">
                  <c:v>0.22661258921077801</c:v>
                </c:pt>
                <c:pt idx="15">
                  <c:v>0.21926348768155099</c:v>
                </c:pt>
                <c:pt idx="16">
                  <c:v>0.212165458879263</c:v>
                </c:pt>
                <c:pt idx="17">
                  <c:v>0.20506525972270201</c:v>
                </c:pt>
                <c:pt idx="18">
                  <c:v>0.197940613211466</c:v>
                </c:pt>
                <c:pt idx="19">
                  <c:v>0.19089610881587801</c:v>
                </c:pt>
                <c:pt idx="20">
                  <c:v>0.18395377673862101</c:v>
                </c:pt>
                <c:pt idx="21">
                  <c:v>0.17716353711800401</c:v>
                </c:pt>
                <c:pt idx="22">
                  <c:v>0.17055577769741601</c:v>
                </c:pt>
                <c:pt idx="23">
                  <c:v>0.164159782646049</c:v>
                </c:pt>
                <c:pt idx="24">
                  <c:v>0.158016725581272</c:v>
                </c:pt>
                <c:pt idx="25">
                  <c:v>0.152803538160419</c:v>
                </c:pt>
                <c:pt idx="26">
                  <c:v>0.14706818162058699</c:v>
                </c:pt>
                <c:pt idx="27">
                  <c:v>0.14163056574501101</c:v>
                </c:pt>
                <c:pt idx="28">
                  <c:v>0.13651871992516701</c:v>
                </c:pt>
                <c:pt idx="29">
                  <c:v>0.131756698954684</c:v>
                </c:pt>
                <c:pt idx="30">
                  <c:v>0.127356534779585</c:v>
                </c:pt>
                <c:pt idx="31">
                  <c:v>0.123343804869576</c:v>
                </c:pt>
                <c:pt idx="32">
                  <c:v>0.11972664208830699</c:v>
                </c:pt>
                <c:pt idx="33">
                  <c:v>0.116511590751088</c:v>
                </c:pt>
                <c:pt idx="34">
                  <c:v>0.11369455310559599</c:v>
                </c:pt>
                <c:pt idx="35">
                  <c:v>0.111264149155835</c:v>
                </c:pt>
                <c:pt idx="36">
                  <c:v>0.10920634118471501</c:v>
                </c:pt>
                <c:pt idx="37">
                  <c:v>0.107506330136384</c:v>
                </c:pt>
                <c:pt idx="38">
                  <c:v>0.106120173796481</c:v>
                </c:pt>
                <c:pt idx="39">
                  <c:v>0.10501318779130001</c:v>
                </c:pt>
                <c:pt idx="40">
                  <c:v>0.104133816021043</c:v>
                </c:pt>
                <c:pt idx="41">
                  <c:v>0.103452929984786</c:v>
                </c:pt>
                <c:pt idx="42">
                  <c:v>0.102935724550121</c:v>
                </c:pt>
                <c:pt idx="43">
                  <c:v>0.102530123312442</c:v>
                </c:pt>
                <c:pt idx="44">
                  <c:v>0.102244097894975</c:v>
                </c:pt>
                <c:pt idx="45">
                  <c:v>0.102060784647876</c:v>
                </c:pt>
                <c:pt idx="46">
                  <c:v>0.10194849642715199</c:v>
                </c:pt>
                <c:pt idx="47">
                  <c:v>0.10191145507145399</c:v>
                </c:pt>
                <c:pt idx="48">
                  <c:v>0.101896112399152</c:v>
                </c:pt>
                <c:pt idx="49">
                  <c:v>0.101883252813112</c:v>
                </c:pt>
                <c:pt idx="50">
                  <c:v>0.101927112919778</c:v>
                </c:pt>
                <c:pt idx="51">
                  <c:v>0.101990814203663</c:v>
                </c:pt>
                <c:pt idx="52">
                  <c:v>0.102094072358952</c:v>
                </c:pt>
                <c:pt idx="53">
                  <c:v>0.102220510778815</c:v>
                </c:pt>
                <c:pt idx="54">
                  <c:v>0.10237075691849799</c:v>
                </c:pt>
                <c:pt idx="55">
                  <c:v>0.102558738709043</c:v>
                </c:pt>
                <c:pt idx="56">
                  <c:v>0.10279284801946</c:v>
                </c:pt>
                <c:pt idx="57">
                  <c:v>0.103080549593559</c:v>
                </c:pt>
                <c:pt idx="58">
                  <c:v>0.10340756543862401</c:v>
                </c:pt>
                <c:pt idx="59">
                  <c:v>0.10377263060475</c:v>
                </c:pt>
                <c:pt idx="60">
                  <c:v>0.10415019751019</c:v>
                </c:pt>
                <c:pt idx="61">
                  <c:v>0.104566415125665</c:v>
                </c:pt>
                <c:pt idx="62">
                  <c:v>0.105009405630679</c:v>
                </c:pt>
                <c:pt idx="63">
                  <c:v>0.105415122188595</c:v>
                </c:pt>
                <c:pt idx="64">
                  <c:v>0.105783779202745</c:v>
                </c:pt>
                <c:pt idx="65">
                  <c:v>0.106146390437532</c:v>
                </c:pt>
                <c:pt idx="66">
                  <c:v>0.10649031929116599</c:v>
                </c:pt>
                <c:pt idx="67">
                  <c:v>0.10680816436137</c:v>
                </c:pt>
                <c:pt idx="68">
                  <c:v>0.10709769861818</c:v>
                </c:pt>
                <c:pt idx="69">
                  <c:v>0.10735822717041101</c:v>
                </c:pt>
              </c:numCache>
            </c:numRef>
          </c:val>
        </c:ser>
        <c:dLbls>
          <c:showLegendKey val="0"/>
          <c:showVal val="0"/>
          <c:showCatName val="0"/>
          <c:showSerName val="0"/>
          <c:showPercent val="0"/>
          <c:showBubbleSize val="0"/>
        </c:dLbls>
        <c:axId val="295418496"/>
        <c:axId val="295424384"/>
      </c:areaChart>
      <c:catAx>
        <c:axId val="295418496"/>
        <c:scaling>
          <c:orientation val="minMax"/>
        </c:scaling>
        <c:delete val="0"/>
        <c:axPos val="b"/>
        <c:numFmt formatCode="0000" sourceLinked="1"/>
        <c:majorTickMark val="out"/>
        <c:minorTickMark val="none"/>
        <c:tickLblPos val="nextTo"/>
        <c:txPr>
          <a:bodyPr rot="2700000"/>
          <a:lstStyle/>
          <a:p>
            <a:pPr>
              <a:defRPr sz="800" b="0"/>
            </a:pPr>
            <a:endParaRPr lang="en-US"/>
          </a:p>
        </c:txPr>
        <c:crossAx val="295424384"/>
        <c:crosses val="autoZero"/>
        <c:auto val="1"/>
        <c:lblAlgn val="ctr"/>
        <c:lblOffset val="100"/>
        <c:noMultiLvlLbl val="0"/>
      </c:catAx>
      <c:valAx>
        <c:axId val="295424384"/>
        <c:scaling>
          <c:orientation val="minMax"/>
        </c:scaling>
        <c:delete val="0"/>
        <c:axPos val="l"/>
        <c:majorGridlines/>
        <c:numFmt formatCode="0%" sourceLinked="0"/>
        <c:majorTickMark val="out"/>
        <c:minorTickMark val="none"/>
        <c:tickLblPos val="nextTo"/>
        <c:txPr>
          <a:bodyPr/>
          <a:lstStyle/>
          <a:p>
            <a:pPr>
              <a:defRPr sz="800" b="0"/>
            </a:pPr>
            <a:endParaRPr lang="en-US"/>
          </a:p>
        </c:txPr>
        <c:crossAx val="295418496"/>
        <c:crosses val="autoZero"/>
        <c:crossBetween val="midCat"/>
      </c:valAx>
    </c:plotArea>
    <c:legend>
      <c:legendPos val="b"/>
      <c:overlay val="0"/>
      <c:txPr>
        <a:bodyPr/>
        <a:lstStyle/>
        <a:p>
          <a:pPr>
            <a:defRPr sz="1000" b="0"/>
          </a:pPr>
          <a:endParaRPr lang="en-US"/>
        </a:p>
      </c:txPr>
    </c:legend>
    <c:plotVisOnly val="1"/>
    <c:dispBlanksAs val="gap"/>
    <c:showDLblsOverMax val="0"/>
  </c:chart>
  <c:txPr>
    <a:bodyPr/>
    <a:lstStyle/>
    <a:p>
      <a:pPr>
        <a:defRPr sz="1600" b="1">
          <a:latin typeface="Times New Roman" pitchFamily="18" charset="0"/>
          <a:cs typeface="Times New Roman"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15'!$D$63</c:f>
              <c:strCache>
                <c:ptCount val="1"/>
                <c:pt idx="0">
                  <c:v>2009 or latest year</c:v>
                </c:pt>
              </c:strCache>
            </c:strRef>
          </c:tx>
          <c:spPr>
            <a:solidFill>
              <a:schemeClr val="bg1">
                <a:lumMod val="50000"/>
              </a:schemeClr>
            </a:solidFill>
          </c:spPr>
          <c:invertIfNegative val="0"/>
          <c:dPt>
            <c:idx val="37"/>
            <c:invertIfNegative val="0"/>
            <c:bubble3D val="0"/>
            <c:spPr>
              <a:solidFill>
                <a:schemeClr val="tx1">
                  <a:lumMod val="65000"/>
                  <a:lumOff val="35000"/>
                </a:schemeClr>
              </a:solidFill>
            </c:spPr>
          </c:dPt>
          <c:cat>
            <c:multiLvlStrRef>
              <c:f>'figure 15'!$B$64:$C$103</c:f>
              <c:multiLvlStrCache>
                <c:ptCount val="40"/>
                <c:lvl>
                  <c:pt idx="0">
                    <c:v>Austria </c:v>
                  </c:pt>
                  <c:pt idx="1">
                    <c:v>Finland</c:v>
                  </c:pt>
                  <c:pt idx="2">
                    <c:v>Germany</c:v>
                  </c:pt>
                  <c:pt idx="3">
                    <c:v>Ireland</c:v>
                  </c:pt>
                  <c:pt idx="4">
                    <c:v>Norway</c:v>
                  </c:pt>
                  <c:pt idx="5">
                    <c:v>Sweden</c:v>
                  </c:pt>
                  <c:pt idx="6">
                    <c:v>Luxembourg</c:v>
                  </c:pt>
                  <c:pt idx="7">
                    <c:v>Cyprus</c:v>
                  </c:pt>
                  <c:pt idx="8">
                    <c:v>France</c:v>
                  </c:pt>
                  <c:pt idx="9">
                    <c:v>Greece</c:v>
                  </c:pt>
                  <c:pt idx="10">
                    <c:v>Italy</c:v>
                  </c:pt>
                  <c:pt idx="11">
                    <c:v>Portugal</c:v>
                  </c:pt>
                  <c:pt idx="12">
                    <c:v>Malta</c:v>
                  </c:pt>
                  <c:pt idx="13">
                    <c:v>Spain</c:v>
                  </c:pt>
                  <c:pt idx="14">
                    <c:v>Croatia</c:v>
                  </c:pt>
                  <c:pt idx="15">
                    <c:v>Lithuania</c:v>
                  </c:pt>
                  <c:pt idx="16">
                    <c:v>Hungary</c:v>
                  </c:pt>
                  <c:pt idx="17">
                    <c:v>Bulgaria</c:v>
                  </c:pt>
                  <c:pt idx="18">
                    <c:v>Slovakia</c:v>
                  </c:pt>
                  <c:pt idx="19">
                    <c:v>Estonia</c:v>
                  </c:pt>
                  <c:pt idx="20">
                    <c:v>Latvia</c:v>
                  </c:pt>
                  <c:pt idx="21">
                    <c:v>Poland</c:v>
                  </c:pt>
                  <c:pt idx="22">
                    <c:v>Romania</c:v>
                  </c:pt>
                  <c:pt idx="23">
                    <c:v>Czech Republic</c:v>
                  </c:pt>
                  <c:pt idx="24">
                    <c:v>Albania</c:v>
                  </c:pt>
                  <c:pt idx="25">
                    <c:v>Montenegro</c:v>
                  </c:pt>
                  <c:pt idx="26">
                    <c:v>BH Federation</c:v>
                  </c:pt>
                  <c:pt idx="27">
                    <c:v>Macedonia</c:v>
                  </c:pt>
                  <c:pt idx="28">
                    <c:v>Serbia</c:v>
                  </c:pt>
                  <c:pt idx="29">
                    <c:v>Republika Srpska</c:v>
                  </c:pt>
                  <c:pt idx="30">
                    <c:v>Georgia</c:v>
                  </c:pt>
                  <c:pt idx="31">
                    <c:v>Armenia</c:v>
                  </c:pt>
                  <c:pt idx="32">
                    <c:v>Moldova</c:v>
                  </c:pt>
                  <c:pt idx="33">
                    <c:v>Belarus</c:v>
                  </c:pt>
                  <c:pt idx="34">
                    <c:v>Russia</c:v>
                  </c:pt>
                  <c:pt idx="35">
                    <c:v>Kazakhstan</c:v>
                  </c:pt>
                  <c:pt idx="36">
                    <c:v>Azerbaijan</c:v>
                  </c:pt>
                  <c:pt idx="37">
                    <c:v>Kyrgyzstan</c:v>
                  </c:pt>
                  <c:pt idx="38">
                    <c:v>Tajikistan</c:v>
                  </c:pt>
                  <c:pt idx="39">
                    <c:v>Turkey</c:v>
                  </c:pt>
                </c:lvl>
                <c:lvl>
                  <c:pt idx="0">
                    <c:v>Northern Europe</c:v>
                  </c:pt>
                  <c:pt idx="7">
                    <c:v>Southern Europe</c:v>
                  </c:pt>
                  <c:pt idx="14">
                    <c:v>Central Europe</c:v>
                  </c:pt>
                  <c:pt idx="24">
                    <c:v>Balkans (non-EU)</c:v>
                  </c:pt>
                  <c:pt idx="30">
                    <c:v>"Old" countries of FSU</c:v>
                  </c:pt>
                  <c:pt idx="35">
                    <c:v>Young countries</c:v>
                  </c:pt>
                </c:lvl>
              </c:multiLvlStrCache>
            </c:multiLvlStrRef>
          </c:cat>
          <c:val>
            <c:numRef>
              <c:f>'figure 15'!$D$64:$D$103</c:f>
              <c:numCache>
                <c:formatCode>0%</c:formatCode>
                <c:ptCount val="40"/>
                <c:pt idx="0">
                  <c:v>0.48</c:v>
                </c:pt>
                <c:pt idx="1">
                  <c:v>0.52</c:v>
                </c:pt>
                <c:pt idx="2">
                  <c:v>0.41</c:v>
                </c:pt>
                <c:pt idx="3">
                  <c:v>0.37</c:v>
                </c:pt>
                <c:pt idx="4">
                  <c:v>0.49</c:v>
                </c:pt>
                <c:pt idx="5">
                  <c:v>0.35</c:v>
                </c:pt>
                <c:pt idx="6">
                  <c:v>0.78</c:v>
                </c:pt>
                <c:pt idx="7">
                  <c:v>0.45</c:v>
                </c:pt>
                <c:pt idx="8">
                  <c:v>0.59</c:v>
                </c:pt>
                <c:pt idx="9">
                  <c:v>0.59</c:v>
                </c:pt>
                <c:pt idx="10">
                  <c:v>0.8</c:v>
                </c:pt>
                <c:pt idx="11">
                  <c:v>0.56999999999999995</c:v>
                </c:pt>
                <c:pt idx="12">
                  <c:v>0.59</c:v>
                </c:pt>
                <c:pt idx="13">
                  <c:v>0.72</c:v>
                </c:pt>
                <c:pt idx="14">
                  <c:v>0.31863500523736499</c:v>
                </c:pt>
                <c:pt idx="15">
                  <c:v>0.39445525291828798</c:v>
                </c:pt>
                <c:pt idx="16">
                  <c:v>0.424891286398415</c:v>
                </c:pt>
                <c:pt idx="17">
                  <c:v>0.44064313782039699</c:v>
                </c:pt>
                <c:pt idx="18">
                  <c:v>0.451437075603348</c:v>
                </c:pt>
                <c:pt idx="19">
                  <c:v>0.46</c:v>
                </c:pt>
                <c:pt idx="20">
                  <c:v>0.46049635701275099</c:v>
                </c:pt>
                <c:pt idx="21">
                  <c:v>0.47054436096614399</c:v>
                </c:pt>
                <c:pt idx="22">
                  <c:v>0.48144500824351599</c:v>
                </c:pt>
                <c:pt idx="23">
                  <c:v>0.49478122010868503</c:v>
                </c:pt>
                <c:pt idx="24">
                  <c:v>0.35502791972173797</c:v>
                </c:pt>
                <c:pt idx="25">
                  <c:v>0.39832037325038899</c:v>
                </c:pt>
                <c:pt idx="26">
                  <c:v>0.47292847457568399</c:v>
                </c:pt>
                <c:pt idx="27">
                  <c:v>0.49100895402912498</c:v>
                </c:pt>
                <c:pt idx="28">
                  <c:v>0.54465902588093296</c:v>
                </c:pt>
                <c:pt idx="29">
                  <c:v>0.517511829213531</c:v>
                </c:pt>
                <c:pt idx="30">
                  <c:v>0.13400000000000001</c:v>
                </c:pt>
                <c:pt idx="31">
                  <c:v>0.24</c:v>
                </c:pt>
                <c:pt idx="32">
                  <c:v>0.27400000000000002</c:v>
                </c:pt>
                <c:pt idx="33">
                  <c:v>0.47540830683218999</c:v>
                </c:pt>
                <c:pt idx="34">
                  <c:v>0.4</c:v>
                </c:pt>
                <c:pt idx="35">
                  <c:v>0.25381313768879998</c:v>
                </c:pt>
                <c:pt idx="36">
                  <c:v>0.33822138473831398</c:v>
                </c:pt>
                <c:pt idx="37">
                  <c:v>0.43</c:v>
                </c:pt>
                <c:pt idx="38">
                  <c:v>0.41099999999999998</c:v>
                </c:pt>
                <c:pt idx="39">
                  <c:v>0.60199999999999998</c:v>
                </c:pt>
              </c:numCache>
            </c:numRef>
          </c:val>
        </c:ser>
        <c:dLbls>
          <c:showLegendKey val="0"/>
          <c:showVal val="0"/>
          <c:showCatName val="0"/>
          <c:showSerName val="0"/>
          <c:showPercent val="0"/>
          <c:showBubbleSize val="0"/>
        </c:dLbls>
        <c:gapWidth val="150"/>
        <c:axId val="295518592"/>
        <c:axId val="295520128"/>
      </c:barChart>
      <c:catAx>
        <c:axId val="295518592"/>
        <c:scaling>
          <c:orientation val="minMax"/>
        </c:scaling>
        <c:delete val="0"/>
        <c:axPos val="b"/>
        <c:majorTickMark val="out"/>
        <c:minorTickMark val="none"/>
        <c:tickLblPos val="nextTo"/>
        <c:crossAx val="295520128"/>
        <c:crosses val="autoZero"/>
        <c:auto val="1"/>
        <c:lblAlgn val="ctr"/>
        <c:lblOffset val="100"/>
        <c:noMultiLvlLbl val="0"/>
      </c:catAx>
      <c:valAx>
        <c:axId val="295520128"/>
        <c:scaling>
          <c:orientation val="minMax"/>
        </c:scaling>
        <c:delete val="0"/>
        <c:axPos val="l"/>
        <c:majorGridlines/>
        <c:numFmt formatCode="0%" sourceLinked="1"/>
        <c:majorTickMark val="out"/>
        <c:minorTickMark val="none"/>
        <c:tickLblPos val="nextTo"/>
        <c:crossAx val="295518592"/>
        <c:crosses val="autoZero"/>
        <c:crossBetween val="between"/>
      </c:valAx>
    </c:plotArea>
    <c:plotVisOnly val="1"/>
    <c:dispBlanksAs val="gap"/>
    <c:showDLblsOverMax val="0"/>
  </c:chart>
  <c:txPr>
    <a:bodyPr/>
    <a:lstStyle/>
    <a:p>
      <a:pPr>
        <a:defRPr sz="800">
          <a:latin typeface="Cambria"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base, ref B1,2</c:v>
          </c:tx>
          <c:spPr>
            <a:ln w="34925">
              <a:solidFill>
                <a:schemeClr val="tx1"/>
              </a:solidFill>
            </a:ln>
          </c:spPr>
          <c:marker>
            <c:symbol val="none"/>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base!$B$100:$BS$100</c:f>
              <c:numCache>
                <c:formatCode>#.0%_);[Red]\(#.0%\);</c:formatCode>
                <c:ptCount val="70"/>
                <c:pt idx="0">
                  <c:v>-2.2534283916076101E-3</c:v>
                </c:pt>
                <c:pt idx="1">
                  <c:v>-2.6854214797627399E-3</c:v>
                </c:pt>
                <c:pt idx="2">
                  <c:v>3.0588235269347502E-3</c:v>
                </c:pt>
                <c:pt idx="3">
                  <c:v>9.3297009223297801E-3</c:v>
                </c:pt>
                <c:pt idx="4">
                  <c:v>4.1108715537752699E-3</c:v>
                </c:pt>
                <c:pt idx="5">
                  <c:v>3.3488680759753099E-3</c:v>
                </c:pt>
                <c:pt idx="6">
                  <c:v>2.72141768668224E-3</c:v>
                </c:pt>
                <c:pt idx="7">
                  <c:v>2.03881517737889E-3</c:v>
                </c:pt>
                <c:pt idx="8">
                  <c:v>1.63600426505234E-3</c:v>
                </c:pt>
                <c:pt idx="9">
                  <c:v>1.24829453170523E-3</c:v>
                </c:pt>
                <c:pt idx="10">
                  <c:v>9.04612900949091E-4</c:v>
                </c:pt>
                <c:pt idx="11">
                  <c:v>6.5053621029130201E-4</c:v>
                </c:pt>
                <c:pt idx="12">
                  <c:v>5.3113441044853698E-4</c:v>
                </c:pt>
                <c:pt idx="13">
                  <c:v>5.8201497285877298E-4</c:v>
                </c:pt>
                <c:pt idx="14">
                  <c:v>8.5551500643015496E-4</c:v>
                </c:pt>
                <c:pt idx="15">
                  <c:v>1.60326134814113E-3</c:v>
                </c:pt>
                <c:pt idx="16">
                  <c:v>2.4414896347854601E-3</c:v>
                </c:pt>
                <c:pt idx="17">
                  <c:v>3.4424149299445502E-3</c:v>
                </c:pt>
                <c:pt idx="18">
                  <c:v>4.5871726409184499E-3</c:v>
                </c:pt>
                <c:pt idx="19">
                  <c:v>5.8045399673423703E-3</c:v>
                </c:pt>
                <c:pt idx="20">
                  <c:v>7.0865903322246101E-3</c:v>
                </c:pt>
                <c:pt idx="21">
                  <c:v>8.4132153685484001E-3</c:v>
                </c:pt>
                <c:pt idx="22">
                  <c:v>9.7663154968194704E-3</c:v>
                </c:pt>
                <c:pt idx="23">
                  <c:v>1.1126773664352401E-2</c:v>
                </c:pt>
                <c:pt idx="24">
                  <c:v>1.2473014370130001E-2</c:v>
                </c:pt>
                <c:pt idx="25">
                  <c:v>1.3550344883634199E-2</c:v>
                </c:pt>
                <c:pt idx="26">
                  <c:v>1.47874421505634E-2</c:v>
                </c:pt>
                <c:pt idx="27">
                  <c:v>1.5954359112573601E-2</c:v>
                </c:pt>
                <c:pt idx="28">
                  <c:v>1.70370017486705E-2</c:v>
                </c:pt>
                <c:pt idx="29">
                  <c:v>1.8030938507358801E-2</c:v>
                </c:pt>
                <c:pt idx="30">
                  <c:v>1.8931834369036501E-2</c:v>
                </c:pt>
                <c:pt idx="31">
                  <c:v>1.9716538928155801E-2</c:v>
                </c:pt>
                <c:pt idx="32">
                  <c:v>2.03680350509289E-2</c:v>
                </c:pt>
                <c:pt idx="33">
                  <c:v>2.08813813285561E-2</c:v>
                </c:pt>
                <c:pt idx="34">
                  <c:v>2.1263155514933199E-2</c:v>
                </c:pt>
                <c:pt idx="35">
                  <c:v>2.1522611371598398E-2</c:v>
                </c:pt>
                <c:pt idx="36">
                  <c:v>2.16700778454086E-2</c:v>
                </c:pt>
                <c:pt idx="37">
                  <c:v>2.1727640874984799E-2</c:v>
                </c:pt>
                <c:pt idx="38">
                  <c:v>2.17217284669604E-2</c:v>
                </c:pt>
                <c:pt idx="39">
                  <c:v>2.1667531403898699E-2</c:v>
                </c:pt>
                <c:pt idx="40">
                  <c:v>2.15862861394382E-2</c:v>
                </c:pt>
                <c:pt idx="41">
                  <c:v>2.1502140065150301E-2</c:v>
                </c:pt>
                <c:pt idx="42">
                  <c:v>2.1439866469958799E-2</c:v>
                </c:pt>
                <c:pt idx="43">
                  <c:v>2.1413913577288699E-2</c:v>
                </c:pt>
                <c:pt idx="44">
                  <c:v>2.1422394569218399E-2</c:v>
                </c:pt>
                <c:pt idx="45">
                  <c:v>2.1459452490888899E-2</c:v>
                </c:pt>
                <c:pt idx="46">
                  <c:v>2.1522293637927899E-2</c:v>
                </c:pt>
                <c:pt idx="47">
                  <c:v>2.1596357331359499E-2</c:v>
                </c:pt>
                <c:pt idx="48">
                  <c:v>2.16852238111142E-2</c:v>
                </c:pt>
                <c:pt idx="49">
                  <c:v>2.1793819699134399E-2</c:v>
                </c:pt>
                <c:pt idx="50">
                  <c:v>2.1909647014387499E-2</c:v>
                </c:pt>
                <c:pt idx="51">
                  <c:v>2.2023053495396901E-2</c:v>
                </c:pt>
                <c:pt idx="52">
                  <c:v>2.2111673488932299E-2</c:v>
                </c:pt>
                <c:pt idx="53">
                  <c:v>2.2168859924984501E-2</c:v>
                </c:pt>
                <c:pt idx="54">
                  <c:v>2.21879512874299E-2</c:v>
                </c:pt>
                <c:pt idx="55">
                  <c:v>2.2165000850932402E-2</c:v>
                </c:pt>
                <c:pt idx="56">
                  <c:v>2.2065235449948799E-2</c:v>
                </c:pt>
                <c:pt idx="57">
                  <c:v>2.1875043867861901E-2</c:v>
                </c:pt>
                <c:pt idx="58">
                  <c:v>2.16408174150205E-2</c:v>
                </c:pt>
                <c:pt idx="59">
                  <c:v>2.1382688489384599E-2</c:v>
                </c:pt>
                <c:pt idx="60">
                  <c:v>2.10931813083154E-2</c:v>
                </c:pt>
                <c:pt idx="61">
                  <c:v>2.07457615518216E-2</c:v>
                </c:pt>
                <c:pt idx="62">
                  <c:v>2.0347971562600299E-2</c:v>
                </c:pt>
                <c:pt idx="63">
                  <c:v>1.9978187256032801E-2</c:v>
                </c:pt>
                <c:pt idx="64">
                  <c:v>1.96609358420212E-2</c:v>
                </c:pt>
                <c:pt idx="65">
                  <c:v>1.9336914399829298E-2</c:v>
                </c:pt>
                <c:pt idx="66">
                  <c:v>1.9023758086060501E-2</c:v>
                </c:pt>
                <c:pt idx="67">
                  <c:v>1.87290872675487E-2</c:v>
                </c:pt>
                <c:pt idx="68">
                  <c:v>1.8458204395626801E-2</c:v>
                </c:pt>
                <c:pt idx="69">
                  <c:v>1.8222437444511599E-2</c:v>
                </c:pt>
              </c:numCache>
            </c:numRef>
          </c:val>
          <c:smooth val="0"/>
        </c:ser>
        <c:ser>
          <c:idx val="1"/>
          <c:order val="1"/>
          <c:tx>
            <c:v>ref A1</c:v>
          </c:tx>
          <c:spPr>
            <a:ln w="25400">
              <a:solidFill>
                <a:schemeClr val="tx1"/>
              </a:solidFill>
              <a:prstDash val="solid"/>
            </a:ln>
          </c:spPr>
          <c:marker>
            <c:symbol val="triangle"/>
            <c:size val="5"/>
            <c:spPr>
              <a:solidFill>
                <a:schemeClr val="tx1"/>
              </a:solidFill>
              <a:ln>
                <a:solidFill>
                  <a:schemeClr val="tx1"/>
                </a:solidFill>
              </a:ln>
            </c:spPr>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'ref1'!$B$84:$BS$84</c:f>
              <c:numCache>
                <c:formatCode>#.0%_);[Red]\(#.0%\);</c:formatCode>
                <c:ptCount val="70"/>
                <c:pt idx="0">
                  <c:v>-2.2534283916076101E-3</c:v>
                </c:pt>
                <c:pt idx="1">
                  <c:v>-2.68542305761335E-3</c:v>
                </c:pt>
                <c:pt idx="2">
                  <c:v>3.3436691828884701E-3</c:v>
                </c:pt>
                <c:pt idx="3">
                  <c:v>8.6026767136461995E-3</c:v>
                </c:pt>
                <c:pt idx="4">
                  <c:v>2.72157551683503E-3</c:v>
                </c:pt>
                <c:pt idx="5">
                  <c:v>1.34187835388165E-3</c:v>
                </c:pt>
                <c:pt idx="6">
                  <c:v>8.1646533141107295E-5</c:v>
                </c:pt>
                <c:pt idx="7">
                  <c:v>-1.27761881977575E-3</c:v>
                </c:pt>
                <c:pt idx="8">
                  <c:v>-2.3830210759407302E-3</c:v>
                </c:pt>
                <c:pt idx="9">
                  <c:v>-3.5197417403117102E-3</c:v>
                </c:pt>
                <c:pt idx="10">
                  <c:v>-4.6591069889890301E-3</c:v>
                </c:pt>
                <c:pt idx="11">
                  <c:v>-5.7502121067602597E-3</c:v>
                </c:pt>
                <c:pt idx="12">
                  <c:v>-6.7093359982672201E-3</c:v>
                </c:pt>
                <c:pt idx="13">
                  <c:v>-7.4880833016856101E-3</c:v>
                </c:pt>
                <c:pt idx="14">
                  <c:v>-8.0071525093868001E-3</c:v>
                </c:pt>
                <c:pt idx="15">
                  <c:v>-8.0052943264872604E-3</c:v>
                </c:pt>
                <c:pt idx="16">
                  <c:v>-7.9168733281400408E-3</c:v>
                </c:pt>
                <c:pt idx="17">
                  <c:v>-7.6405080398446604E-3</c:v>
                </c:pt>
                <c:pt idx="18">
                  <c:v>-7.1956706884896996E-3</c:v>
                </c:pt>
                <c:pt idx="19">
                  <c:v>-6.6672142852229896E-3</c:v>
                </c:pt>
                <c:pt idx="20">
                  <c:v>-6.0831055293977896E-3</c:v>
                </c:pt>
                <c:pt idx="21">
                  <c:v>-5.46214334984869E-3</c:v>
                </c:pt>
                <c:pt idx="22">
                  <c:v>-4.8224857484164101E-3</c:v>
                </c:pt>
                <c:pt idx="23">
                  <c:v>-4.1870439282658597E-3</c:v>
                </c:pt>
                <c:pt idx="24">
                  <c:v>-3.5847760436029099E-3</c:v>
                </c:pt>
                <c:pt idx="25">
                  <c:v>-3.2787638552902701E-3</c:v>
                </c:pt>
                <c:pt idx="26">
                  <c:v>-2.7406868526288499E-3</c:v>
                </c:pt>
                <c:pt idx="27">
                  <c:v>-2.2874096929118601E-3</c:v>
                </c:pt>
                <c:pt idx="28">
                  <c:v>-1.9416972391627599E-3</c:v>
                </c:pt>
                <c:pt idx="29">
                  <c:v>-1.7052247154504001E-3</c:v>
                </c:pt>
                <c:pt idx="30">
                  <c:v>-1.5867563516397201E-3</c:v>
                </c:pt>
                <c:pt idx="31">
                  <c:v>-1.61440701103114E-3</c:v>
                </c:pt>
                <c:pt idx="32">
                  <c:v>-1.80520463647476E-3</c:v>
                </c:pt>
                <c:pt idx="33">
                  <c:v>-2.1618661977611101E-3</c:v>
                </c:pt>
                <c:pt idx="34">
                  <c:v>-2.6657035297091799E-3</c:v>
                </c:pt>
                <c:pt idx="35">
                  <c:v>-3.3060705490218301E-3</c:v>
                </c:pt>
                <c:pt idx="36">
                  <c:v>-4.05925631235491E-3</c:v>
                </c:pt>
                <c:pt idx="37">
                  <c:v>-4.8882245691586898E-3</c:v>
                </c:pt>
                <c:pt idx="38">
                  <c:v>-5.74639639384638E-3</c:v>
                </c:pt>
                <c:pt idx="39">
                  <c:v>-6.6046798328559999E-3</c:v>
                </c:pt>
                <c:pt idx="40">
                  <c:v>-7.43045549251277E-3</c:v>
                </c:pt>
                <c:pt idx="41">
                  <c:v>-8.18585782403068E-3</c:v>
                </c:pt>
                <c:pt idx="42">
                  <c:v>-8.8333787795248902E-3</c:v>
                </c:pt>
                <c:pt idx="43">
                  <c:v>-9.35741445132535E-3</c:v>
                </c:pt>
                <c:pt idx="44">
                  <c:v>-9.7544596442704305E-3</c:v>
                </c:pt>
                <c:pt idx="45">
                  <c:v>-1.00385569760553E-2</c:v>
                </c:pt>
                <c:pt idx="46">
                  <c:v>-1.02238950964936E-2</c:v>
                </c:pt>
                <c:pt idx="47">
                  <c:v>-1.03364800994179E-2</c:v>
                </c:pt>
                <c:pt idx="48">
                  <c:v>-1.03803798160637E-2</c:v>
                </c:pt>
                <c:pt idx="49">
                  <c:v>-1.03530950827564E-2</c:v>
                </c:pt>
                <c:pt idx="50">
                  <c:v>-1.02737359073997E-2</c:v>
                </c:pt>
                <c:pt idx="51">
                  <c:v>-1.01716745303968E-2</c:v>
                </c:pt>
                <c:pt idx="52">
                  <c:v>-1.00816907930494E-2</c:v>
                </c:pt>
                <c:pt idx="53">
                  <c:v>-1.0021780052222099E-2</c:v>
                </c:pt>
                <c:pt idx="54">
                  <c:v>-1.00036478474345E-2</c:v>
                </c:pt>
                <c:pt idx="55">
                  <c:v>-1.00187921996353E-2</c:v>
                </c:pt>
                <c:pt idx="56">
                  <c:v>-1.0136289864633601E-2</c:v>
                </c:pt>
                <c:pt idx="57">
                  <c:v>-1.03799150764742E-2</c:v>
                </c:pt>
                <c:pt idx="58">
                  <c:v>-1.06977014156857E-2</c:v>
                </c:pt>
                <c:pt idx="59">
                  <c:v>-1.1060829837190899E-2</c:v>
                </c:pt>
                <c:pt idx="60">
                  <c:v>-1.1448285023368501E-2</c:v>
                </c:pt>
                <c:pt idx="61">
                  <c:v>-1.19209663236207E-2</c:v>
                </c:pt>
                <c:pt idx="62">
                  <c:v>-1.24699016926582E-2</c:v>
                </c:pt>
                <c:pt idx="63">
                  <c:v>-1.29870847734772E-2</c:v>
                </c:pt>
                <c:pt idx="64">
                  <c:v>-1.3438024240193599E-2</c:v>
                </c:pt>
                <c:pt idx="65">
                  <c:v>-1.38927093625409E-2</c:v>
                </c:pt>
                <c:pt idx="66">
                  <c:v>-1.4338641675047401E-2</c:v>
                </c:pt>
                <c:pt idx="67">
                  <c:v>-1.4766087020084501E-2</c:v>
                </c:pt>
                <c:pt idx="68">
                  <c:v>-1.5169198411984001E-2</c:v>
                </c:pt>
                <c:pt idx="69">
                  <c:v>-1.5529014101661499E-2</c:v>
                </c:pt>
              </c:numCache>
            </c:numRef>
          </c:val>
          <c:smooth val="0"/>
        </c:ser>
        <c:ser>
          <c:idx val="2"/>
          <c:order val="2"/>
          <c:tx>
            <c:v>ref A2</c:v>
          </c:tx>
          <c:spPr>
            <a:ln w="34925">
              <a:solidFill>
                <a:schemeClr val="tx1"/>
              </a:solidFill>
              <a:prstDash val="dash"/>
            </a:ln>
          </c:spPr>
          <c:marker>
            <c:symbol val="none"/>
          </c:marker>
          <c:val>
            <c:numRef>
              <c:f>'ref2'!$B$84:$BS$84</c:f>
              <c:numCache>
                <c:formatCode>#.0%_);[Red]\(#.0%\);</c:formatCode>
                <c:ptCount val="70"/>
                <c:pt idx="0">
                  <c:v>-2.2534283916076101E-3</c:v>
                </c:pt>
                <c:pt idx="1">
                  <c:v>-2.68542305761335E-3</c:v>
                </c:pt>
                <c:pt idx="2">
                  <c:v>8.8849057120312797E-3</c:v>
                </c:pt>
                <c:pt idx="3">
                  <c:v>1.6139639974888299E-2</c:v>
                </c:pt>
                <c:pt idx="4">
                  <c:v>1.3426985306455299E-2</c:v>
                </c:pt>
                <c:pt idx="5">
                  <c:v>1.1255273881411501E-2</c:v>
                </c:pt>
                <c:pt idx="6">
                  <c:v>9.4757429209273193E-3</c:v>
                </c:pt>
                <c:pt idx="7">
                  <c:v>7.8933175602953608E-3</c:v>
                </c:pt>
                <c:pt idx="8">
                  <c:v>6.7880056113558997E-3</c:v>
                </c:pt>
                <c:pt idx="9">
                  <c:v>5.9107954626730699E-3</c:v>
                </c:pt>
                <c:pt idx="10">
                  <c:v>5.2776099386251801E-3</c:v>
                </c:pt>
                <c:pt idx="11">
                  <c:v>4.9292534176772103E-3</c:v>
                </c:pt>
                <c:pt idx="12">
                  <c:v>4.8847029347115897E-3</c:v>
                </c:pt>
                <c:pt idx="13">
                  <c:v>4.9564999944894401E-3</c:v>
                </c:pt>
                <c:pt idx="14">
                  <c:v>5.2181956594390096E-3</c:v>
                </c:pt>
                <c:pt idx="15">
                  <c:v>5.9240203538034001E-3</c:v>
                </c:pt>
                <c:pt idx="16">
                  <c:v>6.6824040670483403E-3</c:v>
                </c:pt>
                <c:pt idx="17">
                  <c:v>7.5488669158336897E-3</c:v>
                </c:pt>
                <c:pt idx="18">
                  <c:v>8.5029989526492992E-3</c:v>
                </c:pt>
                <c:pt idx="19">
                  <c:v>9.4648353812301599E-3</c:v>
                </c:pt>
                <c:pt idx="20">
                  <c:v>1.04296802192955E-2</c:v>
                </c:pt>
                <c:pt idx="21">
                  <c:v>1.13700525036804E-2</c:v>
                </c:pt>
                <c:pt idx="22">
                  <c:v>1.22741159406631E-2</c:v>
                </c:pt>
                <c:pt idx="23">
                  <c:v>1.3123632258636799E-2</c:v>
                </c:pt>
                <c:pt idx="24">
                  <c:v>1.3896938443174999E-2</c:v>
                </c:pt>
                <c:pt idx="25">
                  <c:v>1.43422404148015E-2</c:v>
                </c:pt>
                <c:pt idx="26">
                  <c:v>1.47060036782053E-2</c:v>
                </c:pt>
                <c:pt idx="27">
                  <c:v>1.49697451483607E-2</c:v>
                </c:pt>
                <c:pt idx="28">
                  <c:v>1.5120023614208901E-2</c:v>
                </c:pt>
                <c:pt idx="29">
                  <c:v>1.51610441661655E-2</c:v>
                </c:pt>
                <c:pt idx="30">
                  <c:v>1.50901806347163E-2</c:v>
                </c:pt>
                <c:pt idx="31">
                  <c:v>1.48862988925508E-2</c:v>
                </c:pt>
                <c:pt idx="32">
                  <c:v>1.4534754684990899E-2</c:v>
                </c:pt>
                <c:pt idx="33">
                  <c:v>1.40348264524791E-2</c:v>
                </c:pt>
                <c:pt idx="34">
                  <c:v>1.3407463347323701E-2</c:v>
                </c:pt>
                <c:pt idx="35">
                  <c:v>1.2668352449437301E-2</c:v>
                </c:pt>
                <c:pt idx="36">
                  <c:v>1.1841614975604301E-2</c:v>
                </c:pt>
                <c:pt idx="37">
                  <c:v>1.0966664141644799E-2</c:v>
                </c:pt>
                <c:pt idx="38">
                  <c:v>1.00871635407365E-2</c:v>
                </c:pt>
                <c:pt idx="39">
                  <c:v>9.2310380180264506E-3</c:v>
                </c:pt>
                <c:pt idx="40">
                  <c:v>8.4296857567816505E-3</c:v>
                </c:pt>
                <c:pt idx="41">
                  <c:v>7.7240206142208199E-3</c:v>
                </c:pt>
                <c:pt idx="42">
                  <c:v>7.1516103715431696E-3</c:v>
                </c:pt>
                <c:pt idx="43">
                  <c:v>6.7219118185967699E-3</c:v>
                </c:pt>
                <c:pt idx="44">
                  <c:v>6.4376804050690802E-3</c:v>
                </c:pt>
                <c:pt idx="45">
                  <c:v>6.2820241689453904E-3</c:v>
                </c:pt>
                <c:pt idx="46">
                  <c:v>6.23886831301073E-3</c:v>
                </c:pt>
                <c:pt idx="47">
                  <c:v>6.2822449056898601E-3</c:v>
                </c:pt>
                <c:pt idx="48">
                  <c:v>6.3944439942184702E-3</c:v>
                </c:pt>
                <c:pt idx="49">
                  <c:v>6.5715443209835196E-3</c:v>
                </c:pt>
                <c:pt idx="50">
                  <c:v>6.8045840481402798E-3</c:v>
                </c:pt>
                <c:pt idx="51">
                  <c:v>7.05495157586689E-3</c:v>
                </c:pt>
                <c:pt idx="52">
                  <c:v>7.2923944811992703E-3</c:v>
                </c:pt>
                <c:pt idx="53">
                  <c:v>7.4936232656476502E-3</c:v>
                </c:pt>
                <c:pt idx="54">
                  <c:v>7.6419653409776104E-3</c:v>
                </c:pt>
                <c:pt idx="55">
                  <c:v>7.74420938558528E-3</c:v>
                </c:pt>
                <c:pt idx="56">
                  <c:v>7.73668700658388E-3</c:v>
                </c:pt>
                <c:pt idx="57">
                  <c:v>7.5955446985395197E-3</c:v>
                </c:pt>
                <c:pt idx="58">
                  <c:v>7.3740654760539003E-3</c:v>
                </c:pt>
                <c:pt idx="59">
                  <c:v>7.0986664128253399E-3</c:v>
                </c:pt>
                <c:pt idx="60">
                  <c:v>6.7856634062889902E-3</c:v>
                </c:pt>
                <c:pt idx="61">
                  <c:v>6.3838593118676901E-3</c:v>
                </c:pt>
                <c:pt idx="62">
                  <c:v>5.9026178897330301E-3</c:v>
                </c:pt>
                <c:pt idx="63">
                  <c:v>5.4533406682828996E-3</c:v>
                </c:pt>
                <c:pt idx="64">
                  <c:v>5.0769916017556699E-3</c:v>
                </c:pt>
                <c:pt idx="65">
                  <c:v>4.6988556541965303E-3</c:v>
                </c:pt>
                <c:pt idx="66">
                  <c:v>4.3340389672366E-3</c:v>
                </c:pt>
                <c:pt idx="67">
                  <c:v>3.99383680099162E-3</c:v>
                </c:pt>
                <c:pt idx="68">
                  <c:v>3.6861148572969499E-3</c:v>
                </c:pt>
                <c:pt idx="69">
                  <c:v>3.4266440498695299E-3</c:v>
                </c:pt>
              </c:numCache>
            </c:numRef>
          </c:val>
          <c:smooth val="0"/>
        </c:ser>
        <c:ser>
          <c:idx val="3"/>
          <c:order val="3"/>
          <c:tx>
            <c:v>ref A3</c:v>
          </c:tx>
          <c:spPr>
            <a:ln w="34925">
              <a:solidFill>
                <a:schemeClr val="tx1"/>
              </a:solidFill>
            </a:ln>
          </c:spPr>
          <c:marker>
            <c:symbol val="star"/>
            <c:size val="5"/>
            <c:spPr>
              <a:ln>
                <a:solidFill>
                  <a:prstClr val="black"/>
                </a:solidFill>
              </a:ln>
            </c:spPr>
          </c:marker>
          <c:val>
            <c:numRef>
              <c:f>'ref3'!$B$84:$BS$84</c:f>
              <c:numCache>
                <c:formatCode>#.0%_);[Red]\(#.0%\);</c:formatCode>
                <c:ptCount val="70"/>
                <c:pt idx="0">
                  <c:v>-2.2534283916076101E-3</c:v>
                </c:pt>
                <c:pt idx="1">
                  <c:v>-2.68542113527103E-3</c:v>
                </c:pt>
                <c:pt idx="2">
                  <c:v>8.8394035964857506E-3</c:v>
                </c:pt>
                <c:pt idx="3">
                  <c:v>1.61282968195899E-2</c:v>
                </c:pt>
                <c:pt idx="4">
                  <c:v>1.3533344127954001E-2</c:v>
                </c:pt>
                <c:pt idx="5">
                  <c:v>1.1541540217522499E-2</c:v>
                </c:pt>
                <c:pt idx="6">
                  <c:v>1.0018677041230099E-2</c:v>
                </c:pt>
                <c:pt idx="7">
                  <c:v>8.7156157171228103E-3</c:v>
                </c:pt>
                <c:pt idx="8">
                  <c:v>7.9142408373999804E-3</c:v>
                </c:pt>
                <c:pt idx="9">
                  <c:v>7.3649902781504697E-3</c:v>
                </c:pt>
                <c:pt idx="10">
                  <c:v>7.06493906769598E-3</c:v>
                </c:pt>
                <c:pt idx="11">
                  <c:v>7.0375016186760798E-3</c:v>
                </c:pt>
                <c:pt idx="12">
                  <c:v>7.26469193345746E-3</c:v>
                </c:pt>
                <c:pt idx="13">
                  <c:v>7.5697081260235896E-3</c:v>
                </c:pt>
                <c:pt idx="14">
                  <c:v>8.0098265618425007E-3</c:v>
                </c:pt>
                <c:pt idx="15">
                  <c:v>8.9910933238635093E-3</c:v>
                </c:pt>
                <c:pt idx="16">
                  <c:v>9.9333012050198503E-3</c:v>
                </c:pt>
                <c:pt idx="17">
                  <c:v>1.0878948985765901E-2</c:v>
                </c:pt>
                <c:pt idx="18">
                  <c:v>1.18289629019405E-2</c:v>
                </c:pt>
                <c:pt idx="19">
                  <c:v>1.2794504233153699E-2</c:v>
                </c:pt>
                <c:pt idx="20">
                  <c:v>1.37800890553329E-2</c:v>
                </c:pt>
                <c:pt idx="21">
                  <c:v>1.47589904082236E-2</c:v>
                </c:pt>
                <c:pt idx="22">
                  <c:v>1.5654613497858402E-2</c:v>
                </c:pt>
                <c:pt idx="23">
                  <c:v>1.6484910587260201E-2</c:v>
                </c:pt>
                <c:pt idx="24">
                  <c:v>1.7237951255987798E-2</c:v>
                </c:pt>
                <c:pt idx="25">
                  <c:v>1.76534702966934E-2</c:v>
                </c:pt>
                <c:pt idx="26">
                  <c:v>1.7994040446458699E-2</c:v>
                </c:pt>
                <c:pt idx="27">
                  <c:v>1.8262923422101101E-2</c:v>
                </c:pt>
                <c:pt idx="28">
                  <c:v>1.8466479969810001E-2</c:v>
                </c:pt>
                <c:pt idx="29">
                  <c:v>1.8532882154356198E-2</c:v>
                </c:pt>
                <c:pt idx="30">
                  <c:v>1.8494031103761199E-2</c:v>
                </c:pt>
                <c:pt idx="31">
                  <c:v>1.8333824242076101E-2</c:v>
                </c:pt>
                <c:pt idx="32">
                  <c:v>1.8047995137371198E-2</c:v>
                </c:pt>
                <c:pt idx="33">
                  <c:v>1.7635789187686799E-2</c:v>
                </c:pt>
                <c:pt idx="34">
                  <c:v>1.7104722583415E-2</c:v>
                </c:pt>
                <c:pt idx="35">
                  <c:v>1.6461188348679101E-2</c:v>
                </c:pt>
                <c:pt idx="36">
                  <c:v>1.5723551073279302E-2</c:v>
                </c:pt>
                <c:pt idx="37">
                  <c:v>1.48998654109125E-2</c:v>
                </c:pt>
                <c:pt idx="38">
                  <c:v>1.3999640627011501E-2</c:v>
                </c:pt>
                <c:pt idx="39">
                  <c:v>1.30332002978744E-2</c:v>
                </c:pt>
                <c:pt idx="40">
                  <c:v>1.20354009621418E-2</c:v>
                </c:pt>
                <c:pt idx="41">
                  <c:v>1.10577127524442E-2</c:v>
                </c:pt>
                <c:pt idx="42">
                  <c:v>1.0157458277864099E-2</c:v>
                </c:pt>
                <c:pt idx="43">
                  <c:v>9.3567262489721199E-3</c:v>
                </c:pt>
                <c:pt idx="44">
                  <c:v>8.6879804636966693E-3</c:v>
                </c:pt>
                <c:pt idx="45">
                  <c:v>8.1671726213625399E-3</c:v>
                </c:pt>
                <c:pt idx="46">
                  <c:v>7.7982767107768599E-3</c:v>
                </c:pt>
                <c:pt idx="47">
                  <c:v>7.5680622927381397E-3</c:v>
                </c:pt>
                <c:pt idx="48">
                  <c:v>7.4820711905583901E-3</c:v>
                </c:pt>
                <c:pt idx="49">
                  <c:v>7.5136009490121601E-3</c:v>
                </c:pt>
                <c:pt idx="50">
                  <c:v>7.6541582886653697E-3</c:v>
                </c:pt>
                <c:pt idx="51">
                  <c:v>7.8968221919734106E-3</c:v>
                </c:pt>
                <c:pt idx="52">
                  <c:v>8.2341527835263807E-3</c:v>
                </c:pt>
                <c:pt idx="53">
                  <c:v>8.6478210820919894E-3</c:v>
                </c:pt>
                <c:pt idx="54">
                  <c:v>9.12188325352975E-3</c:v>
                </c:pt>
                <c:pt idx="55">
                  <c:v>9.6168068748163308E-3</c:v>
                </c:pt>
                <c:pt idx="56">
                  <c:v>1.0076181194905E-2</c:v>
                </c:pt>
                <c:pt idx="57">
                  <c:v>1.0495037744114401E-2</c:v>
                </c:pt>
                <c:pt idx="58">
                  <c:v>1.0892562844199901E-2</c:v>
                </c:pt>
                <c:pt idx="59">
                  <c:v>1.12623253829407E-2</c:v>
                </c:pt>
                <c:pt idx="60">
                  <c:v>1.15369944055969E-2</c:v>
                </c:pt>
                <c:pt idx="61">
                  <c:v>1.1696146031022E-2</c:v>
                </c:pt>
                <c:pt idx="62">
                  <c:v>1.1720771284590601E-2</c:v>
                </c:pt>
                <c:pt idx="63">
                  <c:v>1.15853450045616E-2</c:v>
                </c:pt>
                <c:pt idx="64">
                  <c:v>1.1371681644224901E-2</c:v>
                </c:pt>
                <c:pt idx="65">
                  <c:v>1.10755777795536E-2</c:v>
                </c:pt>
                <c:pt idx="66">
                  <c:v>1.06497625956608E-2</c:v>
                </c:pt>
                <c:pt idx="67">
                  <c:v>1.0142910072385099E-2</c:v>
                </c:pt>
                <c:pt idx="68">
                  <c:v>9.6666865360862803E-3</c:v>
                </c:pt>
                <c:pt idx="69">
                  <c:v>9.2405210289869307E-3</c:v>
                </c:pt>
              </c:numCache>
            </c:numRef>
          </c:val>
          <c:smooth val="0"/>
        </c:ser>
        <c:dLbls>
          <c:showLegendKey val="0"/>
          <c:showVal val="0"/>
          <c:showCatName val="0"/>
          <c:showSerName val="0"/>
          <c:showPercent val="0"/>
          <c:showBubbleSize val="0"/>
        </c:dLbls>
        <c:marker val="1"/>
        <c:smooth val="0"/>
        <c:axId val="295554432"/>
        <c:axId val="295556608"/>
      </c:lineChart>
      <c:catAx>
        <c:axId val="295554432"/>
        <c:scaling>
          <c:orientation val="minMax"/>
        </c:scaling>
        <c:delete val="0"/>
        <c:axPos val="b"/>
        <c:numFmt formatCode="0000" sourceLinked="1"/>
        <c:majorTickMark val="out"/>
        <c:minorTickMark val="none"/>
        <c:tickLblPos val="nextTo"/>
        <c:txPr>
          <a:bodyPr rot="2700000"/>
          <a:lstStyle/>
          <a:p>
            <a:pPr>
              <a:defRPr/>
            </a:pPr>
            <a:endParaRPr lang="en-US"/>
          </a:p>
        </c:txPr>
        <c:crossAx val="295556608"/>
        <c:crosses val="autoZero"/>
        <c:auto val="1"/>
        <c:lblAlgn val="ctr"/>
        <c:lblOffset val="100"/>
        <c:tickLblSkip val="5"/>
        <c:noMultiLvlLbl val="0"/>
      </c:catAx>
      <c:valAx>
        <c:axId val="295556608"/>
        <c:scaling>
          <c:orientation val="minMax"/>
        </c:scaling>
        <c:delete val="0"/>
        <c:axPos val="l"/>
        <c:majorGridlines/>
        <c:numFmt formatCode="0.0%" sourceLinked="0"/>
        <c:majorTickMark val="out"/>
        <c:minorTickMark val="none"/>
        <c:tickLblPos val="nextTo"/>
        <c:crossAx val="295554432"/>
        <c:crosses val="autoZero"/>
        <c:crossBetween val="between"/>
      </c:valAx>
    </c:plotArea>
    <c:legend>
      <c:legendPos val="b"/>
      <c:overlay val="0"/>
    </c:legend>
    <c:plotVisOnly val="1"/>
    <c:dispBlanksAs val="gap"/>
    <c:showDLblsOverMax val="0"/>
  </c:chart>
  <c:txPr>
    <a:bodyPr/>
    <a:lstStyle/>
    <a:p>
      <a:pPr>
        <a:defRPr sz="800" b="0">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base, ref1,2,4a,b</c:v>
          </c:tx>
          <c:spPr>
            <a:ln w="34925">
              <a:solidFill>
                <a:schemeClr val="tx1"/>
              </a:solidFill>
            </a:ln>
          </c:spPr>
          <c:marker>
            <c:symbol val="none"/>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base!$B$26:$BS$26</c:f>
              <c:numCache>
                <c:formatCode>0%</c:formatCode>
                <c:ptCount val="70"/>
                <c:pt idx="0">
                  <c:v>0.39330413562494199</c:v>
                </c:pt>
                <c:pt idx="1">
                  <c:v>0.40840007195647399</c:v>
                </c:pt>
                <c:pt idx="2">
                  <c:v>0.42363507882968399</c:v>
                </c:pt>
                <c:pt idx="3">
                  <c:v>0.43874464022669402</c:v>
                </c:pt>
                <c:pt idx="4">
                  <c:v>0.45240829770548602</c:v>
                </c:pt>
                <c:pt idx="5">
                  <c:v>0.46588170723880301</c:v>
                </c:pt>
                <c:pt idx="6">
                  <c:v>0.479324065646974</c:v>
                </c:pt>
                <c:pt idx="7">
                  <c:v>0.49371826101334998</c:v>
                </c:pt>
                <c:pt idx="8">
                  <c:v>0.50880407246038994</c:v>
                </c:pt>
                <c:pt idx="9">
                  <c:v>0.52418407274302004</c:v>
                </c:pt>
                <c:pt idx="10">
                  <c:v>0.53993585258740895</c:v>
                </c:pt>
                <c:pt idx="11">
                  <c:v>0.55544275927045395</c:v>
                </c:pt>
                <c:pt idx="12">
                  <c:v>0.57011248039909102</c:v>
                </c:pt>
                <c:pt idx="13">
                  <c:v>0.583556473864425</c:v>
                </c:pt>
                <c:pt idx="14">
                  <c:v>0.59555417323563598</c:v>
                </c:pt>
                <c:pt idx="15">
                  <c:v>0.60435614056323295</c:v>
                </c:pt>
                <c:pt idx="16">
                  <c:v>0.61219561798917299</c:v>
                </c:pt>
                <c:pt idx="17">
                  <c:v>0.61908720819111995</c:v>
                </c:pt>
                <c:pt idx="18">
                  <c:v>0.62520479793788997</c:v>
                </c:pt>
                <c:pt idx="19">
                  <c:v>0.63071435590312497</c:v>
                </c:pt>
                <c:pt idx="20">
                  <c:v>0.63568328387837802</c:v>
                </c:pt>
                <c:pt idx="21">
                  <c:v>0.64011669804396398</c:v>
                </c:pt>
                <c:pt idx="22">
                  <c:v>0.64410354972350603</c:v>
                </c:pt>
                <c:pt idx="23">
                  <c:v>0.64775150929040104</c:v>
                </c:pt>
                <c:pt idx="24">
                  <c:v>0.65118512504699499</c:v>
                </c:pt>
                <c:pt idx="25">
                  <c:v>0.65453135245461302</c:v>
                </c:pt>
                <c:pt idx="26">
                  <c:v>0.65794606561522895</c:v>
                </c:pt>
                <c:pt idx="27">
                  <c:v>0.66159568748460595</c:v>
                </c:pt>
                <c:pt idx="28">
                  <c:v>0.66558668645242003</c:v>
                </c:pt>
                <c:pt idx="29">
                  <c:v>0.66991089436683304</c:v>
                </c:pt>
                <c:pt idx="30">
                  <c:v>0.67459638238280295</c:v>
                </c:pt>
                <c:pt idx="31">
                  <c:v>0.67985247187164399</c:v>
                </c:pt>
                <c:pt idx="32">
                  <c:v>0.68585368490258602</c:v>
                </c:pt>
                <c:pt idx="33">
                  <c:v>0.69261126586377597</c:v>
                </c:pt>
                <c:pt idx="34">
                  <c:v>0.69999379234844294</c:v>
                </c:pt>
                <c:pt idx="35">
                  <c:v>0.70792249655999595</c:v>
                </c:pt>
                <c:pt idx="36">
                  <c:v>0.71619495027081703</c:v>
                </c:pt>
                <c:pt idx="37">
                  <c:v>0.72444971612632003</c:v>
                </c:pt>
                <c:pt idx="38">
                  <c:v>0.73234181033730505</c:v>
                </c:pt>
                <c:pt idx="39">
                  <c:v>0.73969367681303</c:v>
                </c:pt>
                <c:pt idx="40">
                  <c:v>0.74639384882719295</c:v>
                </c:pt>
                <c:pt idx="41">
                  <c:v>0.75215288206699604</c:v>
                </c:pt>
                <c:pt idx="42">
                  <c:v>0.75670445876871295</c:v>
                </c:pt>
                <c:pt idx="43">
                  <c:v>0.75998046361288396</c:v>
                </c:pt>
                <c:pt idx="44">
                  <c:v>0.76196059465766897</c:v>
                </c:pt>
                <c:pt idx="45">
                  <c:v>0.76284081298010298</c:v>
                </c:pt>
                <c:pt idx="46">
                  <c:v>0.76287974952854798</c:v>
                </c:pt>
                <c:pt idx="47">
                  <c:v>0.76233574181338803</c:v>
                </c:pt>
                <c:pt idx="48">
                  <c:v>0.76141460795832705</c:v>
                </c:pt>
                <c:pt idx="49">
                  <c:v>0.760104581646454</c:v>
                </c:pt>
                <c:pt idx="50">
                  <c:v>0.75835969967939698</c:v>
                </c:pt>
                <c:pt idx="51">
                  <c:v>0.75658766596426796</c:v>
                </c:pt>
                <c:pt idx="52">
                  <c:v>0.75511429506002004</c:v>
                </c:pt>
                <c:pt idx="53">
                  <c:v>0.75413933770423203</c:v>
                </c:pt>
                <c:pt idx="54">
                  <c:v>0.75375993075215597</c:v>
                </c:pt>
                <c:pt idx="55">
                  <c:v>0.75380870765740904</c:v>
                </c:pt>
                <c:pt idx="56">
                  <c:v>0.75497612705402894</c:v>
                </c:pt>
                <c:pt idx="57">
                  <c:v>0.75749301444930595</c:v>
                </c:pt>
                <c:pt idx="58">
                  <c:v>0.76067089142419897</c:v>
                </c:pt>
                <c:pt idx="59">
                  <c:v>0.76411971725259198</c:v>
                </c:pt>
                <c:pt idx="60">
                  <c:v>0.76787392698477797</c:v>
                </c:pt>
                <c:pt idx="61">
                  <c:v>0.77241706360260498</c:v>
                </c:pt>
                <c:pt idx="62">
                  <c:v>0.77770019311204197</c:v>
                </c:pt>
                <c:pt idx="63">
                  <c:v>0.78277471766032602</c:v>
                </c:pt>
                <c:pt idx="64">
                  <c:v>0.78717687393694102</c:v>
                </c:pt>
                <c:pt idx="65">
                  <c:v>0.79162800856493898</c:v>
                </c:pt>
                <c:pt idx="66">
                  <c:v>0.79600292344224099</c:v>
                </c:pt>
                <c:pt idx="67">
                  <c:v>0.80021906034323098</c:v>
                </c:pt>
                <c:pt idx="68">
                  <c:v>0.804206954839778</c:v>
                </c:pt>
                <c:pt idx="69">
                  <c:v>0.80774547705995503</c:v>
                </c:pt>
              </c:numCache>
            </c:numRef>
          </c:val>
          <c:smooth val="0"/>
        </c:ser>
        <c:ser>
          <c:idx val="1"/>
          <c:order val="1"/>
          <c:tx>
            <c:v>ref3</c:v>
          </c:tx>
          <c:spPr>
            <a:ln w="25400">
              <a:solidFill>
                <a:schemeClr val="tx1"/>
              </a:solidFill>
            </a:ln>
          </c:spPr>
          <c:marker>
            <c:symbol val="star"/>
            <c:size val="5"/>
            <c:spPr>
              <a:ln>
                <a:solidFill>
                  <a:schemeClr val="tx1"/>
                </a:solidFill>
              </a:ln>
            </c:spPr>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'ref3'!$B$26:$BS$26</c:f>
              <c:numCache>
                <c:formatCode>0%</c:formatCode>
                <c:ptCount val="70"/>
                <c:pt idx="0">
                  <c:v>0.39330413562494199</c:v>
                </c:pt>
                <c:pt idx="1">
                  <c:v>0.40840007195647399</c:v>
                </c:pt>
                <c:pt idx="2">
                  <c:v>0.42236112893941302</c:v>
                </c:pt>
                <c:pt idx="3">
                  <c:v>0.43493314348308498</c:v>
                </c:pt>
                <c:pt idx="4">
                  <c:v>0.44508427953743201</c:v>
                </c:pt>
                <c:pt idx="5">
                  <c:v>0.45414323675246099</c:v>
                </c:pt>
                <c:pt idx="6">
                  <c:v>0.46222970535082097</c:v>
                </c:pt>
                <c:pt idx="7">
                  <c:v>0.47074874193997801</c:v>
                </c:pt>
                <c:pt idx="8">
                  <c:v>0.479508328978203</c:v>
                </c:pt>
                <c:pt idx="9">
                  <c:v>0.48820788824298</c:v>
                </c:pt>
                <c:pt idx="10">
                  <c:v>0.49706673376581301</c:v>
                </c:pt>
                <c:pt idx="11">
                  <c:v>0.505765777565511</c:v>
                </c:pt>
                <c:pt idx="12">
                  <c:v>0.51403279883689501</c:v>
                </c:pt>
                <c:pt idx="13">
                  <c:v>0.52158540477021098</c:v>
                </c:pt>
                <c:pt idx="14">
                  <c:v>0.52816674886376502</c:v>
                </c:pt>
                <c:pt idx="15">
                  <c:v>0.53071689340165895</c:v>
                </c:pt>
                <c:pt idx="16">
                  <c:v>0.53347860530497204</c:v>
                </c:pt>
                <c:pt idx="17">
                  <c:v>0.5361536254</c:v>
                </c:pt>
                <c:pt idx="18">
                  <c:v>0.53881146165878802</c:v>
                </c:pt>
                <c:pt idx="19">
                  <c:v>0.54109840697106504</c:v>
                </c:pt>
                <c:pt idx="20">
                  <c:v>0.54305098494186899</c:v>
                </c:pt>
                <c:pt idx="21">
                  <c:v>0.54504238937951999</c:v>
                </c:pt>
                <c:pt idx="22">
                  <c:v>0.54698927085164994</c:v>
                </c:pt>
                <c:pt idx="23">
                  <c:v>0.54882041134200099</c:v>
                </c:pt>
                <c:pt idx="24">
                  <c:v>0.55057111145458904</c:v>
                </c:pt>
                <c:pt idx="25">
                  <c:v>0.55221631768048296</c:v>
                </c:pt>
                <c:pt idx="26">
                  <c:v>0.55375024965830499</c:v>
                </c:pt>
                <c:pt idx="27">
                  <c:v>0.55521994070177805</c:v>
                </c:pt>
                <c:pt idx="28">
                  <c:v>0.55662461819836595</c:v>
                </c:pt>
                <c:pt idx="29">
                  <c:v>0.55834059354676002</c:v>
                </c:pt>
                <c:pt idx="30">
                  <c:v>0.56029864343315905</c:v>
                </c:pt>
                <c:pt idx="31">
                  <c:v>0.56265176759447599</c:v>
                </c:pt>
                <c:pt idx="32">
                  <c:v>0.56543695325854604</c:v>
                </c:pt>
                <c:pt idx="33">
                  <c:v>0.56867767469698005</c:v>
                </c:pt>
                <c:pt idx="34">
                  <c:v>0.57237086014740102</c:v>
                </c:pt>
                <c:pt idx="35">
                  <c:v>0.57650388005032305</c:v>
                </c:pt>
                <c:pt idx="36">
                  <c:v>0.58103054681411903</c:v>
                </c:pt>
                <c:pt idx="37">
                  <c:v>0.585918941799494</c:v>
                </c:pt>
                <c:pt idx="38">
                  <c:v>0.59109295683339602</c:v>
                </c:pt>
                <c:pt idx="39">
                  <c:v>0.59650639655934701</c:v>
                </c:pt>
                <c:pt idx="40">
                  <c:v>0.60200435825837295</c:v>
                </c:pt>
                <c:pt idx="41">
                  <c:v>0.60734385959128701</c:v>
                </c:pt>
                <c:pt idx="42">
                  <c:v>0.61221339248621898</c:v>
                </c:pt>
                <c:pt idx="43">
                  <c:v>0.61616574480957098</c:v>
                </c:pt>
                <c:pt idx="44">
                  <c:v>0.61907300948361599</c:v>
                </c:pt>
                <c:pt idx="45">
                  <c:v>0.62095520263515303</c:v>
                </c:pt>
                <c:pt idx="46">
                  <c:v>0.62173016554590999</c:v>
                </c:pt>
                <c:pt idx="47">
                  <c:v>0.62147034055585104</c:v>
                </c:pt>
                <c:pt idx="48">
                  <c:v>0.62019152695166502</c:v>
                </c:pt>
                <c:pt idx="49">
                  <c:v>0.61789619896765502</c:v>
                </c:pt>
                <c:pt idx="50">
                  <c:v>0.61491980199671903</c:v>
                </c:pt>
                <c:pt idx="51">
                  <c:v>0.61130635563511604</c:v>
                </c:pt>
                <c:pt idx="52">
                  <c:v>0.607130532643117</c:v>
                </c:pt>
                <c:pt idx="53">
                  <c:v>0.60246990420242597</c:v>
                </c:pt>
                <c:pt idx="54">
                  <c:v>0.59740993021741895</c:v>
                </c:pt>
                <c:pt idx="55">
                  <c:v>0.59232194210773403</c:v>
                </c:pt>
                <c:pt idx="56">
                  <c:v>0.58766764232453805</c:v>
                </c:pt>
                <c:pt idx="57">
                  <c:v>0.58336822947914002</c:v>
                </c:pt>
                <c:pt idx="58">
                  <c:v>0.57923482059307996</c:v>
                </c:pt>
                <c:pt idx="59">
                  <c:v>0.57508162720199796</c:v>
                </c:pt>
                <c:pt idx="60">
                  <c:v>0.571363461863305</c:v>
                </c:pt>
                <c:pt idx="61">
                  <c:v>0.56828942236827096</c:v>
                </c:pt>
                <c:pt idx="62">
                  <c:v>0.56600511750167604</c:v>
                </c:pt>
                <c:pt idx="63">
                  <c:v>0.56460294807333999</c:v>
                </c:pt>
                <c:pt idx="64">
                  <c:v>0.56351140000009703</c:v>
                </c:pt>
                <c:pt idx="65">
                  <c:v>0.56276566597896305</c:v>
                </c:pt>
                <c:pt idx="66">
                  <c:v>0.56263321177517001</c:v>
                </c:pt>
                <c:pt idx="67">
                  <c:v>0.56290066930480498</c:v>
                </c:pt>
                <c:pt idx="68">
                  <c:v>0.56297263931226604</c:v>
                </c:pt>
                <c:pt idx="69">
                  <c:v>0.56258025022367797</c:v>
                </c:pt>
              </c:numCache>
            </c:numRef>
          </c:val>
          <c:smooth val="0"/>
        </c:ser>
        <c:dLbls>
          <c:showLegendKey val="0"/>
          <c:showVal val="0"/>
          <c:showCatName val="0"/>
          <c:showSerName val="0"/>
          <c:showPercent val="0"/>
          <c:showBubbleSize val="0"/>
        </c:dLbls>
        <c:marker val="1"/>
        <c:smooth val="0"/>
        <c:axId val="314660352"/>
        <c:axId val="314662272"/>
      </c:lineChart>
      <c:catAx>
        <c:axId val="314660352"/>
        <c:scaling>
          <c:orientation val="minMax"/>
        </c:scaling>
        <c:delete val="0"/>
        <c:axPos val="b"/>
        <c:numFmt formatCode="0000" sourceLinked="1"/>
        <c:majorTickMark val="out"/>
        <c:minorTickMark val="none"/>
        <c:tickLblPos val="nextTo"/>
        <c:txPr>
          <a:bodyPr rot="2700000"/>
          <a:lstStyle/>
          <a:p>
            <a:pPr>
              <a:defRPr/>
            </a:pPr>
            <a:endParaRPr lang="en-US"/>
          </a:p>
        </c:txPr>
        <c:crossAx val="314662272"/>
        <c:crosses val="autoZero"/>
        <c:auto val="1"/>
        <c:lblAlgn val="ctr"/>
        <c:lblOffset val="100"/>
        <c:tickLblSkip val="5"/>
        <c:noMultiLvlLbl val="0"/>
      </c:catAx>
      <c:valAx>
        <c:axId val="314662272"/>
        <c:scaling>
          <c:orientation val="minMax"/>
        </c:scaling>
        <c:delete val="0"/>
        <c:axPos val="l"/>
        <c:majorGridlines/>
        <c:numFmt formatCode="0%" sourceLinked="0"/>
        <c:majorTickMark val="out"/>
        <c:minorTickMark val="none"/>
        <c:tickLblPos val="nextTo"/>
        <c:crossAx val="314660352"/>
        <c:crosses val="autoZero"/>
        <c:crossBetween val="between"/>
      </c:valAx>
    </c:plotArea>
    <c:legend>
      <c:legendPos val="b"/>
      <c:overlay val="0"/>
    </c:legend>
    <c:plotVisOnly val="1"/>
    <c:dispBlanksAs val="gap"/>
    <c:showDLblsOverMax val="0"/>
  </c:chart>
  <c:txPr>
    <a:bodyPr/>
    <a:lstStyle/>
    <a:p>
      <a:pPr>
        <a:defRPr sz="800" b="0">
          <a:latin typeface="Times New Roman" pitchFamily="18" charset="0"/>
          <a:cs typeface="Times New Roman"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base, ref A2</c:v>
          </c:tx>
          <c:spPr>
            <a:ln w="34925">
              <a:solidFill>
                <a:schemeClr val="tx1"/>
              </a:solidFill>
            </a:ln>
          </c:spPr>
          <c:marker>
            <c:symbol val="none"/>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base!$B$112:$BS$112</c:f>
              <c:numCache>
                <c:formatCode>0.0%</c:formatCode>
                <c:ptCount val="70"/>
                <c:pt idx="0">
                  <c:v>1.03946690543434E-2</c:v>
                </c:pt>
                <c:pt idx="1">
                  <c:v>2.0907464377886702E-2</c:v>
                </c:pt>
                <c:pt idx="2">
                  <c:v>2.5253273668315802E-2</c:v>
                </c:pt>
                <c:pt idx="3">
                  <c:v>3.0551326204684402E-2</c:v>
                </c:pt>
                <c:pt idx="4">
                  <c:v>3.3261585912857702E-2</c:v>
                </c:pt>
                <c:pt idx="5">
                  <c:v>3.3568635341332101E-2</c:v>
                </c:pt>
                <c:pt idx="6">
                  <c:v>3.3936920676354898E-2</c:v>
                </c:pt>
                <c:pt idx="7">
                  <c:v>3.4497761806315502E-2</c:v>
                </c:pt>
                <c:pt idx="8">
                  <c:v>3.5232200043915002E-2</c:v>
                </c:pt>
                <c:pt idx="9">
                  <c:v>3.6119810750720301E-2</c:v>
                </c:pt>
                <c:pt idx="10">
                  <c:v>3.7170541999216697E-2</c:v>
                </c:pt>
                <c:pt idx="11">
                  <c:v>3.83587145467989E-2</c:v>
                </c:pt>
                <c:pt idx="12">
                  <c:v>3.9469910738328701E-2</c:v>
                </c:pt>
                <c:pt idx="13">
                  <c:v>4.0478547913901597E-2</c:v>
                </c:pt>
                <c:pt idx="14">
                  <c:v>4.1775375793296501E-2</c:v>
                </c:pt>
                <c:pt idx="15">
                  <c:v>4.2811226224041099E-2</c:v>
                </c:pt>
                <c:pt idx="16">
                  <c:v>4.3824871805778501E-2</c:v>
                </c:pt>
                <c:pt idx="17">
                  <c:v>4.4763135570695799E-2</c:v>
                </c:pt>
                <c:pt idx="18">
                  <c:v>4.5622646827948497E-2</c:v>
                </c:pt>
                <c:pt idx="19">
                  <c:v>4.6416637581526601E-2</c:v>
                </c:pt>
                <c:pt idx="20">
                  <c:v>4.7198047426080497E-2</c:v>
                </c:pt>
                <c:pt idx="21">
                  <c:v>4.7922956939531997E-2</c:v>
                </c:pt>
                <c:pt idx="22">
                  <c:v>4.8593963177628902E-2</c:v>
                </c:pt>
                <c:pt idx="23">
                  <c:v>4.9220441336826098E-2</c:v>
                </c:pt>
                <c:pt idx="24">
                  <c:v>4.9816818645624997E-2</c:v>
                </c:pt>
                <c:pt idx="25">
                  <c:v>5.0424757394373798E-2</c:v>
                </c:pt>
                <c:pt idx="26">
                  <c:v>5.0815853061733099E-2</c:v>
                </c:pt>
                <c:pt idx="27">
                  <c:v>5.12339619881126E-2</c:v>
                </c:pt>
                <c:pt idx="28">
                  <c:v>5.1690596628390997E-2</c:v>
                </c:pt>
                <c:pt idx="29">
                  <c:v>5.21857990885463E-2</c:v>
                </c:pt>
                <c:pt idx="30">
                  <c:v>5.27475333105345E-2</c:v>
                </c:pt>
                <c:pt idx="31">
                  <c:v>5.3415162747406403E-2</c:v>
                </c:pt>
                <c:pt idx="32">
                  <c:v>5.42086583674228E-2</c:v>
                </c:pt>
                <c:pt idx="33">
                  <c:v>5.5112932306165097E-2</c:v>
                </c:pt>
                <c:pt idx="34">
                  <c:v>5.6117459394148701E-2</c:v>
                </c:pt>
                <c:pt idx="35">
                  <c:v>5.7206446320953397E-2</c:v>
                </c:pt>
                <c:pt idx="36">
                  <c:v>5.8336341410822397E-2</c:v>
                </c:pt>
                <c:pt idx="37">
                  <c:v>5.9473769181065297E-2</c:v>
                </c:pt>
                <c:pt idx="38">
                  <c:v>6.0603981173792502E-2</c:v>
                </c:pt>
                <c:pt idx="39">
                  <c:v>6.1716810376153002E-2</c:v>
                </c:pt>
                <c:pt idx="40">
                  <c:v>6.2784048497497899E-2</c:v>
                </c:pt>
                <c:pt idx="41">
                  <c:v>6.3766190630213396E-2</c:v>
                </c:pt>
                <c:pt idx="42">
                  <c:v>6.4632339390186894E-2</c:v>
                </c:pt>
                <c:pt idx="43">
                  <c:v>6.5385729069819404E-2</c:v>
                </c:pt>
                <c:pt idx="44">
                  <c:v>6.6018644674053495E-2</c:v>
                </c:pt>
                <c:pt idx="45">
                  <c:v>6.6539374561222595E-2</c:v>
                </c:pt>
                <c:pt idx="46">
                  <c:v>6.6965204364996103E-2</c:v>
                </c:pt>
                <c:pt idx="47">
                  <c:v>6.7306304569260095E-2</c:v>
                </c:pt>
                <c:pt idx="48">
                  <c:v>6.7571271609609601E-2</c:v>
                </c:pt>
                <c:pt idx="49">
                  <c:v>6.7765920278843095E-2</c:v>
                </c:pt>
                <c:pt idx="50">
                  <c:v>6.79030940924778E-2</c:v>
                </c:pt>
                <c:pt idx="51">
                  <c:v>6.8009652219117006E-2</c:v>
                </c:pt>
                <c:pt idx="52">
                  <c:v>6.8115141381019095E-2</c:v>
                </c:pt>
                <c:pt idx="53">
                  <c:v>6.8248047371294501E-2</c:v>
                </c:pt>
                <c:pt idx="54">
                  <c:v>6.8426480837310302E-2</c:v>
                </c:pt>
                <c:pt idx="55">
                  <c:v>6.8649618451552694E-2</c:v>
                </c:pt>
                <c:pt idx="56">
                  <c:v>6.8986503110965602E-2</c:v>
                </c:pt>
                <c:pt idx="57">
                  <c:v>6.9435338138192707E-2</c:v>
                </c:pt>
                <c:pt idx="58">
                  <c:v>6.9826202026390005E-2</c:v>
                </c:pt>
                <c:pt idx="59">
                  <c:v>7.0288965397980699E-2</c:v>
                </c:pt>
                <c:pt idx="60">
                  <c:v>7.0801202648204095E-2</c:v>
                </c:pt>
                <c:pt idx="61">
                  <c:v>7.1414686427227703E-2</c:v>
                </c:pt>
                <c:pt idx="62">
                  <c:v>7.2100884398611897E-2</c:v>
                </c:pt>
                <c:pt idx="63">
                  <c:v>7.2691036787330202E-2</c:v>
                </c:pt>
                <c:pt idx="64">
                  <c:v>7.3289554200079501E-2</c:v>
                </c:pt>
                <c:pt idx="65">
                  <c:v>7.3875514651303403E-2</c:v>
                </c:pt>
                <c:pt idx="66">
                  <c:v>7.4457136910915503E-2</c:v>
                </c:pt>
                <c:pt idx="67">
                  <c:v>7.5028532670951303E-2</c:v>
                </c:pt>
                <c:pt idx="68">
                  <c:v>7.5585598117541397E-2</c:v>
                </c:pt>
                <c:pt idx="69">
                  <c:v>7.61120709749767E-2</c:v>
                </c:pt>
              </c:numCache>
            </c:numRef>
          </c:val>
          <c:smooth val="0"/>
        </c:ser>
        <c:ser>
          <c:idx val="1"/>
          <c:order val="1"/>
          <c:tx>
            <c:v>ref A1</c:v>
          </c:tx>
          <c:spPr>
            <a:ln w="25400">
              <a:solidFill>
                <a:schemeClr val="tx1"/>
              </a:solidFill>
              <a:prstDash val="solid"/>
            </a:ln>
          </c:spPr>
          <c:marker>
            <c:symbol val="triangle"/>
            <c:size val="5"/>
            <c:spPr>
              <a:solidFill>
                <a:schemeClr val="tx1"/>
              </a:solidFill>
              <a:ln>
                <a:solidFill>
                  <a:schemeClr val="tx1"/>
                </a:solidFill>
              </a:ln>
            </c:spPr>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'ref1'!$B$98:$BS$98</c:f>
              <c:numCache>
                <c:formatCode>0.0%</c:formatCode>
                <c:ptCount val="70"/>
                <c:pt idx="0">
                  <c:v>1.03946690543434E-2</c:v>
                </c:pt>
                <c:pt idx="1">
                  <c:v>2.0907464377886702E-2</c:v>
                </c:pt>
                <c:pt idx="2">
                  <c:v>2.3009618978273999E-2</c:v>
                </c:pt>
                <c:pt idx="3">
                  <c:v>3.0551326204684402E-2</c:v>
                </c:pt>
                <c:pt idx="4">
                  <c:v>3.3261585912857702E-2</c:v>
                </c:pt>
                <c:pt idx="5">
                  <c:v>3.3568635341332101E-2</c:v>
                </c:pt>
                <c:pt idx="6">
                  <c:v>3.3936920676354898E-2</c:v>
                </c:pt>
                <c:pt idx="7">
                  <c:v>3.4497761806315502E-2</c:v>
                </c:pt>
                <c:pt idx="8">
                  <c:v>3.5232200043915002E-2</c:v>
                </c:pt>
                <c:pt idx="9">
                  <c:v>3.6119810750720301E-2</c:v>
                </c:pt>
                <c:pt idx="10">
                  <c:v>3.9177846998829299E-2</c:v>
                </c:pt>
                <c:pt idx="11">
                  <c:v>4.41089266535592E-2</c:v>
                </c:pt>
                <c:pt idx="12">
                  <c:v>4.6179246736595903E-2</c:v>
                </c:pt>
                <c:pt idx="13">
                  <c:v>4.7966631215587197E-2</c:v>
                </c:pt>
                <c:pt idx="14">
                  <c:v>4.9782528302683302E-2</c:v>
                </c:pt>
                <c:pt idx="15">
                  <c:v>5.0816520550528398E-2</c:v>
                </c:pt>
                <c:pt idx="16">
                  <c:v>5.17417451339185E-2</c:v>
                </c:pt>
                <c:pt idx="17">
                  <c:v>5.2403643610540403E-2</c:v>
                </c:pt>
                <c:pt idx="18">
                  <c:v>5.2818317516438201E-2</c:v>
                </c:pt>
                <c:pt idx="19">
                  <c:v>5.3083851866749597E-2</c:v>
                </c:pt>
                <c:pt idx="20">
                  <c:v>5.3281152955478299E-2</c:v>
                </c:pt>
                <c:pt idx="21">
                  <c:v>5.3385100289380698E-2</c:v>
                </c:pt>
                <c:pt idx="22">
                  <c:v>5.3416448926045301E-2</c:v>
                </c:pt>
                <c:pt idx="23">
                  <c:v>5.3407485265092002E-2</c:v>
                </c:pt>
                <c:pt idx="24">
                  <c:v>5.3401594689227901E-2</c:v>
                </c:pt>
                <c:pt idx="25">
                  <c:v>5.3703521249664099E-2</c:v>
                </c:pt>
                <c:pt idx="26">
                  <c:v>5.3556539914362003E-2</c:v>
                </c:pt>
                <c:pt idx="27">
                  <c:v>5.3521371681024402E-2</c:v>
                </c:pt>
                <c:pt idx="28">
                  <c:v>5.3632293867553797E-2</c:v>
                </c:pt>
                <c:pt idx="29">
                  <c:v>5.3891023803996699E-2</c:v>
                </c:pt>
                <c:pt idx="30">
                  <c:v>5.4334289662174198E-2</c:v>
                </c:pt>
                <c:pt idx="31">
                  <c:v>5.5029569758437501E-2</c:v>
                </c:pt>
                <c:pt idx="32">
                  <c:v>5.6013863003897497E-2</c:v>
                </c:pt>
                <c:pt idx="33">
                  <c:v>5.7274798503926201E-2</c:v>
                </c:pt>
                <c:pt idx="34">
                  <c:v>5.87831629238579E-2</c:v>
                </c:pt>
                <c:pt idx="35">
                  <c:v>6.0512516869975198E-2</c:v>
                </c:pt>
                <c:pt idx="36">
                  <c:v>6.23955977231773E-2</c:v>
                </c:pt>
                <c:pt idx="37">
                  <c:v>6.4361993750224E-2</c:v>
                </c:pt>
                <c:pt idx="38">
                  <c:v>6.6350377567638896E-2</c:v>
                </c:pt>
                <c:pt idx="39">
                  <c:v>6.8321490209009003E-2</c:v>
                </c:pt>
                <c:pt idx="40">
                  <c:v>7.0214503990010696E-2</c:v>
                </c:pt>
                <c:pt idx="41">
                  <c:v>7.1952048454244105E-2</c:v>
                </c:pt>
                <c:pt idx="42">
                  <c:v>7.3465718169711799E-2</c:v>
                </c:pt>
                <c:pt idx="43">
                  <c:v>7.4743143521144695E-2</c:v>
                </c:pt>
                <c:pt idx="44">
                  <c:v>7.5773104318324E-2</c:v>
                </c:pt>
                <c:pt idx="45">
                  <c:v>7.6577931537278002E-2</c:v>
                </c:pt>
                <c:pt idx="46">
                  <c:v>7.7189099461489705E-2</c:v>
                </c:pt>
                <c:pt idx="47">
                  <c:v>7.7642784668678105E-2</c:v>
                </c:pt>
                <c:pt idx="48">
                  <c:v>7.7951651425673299E-2</c:v>
                </c:pt>
                <c:pt idx="49">
                  <c:v>7.81190153615995E-2</c:v>
                </c:pt>
                <c:pt idx="50">
                  <c:v>7.8176829999877503E-2</c:v>
                </c:pt>
                <c:pt idx="51">
                  <c:v>7.8181326749513794E-2</c:v>
                </c:pt>
                <c:pt idx="52">
                  <c:v>7.8196832174068504E-2</c:v>
                </c:pt>
                <c:pt idx="53">
                  <c:v>7.8269827423516597E-2</c:v>
                </c:pt>
                <c:pt idx="54">
                  <c:v>7.8430128684744804E-2</c:v>
                </c:pt>
                <c:pt idx="55">
                  <c:v>7.8668410651188E-2</c:v>
                </c:pt>
                <c:pt idx="56">
                  <c:v>7.9122792975599293E-2</c:v>
                </c:pt>
                <c:pt idx="57">
                  <c:v>7.9815253214666995E-2</c:v>
                </c:pt>
                <c:pt idx="58">
                  <c:v>8.05239034420758E-2</c:v>
                </c:pt>
                <c:pt idx="59">
                  <c:v>8.1349795235171496E-2</c:v>
                </c:pt>
                <c:pt idx="60">
                  <c:v>8.2249487671572599E-2</c:v>
                </c:pt>
                <c:pt idx="61">
                  <c:v>8.3335652750848394E-2</c:v>
                </c:pt>
                <c:pt idx="62">
                  <c:v>8.4570786091270098E-2</c:v>
                </c:pt>
                <c:pt idx="63">
                  <c:v>8.5678121560807396E-2</c:v>
                </c:pt>
                <c:pt idx="64">
                  <c:v>8.6727578440273095E-2</c:v>
                </c:pt>
                <c:pt idx="65">
                  <c:v>8.7768224013844195E-2</c:v>
                </c:pt>
                <c:pt idx="66">
                  <c:v>8.8795778585963006E-2</c:v>
                </c:pt>
                <c:pt idx="67">
                  <c:v>8.9794619691035693E-2</c:v>
                </c:pt>
                <c:pt idx="68">
                  <c:v>9.0754796529525394E-2</c:v>
                </c:pt>
                <c:pt idx="69">
                  <c:v>9.1641085076638207E-2</c:v>
                </c:pt>
              </c:numCache>
            </c:numRef>
          </c:val>
          <c:smooth val="0"/>
        </c:ser>
        <c:ser>
          <c:idx val="3"/>
          <c:order val="2"/>
          <c:tx>
            <c:v>ref A3</c:v>
          </c:tx>
          <c:spPr>
            <a:ln w="34925">
              <a:solidFill>
                <a:schemeClr val="tx1"/>
              </a:solidFill>
            </a:ln>
          </c:spPr>
          <c:marker>
            <c:symbol val="star"/>
            <c:size val="5"/>
            <c:spPr>
              <a:ln>
                <a:solidFill>
                  <a:prstClr val="black"/>
                </a:solidFill>
              </a:ln>
            </c:spPr>
          </c:marker>
          <c:val>
            <c:numRef>
              <c:f>'ref3'!$B$98:$BS$98</c:f>
              <c:numCache>
                <c:formatCode>0.0%</c:formatCode>
                <c:ptCount val="70"/>
                <c:pt idx="0">
                  <c:v>1.03946690543434E-2</c:v>
                </c:pt>
                <c:pt idx="1">
                  <c:v>2.0907464377886702E-2</c:v>
                </c:pt>
                <c:pt idx="2">
                  <c:v>2.2938422988897301E-2</c:v>
                </c:pt>
                <c:pt idx="3">
                  <c:v>3.0273224769357801E-2</c:v>
                </c:pt>
                <c:pt idx="4">
                  <c:v>3.2692550232290903E-2</c:v>
                </c:pt>
                <c:pt idx="5">
                  <c:v>3.26704844633212E-2</c:v>
                </c:pt>
                <c:pt idx="6">
                  <c:v>3.2648473298196E-2</c:v>
                </c:pt>
                <c:pt idx="7">
                  <c:v>3.2789796532573502E-2</c:v>
                </c:pt>
                <c:pt idx="8">
                  <c:v>3.3077785673473199E-2</c:v>
                </c:pt>
                <c:pt idx="9">
                  <c:v>3.3494292971892797E-2</c:v>
                </c:pt>
                <c:pt idx="10">
                  <c:v>3.4054094535115202E-2</c:v>
                </c:pt>
                <c:pt idx="11">
                  <c:v>3.4745403235416798E-2</c:v>
                </c:pt>
                <c:pt idx="12">
                  <c:v>3.5387642683276099E-2</c:v>
                </c:pt>
                <c:pt idx="13">
                  <c:v>3.5962578242931503E-2</c:v>
                </c:pt>
                <c:pt idx="14">
                  <c:v>3.6861019279090898E-2</c:v>
                </c:pt>
                <c:pt idx="15">
                  <c:v>3.7539919308070997E-2</c:v>
                </c:pt>
                <c:pt idx="16">
                  <c:v>3.8283066686787E-2</c:v>
                </c:pt>
                <c:pt idx="17">
                  <c:v>3.9017654463419198E-2</c:v>
                </c:pt>
                <c:pt idx="18">
                  <c:v>3.97176598988844E-2</c:v>
                </c:pt>
                <c:pt idx="19">
                  <c:v>4.0378937291050201E-2</c:v>
                </c:pt>
                <c:pt idx="20">
                  <c:v>4.1045466244865901E-2</c:v>
                </c:pt>
                <c:pt idx="21">
                  <c:v>4.1678417064103697E-2</c:v>
                </c:pt>
                <c:pt idx="22">
                  <c:v>4.2273351451454097E-2</c:v>
                </c:pt>
                <c:pt idx="23">
                  <c:v>4.2839235774138201E-2</c:v>
                </c:pt>
                <c:pt idx="24">
                  <c:v>4.3383212549146503E-2</c:v>
                </c:pt>
                <c:pt idx="25">
                  <c:v>4.3934797826569602E-2</c:v>
                </c:pt>
                <c:pt idx="26">
                  <c:v>4.4285921932230202E-2</c:v>
                </c:pt>
                <c:pt idx="27">
                  <c:v>4.4649360771528902E-2</c:v>
                </c:pt>
                <c:pt idx="28">
                  <c:v>4.50325320408059E-2</c:v>
                </c:pt>
                <c:pt idx="29">
                  <c:v>4.5445480917524997E-2</c:v>
                </c:pt>
                <c:pt idx="30">
                  <c:v>4.59200414058503E-2</c:v>
                </c:pt>
                <c:pt idx="31">
                  <c:v>4.6500946758129498E-2</c:v>
                </c:pt>
                <c:pt idx="32">
                  <c:v>4.7206033024627503E-2</c:v>
                </c:pt>
                <c:pt idx="33">
                  <c:v>4.8024310926470602E-2</c:v>
                </c:pt>
                <c:pt idx="34">
                  <c:v>4.8952788750887002E-2</c:v>
                </c:pt>
                <c:pt idx="35">
                  <c:v>4.9977992011708501E-2</c:v>
                </c:pt>
                <c:pt idx="36">
                  <c:v>5.1063670744785898E-2</c:v>
                </c:pt>
                <c:pt idx="37">
                  <c:v>5.2186350282530797E-2</c:v>
                </c:pt>
                <c:pt idx="38">
                  <c:v>5.33433465344108E-2</c:v>
                </c:pt>
                <c:pt idx="39">
                  <c:v>5.4529460111167397E-2</c:v>
                </c:pt>
                <c:pt idx="40">
                  <c:v>5.5706981625878803E-2</c:v>
                </c:pt>
                <c:pt idx="41">
                  <c:v>5.6828857131041598E-2</c:v>
                </c:pt>
                <c:pt idx="42">
                  <c:v>5.78531715916418E-2</c:v>
                </c:pt>
                <c:pt idx="43">
                  <c:v>5.8761323969391502E-2</c:v>
                </c:pt>
                <c:pt idx="44">
                  <c:v>5.9535272867589799E-2</c:v>
                </c:pt>
                <c:pt idx="45">
                  <c:v>6.01774129636721E-2</c:v>
                </c:pt>
                <c:pt idx="46">
                  <c:v>6.0688424825129601E-2</c:v>
                </c:pt>
                <c:pt idx="47">
                  <c:v>6.1070673841459498E-2</c:v>
                </c:pt>
                <c:pt idx="48">
                  <c:v>6.1324692925749803E-2</c:v>
                </c:pt>
                <c:pt idx="49">
                  <c:v>6.1459502706055102E-2</c:v>
                </c:pt>
                <c:pt idx="50">
                  <c:v>6.1510241892067198E-2</c:v>
                </c:pt>
                <c:pt idx="51">
                  <c:v>6.1487846504028797E-2</c:v>
                </c:pt>
                <c:pt idx="52">
                  <c:v>6.1411863142250597E-2</c:v>
                </c:pt>
                <c:pt idx="53">
                  <c:v>6.1308302306302298E-2</c:v>
                </c:pt>
                <c:pt idx="54">
                  <c:v>6.1199729437895201E-2</c:v>
                </c:pt>
                <c:pt idx="55">
                  <c:v>6.1121762079849103E-2</c:v>
                </c:pt>
                <c:pt idx="56">
                  <c:v>6.1125975594888797E-2</c:v>
                </c:pt>
                <c:pt idx="57">
                  <c:v>6.12062888587631E-2</c:v>
                </c:pt>
                <c:pt idx="58">
                  <c:v>6.1202718579096198E-2</c:v>
                </c:pt>
                <c:pt idx="59">
                  <c:v>6.1255383795633299E-2</c:v>
                </c:pt>
                <c:pt idx="60">
                  <c:v>6.1384491054370001E-2</c:v>
                </c:pt>
                <c:pt idx="61">
                  <c:v>6.1625116063438103E-2</c:v>
                </c:pt>
                <c:pt idx="62">
                  <c:v>6.1960910680993998E-2</c:v>
                </c:pt>
                <c:pt idx="63">
                  <c:v>6.2257457920062702E-2</c:v>
                </c:pt>
                <c:pt idx="64">
                  <c:v>6.2593421442974403E-2</c:v>
                </c:pt>
                <c:pt idx="65">
                  <c:v>6.2925338744638307E-2</c:v>
                </c:pt>
                <c:pt idx="66">
                  <c:v>6.3284450372923295E-2</c:v>
                </c:pt>
                <c:pt idx="67">
                  <c:v>6.3655251716628794E-2</c:v>
                </c:pt>
                <c:pt idx="68">
                  <c:v>6.4004098047367494E-2</c:v>
                </c:pt>
                <c:pt idx="69">
                  <c:v>6.4312078332949704E-2</c:v>
                </c:pt>
              </c:numCache>
            </c:numRef>
          </c:val>
          <c:smooth val="0"/>
        </c:ser>
        <c:ser>
          <c:idx val="2"/>
          <c:order val="3"/>
          <c:tx>
            <c:v>ref B1</c:v>
          </c:tx>
          <c:spPr>
            <a:ln w="34925">
              <a:solidFill>
                <a:schemeClr val="bg1">
                  <a:lumMod val="65000"/>
                </a:schemeClr>
              </a:solidFill>
            </a:ln>
          </c:spPr>
          <c:marker>
            <c:symbol val="none"/>
          </c:marker>
          <c:val>
            <c:numRef>
              <c:f>ref4a!$B$101:$BS$101</c:f>
              <c:numCache>
                <c:formatCode>0.0%</c:formatCode>
                <c:ptCount val="70"/>
                <c:pt idx="0">
                  <c:v>1.0306791670755201E-2</c:v>
                </c:pt>
                <c:pt idx="1">
                  <c:v>2.0821902651269101E-2</c:v>
                </c:pt>
                <c:pt idx="2">
                  <c:v>1.44119547657179E-2</c:v>
                </c:pt>
                <c:pt idx="3">
                  <c:v>1.7057320866675E-2</c:v>
                </c:pt>
                <c:pt idx="4">
                  <c:v>1.8258535433845102E-2</c:v>
                </c:pt>
                <c:pt idx="5">
                  <c:v>1.8212851178909899E-2</c:v>
                </c:pt>
                <c:pt idx="6">
                  <c:v>1.8256572519601E-2</c:v>
                </c:pt>
                <c:pt idx="7">
                  <c:v>1.84229075832258E-2</c:v>
                </c:pt>
                <c:pt idx="8">
                  <c:v>1.8692327739088299E-2</c:v>
                </c:pt>
                <c:pt idx="9">
                  <c:v>1.90872452117254E-2</c:v>
                </c:pt>
                <c:pt idx="10">
                  <c:v>1.9621375148790601E-2</c:v>
                </c:pt>
                <c:pt idx="11">
                  <c:v>2.02845929703536E-2</c:v>
                </c:pt>
                <c:pt idx="12">
                  <c:v>2.09766185415283E-2</c:v>
                </c:pt>
                <c:pt idx="13">
                  <c:v>2.1739539194299402E-2</c:v>
                </c:pt>
                <c:pt idx="14">
                  <c:v>2.2565168541933099E-2</c:v>
                </c:pt>
                <c:pt idx="15">
                  <c:v>2.3431075987033E-2</c:v>
                </c:pt>
                <c:pt idx="16">
                  <c:v>2.43744153207693E-2</c:v>
                </c:pt>
                <c:pt idx="17">
                  <c:v>2.5326521942807E-2</c:v>
                </c:pt>
                <c:pt idx="18">
                  <c:v>2.62143793148263E-2</c:v>
                </c:pt>
                <c:pt idx="19">
                  <c:v>2.6992216601533701E-2</c:v>
                </c:pt>
                <c:pt idx="20">
                  <c:v>2.7707594663733799E-2</c:v>
                </c:pt>
                <c:pt idx="21">
                  <c:v>2.83184188127742E-2</c:v>
                </c:pt>
                <c:pt idx="22">
                  <c:v>2.88665635932083E-2</c:v>
                </c:pt>
                <c:pt idx="23">
                  <c:v>2.94007594347198E-2</c:v>
                </c:pt>
                <c:pt idx="24">
                  <c:v>2.9955875818793099E-2</c:v>
                </c:pt>
                <c:pt idx="25">
                  <c:v>3.0534372684016101E-2</c:v>
                </c:pt>
                <c:pt idx="26">
                  <c:v>3.09908246502799E-2</c:v>
                </c:pt>
                <c:pt idx="27">
                  <c:v>3.1443652574196998E-2</c:v>
                </c:pt>
                <c:pt idx="28">
                  <c:v>3.1846959059213899E-2</c:v>
                </c:pt>
                <c:pt idx="29">
                  <c:v>3.21879402236021E-2</c:v>
                </c:pt>
                <c:pt idx="30">
                  <c:v>3.2485534526890202E-2</c:v>
                </c:pt>
                <c:pt idx="31">
                  <c:v>3.2742568208077298E-2</c:v>
                </c:pt>
                <c:pt idx="32">
                  <c:v>3.2995967333913002E-2</c:v>
                </c:pt>
                <c:pt idx="33">
                  <c:v>3.3314361288180903E-2</c:v>
                </c:pt>
                <c:pt idx="34">
                  <c:v>3.3727192715047101E-2</c:v>
                </c:pt>
                <c:pt idx="35">
                  <c:v>3.4226146197674903E-2</c:v>
                </c:pt>
                <c:pt idx="36">
                  <c:v>3.4806567761069503E-2</c:v>
                </c:pt>
                <c:pt idx="37">
                  <c:v>3.5494209985804902E-2</c:v>
                </c:pt>
                <c:pt idx="38">
                  <c:v>3.6330212877513202E-2</c:v>
                </c:pt>
                <c:pt idx="39">
                  <c:v>3.7323929930167803E-2</c:v>
                </c:pt>
                <c:pt idx="40">
                  <c:v>3.8474258113875302E-2</c:v>
                </c:pt>
                <c:pt idx="41">
                  <c:v>3.9782613844378097E-2</c:v>
                </c:pt>
                <c:pt idx="42">
                  <c:v>4.1173365099293098E-2</c:v>
                </c:pt>
                <c:pt idx="43">
                  <c:v>4.2538414370621502E-2</c:v>
                </c:pt>
                <c:pt idx="44">
                  <c:v>4.3799842128366899E-2</c:v>
                </c:pt>
                <c:pt idx="45">
                  <c:v>4.49682517544535E-2</c:v>
                </c:pt>
                <c:pt idx="46">
                  <c:v>4.60392032983621E-2</c:v>
                </c:pt>
                <c:pt idx="47">
                  <c:v>4.6990227318743701E-2</c:v>
                </c:pt>
                <c:pt idx="48">
                  <c:v>4.7843527003436297E-2</c:v>
                </c:pt>
                <c:pt idx="49">
                  <c:v>4.8567217494812402E-2</c:v>
                </c:pt>
                <c:pt idx="50">
                  <c:v>4.9156315867202802E-2</c:v>
                </c:pt>
                <c:pt idx="51">
                  <c:v>4.9619407774360497E-2</c:v>
                </c:pt>
                <c:pt idx="52">
                  <c:v>4.9969686050985299E-2</c:v>
                </c:pt>
                <c:pt idx="53">
                  <c:v>5.0221268263465797E-2</c:v>
                </c:pt>
                <c:pt idx="54">
                  <c:v>5.03811343389685E-2</c:v>
                </c:pt>
                <c:pt idx="55">
                  <c:v>5.0455917450147901E-2</c:v>
                </c:pt>
                <c:pt idx="56">
                  <c:v>5.0487668373287498E-2</c:v>
                </c:pt>
                <c:pt idx="57">
                  <c:v>5.0504638318260901E-2</c:v>
                </c:pt>
                <c:pt idx="58">
                  <c:v>5.0541644298366398E-2</c:v>
                </c:pt>
                <c:pt idx="59">
                  <c:v>5.0623839517085101E-2</c:v>
                </c:pt>
                <c:pt idx="60">
                  <c:v>5.0770840138687698E-2</c:v>
                </c:pt>
                <c:pt idx="61">
                  <c:v>5.1044266821923499E-2</c:v>
                </c:pt>
                <c:pt idx="62">
                  <c:v>5.1488585158124198E-2</c:v>
                </c:pt>
                <c:pt idx="63">
                  <c:v>5.2154325967530502E-2</c:v>
                </c:pt>
                <c:pt idx="64">
                  <c:v>5.2984744661781498E-2</c:v>
                </c:pt>
                <c:pt idx="65">
                  <c:v>5.3524866395763503E-2</c:v>
                </c:pt>
                <c:pt idx="66">
                  <c:v>5.4116567256940799E-2</c:v>
                </c:pt>
                <c:pt idx="67">
                  <c:v>5.4749478950718397E-2</c:v>
                </c:pt>
                <c:pt idx="68">
                  <c:v>5.5412662877289902E-2</c:v>
                </c:pt>
                <c:pt idx="69">
                  <c:v>5.6082736457310302E-2</c:v>
                </c:pt>
              </c:numCache>
            </c:numRef>
          </c:val>
          <c:smooth val="0"/>
        </c:ser>
        <c:ser>
          <c:idx val="4"/>
          <c:order val="4"/>
          <c:tx>
            <c:v>ref B2</c:v>
          </c:tx>
          <c:spPr>
            <a:ln w="34925">
              <a:solidFill>
                <a:schemeClr val="bg1">
                  <a:lumMod val="65000"/>
                </a:schemeClr>
              </a:solidFill>
            </a:ln>
          </c:spPr>
          <c:marker>
            <c:symbol val="star"/>
            <c:size val="5"/>
            <c:spPr>
              <a:noFill/>
              <a:ln>
                <a:solidFill>
                  <a:schemeClr val="bg1">
                    <a:lumMod val="65000"/>
                  </a:schemeClr>
                </a:solidFill>
              </a:ln>
            </c:spPr>
          </c:marker>
          <c:val>
            <c:numRef>
              <c:f>ref4b!$B$101:$BS$101</c:f>
              <c:numCache>
                <c:formatCode>0.0%</c:formatCode>
                <c:ptCount val="70"/>
                <c:pt idx="0">
                  <c:v>1.0306791670755201E-2</c:v>
                </c:pt>
                <c:pt idx="1">
                  <c:v>2.0821902651269101E-2</c:v>
                </c:pt>
                <c:pt idx="2">
                  <c:v>1.44119547657179E-2</c:v>
                </c:pt>
                <c:pt idx="3">
                  <c:v>1.7454984208602899E-2</c:v>
                </c:pt>
                <c:pt idx="4">
                  <c:v>1.73476270160779E-2</c:v>
                </c:pt>
                <c:pt idx="5">
                  <c:v>1.73178389286258E-2</c:v>
                </c:pt>
                <c:pt idx="6">
                  <c:v>1.72995675203396E-2</c:v>
                </c:pt>
                <c:pt idx="7">
                  <c:v>1.7311846092512101E-2</c:v>
                </c:pt>
                <c:pt idx="8">
                  <c:v>1.7335431890832101E-2</c:v>
                </c:pt>
                <c:pt idx="9">
                  <c:v>1.7388194017730799E-2</c:v>
                </c:pt>
                <c:pt idx="10">
                  <c:v>1.7476839910781399E-2</c:v>
                </c:pt>
                <c:pt idx="11">
                  <c:v>1.7584581394129498E-2</c:v>
                </c:pt>
                <c:pt idx="12">
                  <c:v>1.7618719366662702E-2</c:v>
                </c:pt>
                <c:pt idx="13">
                  <c:v>1.7697210386806401E-2</c:v>
                </c:pt>
                <c:pt idx="14">
                  <c:v>1.7809824703430101E-2</c:v>
                </c:pt>
                <c:pt idx="15">
                  <c:v>1.7936690016280201E-2</c:v>
                </c:pt>
                <c:pt idx="16">
                  <c:v>1.80929949154848E-2</c:v>
                </c:pt>
                <c:pt idx="17">
                  <c:v>1.8234548618111499E-2</c:v>
                </c:pt>
                <c:pt idx="18">
                  <c:v>1.8310377336985199E-2</c:v>
                </c:pt>
                <c:pt idx="19">
                  <c:v>1.8293548736496999E-2</c:v>
                </c:pt>
                <c:pt idx="20">
                  <c:v>1.8221688666395699E-2</c:v>
                </c:pt>
                <c:pt idx="21">
                  <c:v>1.80711351118646E-2</c:v>
                </c:pt>
                <c:pt idx="22">
                  <c:v>1.78734578004499E-2</c:v>
                </c:pt>
                <c:pt idx="23">
                  <c:v>1.7661319450834601E-2</c:v>
                </c:pt>
                <c:pt idx="24">
                  <c:v>1.7455998070115799E-2</c:v>
                </c:pt>
                <c:pt idx="25">
                  <c:v>1.72588574453824E-2</c:v>
                </c:pt>
                <c:pt idx="26">
                  <c:v>1.7066203054559699E-2</c:v>
                </c:pt>
                <c:pt idx="27">
                  <c:v>1.6869924579627101E-2</c:v>
                </c:pt>
                <c:pt idx="28">
                  <c:v>1.66452094601518E-2</c:v>
                </c:pt>
                <c:pt idx="29">
                  <c:v>1.6388051594589899E-2</c:v>
                </c:pt>
                <c:pt idx="30">
                  <c:v>1.6110253257313301E-2</c:v>
                </c:pt>
                <c:pt idx="31">
                  <c:v>1.5814460916806401E-2</c:v>
                </c:pt>
                <c:pt idx="32">
                  <c:v>1.55201231990437E-2</c:v>
                </c:pt>
                <c:pt idx="33">
                  <c:v>1.52597455370633E-2</c:v>
                </c:pt>
                <c:pt idx="34">
                  <c:v>1.5044796161045201E-2</c:v>
                </c:pt>
                <c:pt idx="35">
                  <c:v>1.48687669139708E-2</c:v>
                </c:pt>
                <c:pt idx="36">
                  <c:v>1.4727011845114499E-2</c:v>
                </c:pt>
                <c:pt idx="37">
                  <c:v>1.46280854166226E-2</c:v>
                </c:pt>
                <c:pt idx="38">
                  <c:v>1.4585682776834599E-2</c:v>
                </c:pt>
                <c:pt idx="39">
                  <c:v>1.45993049968521E-2</c:v>
                </c:pt>
                <c:pt idx="40">
                  <c:v>1.46640193393447E-2</c:v>
                </c:pt>
                <c:pt idx="41">
                  <c:v>1.4775978566775601E-2</c:v>
                </c:pt>
                <c:pt idx="42">
                  <c:v>1.4903773575906099E-2</c:v>
                </c:pt>
                <c:pt idx="43">
                  <c:v>1.5006402940306999E-2</c:v>
                </c:pt>
                <c:pt idx="44">
                  <c:v>1.5058486829072799E-2</c:v>
                </c:pt>
                <c:pt idx="45">
                  <c:v>1.50671191477952E-2</c:v>
                </c:pt>
                <c:pt idx="46">
                  <c:v>1.50331926092836E-2</c:v>
                </c:pt>
                <c:pt idx="47">
                  <c:v>1.49524938224348E-2</c:v>
                </c:pt>
                <c:pt idx="48">
                  <c:v>1.48355446193872E-2</c:v>
                </c:pt>
                <c:pt idx="49">
                  <c:v>1.4675025674913999E-2</c:v>
                </c:pt>
                <c:pt idx="50">
                  <c:v>1.4472683885397301E-2</c:v>
                </c:pt>
                <c:pt idx="51">
                  <c:v>1.4234437308996499E-2</c:v>
                </c:pt>
                <c:pt idx="52">
                  <c:v>1.3966329461038301E-2</c:v>
                </c:pt>
                <c:pt idx="53">
                  <c:v>1.3675150113781301E-2</c:v>
                </c:pt>
                <c:pt idx="54">
                  <c:v>1.3365147711912599E-2</c:v>
                </c:pt>
                <c:pt idx="55">
                  <c:v>1.30399285569648E-2</c:v>
                </c:pt>
                <c:pt idx="56">
                  <c:v>1.27114106504248E-2</c:v>
                </c:pt>
                <c:pt idx="57">
                  <c:v>1.23878950626578E-2</c:v>
                </c:pt>
                <c:pt idx="58">
                  <c:v>1.2077887078020801E-2</c:v>
                </c:pt>
                <c:pt idx="59">
                  <c:v>1.1786813574995E-2</c:v>
                </c:pt>
                <c:pt idx="60">
                  <c:v>1.15184006424345E-2</c:v>
                </c:pt>
                <c:pt idx="61">
                  <c:v>1.1284409885193501E-2</c:v>
                </c:pt>
                <c:pt idx="62">
                  <c:v>1.10925983133337E-2</c:v>
                </c:pt>
                <c:pt idx="63">
                  <c:v>1.0950798010729099E-2</c:v>
                </c:pt>
                <c:pt idx="64">
                  <c:v>1.08423632850175E-2</c:v>
                </c:pt>
                <c:pt idx="65">
                  <c:v>1.0674043270248E-2</c:v>
                </c:pt>
                <c:pt idx="66">
                  <c:v>1.0517517650632999E-2</c:v>
                </c:pt>
                <c:pt idx="67">
                  <c:v>1.0370029368201699E-2</c:v>
                </c:pt>
                <c:pt idx="68">
                  <c:v>1.02289205134678E-2</c:v>
                </c:pt>
                <c:pt idx="69">
                  <c:v>1.0089568706102999E-2</c:v>
                </c:pt>
              </c:numCache>
            </c:numRef>
          </c:val>
          <c:smooth val="0"/>
        </c:ser>
        <c:dLbls>
          <c:showLegendKey val="0"/>
          <c:showVal val="0"/>
          <c:showCatName val="0"/>
          <c:showSerName val="0"/>
          <c:showPercent val="0"/>
          <c:showBubbleSize val="0"/>
        </c:dLbls>
        <c:marker val="1"/>
        <c:smooth val="0"/>
        <c:axId val="314689408"/>
        <c:axId val="314703872"/>
      </c:lineChart>
      <c:catAx>
        <c:axId val="314689408"/>
        <c:scaling>
          <c:orientation val="minMax"/>
        </c:scaling>
        <c:delete val="0"/>
        <c:axPos val="b"/>
        <c:numFmt formatCode="0000" sourceLinked="1"/>
        <c:majorTickMark val="out"/>
        <c:minorTickMark val="none"/>
        <c:tickLblPos val="nextTo"/>
        <c:txPr>
          <a:bodyPr rot="2700000"/>
          <a:lstStyle/>
          <a:p>
            <a:pPr>
              <a:defRPr sz="900" b="0">
                <a:latin typeface="Cambria" pitchFamily="18" charset="0"/>
              </a:defRPr>
            </a:pPr>
            <a:endParaRPr lang="en-US"/>
          </a:p>
        </c:txPr>
        <c:crossAx val="314703872"/>
        <c:crosses val="autoZero"/>
        <c:auto val="1"/>
        <c:lblAlgn val="ctr"/>
        <c:lblOffset val="100"/>
        <c:tickLblSkip val="5"/>
        <c:noMultiLvlLbl val="0"/>
      </c:catAx>
      <c:valAx>
        <c:axId val="314703872"/>
        <c:scaling>
          <c:orientation val="minMax"/>
        </c:scaling>
        <c:delete val="0"/>
        <c:axPos val="l"/>
        <c:majorGridlines/>
        <c:numFmt formatCode="0.0%" sourceLinked="0"/>
        <c:majorTickMark val="out"/>
        <c:minorTickMark val="none"/>
        <c:tickLblPos val="nextTo"/>
        <c:txPr>
          <a:bodyPr/>
          <a:lstStyle/>
          <a:p>
            <a:pPr>
              <a:defRPr sz="900" b="0">
                <a:latin typeface="Cambria" pitchFamily="18" charset="0"/>
              </a:defRPr>
            </a:pPr>
            <a:endParaRPr lang="en-US"/>
          </a:p>
        </c:txPr>
        <c:crossAx val="314689408"/>
        <c:crosses val="autoZero"/>
        <c:crossBetween val="between"/>
      </c:valAx>
    </c:plotArea>
    <c:legend>
      <c:legendPos val="b"/>
      <c:overlay val="0"/>
      <c:txPr>
        <a:bodyPr/>
        <a:lstStyle/>
        <a:p>
          <a:pPr>
            <a:defRPr sz="900" b="0">
              <a:latin typeface="Cambria" pitchFamily="18" charset="0"/>
            </a:defRPr>
          </a:pPr>
          <a:endParaRPr lang="en-US"/>
        </a:p>
      </c:txPr>
    </c:legend>
    <c:plotVisOnly val="1"/>
    <c:dispBlanksAs val="gap"/>
    <c:showDLblsOverMax val="0"/>
  </c:chart>
  <c:txPr>
    <a:bodyPr/>
    <a:lstStyle/>
    <a:p>
      <a:pPr>
        <a:defRPr sz="1600" b="1">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6461160440051379E-2"/>
          <c:y val="5.1489936964064918E-2"/>
          <c:w val="0.8633940438296277"/>
          <c:h val="0.76268899466455775"/>
        </c:manualLayout>
      </c:layout>
      <c:barChart>
        <c:barDir val="col"/>
        <c:grouping val="clustered"/>
        <c:varyColors val="0"/>
        <c:ser>
          <c:idx val="1"/>
          <c:order val="0"/>
          <c:tx>
            <c:strRef>
              <c:f>PensionSpending!$I$4</c:f>
              <c:strCache>
                <c:ptCount val="1"/>
                <c:pt idx="0">
                  <c:v>Public pension spending</c:v>
                </c:pt>
              </c:strCache>
            </c:strRef>
          </c:tx>
          <c:spPr>
            <a:solidFill>
              <a:schemeClr val="tx1">
                <a:lumMod val="65000"/>
                <a:lumOff val="35000"/>
              </a:schemeClr>
            </a:solidFill>
          </c:spPr>
          <c:invertIfNegative val="0"/>
          <c:cat>
            <c:strRef>
              <c:f>PensionSpending!$H$5:$H$12</c:f>
              <c:strCache>
                <c:ptCount val="8"/>
                <c:pt idx="0">
                  <c:v>East Asia &amp; Pacific</c:v>
                </c:pt>
                <c:pt idx="1">
                  <c:v>Europe &amp; Central Asia</c:v>
                </c:pt>
                <c:pt idx="2">
                  <c:v>High income: OECD</c:v>
                </c:pt>
                <c:pt idx="3">
                  <c:v>Latin America &amp; Caribbean</c:v>
                </c:pt>
                <c:pt idx="4">
                  <c:v>Middle East &amp; North Africa</c:v>
                </c:pt>
                <c:pt idx="5">
                  <c:v>South Asia</c:v>
                </c:pt>
                <c:pt idx="6">
                  <c:v>Sub-Saharan Africa</c:v>
                </c:pt>
                <c:pt idx="7">
                  <c:v>Kyrgyz Republic</c:v>
                </c:pt>
              </c:strCache>
            </c:strRef>
          </c:cat>
          <c:val>
            <c:numRef>
              <c:f>PensionSpending!$I$5:$I$12</c:f>
              <c:numCache>
                <c:formatCode>0.0</c:formatCode>
                <c:ptCount val="8"/>
                <c:pt idx="0">
                  <c:v>1.6139464856500669</c:v>
                </c:pt>
                <c:pt idx="1">
                  <c:v>8.3466666666666676</c:v>
                </c:pt>
                <c:pt idx="2">
                  <c:v>7.612499999999998</c:v>
                </c:pt>
                <c:pt idx="3">
                  <c:v>2.7142634941022772</c:v>
                </c:pt>
                <c:pt idx="4">
                  <c:v>2.84375</c:v>
                </c:pt>
                <c:pt idx="5">
                  <c:v>0.66253148944462614</c:v>
                </c:pt>
                <c:pt idx="6">
                  <c:v>1.228315489362761</c:v>
                </c:pt>
                <c:pt idx="7">
                  <c:v>8.1999999999999993</c:v>
                </c:pt>
              </c:numCache>
            </c:numRef>
          </c:val>
        </c:ser>
        <c:dLbls>
          <c:showLegendKey val="0"/>
          <c:showVal val="0"/>
          <c:showCatName val="0"/>
          <c:showSerName val="0"/>
          <c:showPercent val="0"/>
          <c:showBubbleSize val="0"/>
        </c:dLbls>
        <c:gapWidth val="150"/>
        <c:axId val="290775424"/>
        <c:axId val="290776960"/>
      </c:barChart>
      <c:catAx>
        <c:axId val="290775424"/>
        <c:scaling>
          <c:orientation val="minMax"/>
        </c:scaling>
        <c:delete val="0"/>
        <c:axPos val="b"/>
        <c:numFmt formatCode="General" sourceLinked="1"/>
        <c:majorTickMark val="none"/>
        <c:minorTickMark val="none"/>
        <c:tickLblPos val="nextTo"/>
        <c:txPr>
          <a:bodyPr rot="0"/>
          <a:lstStyle/>
          <a:p>
            <a:pPr>
              <a:defRPr/>
            </a:pPr>
            <a:endParaRPr lang="en-US"/>
          </a:p>
        </c:txPr>
        <c:crossAx val="290776960"/>
        <c:crosses val="autoZero"/>
        <c:auto val="1"/>
        <c:lblAlgn val="ctr"/>
        <c:lblOffset val="100"/>
        <c:noMultiLvlLbl val="0"/>
      </c:catAx>
      <c:valAx>
        <c:axId val="290776960"/>
        <c:scaling>
          <c:orientation val="minMax"/>
        </c:scaling>
        <c:delete val="0"/>
        <c:axPos val="l"/>
        <c:majorGridlines/>
        <c:title>
          <c:tx>
            <c:rich>
              <a:bodyPr/>
              <a:lstStyle/>
              <a:p>
                <a:pPr>
                  <a:defRPr b="0"/>
                </a:pPr>
                <a:r>
                  <a:rPr lang="en-US" b="0"/>
                  <a:t>pension spending (in percent pf GDP)</a:t>
                </a:r>
              </a:p>
            </c:rich>
          </c:tx>
          <c:layout>
            <c:manualLayout>
              <c:xMode val="edge"/>
              <c:yMode val="edge"/>
              <c:x val="1.1820330969267139E-2"/>
              <c:y val="0.12629060800354069"/>
            </c:manualLayout>
          </c:layout>
          <c:overlay val="0"/>
        </c:title>
        <c:numFmt formatCode="#,##0" sourceLinked="0"/>
        <c:majorTickMark val="out"/>
        <c:minorTickMark val="none"/>
        <c:tickLblPos val="nextTo"/>
        <c:crossAx val="290775424"/>
        <c:crosses val="autoZero"/>
        <c:crossBetween val="between"/>
      </c:valAx>
    </c:plotArea>
    <c:plotVisOnly val="1"/>
    <c:dispBlanksAs val="gap"/>
    <c:showDLblsOverMax val="0"/>
  </c:chart>
  <c:txPr>
    <a:bodyPr/>
    <a:lstStyle/>
    <a:p>
      <a:pPr>
        <a:defRPr sz="6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095463028351749"/>
          <c:y val="5.1489936964064918E-2"/>
          <c:w val="0.83938724102577456"/>
          <c:h val="0.66403657851665798"/>
        </c:manualLayout>
      </c:layout>
      <c:barChart>
        <c:barDir val="col"/>
        <c:grouping val="clustered"/>
        <c:varyColors val="0"/>
        <c:ser>
          <c:idx val="0"/>
          <c:order val="0"/>
          <c:tx>
            <c:strRef>
              <c:f>'Beneficiaries Coverage'!$Z$4</c:f>
              <c:strCache>
                <c:ptCount val="1"/>
                <c:pt idx="0">
                  <c:v>Old age pensioners as percentage of population over 65</c:v>
                </c:pt>
              </c:strCache>
            </c:strRef>
          </c:tx>
          <c:spPr>
            <a:solidFill>
              <a:schemeClr val="tx1">
                <a:lumMod val="65000"/>
                <a:lumOff val="35000"/>
              </a:schemeClr>
            </a:solidFill>
          </c:spPr>
          <c:invertIfNegative val="0"/>
          <c:cat>
            <c:strRef>
              <c:f>'Beneficiaries Coverage'!$Y$5:$Y$12</c:f>
              <c:strCache>
                <c:ptCount val="8"/>
                <c:pt idx="0">
                  <c:v>East Asia &amp; Pacific</c:v>
                </c:pt>
                <c:pt idx="1">
                  <c:v>Europe &amp; Central Asia</c:v>
                </c:pt>
                <c:pt idx="2">
                  <c:v>High income: OECD</c:v>
                </c:pt>
                <c:pt idx="3">
                  <c:v>Latin America &amp; Caribbean</c:v>
                </c:pt>
                <c:pt idx="4">
                  <c:v>Middle East &amp; North Africa</c:v>
                </c:pt>
                <c:pt idx="5">
                  <c:v>South Asia</c:v>
                </c:pt>
                <c:pt idx="6">
                  <c:v>Sub-Saharan Africa</c:v>
                </c:pt>
                <c:pt idx="7">
                  <c:v>Kyrgyz Republic</c:v>
                </c:pt>
              </c:strCache>
            </c:strRef>
          </c:cat>
          <c:val>
            <c:numRef>
              <c:f>'Beneficiaries Coverage'!$Z$5:$Z$12</c:f>
              <c:numCache>
                <c:formatCode>0.0%</c:formatCode>
                <c:ptCount val="8"/>
                <c:pt idx="0">
                  <c:v>0.62097259675725147</c:v>
                </c:pt>
                <c:pt idx="1">
                  <c:v>1.1874624688152911</c:v>
                </c:pt>
                <c:pt idx="2">
                  <c:v>1.0667925883275595</c:v>
                </c:pt>
                <c:pt idx="3">
                  <c:v>0.43750088051671554</c:v>
                </c:pt>
                <c:pt idx="4">
                  <c:v>0.32360292010168712</c:v>
                </c:pt>
                <c:pt idx="5">
                  <c:v>0.4295676803015307</c:v>
                </c:pt>
                <c:pt idx="6">
                  <c:v>0.26663032829099553</c:v>
                </c:pt>
                <c:pt idx="7">
                  <c:v>1.4205760178427169</c:v>
                </c:pt>
              </c:numCache>
            </c:numRef>
          </c:val>
        </c:ser>
        <c:dLbls>
          <c:showLegendKey val="0"/>
          <c:showVal val="0"/>
          <c:showCatName val="0"/>
          <c:showSerName val="0"/>
          <c:showPercent val="0"/>
          <c:showBubbleSize val="0"/>
        </c:dLbls>
        <c:gapWidth val="150"/>
        <c:axId val="291517952"/>
        <c:axId val="291519488"/>
      </c:barChart>
      <c:catAx>
        <c:axId val="291517952"/>
        <c:scaling>
          <c:orientation val="minMax"/>
        </c:scaling>
        <c:delete val="0"/>
        <c:axPos val="b"/>
        <c:numFmt formatCode="General" sourceLinked="1"/>
        <c:majorTickMark val="none"/>
        <c:minorTickMark val="none"/>
        <c:tickLblPos val="nextTo"/>
        <c:txPr>
          <a:bodyPr rot="0"/>
          <a:lstStyle/>
          <a:p>
            <a:pPr>
              <a:defRPr/>
            </a:pPr>
            <a:endParaRPr lang="en-US"/>
          </a:p>
        </c:txPr>
        <c:crossAx val="291519488"/>
        <c:crosses val="autoZero"/>
        <c:auto val="1"/>
        <c:lblAlgn val="ctr"/>
        <c:lblOffset val="100"/>
        <c:noMultiLvlLbl val="0"/>
      </c:catAx>
      <c:valAx>
        <c:axId val="291519488"/>
        <c:scaling>
          <c:orientation val="minMax"/>
        </c:scaling>
        <c:delete val="0"/>
        <c:axPos val="l"/>
        <c:majorGridlines/>
        <c:title>
          <c:tx>
            <c:rich>
              <a:bodyPr/>
              <a:lstStyle/>
              <a:p>
                <a:pPr>
                  <a:defRPr b="0"/>
                </a:pPr>
                <a:r>
                  <a:rPr lang="en-US" b="0"/>
                  <a:t>Old age coverage ratio</a:t>
                </a:r>
              </a:p>
            </c:rich>
          </c:tx>
          <c:layout>
            <c:manualLayout>
              <c:xMode val="edge"/>
              <c:yMode val="edge"/>
              <c:x val="6.6513278845789876E-3"/>
              <c:y val="0.12630929072312469"/>
            </c:manualLayout>
          </c:layout>
          <c:overlay val="0"/>
        </c:title>
        <c:numFmt formatCode="0%" sourceLinked="0"/>
        <c:majorTickMark val="out"/>
        <c:minorTickMark val="none"/>
        <c:tickLblPos val="nextTo"/>
        <c:crossAx val="291517952"/>
        <c:crosses val="autoZero"/>
        <c:crossBetween val="between"/>
      </c:valAx>
    </c:plotArea>
    <c:legend>
      <c:legendPos val="b"/>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280355912957689"/>
          <c:y val="5.1489936964064918E-2"/>
          <c:w val="0.83410286480147433"/>
          <c:h val="0.66403657851665798"/>
        </c:manualLayout>
      </c:layout>
      <c:barChart>
        <c:barDir val="col"/>
        <c:grouping val="clustered"/>
        <c:varyColors val="0"/>
        <c:ser>
          <c:idx val="0"/>
          <c:order val="0"/>
          <c:tx>
            <c:strRef>
              <c:f>'Active Coverage'!$R$4</c:f>
              <c:strCache>
                <c:ptCount val="1"/>
                <c:pt idx="0">
                  <c:v>Active Members (% of Labor Force)</c:v>
                </c:pt>
              </c:strCache>
            </c:strRef>
          </c:tx>
          <c:invertIfNegative val="0"/>
          <c:cat>
            <c:strRef>
              <c:f>'Active Coverage'!$Q$5:$Q$12</c:f>
              <c:strCache>
                <c:ptCount val="8"/>
                <c:pt idx="0">
                  <c:v>East Asia &amp; Pacific</c:v>
                </c:pt>
                <c:pt idx="1">
                  <c:v>Europe &amp; Central Asia</c:v>
                </c:pt>
                <c:pt idx="2">
                  <c:v>High income: OECD</c:v>
                </c:pt>
                <c:pt idx="3">
                  <c:v>Latin America &amp; Caribbean</c:v>
                </c:pt>
                <c:pt idx="4">
                  <c:v>Middle East &amp; North Africa</c:v>
                </c:pt>
                <c:pt idx="5">
                  <c:v>South Asia</c:v>
                </c:pt>
                <c:pt idx="6">
                  <c:v>Sub-Saharan Africa</c:v>
                </c:pt>
                <c:pt idx="7">
                  <c:v>Kyrgyz Republic</c:v>
                </c:pt>
              </c:strCache>
            </c:strRef>
          </c:cat>
          <c:val>
            <c:numRef>
              <c:f>'Active Coverage'!$R$5:$R$12</c:f>
              <c:numCache>
                <c:formatCode>0.0%</c:formatCode>
                <c:ptCount val="8"/>
                <c:pt idx="0">
                  <c:v>0.33999899343183426</c:v>
                </c:pt>
                <c:pt idx="1">
                  <c:v>0.66984488596241787</c:v>
                </c:pt>
                <c:pt idx="2">
                  <c:v>0.90037889852303921</c:v>
                </c:pt>
                <c:pt idx="3">
                  <c:v>0.39543060837211386</c:v>
                </c:pt>
                <c:pt idx="4">
                  <c:v>0.35709856309474181</c:v>
                </c:pt>
                <c:pt idx="5">
                  <c:v>0.12925150821476397</c:v>
                </c:pt>
                <c:pt idx="6">
                  <c:v>7.6276011285421136E-2</c:v>
                </c:pt>
                <c:pt idx="7">
                  <c:v>0.40372427988603787</c:v>
                </c:pt>
              </c:numCache>
            </c:numRef>
          </c:val>
        </c:ser>
        <c:ser>
          <c:idx val="1"/>
          <c:order val="1"/>
          <c:tx>
            <c:strRef>
              <c:f>'Active Coverage'!$S$4</c:f>
              <c:strCache>
                <c:ptCount val="1"/>
                <c:pt idx="0">
                  <c:v>Active Members (% of Working Age Population)</c:v>
                </c:pt>
              </c:strCache>
            </c:strRef>
          </c:tx>
          <c:invertIfNegative val="0"/>
          <c:cat>
            <c:strRef>
              <c:f>'Active Coverage'!$Q$5:$Q$12</c:f>
              <c:strCache>
                <c:ptCount val="8"/>
                <c:pt idx="0">
                  <c:v>East Asia &amp; Pacific</c:v>
                </c:pt>
                <c:pt idx="1">
                  <c:v>Europe &amp; Central Asia</c:v>
                </c:pt>
                <c:pt idx="2">
                  <c:v>High income: OECD</c:v>
                </c:pt>
                <c:pt idx="3">
                  <c:v>Latin America &amp; Caribbean</c:v>
                </c:pt>
                <c:pt idx="4">
                  <c:v>Middle East &amp; North Africa</c:v>
                </c:pt>
                <c:pt idx="5">
                  <c:v>South Asia</c:v>
                </c:pt>
                <c:pt idx="6">
                  <c:v>Sub-Saharan Africa</c:v>
                </c:pt>
                <c:pt idx="7">
                  <c:v>Kyrgyz Republic</c:v>
                </c:pt>
              </c:strCache>
            </c:strRef>
          </c:cat>
          <c:val>
            <c:numRef>
              <c:f>'Active Coverage'!$S$5:$S$12</c:f>
              <c:numCache>
                <c:formatCode>0.0%</c:formatCode>
                <c:ptCount val="8"/>
                <c:pt idx="0">
                  <c:v>0.25342207108765608</c:v>
                </c:pt>
                <c:pt idx="1">
                  <c:v>0.47543537335664887</c:v>
                </c:pt>
                <c:pt idx="2">
                  <c:v>0.70763953398584445</c:v>
                </c:pt>
                <c:pt idx="3">
                  <c:v>0.29885325774343163</c:v>
                </c:pt>
                <c:pt idx="4">
                  <c:v>0.21356727439387765</c:v>
                </c:pt>
                <c:pt idx="5">
                  <c:v>6.9745912752291653E-2</c:v>
                </c:pt>
                <c:pt idx="6">
                  <c:v>7.6215424290961453E-2</c:v>
                </c:pt>
                <c:pt idx="7">
                  <c:v>0.29552700113838343</c:v>
                </c:pt>
              </c:numCache>
            </c:numRef>
          </c:val>
        </c:ser>
        <c:dLbls>
          <c:showLegendKey val="0"/>
          <c:showVal val="0"/>
          <c:showCatName val="0"/>
          <c:showSerName val="0"/>
          <c:showPercent val="0"/>
          <c:showBubbleSize val="0"/>
        </c:dLbls>
        <c:gapWidth val="150"/>
        <c:axId val="291553280"/>
        <c:axId val="291554816"/>
      </c:barChart>
      <c:catAx>
        <c:axId val="291553280"/>
        <c:scaling>
          <c:orientation val="minMax"/>
        </c:scaling>
        <c:delete val="0"/>
        <c:axPos val="b"/>
        <c:numFmt formatCode="General" sourceLinked="1"/>
        <c:majorTickMark val="none"/>
        <c:minorTickMark val="none"/>
        <c:tickLblPos val="nextTo"/>
        <c:txPr>
          <a:bodyPr rot="0"/>
          <a:lstStyle/>
          <a:p>
            <a:pPr>
              <a:defRPr/>
            </a:pPr>
            <a:endParaRPr lang="en-US"/>
          </a:p>
        </c:txPr>
        <c:crossAx val="291554816"/>
        <c:crosses val="autoZero"/>
        <c:auto val="1"/>
        <c:lblAlgn val="ctr"/>
        <c:lblOffset val="100"/>
        <c:noMultiLvlLbl val="0"/>
      </c:catAx>
      <c:valAx>
        <c:axId val="291554816"/>
        <c:scaling>
          <c:orientation val="minMax"/>
        </c:scaling>
        <c:delete val="0"/>
        <c:axPos val="l"/>
        <c:majorGridlines/>
        <c:title>
          <c:tx>
            <c:rich>
              <a:bodyPr/>
              <a:lstStyle/>
              <a:p>
                <a:pPr>
                  <a:defRPr/>
                </a:pPr>
                <a:r>
                  <a:rPr lang="en-US"/>
                  <a:t>Average contribution rate</a:t>
                </a:r>
              </a:p>
            </c:rich>
          </c:tx>
          <c:layout>
            <c:manualLayout>
              <c:xMode val="edge"/>
              <c:yMode val="edge"/>
              <c:x val="1.1820330969267139E-2"/>
              <c:y val="0.12629060800354069"/>
            </c:manualLayout>
          </c:layout>
          <c:overlay val="0"/>
        </c:title>
        <c:numFmt formatCode="0%" sourceLinked="0"/>
        <c:majorTickMark val="out"/>
        <c:minorTickMark val="none"/>
        <c:tickLblPos val="nextTo"/>
        <c:crossAx val="291553280"/>
        <c:crosses val="autoZero"/>
        <c:crossBetween val="between"/>
      </c:valAx>
    </c:plotArea>
    <c:legend>
      <c:legendPos val="b"/>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280355912957689"/>
          <c:y val="5.1489936964064918E-2"/>
          <c:w val="0.84164374623520244"/>
          <c:h val="0.69096051685484572"/>
        </c:manualLayout>
      </c:layout>
      <c:barChart>
        <c:barDir val="col"/>
        <c:grouping val="clustered"/>
        <c:varyColors val="0"/>
        <c:ser>
          <c:idx val="0"/>
          <c:order val="0"/>
          <c:tx>
            <c:strRef>
              <c:f>'Contribution Rates'!$X$4</c:f>
              <c:strCache>
                <c:ptCount val="1"/>
                <c:pt idx="0">
                  <c:v>Pension System</c:v>
                </c:pt>
              </c:strCache>
            </c:strRef>
          </c:tx>
          <c:invertIfNegative val="0"/>
          <c:cat>
            <c:strRef>
              <c:f>'Contribution Rates'!$W$5:$W$12</c:f>
              <c:strCache>
                <c:ptCount val="8"/>
                <c:pt idx="0">
                  <c:v>East Asia &amp; Pacific</c:v>
                </c:pt>
                <c:pt idx="1">
                  <c:v>Europe &amp; Central Asia</c:v>
                </c:pt>
                <c:pt idx="2">
                  <c:v>High income: OECD</c:v>
                </c:pt>
                <c:pt idx="3">
                  <c:v>Latin America &amp; Caribbean</c:v>
                </c:pt>
                <c:pt idx="4">
                  <c:v>Middle East &amp; North Africa</c:v>
                </c:pt>
                <c:pt idx="5">
                  <c:v>South Asia</c:v>
                </c:pt>
                <c:pt idx="6">
                  <c:v>Sub-Saharan Africa</c:v>
                </c:pt>
                <c:pt idx="7">
                  <c:v>Kyrgyz Republic</c:v>
                </c:pt>
              </c:strCache>
            </c:strRef>
          </c:cat>
          <c:val>
            <c:numRef>
              <c:f>'Contribution Rates'!$X$5:$X$12</c:f>
              <c:numCache>
                <c:formatCode>0.0</c:formatCode>
                <c:ptCount val="8"/>
                <c:pt idx="0">
                  <c:v>14.06111111111111</c:v>
                </c:pt>
                <c:pt idx="1">
                  <c:v>23.209642857142857</c:v>
                </c:pt>
                <c:pt idx="2">
                  <c:v>16.95</c:v>
                </c:pt>
                <c:pt idx="3">
                  <c:v>13.84721153846154</c:v>
                </c:pt>
                <c:pt idx="4">
                  <c:v>16.071249999999999</c:v>
                </c:pt>
                <c:pt idx="5">
                  <c:v>15.75</c:v>
                </c:pt>
                <c:pt idx="6">
                  <c:v>11.628571428571428</c:v>
                </c:pt>
                <c:pt idx="7">
                  <c:v>25</c:v>
                </c:pt>
              </c:numCache>
            </c:numRef>
          </c:val>
        </c:ser>
        <c:ser>
          <c:idx val="1"/>
          <c:order val="1"/>
          <c:tx>
            <c:strRef>
              <c:f>'Contribution Rates'!$Y$4</c:f>
              <c:strCache>
                <c:ptCount val="1"/>
                <c:pt idx="0">
                  <c:v>Social Security</c:v>
                </c:pt>
              </c:strCache>
            </c:strRef>
          </c:tx>
          <c:invertIfNegative val="0"/>
          <c:cat>
            <c:strRef>
              <c:f>'Contribution Rates'!$W$5:$W$12</c:f>
              <c:strCache>
                <c:ptCount val="8"/>
                <c:pt idx="0">
                  <c:v>East Asia &amp; Pacific</c:v>
                </c:pt>
                <c:pt idx="1">
                  <c:v>Europe &amp; Central Asia</c:v>
                </c:pt>
                <c:pt idx="2">
                  <c:v>High income: OECD</c:v>
                </c:pt>
                <c:pt idx="3">
                  <c:v>Latin America &amp; Caribbean</c:v>
                </c:pt>
                <c:pt idx="4">
                  <c:v>Middle East &amp; North Africa</c:v>
                </c:pt>
                <c:pt idx="5">
                  <c:v>South Asia</c:v>
                </c:pt>
                <c:pt idx="6">
                  <c:v>Sub-Saharan Africa</c:v>
                </c:pt>
                <c:pt idx="7">
                  <c:v>Kyrgyz Republic</c:v>
                </c:pt>
              </c:strCache>
            </c:strRef>
          </c:cat>
          <c:val>
            <c:numRef>
              <c:f>'Contribution Rates'!$Y$5:$Y$12</c:f>
              <c:numCache>
                <c:formatCode>0.0</c:formatCode>
                <c:ptCount val="8"/>
                <c:pt idx="0">
                  <c:v>15.118749999999999</c:v>
                </c:pt>
                <c:pt idx="1">
                  <c:v>28.517083333333336</c:v>
                </c:pt>
                <c:pt idx="2">
                  <c:v>28.286818181818173</c:v>
                </c:pt>
                <c:pt idx="3">
                  <c:v>18.720076923076924</c:v>
                </c:pt>
                <c:pt idx="4">
                  <c:v>21.495882352941177</c:v>
                </c:pt>
                <c:pt idx="5">
                  <c:v>22.02525</c:v>
                </c:pt>
                <c:pt idx="6">
                  <c:v>16.875833333333333</c:v>
                </c:pt>
                <c:pt idx="7">
                  <c:v>27.25</c:v>
                </c:pt>
              </c:numCache>
            </c:numRef>
          </c:val>
        </c:ser>
        <c:dLbls>
          <c:showLegendKey val="0"/>
          <c:showVal val="0"/>
          <c:showCatName val="0"/>
          <c:showSerName val="0"/>
          <c:showPercent val="0"/>
          <c:showBubbleSize val="0"/>
        </c:dLbls>
        <c:gapWidth val="150"/>
        <c:axId val="295574528"/>
        <c:axId val="295580416"/>
      </c:barChart>
      <c:catAx>
        <c:axId val="295574528"/>
        <c:scaling>
          <c:orientation val="minMax"/>
        </c:scaling>
        <c:delete val="0"/>
        <c:axPos val="b"/>
        <c:majorTickMark val="none"/>
        <c:minorTickMark val="none"/>
        <c:tickLblPos val="nextTo"/>
        <c:txPr>
          <a:bodyPr rot="0"/>
          <a:lstStyle/>
          <a:p>
            <a:pPr>
              <a:defRPr/>
            </a:pPr>
            <a:endParaRPr lang="en-US"/>
          </a:p>
        </c:txPr>
        <c:crossAx val="295580416"/>
        <c:crosses val="autoZero"/>
        <c:auto val="1"/>
        <c:lblAlgn val="ctr"/>
        <c:lblOffset val="100"/>
        <c:noMultiLvlLbl val="0"/>
      </c:catAx>
      <c:valAx>
        <c:axId val="295580416"/>
        <c:scaling>
          <c:orientation val="minMax"/>
        </c:scaling>
        <c:delete val="0"/>
        <c:axPos val="l"/>
        <c:majorGridlines/>
        <c:title>
          <c:tx>
            <c:rich>
              <a:bodyPr/>
              <a:lstStyle/>
              <a:p>
                <a:pPr>
                  <a:defRPr b="0"/>
                </a:pPr>
                <a:r>
                  <a:rPr lang="en-US" b="0"/>
                  <a:t>Average contribution rate, as % of wage</a:t>
                </a:r>
              </a:p>
            </c:rich>
          </c:tx>
          <c:layout>
            <c:manualLayout>
              <c:xMode val="edge"/>
              <c:yMode val="edge"/>
              <c:x val="1.1820372076710618E-2"/>
              <c:y val="8.2646479864517119E-2"/>
            </c:manualLayout>
          </c:layout>
          <c:overlay val="0"/>
        </c:title>
        <c:numFmt formatCode="0.0" sourceLinked="1"/>
        <c:majorTickMark val="out"/>
        <c:minorTickMark val="none"/>
        <c:tickLblPos val="nextTo"/>
        <c:crossAx val="295574528"/>
        <c:crosses val="autoZero"/>
        <c:crossBetween val="between"/>
      </c:valAx>
    </c:plotArea>
    <c:legend>
      <c:legendPos val="b"/>
      <c:layout>
        <c:manualLayout>
          <c:xMode val="edge"/>
          <c:yMode val="edge"/>
          <c:x val="0.33764858740032522"/>
          <c:y val="0.89568019382192621"/>
          <c:w val="0.315962895903313"/>
          <c:h val="6.9569697405248543E-2"/>
        </c:manualLayout>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basic</c:v>
          </c:tx>
          <c:spPr>
            <a:ln w="34925">
              <a:solidFill>
                <a:schemeClr val="tx1"/>
              </a:solidFill>
            </a:ln>
          </c:spPr>
          <c:marker>
            <c:symbol val="none"/>
          </c:marke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base!$B$107:$BS$107</c:f>
              <c:numCache>
                <c:formatCode>0.0%</c:formatCode>
                <c:ptCount val="70"/>
                <c:pt idx="0">
                  <c:v>1.0306791670755201E-2</c:v>
                </c:pt>
                <c:pt idx="1">
                  <c:v>2.0821902651269101E-2</c:v>
                </c:pt>
                <c:pt idx="2">
                  <c:v>2.5177995833187999E-2</c:v>
                </c:pt>
                <c:pt idx="3">
                  <c:v>3.0480092393209399E-2</c:v>
                </c:pt>
                <c:pt idx="4">
                  <c:v>3.3185078316584703E-2</c:v>
                </c:pt>
                <c:pt idx="5">
                  <c:v>3.3491936771912797E-2</c:v>
                </c:pt>
                <c:pt idx="6">
                  <c:v>3.3859336635631399E-2</c:v>
                </c:pt>
                <c:pt idx="7">
                  <c:v>3.4418458418152997E-2</c:v>
                </c:pt>
                <c:pt idx="8">
                  <c:v>3.5150410045595597E-2</c:v>
                </c:pt>
                <c:pt idx="9">
                  <c:v>3.6034780573829202E-2</c:v>
                </c:pt>
                <c:pt idx="10">
                  <c:v>3.7081640786387801E-2</c:v>
                </c:pt>
                <c:pt idx="11">
                  <c:v>3.8265481359162398E-2</c:v>
                </c:pt>
                <c:pt idx="12">
                  <c:v>3.9372453433731101E-2</c:v>
                </c:pt>
                <c:pt idx="13">
                  <c:v>4.0376997891179101E-2</c:v>
                </c:pt>
                <c:pt idx="14">
                  <c:v>4.1261765619609501E-2</c:v>
                </c:pt>
                <c:pt idx="15">
                  <c:v>4.2017544542957301E-2</c:v>
                </c:pt>
                <c:pt idx="16">
                  <c:v>4.2744429602461401E-2</c:v>
                </c:pt>
                <c:pt idx="17">
                  <c:v>4.3390679904763099E-2</c:v>
                </c:pt>
                <c:pt idx="18">
                  <c:v>4.3961973615486198E-2</c:v>
                </c:pt>
                <c:pt idx="19">
                  <c:v>4.4476090671681602E-2</c:v>
                </c:pt>
                <c:pt idx="20">
                  <c:v>4.49918689681785E-2</c:v>
                </c:pt>
                <c:pt idx="21">
                  <c:v>4.5475268511342898E-2</c:v>
                </c:pt>
                <c:pt idx="22">
                  <c:v>4.5933350487990403E-2</c:v>
                </c:pt>
                <c:pt idx="23">
                  <c:v>4.6373011536772299E-2</c:v>
                </c:pt>
                <c:pt idx="24">
                  <c:v>4.6807662502876997E-2</c:v>
                </c:pt>
                <c:pt idx="25">
                  <c:v>4.72669074468672E-2</c:v>
                </c:pt>
                <c:pt idx="26">
                  <c:v>4.7523522150268602E-2</c:v>
                </c:pt>
                <c:pt idx="27">
                  <c:v>4.77965322429144E-2</c:v>
                </c:pt>
                <c:pt idx="28">
                  <c:v>4.8096671519725798E-2</c:v>
                </c:pt>
                <c:pt idx="29">
                  <c:v>4.8424316464741102E-2</c:v>
                </c:pt>
                <c:pt idx="30">
                  <c:v>4.8782100801850498E-2</c:v>
                </c:pt>
                <c:pt idx="31">
                  <c:v>4.9176837735987002E-2</c:v>
                </c:pt>
                <c:pt idx="32">
                  <c:v>4.9609431271448998E-2</c:v>
                </c:pt>
                <c:pt idx="33">
                  <c:v>5.0070004382089098E-2</c:v>
                </c:pt>
                <c:pt idx="34">
                  <c:v>5.0546715309057397E-2</c:v>
                </c:pt>
                <c:pt idx="35">
                  <c:v>5.1041533436141498E-2</c:v>
                </c:pt>
                <c:pt idx="36">
                  <c:v>5.15380893466496E-2</c:v>
                </c:pt>
                <c:pt idx="37">
                  <c:v>5.2018296959041498E-2</c:v>
                </c:pt>
                <c:pt idx="38">
                  <c:v>5.2460903402320298E-2</c:v>
                </c:pt>
                <c:pt idx="39">
                  <c:v>5.2853511747544699E-2</c:v>
                </c:pt>
                <c:pt idx="40">
                  <c:v>5.3196315382534103E-2</c:v>
                </c:pt>
                <c:pt idx="41">
                  <c:v>5.34854571579369E-2</c:v>
                </c:pt>
                <c:pt idx="42">
                  <c:v>5.3713247842857102E-2</c:v>
                </c:pt>
                <c:pt idx="43">
                  <c:v>5.3880423610905698E-2</c:v>
                </c:pt>
                <c:pt idx="44">
                  <c:v>5.3987264146238702E-2</c:v>
                </c:pt>
                <c:pt idx="45">
                  <c:v>5.4043348855658098E-2</c:v>
                </c:pt>
                <c:pt idx="46">
                  <c:v>5.4069473840353197E-2</c:v>
                </c:pt>
                <c:pt idx="47">
                  <c:v>5.4078810706128001E-2</c:v>
                </c:pt>
                <c:pt idx="48">
                  <c:v>5.4077800719139403E-2</c:v>
                </c:pt>
                <c:pt idx="49">
                  <c:v>5.4066865763989599E-2</c:v>
                </c:pt>
                <c:pt idx="50">
                  <c:v>5.4040405535664797E-2</c:v>
                </c:pt>
                <c:pt idx="51">
                  <c:v>5.4019371480437103E-2</c:v>
                </c:pt>
                <c:pt idx="52">
                  <c:v>5.4023004310036003E-2</c:v>
                </c:pt>
                <c:pt idx="53">
                  <c:v>5.4060549655489697E-2</c:v>
                </c:pt>
                <c:pt idx="54">
                  <c:v>5.4133079499248997E-2</c:v>
                </c:pt>
                <c:pt idx="55">
                  <c:v>5.4206470952048197E-2</c:v>
                </c:pt>
                <c:pt idx="56">
                  <c:v>5.4331014271717097E-2</c:v>
                </c:pt>
                <c:pt idx="57">
                  <c:v>5.4516638125533798E-2</c:v>
                </c:pt>
                <c:pt idx="58">
                  <c:v>5.4744845676858001E-2</c:v>
                </c:pt>
                <c:pt idx="59">
                  <c:v>5.4995535272212501E-2</c:v>
                </c:pt>
                <c:pt idx="60">
                  <c:v>5.5230180418018603E-2</c:v>
                </c:pt>
                <c:pt idx="61">
                  <c:v>5.54937817756481E-2</c:v>
                </c:pt>
                <c:pt idx="62">
                  <c:v>5.5784990648985899E-2</c:v>
                </c:pt>
                <c:pt idx="63">
                  <c:v>5.60759460888424E-2</c:v>
                </c:pt>
                <c:pt idx="64">
                  <c:v>5.6354740741844399E-2</c:v>
                </c:pt>
                <c:pt idx="65">
                  <c:v>5.6624242380300498E-2</c:v>
                </c:pt>
                <c:pt idx="66">
                  <c:v>5.6894862670678198E-2</c:v>
                </c:pt>
                <c:pt idx="67">
                  <c:v>5.7165826828392198E-2</c:v>
                </c:pt>
                <c:pt idx="68">
                  <c:v>5.7437354960611697E-2</c:v>
                </c:pt>
                <c:pt idx="69">
                  <c:v>5.76988908567777E-2</c:v>
                </c:pt>
              </c:numCache>
            </c:numRef>
          </c:val>
          <c:smooth val="0"/>
        </c:ser>
        <c:ser>
          <c:idx val="0"/>
          <c:order val="1"/>
          <c:tx>
            <c:v>basic+social</c:v>
          </c:tx>
          <c:spPr>
            <a:ln w="34925">
              <a:solidFill>
                <a:schemeClr val="tx1"/>
              </a:solidFill>
              <a:prstDash val="dash"/>
            </a:ln>
          </c:spPr>
          <c:marker>
            <c:symbol val="none"/>
          </c:marker>
          <c:val>
            <c:numRef>
              <c:f>base!$B$112:$BS$112</c:f>
              <c:numCache>
                <c:formatCode>0.0%</c:formatCode>
                <c:ptCount val="70"/>
                <c:pt idx="0">
                  <c:v>1.03946690543434E-2</c:v>
                </c:pt>
                <c:pt idx="1">
                  <c:v>2.0907464377886702E-2</c:v>
                </c:pt>
                <c:pt idx="2">
                  <c:v>2.5253273668315802E-2</c:v>
                </c:pt>
                <c:pt idx="3">
                  <c:v>3.0551326204684402E-2</c:v>
                </c:pt>
                <c:pt idx="4">
                  <c:v>3.3261585912857702E-2</c:v>
                </c:pt>
                <c:pt idx="5">
                  <c:v>3.3568635341332101E-2</c:v>
                </c:pt>
                <c:pt idx="6">
                  <c:v>3.3936920676354898E-2</c:v>
                </c:pt>
                <c:pt idx="7">
                  <c:v>3.4497761806315502E-2</c:v>
                </c:pt>
                <c:pt idx="8">
                  <c:v>3.5232200043915002E-2</c:v>
                </c:pt>
                <c:pt idx="9">
                  <c:v>3.6119810750720301E-2</c:v>
                </c:pt>
                <c:pt idx="10">
                  <c:v>3.7170541999216697E-2</c:v>
                </c:pt>
                <c:pt idx="11">
                  <c:v>3.83587145467989E-2</c:v>
                </c:pt>
                <c:pt idx="12">
                  <c:v>3.9469910738328701E-2</c:v>
                </c:pt>
                <c:pt idx="13">
                  <c:v>4.0478547913901597E-2</c:v>
                </c:pt>
                <c:pt idx="14">
                  <c:v>4.1775375793296501E-2</c:v>
                </c:pt>
                <c:pt idx="15">
                  <c:v>4.2811226224041099E-2</c:v>
                </c:pt>
                <c:pt idx="16">
                  <c:v>4.3824871805778501E-2</c:v>
                </c:pt>
                <c:pt idx="17">
                  <c:v>4.4763135570695799E-2</c:v>
                </c:pt>
                <c:pt idx="18">
                  <c:v>4.5622646827948497E-2</c:v>
                </c:pt>
                <c:pt idx="19">
                  <c:v>4.6416637581526601E-2</c:v>
                </c:pt>
                <c:pt idx="20">
                  <c:v>4.7198047426080497E-2</c:v>
                </c:pt>
                <c:pt idx="21">
                  <c:v>4.7922956939531997E-2</c:v>
                </c:pt>
                <c:pt idx="22">
                  <c:v>4.8593963177628902E-2</c:v>
                </c:pt>
                <c:pt idx="23">
                  <c:v>4.9220441336826098E-2</c:v>
                </c:pt>
                <c:pt idx="24">
                  <c:v>4.9816818645624997E-2</c:v>
                </c:pt>
                <c:pt idx="25">
                  <c:v>5.0424757394373798E-2</c:v>
                </c:pt>
                <c:pt idx="26">
                  <c:v>5.0815853061733099E-2</c:v>
                </c:pt>
                <c:pt idx="27">
                  <c:v>5.12339619881126E-2</c:v>
                </c:pt>
                <c:pt idx="28">
                  <c:v>5.1690596628390997E-2</c:v>
                </c:pt>
                <c:pt idx="29">
                  <c:v>5.21857990885463E-2</c:v>
                </c:pt>
                <c:pt idx="30">
                  <c:v>5.27475333105345E-2</c:v>
                </c:pt>
                <c:pt idx="31">
                  <c:v>5.3415162747406403E-2</c:v>
                </c:pt>
                <c:pt idx="32">
                  <c:v>5.42086583674228E-2</c:v>
                </c:pt>
                <c:pt idx="33">
                  <c:v>5.5112932306165097E-2</c:v>
                </c:pt>
                <c:pt idx="34">
                  <c:v>5.6117459394148701E-2</c:v>
                </c:pt>
                <c:pt idx="35">
                  <c:v>5.7206446320953397E-2</c:v>
                </c:pt>
                <c:pt idx="36">
                  <c:v>5.8336341410822397E-2</c:v>
                </c:pt>
                <c:pt idx="37">
                  <c:v>5.9473769181065297E-2</c:v>
                </c:pt>
                <c:pt idx="38">
                  <c:v>6.0603981173792502E-2</c:v>
                </c:pt>
                <c:pt idx="39">
                  <c:v>6.1716810376153002E-2</c:v>
                </c:pt>
                <c:pt idx="40">
                  <c:v>6.2784048497497899E-2</c:v>
                </c:pt>
                <c:pt idx="41">
                  <c:v>6.3766190630213396E-2</c:v>
                </c:pt>
                <c:pt idx="42">
                  <c:v>6.4632339390186894E-2</c:v>
                </c:pt>
                <c:pt idx="43">
                  <c:v>6.5385729069819404E-2</c:v>
                </c:pt>
                <c:pt idx="44">
                  <c:v>6.6018644674053495E-2</c:v>
                </c:pt>
                <c:pt idx="45">
                  <c:v>6.6539374561222595E-2</c:v>
                </c:pt>
                <c:pt idx="46">
                  <c:v>6.6965204364996103E-2</c:v>
                </c:pt>
                <c:pt idx="47">
                  <c:v>6.7306304569260095E-2</c:v>
                </c:pt>
                <c:pt idx="48">
                  <c:v>6.7571271609609601E-2</c:v>
                </c:pt>
                <c:pt idx="49">
                  <c:v>6.7765920278843095E-2</c:v>
                </c:pt>
                <c:pt idx="50">
                  <c:v>6.79030940924778E-2</c:v>
                </c:pt>
                <c:pt idx="51">
                  <c:v>6.8009652219117006E-2</c:v>
                </c:pt>
                <c:pt idx="52">
                  <c:v>6.8115141381019095E-2</c:v>
                </c:pt>
                <c:pt idx="53">
                  <c:v>6.8248047371294501E-2</c:v>
                </c:pt>
                <c:pt idx="54">
                  <c:v>6.8426480837310302E-2</c:v>
                </c:pt>
                <c:pt idx="55">
                  <c:v>6.8649618451552694E-2</c:v>
                </c:pt>
                <c:pt idx="56">
                  <c:v>6.8986503110965602E-2</c:v>
                </c:pt>
                <c:pt idx="57">
                  <c:v>6.9435338138192707E-2</c:v>
                </c:pt>
                <c:pt idx="58">
                  <c:v>6.9826202026390005E-2</c:v>
                </c:pt>
                <c:pt idx="59">
                  <c:v>7.0288965397980699E-2</c:v>
                </c:pt>
                <c:pt idx="60">
                  <c:v>7.0801202648204095E-2</c:v>
                </c:pt>
                <c:pt idx="61">
                  <c:v>7.1414686427227703E-2</c:v>
                </c:pt>
                <c:pt idx="62">
                  <c:v>7.2100884398611897E-2</c:v>
                </c:pt>
                <c:pt idx="63">
                  <c:v>7.2691036787330202E-2</c:v>
                </c:pt>
                <c:pt idx="64">
                  <c:v>7.3289554200079501E-2</c:v>
                </c:pt>
                <c:pt idx="65">
                  <c:v>7.3875514651303403E-2</c:v>
                </c:pt>
                <c:pt idx="66">
                  <c:v>7.4457136910915503E-2</c:v>
                </c:pt>
                <c:pt idx="67">
                  <c:v>7.5028532670951303E-2</c:v>
                </c:pt>
                <c:pt idx="68">
                  <c:v>7.5585598117541397E-2</c:v>
                </c:pt>
                <c:pt idx="69">
                  <c:v>7.61120709749767E-2</c:v>
                </c:pt>
              </c:numCache>
            </c:numRef>
          </c:val>
          <c:smooth val="0"/>
        </c:ser>
        <c:dLbls>
          <c:showLegendKey val="0"/>
          <c:showVal val="0"/>
          <c:showCatName val="0"/>
          <c:showSerName val="0"/>
          <c:showPercent val="0"/>
          <c:showBubbleSize val="0"/>
        </c:dLbls>
        <c:marker val="1"/>
        <c:smooth val="0"/>
        <c:axId val="295622912"/>
        <c:axId val="295628800"/>
      </c:lineChart>
      <c:catAx>
        <c:axId val="295622912"/>
        <c:scaling>
          <c:orientation val="minMax"/>
        </c:scaling>
        <c:delete val="0"/>
        <c:axPos val="b"/>
        <c:numFmt formatCode="0000" sourceLinked="1"/>
        <c:majorTickMark val="out"/>
        <c:minorTickMark val="none"/>
        <c:tickLblPos val="nextTo"/>
        <c:txPr>
          <a:bodyPr rot="2700000"/>
          <a:lstStyle/>
          <a:p>
            <a:pPr>
              <a:defRPr/>
            </a:pPr>
            <a:endParaRPr lang="en-US"/>
          </a:p>
        </c:txPr>
        <c:crossAx val="295628800"/>
        <c:crosses val="autoZero"/>
        <c:auto val="1"/>
        <c:lblAlgn val="ctr"/>
        <c:lblOffset val="100"/>
        <c:tickLblSkip val="5"/>
        <c:noMultiLvlLbl val="0"/>
      </c:catAx>
      <c:valAx>
        <c:axId val="295628800"/>
        <c:scaling>
          <c:orientation val="minMax"/>
          <c:min val="0"/>
        </c:scaling>
        <c:delete val="0"/>
        <c:axPos val="l"/>
        <c:majorGridlines/>
        <c:numFmt formatCode="0.0%" sourceLinked="0"/>
        <c:majorTickMark val="out"/>
        <c:minorTickMark val="none"/>
        <c:tickLblPos val="nextTo"/>
        <c:crossAx val="295622912"/>
        <c:crosses val="autoZero"/>
        <c:crossBetween val="between"/>
      </c:valAx>
    </c:plotArea>
    <c:legend>
      <c:legendPos val="b"/>
      <c:overlay val="0"/>
    </c:legend>
    <c:plotVisOnly val="1"/>
    <c:dispBlanksAs val="gap"/>
    <c:showDLblsOverMax val="0"/>
  </c:chart>
  <c:txPr>
    <a:bodyPr/>
    <a:lstStyle/>
    <a:p>
      <a:pPr>
        <a:defRPr sz="800" b="1">
          <a:latin typeface="Cambria"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base!$A$115</c:f>
              <c:strCache>
                <c:ptCount val="1"/>
                <c:pt idx="0">
                  <c:v>SP1+SP2 (insurance pensions)</c:v>
                </c:pt>
              </c:strCache>
            </c:strRef>
          </c:tx>
          <c:spPr>
            <a:solidFill>
              <a:schemeClr val="bg1">
                <a:lumMod val="50000"/>
              </a:schemeClr>
            </a:solidFill>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base!$B$115:$BS$115</c:f>
              <c:numCache>
                <c:formatCode>0.0%</c:formatCode>
                <c:ptCount val="70"/>
                <c:pt idx="0">
                  <c:v>3.7648921922682502E-2</c:v>
                </c:pt>
                <c:pt idx="1">
                  <c:v>5.19085260311744E-2</c:v>
                </c:pt>
                <c:pt idx="2">
                  <c:v>5.4477767138371901E-2</c:v>
                </c:pt>
                <c:pt idx="3">
                  <c:v>5.5899003265271197E-2</c:v>
                </c:pt>
                <c:pt idx="4">
                  <c:v>5.9020655925660803E-2</c:v>
                </c:pt>
                <c:pt idx="5">
                  <c:v>5.8190754782862002E-2</c:v>
                </c:pt>
                <c:pt idx="6">
                  <c:v>5.7505634335733302E-2</c:v>
                </c:pt>
                <c:pt idx="7">
                  <c:v>5.7117029032052798E-2</c:v>
                </c:pt>
                <c:pt idx="8">
                  <c:v>5.6683691590665303E-2</c:v>
                </c:pt>
                <c:pt idx="9">
                  <c:v>5.64567815142955E-2</c:v>
                </c:pt>
                <c:pt idx="10">
                  <c:v>5.6418936899110102E-2</c:v>
                </c:pt>
                <c:pt idx="11">
                  <c:v>5.65345089978357E-2</c:v>
                </c:pt>
                <c:pt idx="12">
                  <c:v>5.6493652124476199E-2</c:v>
                </c:pt>
                <c:pt idx="13">
                  <c:v>5.6267503349382103E-2</c:v>
                </c:pt>
                <c:pt idx="14">
                  <c:v>5.5817861452060101E-2</c:v>
                </c:pt>
                <c:pt idx="15">
                  <c:v>5.5165605619325597E-2</c:v>
                </c:pt>
                <c:pt idx="16">
                  <c:v>5.4450209292971799E-2</c:v>
                </c:pt>
                <c:pt idx="17">
                  <c:v>5.3587847150713797E-2</c:v>
                </c:pt>
                <c:pt idx="18">
                  <c:v>5.2589718811526E-2</c:v>
                </c:pt>
                <c:pt idx="19">
                  <c:v>5.1506368754746103E-2</c:v>
                </c:pt>
                <c:pt idx="20">
                  <c:v>5.0415127980449302E-2</c:v>
                </c:pt>
                <c:pt idx="21">
                  <c:v>4.9290617588928998E-2</c:v>
                </c:pt>
                <c:pt idx="22">
                  <c:v>4.8150414236025799E-2</c:v>
                </c:pt>
                <c:pt idx="23">
                  <c:v>4.7010919398247801E-2</c:v>
                </c:pt>
                <c:pt idx="24">
                  <c:v>4.5895612680587297E-2</c:v>
                </c:pt>
                <c:pt idx="25">
                  <c:v>4.4813071701448298E-2</c:v>
                </c:pt>
                <c:pt idx="26">
                  <c:v>4.3570738111623097E-2</c:v>
                </c:pt>
                <c:pt idx="27">
                  <c:v>4.2400447056962803E-2</c:v>
                </c:pt>
                <c:pt idx="28">
                  <c:v>4.1314137295722302E-2</c:v>
                </c:pt>
                <c:pt idx="29">
                  <c:v>4.03187418530443E-2</c:v>
                </c:pt>
                <c:pt idx="30">
                  <c:v>3.9419831255097897E-2</c:v>
                </c:pt>
                <c:pt idx="31">
                  <c:v>3.8625615892806199E-2</c:v>
                </c:pt>
                <c:pt idx="32">
                  <c:v>3.79369977015959E-2</c:v>
                </c:pt>
                <c:pt idx="33">
                  <c:v>3.7349750646249201E-2</c:v>
                </c:pt>
                <c:pt idx="34">
                  <c:v>3.6857649142403498E-2</c:v>
                </c:pt>
                <c:pt idx="35">
                  <c:v>3.6462802613627797E-2</c:v>
                </c:pt>
                <c:pt idx="36">
                  <c:v>3.6153471302407703E-2</c:v>
                </c:pt>
                <c:pt idx="37">
                  <c:v>3.59191338030459E-2</c:v>
                </c:pt>
                <c:pt idx="38">
                  <c:v>3.5740155701022701E-2</c:v>
                </c:pt>
                <c:pt idx="39">
                  <c:v>3.5604130762358299E-2</c:v>
                </c:pt>
                <c:pt idx="40">
                  <c:v>3.5499535002243898E-2</c:v>
                </c:pt>
                <c:pt idx="41">
                  <c:v>3.5419996804943399E-2</c:v>
                </c:pt>
                <c:pt idx="42">
                  <c:v>3.53566838844444E-2</c:v>
                </c:pt>
                <c:pt idx="43">
                  <c:v>3.5295403604261699E-2</c:v>
                </c:pt>
                <c:pt idx="44">
                  <c:v>3.52380833058785E-2</c:v>
                </c:pt>
                <c:pt idx="45">
                  <c:v>3.5188300490761597E-2</c:v>
                </c:pt>
                <c:pt idx="46">
                  <c:v>3.5148128601461499E-2</c:v>
                </c:pt>
                <c:pt idx="47">
                  <c:v>3.5124580962029403E-2</c:v>
                </c:pt>
                <c:pt idx="48">
                  <c:v>3.5107605985110299E-2</c:v>
                </c:pt>
                <c:pt idx="49">
                  <c:v>3.5092451691448E-2</c:v>
                </c:pt>
                <c:pt idx="50">
                  <c:v>3.50887950407767E-2</c:v>
                </c:pt>
                <c:pt idx="51">
                  <c:v>3.5099495373659098E-2</c:v>
                </c:pt>
                <c:pt idx="52">
                  <c:v>3.5137176189370803E-2</c:v>
                </c:pt>
                <c:pt idx="53">
                  <c:v>3.5202857803054703E-2</c:v>
                </c:pt>
                <c:pt idx="54">
                  <c:v>3.52968343173009E-2</c:v>
                </c:pt>
                <c:pt idx="55">
                  <c:v>3.54018900337442E-2</c:v>
                </c:pt>
                <c:pt idx="56">
                  <c:v>3.55465334302894E-2</c:v>
                </c:pt>
                <c:pt idx="57">
                  <c:v>3.5738662271380103E-2</c:v>
                </c:pt>
                <c:pt idx="58">
                  <c:v>3.5966399058158197E-2</c:v>
                </c:pt>
                <c:pt idx="59">
                  <c:v>3.6218097588037498E-2</c:v>
                </c:pt>
                <c:pt idx="60">
                  <c:v>3.6463980190162601E-2</c:v>
                </c:pt>
                <c:pt idx="61">
                  <c:v>3.6734837435951399E-2</c:v>
                </c:pt>
                <c:pt idx="62">
                  <c:v>3.7027991669656403E-2</c:v>
                </c:pt>
                <c:pt idx="63">
                  <c:v>3.7318225701730399E-2</c:v>
                </c:pt>
                <c:pt idx="64">
                  <c:v>3.7595813614780399E-2</c:v>
                </c:pt>
                <c:pt idx="65">
                  <c:v>3.7864463551196798E-2</c:v>
                </c:pt>
                <c:pt idx="66">
                  <c:v>3.8130446979677497E-2</c:v>
                </c:pt>
                <c:pt idx="67">
                  <c:v>3.8391636746364102E-2</c:v>
                </c:pt>
                <c:pt idx="68">
                  <c:v>3.8647701963803301E-2</c:v>
                </c:pt>
                <c:pt idx="69">
                  <c:v>3.8891516447104001E-2</c:v>
                </c:pt>
              </c:numCache>
            </c:numRef>
          </c:val>
        </c:ser>
        <c:ser>
          <c:idx val="1"/>
          <c:order val="1"/>
          <c:tx>
            <c:strRef>
              <c:f>base!$A$116</c:f>
              <c:strCache>
                <c:ptCount val="1"/>
                <c:pt idx="0">
                  <c:v>basic pension</c:v>
                </c:pt>
              </c:strCache>
            </c:strRef>
          </c:tx>
          <c:spPr>
            <a:blipFill>
              <a:blip xmlns:r="http://schemas.openxmlformats.org/officeDocument/2006/relationships" r:embed="rId1"/>
              <a:tile tx="0" ty="0" sx="100000" sy="100000" flip="none" algn="tl"/>
            </a:blipFill>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base!$B$116:$BS$116</c:f>
              <c:numCache>
                <c:formatCode>0.0%</c:formatCode>
                <c:ptCount val="70"/>
                <c:pt idx="0">
                  <c:v>2.5766979176888E-2</c:v>
                </c:pt>
                <c:pt idx="1">
                  <c:v>3.47031710854485E-2</c:v>
                </c:pt>
                <c:pt idx="2">
                  <c:v>3.1472494791484999E-2</c:v>
                </c:pt>
                <c:pt idx="3">
                  <c:v>3.0480092393209399E-2</c:v>
                </c:pt>
                <c:pt idx="4">
                  <c:v>3.3185078316584703E-2</c:v>
                </c:pt>
                <c:pt idx="5">
                  <c:v>3.3491936771912797E-2</c:v>
                </c:pt>
                <c:pt idx="6">
                  <c:v>3.3859336635631399E-2</c:v>
                </c:pt>
                <c:pt idx="7">
                  <c:v>3.4418458418152997E-2</c:v>
                </c:pt>
                <c:pt idx="8">
                  <c:v>3.5150410045595597E-2</c:v>
                </c:pt>
                <c:pt idx="9">
                  <c:v>3.6034780573829202E-2</c:v>
                </c:pt>
                <c:pt idx="10">
                  <c:v>3.7081640786387801E-2</c:v>
                </c:pt>
                <c:pt idx="11">
                  <c:v>3.8265481359162398E-2</c:v>
                </c:pt>
                <c:pt idx="12">
                  <c:v>3.9372453433731101E-2</c:v>
                </c:pt>
                <c:pt idx="13">
                  <c:v>4.0376997891179101E-2</c:v>
                </c:pt>
                <c:pt idx="14">
                  <c:v>4.1261765619609501E-2</c:v>
                </c:pt>
                <c:pt idx="15">
                  <c:v>4.2017544542957301E-2</c:v>
                </c:pt>
                <c:pt idx="16">
                  <c:v>4.2744429602461401E-2</c:v>
                </c:pt>
                <c:pt idx="17">
                  <c:v>4.3390679904763099E-2</c:v>
                </c:pt>
                <c:pt idx="18">
                  <c:v>4.3961973615486198E-2</c:v>
                </c:pt>
                <c:pt idx="19">
                  <c:v>4.4476090671681602E-2</c:v>
                </c:pt>
                <c:pt idx="20">
                  <c:v>4.49918689681785E-2</c:v>
                </c:pt>
                <c:pt idx="21">
                  <c:v>4.5475268511342898E-2</c:v>
                </c:pt>
                <c:pt idx="22">
                  <c:v>4.5933350487990403E-2</c:v>
                </c:pt>
                <c:pt idx="23">
                  <c:v>4.6373011536772299E-2</c:v>
                </c:pt>
                <c:pt idx="24">
                  <c:v>4.6807662502876997E-2</c:v>
                </c:pt>
                <c:pt idx="25">
                  <c:v>4.72669074468672E-2</c:v>
                </c:pt>
                <c:pt idx="26">
                  <c:v>4.7523522150268602E-2</c:v>
                </c:pt>
                <c:pt idx="27">
                  <c:v>4.77965322429144E-2</c:v>
                </c:pt>
                <c:pt idx="28">
                  <c:v>4.8096671519725798E-2</c:v>
                </c:pt>
                <c:pt idx="29">
                  <c:v>4.8424316464741102E-2</c:v>
                </c:pt>
                <c:pt idx="30">
                  <c:v>4.8782100801850498E-2</c:v>
                </c:pt>
                <c:pt idx="31">
                  <c:v>4.9176837735987002E-2</c:v>
                </c:pt>
                <c:pt idx="32">
                  <c:v>4.9609431271448998E-2</c:v>
                </c:pt>
                <c:pt idx="33">
                  <c:v>5.0070004382089098E-2</c:v>
                </c:pt>
                <c:pt idx="34">
                  <c:v>5.0546715309057397E-2</c:v>
                </c:pt>
                <c:pt idx="35">
                  <c:v>5.1041533436141498E-2</c:v>
                </c:pt>
                <c:pt idx="36">
                  <c:v>5.15380893466496E-2</c:v>
                </c:pt>
                <c:pt idx="37">
                  <c:v>5.2018296959041498E-2</c:v>
                </c:pt>
                <c:pt idx="38">
                  <c:v>5.2460903402320298E-2</c:v>
                </c:pt>
                <c:pt idx="39">
                  <c:v>5.2853511747544699E-2</c:v>
                </c:pt>
                <c:pt idx="40">
                  <c:v>5.3196315382534103E-2</c:v>
                </c:pt>
                <c:pt idx="41">
                  <c:v>5.34854571579369E-2</c:v>
                </c:pt>
                <c:pt idx="42">
                  <c:v>5.3713247842857102E-2</c:v>
                </c:pt>
                <c:pt idx="43">
                  <c:v>5.3880423610905698E-2</c:v>
                </c:pt>
                <c:pt idx="44">
                  <c:v>5.3987264146238702E-2</c:v>
                </c:pt>
                <c:pt idx="45">
                  <c:v>5.4043348855658098E-2</c:v>
                </c:pt>
                <c:pt idx="46">
                  <c:v>5.4069473840353197E-2</c:v>
                </c:pt>
                <c:pt idx="47">
                  <c:v>5.4078810706128001E-2</c:v>
                </c:pt>
                <c:pt idx="48">
                  <c:v>5.4077800719139403E-2</c:v>
                </c:pt>
                <c:pt idx="49">
                  <c:v>5.4066865763989599E-2</c:v>
                </c:pt>
                <c:pt idx="50">
                  <c:v>5.4040405535664797E-2</c:v>
                </c:pt>
                <c:pt idx="51">
                  <c:v>5.4019371480437103E-2</c:v>
                </c:pt>
                <c:pt idx="52">
                  <c:v>5.4023004310036003E-2</c:v>
                </c:pt>
                <c:pt idx="53">
                  <c:v>5.4060549655489697E-2</c:v>
                </c:pt>
                <c:pt idx="54">
                  <c:v>5.4133079499248997E-2</c:v>
                </c:pt>
                <c:pt idx="55">
                  <c:v>5.4206470952048197E-2</c:v>
                </c:pt>
                <c:pt idx="56">
                  <c:v>5.4331014271717097E-2</c:v>
                </c:pt>
                <c:pt idx="57">
                  <c:v>5.4516638125533798E-2</c:v>
                </c:pt>
                <c:pt idx="58">
                  <c:v>5.4744845676858001E-2</c:v>
                </c:pt>
                <c:pt idx="59">
                  <c:v>5.4995535272212501E-2</c:v>
                </c:pt>
                <c:pt idx="60">
                  <c:v>5.5230180418018603E-2</c:v>
                </c:pt>
                <c:pt idx="61">
                  <c:v>5.54937817756481E-2</c:v>
                </c:pt>
                <c:pt idx="62">
                  <c:v>5.5784990648985899E-2</c:v>
                </c:pt>
                <c:pt idx="63">
                  <c:v>5.60759460888424E-2</c:v>
                </c:pt>
                <c:pt idx="64">
                  <c:v>5.6354740741844399E-2</c:v>
                </c:pt>
                <c:pt idx="65">
                  <c:v>5.6624242380300498E-2</c:v>
                </c:pt>
                <c:pt idx="66">
                  <c:v>5.6894862670678198E-2</c:v>
                </c:pt>
                <c:pt idx="67">
                  <c:v>5.7165826828392198E-2</c:v>
                </c:pt>
                <c:pt idx="68">
                  <c:v>5.7437354960611697E-2</c:v>
                </c:pt>
                <c:pt idx="69">
                  <c:v>5.76988908567777E-2</c:v>
                </c:pt>
              </c:numCache>
            </c:numRef>
          </c:val>
        </c:ser>
        <c:ser>
          <c:idx val="2"/>
          <c:order val="2"/>
          <c:tx>
            <c:strRef>
              <c:f>base!$A$117</c:f>
              <c:strCache>
                <c:ptCount val="1"/>
                <c:pt idx="0">
                  <c:v>social pension</c:v>
                </c:pt>
              </c:strCache>
            </c:strRef>
          </c:tx>
          <c:spPr>
            <a:solidFill>
              <a:schemeClr val="tx1"/>
            </a:solidFill>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base!$B$117:$BS$117</c:f>
              <c:numCache>
                <c:formatCode>0.0%</c:formatCode>
                <c:ptCount val="70"/>
                <c:pt idx="0">
                  <c:v>8.7877383588212096E-5</c:v>
                </c:pt>
                <c:pt idx="1">
                  <c:v>8.5561726617616298E-5</c:v>
                </c:pt>
                <c:pt idx="2">
                  <c:v>7.5277835127819401E-5</c:v>
                </c:pt>
                <c:pt idx="3">
                  <c:v>7.1233811474921696E-5</c:v>
                </c:pt>
                <c:pt idx="4">
                  <c:v>7.6507596273005693E-5</c:v>
                </c:pt>
                <c:pt idx="5">
                  <c:v>7.6698569419402394E-5</c:v>
                </c:pt>
                <c:pt idx="6">
                  <c:v>7.7584040723493596E-5</c:v>
                </c:pt>
                <c:pt idx="7">
                  <c:v>7.9303388162494303E-5</c:v>
                </c:pt>
                <c:pt idx="8">
                  <c:v>8.1789998319422707E-5</c:v>
                </c:pt>
                <c:pt idx="9">
                  <c:v>8.5030176891084995E-5</c:v>
                </c:pt>
                <c:pt idx="10">
                  <c:v>8.8901212828956195E-5</c:v>
                </c:pt>
                <c:pt idx="11">
                  <c:v>9.3233187636515395E-5</c:v>
                </c:pt>
                <c:pt idx="12">
                  <c:v>9.7457304597634698E-5</c:v>
                </c:pt>
                <c:pt idx="13">
                  <c:v>1.0155002272246399E-4</c:v>
                </c:pt>
                <c:pt idx="14">
                  <c:v>5.1361017368703097E-4</c:v>
                </c:pt>
                <c:pt idx="15">
                  <c:v>7.9368168108382299E-4</c:v>
                </c:pt>
                <c:pt idx="16">
                  <c:v>1.0804422033170401E-3</c:v>
                </c:pt>
                <c:pt idx="17">
                  <c:v>1.3724556659326999E-3</c:v>
                </c:pt>
                <c:pt idx="18">
                  <c:v>1.6606732124623299E-3</c:v>
                </c:pt>
                <c:pt idx="19">
                  <c:v>1.94054690984504E-3</c:v>
                </c:pt>
                <c:pt idx="20">
                  <c:v>2.2061784579020002E-3</c:v>
                </c:pt>
                <c:pt idx="21">
                  <c:v>2.4476884281891299E-3</c:v>
                </c:pt>
                <c:pt idx="22">
                  <c:v>2.6606126896385001E-3</c:v>
                </c:pt>
                <c:pt idx="23">
                  <c:v>2.8474298000538E-3</c:v>
                </c:pt>
                <c:pt idx="24">
                  <c:v>3.0091561427480098E-3</c:v>
                </c:pt>
                <c:pt idx="25">
                  <c:v>3.1578499475066798E-3</c:v>
                </c:pt>
                <c:pt idx="26">
                  <c:v>3.2923309114645102E-3</c:v>
                </c:pt>
                <c:pt idx="27">
                  <c:v>3.4374297451981802E-3</c:v>
                </c:pt>
                <c:pt idx="28">
                  <c:v>3.59392510866522E-3</c:v>
                </c:pt>
                <c:pt idx="29">
                  <c:v>3.7614826238052401E-3</c:v>
                </c:pt>
                <c:pt idx="30">
                  <c:v>3.96543250868396E-3</c:v>
                </c:pt>
                <c:pt idx="31">
                  <c:v>4.23832501141937E-3</c:v>
                </c:pt>
                <c:pt idx="32">
                  <c:v>4.5992270959737897E-3</c:v>
                </c:pt>
                <c:pt idx="33">
                  <c:v>5.0429279240759902E-3</c:v>
                </c:pt>
                <c:pt idx="34">
                  <c:v>5.5707440850912499E-3</c:v>
                </c:pt>
                <c:pt idx="35">
                  <c:v>6.1649128848119197E-3</c:v>
                </c:pt>
                <c:pt idx="36">
                  <c:v>6.7982520641727898E-3</c:v>
                </c:pt>
                <c:pt idx="37">
                  <c:v>7.4554722220237998E-3</c:v>
                </c:pt>
                <c:pt idx="38">
                  <c:v>8.1430777714721504E-3</c:v>
                </c:pt>
                <c:pt idx="39">
                  <c:v>8.8632986286082491E-3</c:v>
                </c:pt>
                <c:pt idx="40">
                  <c:v>9.5877331149638503E-3</c:v>
                </c:pt>
                <c:pt idx="41">
                  <c:v>1.0280733472276499E-2</c:v>
                </c:pt>
                <c:pt idx="42">
                  <c:v>1.0919091547329699E-2</c:v>
                </c:pt>
                <c:pt idx="43">
                  <c:v>1.1505305458913701E-2</c:v>
                </c:pt>
                <c:pt idx="44">
                  <c:v>1.2031380527814901E-2</c:v>
                </c:pt>
                <c:pt idx="45">
                  <c:v>1.24960257055645E-2</c:v>
                </c:pt>
                <c:pt idx="46">
                  <c:v>1.28957305246429E-2</c:v>
                </c:pt>
                <c:pt idx="47">
                  <c:v>1.3227493863132199E-2</c:v>
                </c:pt>
                <c:pt idx="48">
                  <c:v>1.34934708904702E-2</c:v>
                </c:pt>
                <c:pt idx="49">
                  <c:v>1.3699054514853501E-2</c:v>
                </c:pt>
                <c:pt idx="50">
                  <c:v>1.3862688556813E-2</c:v>
                </c:pt>
                <c:pt idx="51">
                  <c:v>1.3990280738679899E-2</c:v>
                </c:pt>
                <c:pt idx="52">
                  <c:v>1.4092137070983101E-2</c:v>
                </c:pt>
                <c:pt idx="53">
                  <c:v>1.4187497715804799E-2</c:v>
                </c:pt>
                <c:pt idx="54">
                  <c:v>1.42934013380613E-2</c:v>
                </c:pt>
                <c:pt idx="55">
                  <c:v>1.44431474995045E-2</c:v>
                </c:pt>
                <c:pt idx="56">
                  <c:v>1.46554888392485E-2</c:v>
                </c:pt>
                <c:pt idx="57">
                  <c:v>1.4918700012659001E-2</c:v>
                </c:pt>
                <c:pt idx="58">
                  <c:v>1.50813563495321E-2</c:v>
                </c:pt>
                <c:pt idx="59">
                  <c:v>1.52934301257682E-2</c:v>
                </c:pt>
                <c:pt idx="60">
                  <c:v>1.5571022230185499E-2</c:v>
                </c:pt>
                <c:pt idx="61">
                  <c:v>1.5920904651579599E-2</c:v>
                </c:pt>
                <c:pt idx="62">
                  <c:v>1.6315893749626002E-2</c:v>
                </c:pt>
                <c:pt idx="63">
                  <c:v>1.6615090698487801E-2</c:v>
                </c:pt>
                <c:pt idx="64">
                  <c:v>1.6934813458235099E-2</c:v>
                </c:pt>
                <c:pt idx="65">
                  <c:v>1.7251272271002802E-2</c:v>
                </c:pt>
                <c:pt idx="66">
                  <c:v>1.7562274240237302E-2</c:v>
                </c:pt>
                <c:pt idx="67">
                  <c:v>1.7862705842559098E-2</c:v>
                </c:pt>
                <c:pt idx="68">
                  <c:v>1.81482431569297E-2</c:v>
                </c:pt>
                <c:pt idx="69">
                  <c:v>1.8413180118199E-2</c:v>
                </c:pt>
              </c:numCache>
            </c:numRef>
          </c:val>
        </c:ser>
        <c:dLbls>
          <c:showLegendKey val="0"/>
          <c:showVal val="0"/>
          <c:showCatName val="0"/>
          <c:showSerName val="0"/>
          <c:showPercent val="0"/>
          <c:showBubbleSize val="0"/>
        </c:dLbls>
        <c:axId val="295666432"/>
        <c:axId val="295667968"/>
      </c:areaChart>
      <c:catAx>
        <c:axId val="295666432"/>
        <c:scaling>
          <c:orientation val="minMax"/>
        </c:scaling>
        <c:delete val="0"/>
        <c:axPos val="b"/>
        <c:numFmt formatCode="0000" sourceLinked="1"/>
        <c:majorTickMark val="out"/>
        <c:minorTickMark val="none"/>
        <c:tickLblPos val="nextTo"/>
        <c:txPr>
          <a:bodyPr rot="2700000"/>
          <a:lstStyle/>
          <a:p>
            <a:pPr>
              <a:defRPr/>
            </a:pPr>
            <a:endParaRPr lang="en-US"/>
          </a:p>
        </c:txPr>
        <c:crossAx val="295667968"/>
        <c:crosses val="autoZero"/>
        <c:auto val="1"/>
        <c:lblAlgn val="ctr"/>
        <c:lblOffset val="100"/>
        <c:noMultiLvlLbl val="0"/>
      </c:catAx>
      <c:valAx>
        <c:axId val="295667968"/>
        <c:scaling>
          <c:orientation val="minMax"/>
        </c:scaling>
        <c:delete val="0"/>
        <c:axPos val="l"/>
        <c:majorGridlines/>
        <c:numFmt formatCode="0.0%" sourceLinked="1"/>
        <c:majorTickMark val="out"/>
        <c:minorTickMark val="none"/>
        <c:tickLblPos val="nextTo"/>
        <c:crossAx val="295666432"/>
        <c:crosses val="autoZero"/>
        <c:crossBetween val="midCat"/>
      </c:valAx>
    </c:plotArea>
    <c:legend>
      <c:legendPos val="b"/>
      <c:overlay val="0"/>
    </c:legend>
    <c:plotVisOnly val="1"/>
    <c:dispBlanksAs val="zero"/>
    <c:showDLblsOverMax val="0"/>
  </c:chart>
  <c:txPr>
    <a:bodyPr/>
    <a:lstStyle/>
    <a:p>
      <a:pPr>
        <a:defRPr sz="800" b="0">
          <a:latin typeface="Cambria"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28194185650505E-2"/>
          <c:y val="3.5859820700896501E-2"/>
          <c:w val="0.82143791418337897"/>
          <c:h val="0.71977311169437197"/>
        </c:manualLayout>
      </c:layout>
      <c:areaChart>
        <c:grouping val="stacked"/>
        <c:varyColors val="0"/>
        <c:ser>
          <c:idx val="1"/>
          <c:order val="0"/>
          <c:tx>
            <c:v>basic/demogrant</c:v>
          </c:tx>
          <c:spPr>
            <a:solidFill>
              <a:schemeClr val="tx1"/>
            </a:solidFill>
            <a:ln w="9525">
              <a:solidFill>
                <a:schemeClr val="tx1"/>
              </a:solidFill>
            </a:ln>
          </c:spPr>
          <c:val>
            <c:numRef>
              <c:f>'ref1'!$B$32:$BS$32</c:f>
              <c:numCache>
                <c:formatCode>0%</c:formatCode>
                <c:ptCount val="70"/>
                <c:pt idx="0">
                  <c:v>0.16119705488001601</c:v>
                </c:pt>
                <c:pt idx="1">
                  <c:v>0.17405235256944701</c:v>
                </c:pt>
                <c:pt idx="2">
                  <c:v>0.136707728339277</c:v>
                </c:pt>
                <c:pt idx="3">
                  <c:v>0.13693108185226299</c:v>
                </c:pt>
                <c:pt idx="4">
                  <c:v>0.148843345836777</c:v>
                </c:pt>
                <c:pt idx="5">
                  <c:v>0.14905254177694099</c:v>
                </c:pt>
                <c:pt idx="6">
                  <c:v>0.149025901807462</c:v>
                </c:pt>
                <c:pt idx="7">
                  <c:v>0.14901904620505399</c:v>
                </c:pt>
                <c:pt idx="8">
                  <c:v>0.149028271064268</c:v>
                </c:pt>
                <c:pt idx="9">
                  <c:v>0.149050662942943</c:v>
                </c:pt>
                <c:pt idx="10">
                  <c:v>0.149086022664741</c:v>
                </c:pt>
                <c:pt idx="11">
                  <c:v>0.14913545551610999</c:v>
                </c:pt>
                <c:pt idx="12">
                  <c:v>0.14918439810222001</c:v>
                </c:pt>
                <c:pt idx="13">
                  <c:v>0.149236263838118</c:v>
                </c:pt>
                <c:pt idx="14">
                  <c:v>0.14929208772014499</c:v>
                </c:pt>
                <c:pt idx="15">
                  <c:v>0.149256745695899</c:v>
                </c:pt>
                <c:pt idx="16">
                  <c:v>0.14929697021402699</c:v>
                </c:pt>
                <c:pt idx="17">
                  <c:v>0.14932964577688701</c:v>
                </c:pt>
                <c:pt idx="18">
                  <c:v>0.14935146284657899</c:v>
                </c:pt>
                <c:pt idx="19">
                  <c:v>0.14936132897733401</c:v>
                </c:pt>
                <c:pt idx="20">
                  <c:v>0.14936003972877099</c:v>
                </c:pt>
                <c:pt idx="21">
                  <c:v>0.14934986845377901</c:v>
                </c:pt>
                <c:pt idx="22">
                  <c:v>0.14933406562408399</c:v>
                </c:pt>
                <c:pt idx="23">
                  <c:v>0.14931582926211601</c:v>
                </c:pt>
                <c:pt idx="24">
                  <c:v>0.14930287139349099</c:v>
                </c:pt>
                <c:pt idx="25">
                  <c:v>0.149964519575675</c:v>
                </c:pt>
                <c:pt idx="26">
                  <c:v>0.14996301399153</c:v>
                </c:pt>
                <c:pt idx="27">
                  <c:v>0.149950848424724</c:v>
                </c:pt>
                <c:pt idx="28">
                  <c:v>0.14994107690181199</c:v>
                </c:pt>
                <c:pt idx="29">
                  <c:v>0.14992912221208701</c:v>
                </c:pt>
                <c:pt idx="30">
                  <c:v>0.149912237123416</c:v>
                </c:pt>
                <c:pt idx="31">
                  <c:v>0.149899585616319</c:v>
                </c:pt>
                <c:pt idx="32">
                  <c:v>0.14989573818838201</c:v>
                </c:pt>
                <c:pt idx="33">
                  <c:v>0.14989877982172001</c:v>
                </c:pt>
                <c:pt idx="34">
                  <c:v>0.14990586432072001</c:v>
                </c:pt>
                <c:pt idx="35">
                  <c:v>0.14991471657463701</c:v>
                </c:pt>
                <c:pt idx="36">
                  <c:v>0.14992854334271699</c:v>
                </c:pt>
                <c:pt idx="37">
                  <c:v>0.14994660328312501</c:v>
                </c:pt>
                <c:pt idx="38">
                  <c:v>0.14996633541828699</c:v>
                </c:pt>
                <c:pt idx="39">
                  <c:v>0.14998427861653699</c:v>
                </c:pt>
                <c:pt idx="40">
                  <c:v>0.14999885778822999</c:v>
                </c:pt>
                <c:pt idx="41">
                  <c:v>0.150011559755</c:v>
                </c:pt>
                <c:pt idx="42">
                  <c:v>0.15001103580830599</c:v>
                </c:pt>
                <c:pt idx="43">
                  <c:v>0.15001036452539099</c:v>
                </c:pt>
                <c:pt idx="44">
                  <c:v>0.15001103756182199</c:v>
                </c:pt>
                <c:pt idx="45">
                  <c:v>0.15000543252255399</c:v>
                </c:pt>
                <c:pt idx="46">
                  <c:v>0.14999971980100499</c:v>
                </c:pt>
                <c:pt idx="47">
                  <c:v>0.149996803626436</c:v>
                </c:pt>
                <c:pt idx="48">
                  <c:v>0.14999028330518599</c:v>
                </c:pt>
                <c:pt idx="49">
                  <c:v>0.14998294854404101</c:v>
                </c:pt>
                <c:pt idx="50">
                  <c:v>0.14997772508121801</c:v>
                </c:pt>
                <c:pt idx="51">
                  <c:v>0.14996665979504001</c:v>
                </c:pt>
                <c:pt idx="52">
                  <c:v>0.149960385717989</c:v>
                </c:pt>
                <c:pt idx="53">
                  <c:v>0.149957841102004</c:v>
                </c:pt>
                <c:pt idx="54">
                  <c:v>0.14995642126004799</c:v>
                </c:pt>
                <c:pt idx="55">
                  <c:v>0.149952294084021</c:v>
                </c:pt>
                <c:pt idx="56">
                  <c:v>0.14995660592982901</c:v>
                </c:pt>
                <c:pt idx="57">
                  <c:v>0.14996265809063</c:v>
                </c:pt>
                <c:pt idx="58">
                  <c:v>0.14997108042681001</c:v>
                </c:pt>
                <c:pt idx="59">
                  <c:v>0.149983775165907</c:v>
                </c:pt>
                <c:pt idx="60">
                  <c:v>0.14998983811407299</c:v>
                </c:pt>
                <c:pt idx="61">
                  <c:v>0.15000240775366</c:v>
                </c:pt>
                <c:pt idx="62">
                  <c:v>0.15001714193924501</c:v>
                </c:pt>
                <c:pt idx="63">
                  <c:v>0.15001181368348601</c:v>
                </c:pt>
                <c:pt idx="64">
                  <c:v>0.15000579688833299</c:v>
                </c:pt>
                <c:pt idx="65">
                  <c:v>0.15000903810100299</c:v>
                </c:pt>
                <c:pt idx="66">
                  <c:v>0.15001157512059099</c:v>
                </c:pt>
                <c:pt idx="67">
                  <c:v>0.150012887739291</c:v>
                </c:pt>
                <c:pt idx="68">
                  <c:v>0.150013521920559</c:v>
                </c:pt>
                <c:pt idx="69">
                  <c:v>0.15001665934560199</c:v>
                </c:pt>
              </c:numCache>
            </c:numRef>
          </c:val>
        </c:ser>
        <c:ser>
          <c:idx val="0"/>
          <c:order val="1"/>
          <c:tx>
            <c:v>SP1+SP2</c:v>
          </c:tx>
          <c:spPr>
            <a:blipFill>
              <a:blip xmlns:r="http://schemas.openxmlformats.org/officeDocument/2006/relationships" r:embed="rId1"/>
              <a:tile tx="0" ty="0" sx="100000" sy="100000" flip="none" algn="tl"/>
            </a:blipFill>
            <a:ln w="9525">
              <a:solidFill>
                <a:schemeClr val="tx1"/>
              </a:solidFill>
            </a:ln>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'ref1'!$B$28:$BS$28</c:f>
              <c:numCache>
                <c:formatCode>0%</c:formatCode>
                <c:ptCount val="70"/>
                <c:pt idx="0">
                  <c:v>0.26910343659559099</c:v>
                </c:pt>
                <c:pt idx="1">
                  <c:v>0.300893765973129</c:v>
                </c:pt>
                <c:pt idx="2">
                  <c:v>0.301910074479527</c:v>
                </c:pt>
                <c:pt idx="3">
                  <c:v>0.29321390559559302</c:v>
                </c:pt>
                <c:pt idx="4">
                  <c:v>0.31336349165147998</c:v>
                </c:pt>
                <c:pt idx="5">
                  <c:v>0.30866274291114698</c:v>
                </c:pt>
                <c:pt idx="6">
                  <c:v>0.30367428995304402</c:v>
                </c:pt>
                <c:pt idx="7">
                  <c:v>0.29877371093057398</c:v>
                </c:pt>
                <c:pt idx="8">
                  <c:v>0.29401858634892503</c:v>
                </c:pt>
                <c:pt idx="9">
                  <c:v>0.28939455723662</c:v>
                </c:pt>
                <c:pt idx="10">
                  <c:v>0.284835630871975</c:v>
                </c:pt>
                <c:pt idx="11">
                  <c:v>0.28039512602365602</c:v>
                </c:pt>
                <c:pt idx="12">
                  <c:v>0.27606200016871102</c:v>
                </c:pt>
                <c:pt idx="13">
                  <c:v>0.27178961359562598</c:v>
                </c:pt>
                <c:pt idx="14">
                  <c:v>0.26735110988453198</c:v>
                </c:pt>
                <c:pt idx="15">
                  <c:v>0.26257637145151802</c:v>
                </c:pt>
                <c:pt idx="16">
                  <c:v>0.25801641472921599</c:v>
                </c:pt>
                <c:pt idx="17">
                  <c:v>0.25333375869102698</c:v>
                </c:pt>
                <c:pt idx="18">
                  <c:v>0.24852028319070901</c:v>
                </c:pt>
                <c:pt idx="19">
                  <c:v>0.243733459103158</c:v>
                </c:pt>
                <c:pt idx="20">
                  <c:v>0.239018159198578</c:v>
                </c:pt>
                <c:pt idx="21">
                  <c:v>0.23446317734595901</c:v>
                </c:pt>
                <c:pt idx="22">
                  <c:v>0.23009513240520699</c:v>
                </c:pt>
                <c:pt idx="23">
                  <c:v>0.22595422720992001</c:v>
                </c:pt>
                <c:pt idx="24">
                  <c:v>0.22209826323464901</c:v>
                </c:pt>
                <c:pt idx="25">
                  <c:v>0.21949490728018101</c:v>
                </c:pt>
                <c:pt idx="26">
                  <c:v>0.21605539652841199</c:v>
                </c:pt>
                <c:pt idx="27">
                  <c:v>0.21290960718907201</c:v>
                </c:pt>
                <c:pt idx="28">
                  <c:v>0.21010688331900501</c:v>
                </c:pt>
                <c:pt idx="29">
                  <c:v>0.20765318246564601</c:v>
                </c:pt>
                <c:pt idx="30">
                  <c:v>0.20556768355504099</c:v>
                </c:pt>
                <c:pt idx="31">
                  <c:v>0.203883643127686</c:v>
                </c:pt>
                <c:pt idx="32">
                  <c:v>0.20260519961024701</c:v>
                </c:pt>
                <c:pt idx="33">
                  <c:v>0.20174095970165701</c:v>
                </c:pt>
                <c:pt idx="34">
                  <c:v>0.201256767248851</c:v>
                </c:pt>
                <c:pt idx="35">
                  <c:v>0.20112996059608099</c:v>
                </c:pt>
                <c:pt idx="36">
                  <c:v>0.20132771968483901</c:v>
                </c:pt>
                <c:pt idx="37">
                  <c:v>0.20181547021724699</c:v>
                </c:pt>
                <c:pt idx="38">
                  <c:v>0.202519633009838</c:v>
                </c:pt>
                <c:pt idx="39">
                  <c:v>0.203384554673332</c:v>
                </c:pt>
                <c:pt idx="40">
                  <c:v>0.204329180912452</c:v>
                </c:pt>
                <c:pt idx="41">
                  <c:v>0.20528979824523</c:v>
                </c:pt>
                <c:pt idx="42">
                  <c:v>0.20620025002981501</c:v>
                </c:pt>
                <c:pt idx="43">
                  <c:v>0.20701974099091</c:v>
                </c:pt>
                <c:pt idx="44">
                  <c:v>0.207742183715246</c:v>
                </c:pt>
                <c:pt idx="45">
                  <c:v>0.20836149573883</c:v>
                </c:pt>
                <c:pt idx="46">
                  <c:v>0.20884960444946299</c:v>
                </c:pt>
                <c:pt idx="47">
                  <c:v>0.209228454298168</c:v>
                </c:pt>
                <c:pt idx="48">
                  <c:v>0.20945491204119901</c:v>
                </c:pt>
                <c:pt idx="49">
                  <c:v>0.20952095907992799</c:v>
                </c:pt>
                <c:pt idx="50">
                  <c:v>0.20952060475061701</c:v>
                </c:pt>
                <c:pt idx="51">
                  <c:v>0.20943820603133101</c:v>
                </c:pt>
                <c:pt idx="52">
                  <c:v>0.209304891106559</c:v>
                </c:pt>
                <c:pt idx="53">
                  <c:v>0.20912665049781001</c:v>
                </c:pt>
                <c:pt idx="54">
                  <c:v>0.208920204201332</c:v>
                </c:pt>
                <c:pt idx="55">
                  <c:v>0.20872648036529001</c:v>
                </c:pt>
                <c:pt idx="56">
                  <c:v>0.208580042571993</c:v>
                </c:pt>
                <c:pt idx="57">
                  <c:v>0.208501162781149</c:v>
                </c:pt>
                <c:pt idx="58">
                  <c:v>0.208497613515778</c:v>
                </c:pt>
                <c:pt idx="59">
                  <c:v>0.208580994388468</c:v>
                </c:pt>
                <c:pt idx="60">
                  <c:v>0.20869485778166799</c:v>
                </c:pt>
                <c:pt idx="61">
                  <c:v>0.20890406199544501</c:v>
                </c:pt>
                <c:pt idx="62">
                  <c:v>0.20919088595236901</c:v>
                </c:pt>
                <c:pt idx="63">
                  <c:v>0.209425056862136</c:v>
                </c:pt>
                <c:pt idx="64">
                  <c:v>0.20960812315887201</c:v>
                </c:pt>
                <c:pt idx="65">
                  <c:v>0.20981191867516299</c:v>
                </c:pt>
                <c:pt idx="66">
                  <c:v>0.21001247644600299</c:v>
                </c:pt>
                <c:pt idx="67">
                  <c:v>0.210195376247061</c:v>
                </c:pt>
                <c:pt idx="68">
                  <c:v>0.21035557459357401</c:v>
                </c:pt>
                <c:pt idx="69">
                  <c:v>0.21048946509965399</c:v>
                </c:pt>
              </c:numCache>
            </c:numRef>
          </c:val>
        </c:ser>
        <c:dLbls>
          <c:showLegendKey val="0"/>
          <c:showVal val="0"/>
          <c:showCatName val="0"/>
          <c:showSerName val="0"/>
          <c:showPercent val="0"/>
          <c:showBubbleSize val="0"/>
        </c:dLbls>
        <c:axId val="295688832"/>
        <c:axId val="295305600"/>
      </c:areaChart>
      <c:catAx>
        <c:axId val="295688832"/>
        <c:scaling>
          <c:orientation val="minMax"/>
        </c:scaling>
        <c:delete val="0"/>
        <c:axPos val="b"/>
        <c:numFmt formatCode="0000" sourceLinked="1"/>
        <c:majorTickMark val="out"/>
        <c:minorTickMark val="none"/>
        <c:tickLblPos val="nextTo"/>
        <c:txPr>
          <a:bodyPr rot="2700000"/>
          <a:lstStyle/>
          <a:p>
            <a:pPr>
              <a:defRPr sz="800" b="0"/>
            </a:pPr>
            <a:endParaRPr lang="en-US"/>
          </a:p>
        </c:txPr>
        <c:crossAx val="295305600"/>
        <c:crosses val="autoZero"/>
        <c:auto val="1"/>
        <c:lblAlgn val="ctr"/>
        <c:lblOffset val="100"/>
        <c:noMultiLvlLbl val="0"/>
      </c:catAx>
      <c:valAx>
        <c:axId val="295305600"/>
        <c:scaling>
          <c:orientation val="minMax"/>
        </c:scaling>
        <c:delete val="0"/>
        <c:axPos val="l"/>
        <c:majorGridlines/>
        <c:numFmt formatCode="0%" sourceLinked="0"/>
        <c:majorTickMark val="out"/>
        <c:minorTickMark val="none"/>
        <c:tickLblPos val="nextTo"/>
        <c:txPr>
          <a:bodyPr/>
          <a:lstStyle/>
          <a:p>
            <a:pPr>
              <a:defRPr sz="800" b="0"/>
            </a:pPr>
            <a:endParaRPr lang="en-US"/>
          </a:p>
        </c:txPr>
        <c:crossAx val="295688832"/>
        <c:crosses val="autoZero"/>
        <c:crossBetween val="midCat"/>
      </c:valAx>
    </c:plotArea>
    <c:legend>
      <c:legendPos val="b"/>
      <c:layout>
        <c:manualLayout>
          <c:xMode val="edge"/>
          <c:yMode val="edge"/>
          <c:x val="0.31215760310662899"/>
          <c:y val="0.90504424446944098"/>
          <c:w val="0.30271162669551799"/>
          <c:h val="4.81540663162826E-2"/>
        </c:manualLayout>
      </c:layout>
      <c:overlay val="0"/>
      <c:txPr>
        <a:bodyPr/>
        <a:lstStyle/>
        <a:p>
          <a:pPr>
            <a:defRPr sz="800" b="0"/>
          </a:pPr>
          <a:endParaRPr lang="en-US"/>
        </a:p>
      </c:txPr>
    </c:legend>
    <c:plotVisOnly val="1"/>
    <c:dispBlanksAs val="gap"/>
    <c:showDLblsOverMax val="0"/>
  </c:chart>
  <c:txPr>
    <a:bodyPr/>
    <a:lstStyle/>
    <a:p>
      <a:pPr>
        <a:defRPr sz="1600" b="1">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v>basic/demogrant</c:v>
          </c:tx>
          <c:spPr>
            <a:solidFill>
              <a:schemeClr val="tx1"/>
            </a:solidFill>
            <a:ln w="9525">
              <a:solidFill>
                <a:schemeClr val="tx1"/>
              </a:solidFill>
            </a:ln>
          </c:spPr>
          <c:val>
            <c:numRef>
              <c:f>'ref2'!$B$32:$BS$32</c:f>
              <c:numCache>
                <c:formatCode>0%</c:formatCode>
                <c:ptCount val="70"/>
                <c:pt idx="0">
                  <c:v>0.16119705488001601</c:v>
                </c:pt>
                <c:pt idx="1">
                  <c:v>0.17405235256944701</c:v>
                </c:pt>
                <c:pt idx="2">
                  <c:v>0.136707728339277</c:v>
                </c:pt>
                <c:pt idx="3">
                  <c:v>0.13693108185226299</c:v>
                </c:pt>
                <c:pt idx="4">
                  <c:v>0.148843345836777</c:v>
                </c:pt>
                <c:pt idx="5">
                  <c:v>0.14905254177694099</c:v>
                </c:pt>
                <c:pt idx="6">
                  <c:v>0.149025901807462</c:v>
                </c:pt>
                <c:pt idx="7">
                  <c:v>0.14901904620505399</c:v>
                </c:pt>
                <c:pt idx="8">
                  <c:v>0.149028271064268</c:v>
                </c:pt>
                <c:pt idx="9">
                  <c:v>0.149050662942943</c:v>
                </c:pt>
                <c:pt idx="10">
                  <c:v>0.149086022664741</c:v>
                </c:pt>
                <c:pt idx="11">
                  <c:v>0.14913545551610999</c:v>
                </c:pt>
                <c:pt idx="12">
                  <c:v>0.14918439810222001</c:v>
                </c:pt>
                <c:pt idx="13">
                  <c:v>0.149236263838118</c:v>
                </c:pt>
                <c:pt idx="14">
                  <c:v>0.14929208772014499</c:v>
                </c:pt>
                <c:pt idx="15">
                  <c:v>0.149256745695899</c:v>
                </c:pt>
                <c:pt idx="16">
                  <c:v>0.14929697021402699</c:v>
                </c:pt>
                <c:pt idx="17">
                  <c:v>0.14932964577688701</c:v>
                </c:pt>
                <c:pt idx="18">
                  <c:v>0.14935146284657899</c:v>
                </c:pt>
                <c:pt idx="19">
                  <c:v>0.14936132897733401</c:v>
                </c:pt>
                <c:pt idx="20">
                  <c:v>0.14936003972877099</c:v>
                </c:pt>
                <c:pt idx="21">
                  <c:v>0.14934986845377901</c:v>
                </c:pt>
                <c:pt idx="22">
                  <c:v>0.14933406562408399</c:v>
                </c:pt>
                <c:pt idx="23">
                  <c:v>0.14931582926211601</c:v>
                </c:pt>
                <c:pt idx="24">
                  <c:v>0.14930287139349099</c:v>
                </c:pt>
                <c:pt idx="25">
                  <c:v>0.149964519575675</c:v>
                </c:pt>
                <c:pt idx="26">
                  <c:v>0.14996301399153</c:v>
                </c:pt>
                <c:pt idx="27">
                  <c:v>0.149950848424724</c:v>
                </c:pt>
                <c:pt idx="28">
                  <c:v>0.14994107690181199</c:v>
                </c:pt>
                <c:pt idx="29">
                  <c:v>0.14992912221208701</c:v>
                </c:pt>
                <c:pt idx="30">
                  <c:v>0.149912237123416</c:v>
                </c:pt>
                <c:pt idx="31">
                  <c:v>0.149899585616319</c:v>
                </c:pt>
                <c:pt idx="32">
                  <c:v>0.14989573818838201</c:v>
                </c:pt>
                <c:pt idx="33">
                  <c:v>0.14989877982172001</c:v>
                </c:pt>
                <c:pt idx="34">
                  <c:v>0.14990586432072001</c:v>
                </c:pt>
                <c:pt idx="35">
                  <c:v>0.14991471657463701</c:v>
                </c:pt>
                <c:pt idx="36">
                  <c:v>0.14992854334271699</c:v>
                </c:pt>
                <c:pt idx="37">
                  <c:v>0.14994660328312501</c:v>
                </c:pt>
                <c:pt idx="38">
                  <c:v>0.14996633541828699</c:v>
                </c:pt>
                <c:pt idx="39">
                  <c:v>0.14998427861653699</c:v>
                </c:pt>
                <c:pt idx="40">
                  <c:v>0.14999885778822999</c:v>
                </c:pt>
                <c:pt idx="41">
                  <c:v>0.150011559755</c:v>
                </c:pt>
                <c:pt idx="42">
                  <c:v>0.15001103580830599</c:v>
                </c:pt>
                <c:pt idx="43">
                  <c:v>0.15001036452539099</c:v>
                </c:pt>
                <c:pt idx="44">
                  <c:v>0.15001103756182199</c:v>
                </c:pt>
                <c:pt idx="45">
                  <c:v>0.15000543252255399</c:v>
                </c:pt>
                <c:pt idx="46">
                  <c:v>0.14999971980100499</c:v>
                </c:pt>
                <c:pt idx="47">
                  <c:v>0.149996803626436</c:v>
                </c:pt>
                <c:pt idx="48">
                  <c:v>0.14999028330518599</c:v>
                </c:pt>
                <c:pt idx="49">
                  <c:v>0.14998294854404101</c:v>
                </c:pt>
                <c:pt idx="50">
                  <c:v>0.14997772508121801</c:v>
                </c:pt>
                <c:pt idx="51">
                  <c:v>0.14996665979504001</c:v>
                </c:pt>
                <c:pt idx="52">
                  <c:v>0.149960385717989</c:v>
                </c:pt>
                <c:pt idx="53">
                  <c:v>0.149957841102004</c:v>
                </c:pt>
                <c:pt idx="54">
                  <c:v>0.14995642126004799</c:v>
                </c:pt>
                <c:pt idx="55">
                  <c:v>0.149952294084021</c:v>
                </c:pt>
                <c:pt idx="56">
                  <c:v>0.14995660592982901</c:v>
                </c:pt>
                <c:pt idx="57">
                  <c:v>0.14996265809063</c:v>
                </c:pt>
                <c:pt idx="58">
                  <c:v>0.14997108042681001</c:v>
                </c:pt>
                <c:pt idx="59">
                  <c:v>0.149983775165907</c:v>
                </c:pt>
                <c:pt idx="60">
                  <c:v>0.14998983811407299</c:v>
                </c:pt>
                <c:pt idx="61">
                  <c:v>0.15000240775366</c:v>
                </c:pt>
                <c:pt idx="62">
                  <c:v>0.15001714193924501</c:v>
                </c:pt>
                <c:pt idx="63">
                  <c:v>0.15001181368348601</c:v>
                </c:pt>
                <c:pt idx="64">
                  <c:v>0.15000579688833299</c:v>
                </c:pt>
                <c:pt idx="65">
                  <c:v>0.15000903810100299</c:v>
                </c:pt>
                <c:pt idx="66">
                  <c:v>0.15001157512059099</c:v>
                </c:pt>
                <c:pt idx="67">
                  <c:v>0.150012887739291</c:v>
                </c:pt>
                <c:pt idx="68">
                  <c:v>0.150013521920559</c:v>
                </c:pt>
                <c:pt idx="69">
                  <c:v>0.15001665934560199</c:v>
                </c:pt>
              </c:numCache>
            </c:numRef>
          </c:val>
        </c:ser>
        <c:ser>
          <c:idx val="0"/>
          <c:order val="1"/>
          <c:tx>
            <c:v>SP1+SP2</c:v>
          </c:tx>
          <c:spPr>
            <a:blipFill>
              <a:blip xmlns:r="http://schemas.openxmlformats.org/officeDocument/2006/relationships" r:embed="rId1"/>
              <a:tile tx="0" ty="0" sx="100000" sy="100000" flip="none" algn="tl"/>
            </a:blipFill>
            <a:ln w="9525">
              <a:solidFill>
                <a:schemeClr val="tx1"/>
              </a:solidFill>
            </a:ln>
          </c:spPr>
          <c:cat>
            <c:numRef>
              <c:f>base!$B$2:$BS$2</c:f>
              <c:numCache>
                <c:formatCode>0000</c:formatCode>
                <c:ptCount val="7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pt idx="30">
                  <c:v>2041</c:v>
                </c:pt>
                <c:pt idx="31">
                  <c:v>2042</c:v>
                </c:pt>
                <c:pt idx="32">
                  <c:v>2043</c:v>
                </c:pt>
                <c:pt idx="33">
                  <c:v>2044</c:v>
                </c:pt>
                <c:pt idx="34">
                  <c:v>2045</c:v>
                </c:pt>
                <c:pt idx="35">
                  <c:v>2046</c:v>
                </c:pt>
                <c:pt idx="36">
                  <c:v>2047</c:v>
                </c:pt>
                <c:pt idx="37">
                  <c:v>2048</c:v>
                </c:pt>
                <c:pt idx="38">
                  <c:v>2049</c:v>
                </c:pt>
                <c:pt idx="39">
                  <c:v>2050</c:v>
                </c:pt>
                <c:pt idx="40">
                  <c:v>2051</c:v>
                </c:pt>
                <c:pt idx="41">
                  <c:v>2052</c:v>
                </c:pt>
                <c:pt idx="42">
                  <c:v>2053</c:v>
                </c:pt>
                <c:pt idx="43">
                  <c:v>2054</c:v>
                </c:pt>
                <c:pt idx="44">
                  <c:v>2055</c:v>
                </c:pt>
                <c:pt idx="45">
                  <c:v>2056</c:v>
                </c:pt>
                <c:pt idx="46">
                  <c:v>2057</c:v>
                </c:pt>
                <c:pt idx="47">
                  <c:v>2058</c:v>
                </c:pt>
                <c:pt idx="48">
                  <c:v>2059</c:v>
                </c:pt>
                <c:pt idx="49">
                  <c:v>2060</c:v>
                </c:pt>
                <c:pt idx="50">
                  <c:v>2061</c:v>
                </c:pt>
                <c:pt idx="51">
                  <c:v>2062</c:v>
                </c:pt>
                <c:pt idx="52">
                  <c:v>2063</c:v>
                </c:pt>
                <c:pt idx="53">
                  <c:v>2064</c:v>
                </c:pt>
                <c:pt idx="54">
                  <c:v>2065</c:v>
                </c:pt>
                <c:pt idx="55">
                  <c:v>2066</c:v>
                </c:pt>
                <c:pt idx="56">
                  <c:v>2067</c:v>
                </c:pt>
                <c:pt idx="57">
                  <c:v>2068</c:v>
                </c:pt>
                <c:pt idx="58">
                  <c:v>2069</c:v>
                </c:pt>
                <c:pt idx="59">
                  <c:v>2070</c:v>
                </c:pt>
                <c:pt idx="60">
                  <c:v>2071</c:v>
                </c:pt>
                <c:pt idx="61">
                  <c:v>2072</c:v>
                </c:pt>
                <c:pt idx="62">
                  <c:v>2073</c:v>
                </c:pt>
                <c:pt idx="63">
                  <c:v>2074</c:v>
                </c:pt>
                <c:pt idx="64">
                  <c:v>2075</c:v>
                </c:pt>
                <c:pt idx="65">
                  <c:v>2076</c:v>
                </c:pt>
                <c:pt idx="66">
                  <c:v>2077</c:v>
                </c:pt>
                <c:pt idx="67">
                  <c:v>2078</c:v>
                </c:pt>
                <c:pt idx="68">
                  <c:v>2079</c:v>
                </c:pt>
                <c:pt idx="69">
                  <c:v>2080</c:v>
                </c:pt>
              </c:numCache>
            </c:numRef>
          </c:cat>
          <c:val>
            <c:numRef>
              <c:f>'ref2'!$B$28:$BS$28</c:f>
              <c:numCache>
                <c:formatCode>0%</c:formatCode>
                <c:ptCount val="70"/>
                <c:pt idx="0">
                  <c:v>0.26910343659559099</c:v>
                </c:pt>
                <c:pt idx="1">
                  <c:v>0.300893765973129</c:v>
                </c:pt>
                <c:pt idx="2">
                  <c:v>0.268554543401062</c:v>
                </c:pt>
                <c:pt idx="3">
                  <c:v>0.25073691802425002</c:v>
                </c:pt>
                <c:pt idx="4">
                  <c:v>0.25355245129987097</c:v>
                </c:pt>
                <c:pt idx="5">
                  <c:v>0.25423363080907502</c:v>
                </c:pt>
                <c:pt idx="6">
                  <c:v>0.25320754543227803</c:v>
                </c:pt>
                <c:pt idx="7">
                  <c:v>0.25087387133019201</c:v>
                </c:pt>
                <c:pt idx="8">
                  <c:v>0.24741039911683799</c:v>
                </c:pt>
                <c:pt idx="9">
                  <c:v>0.24292303357101799</c:v>
                </c:pt>
                <c:pt idx="10">
                  <c:v>0.23746948445527599</c:v>
                </c:pt>
                <c:pt idx="11">
                  <c:v>0.23121466905006399</c:v>
                </c:pt>
                <c:pt idx="12">
                  <c:v>0.22426205712771299</c:v>
                </c:pt>
                <c:pt idx="13">
                  <c:v>0.217647805383373</c:v>
                </c:pt>
                <c:pt idx="14">
                  <c:v>0.211104080750457</c:v>
                </c:pt>
                <c:pt idx="15">
                  <c:v>0.204479449195244</c:v>
                </c:pt>
                <c:pt idx="16">
                  <c:v>0.19820512394586901</c:v>
                </c:pt>
                <c:pt idx="17">
                  <c:v>0.192079929100788</c:v>
                </c:pt>
                <c:pt idx="18">
                  <c:v>0.18609100532042999</c:v>
                </c:pt>
                <c:pt idx="19">
                  <c:v>0.18038855296829501</c:v>
                </c:pt>
                <c:pt idx="20">
                  <c:v>0.17499774050928499</c:v>
                </c:pt>
                <c:pt idx="21">
                  <c:v>0.16998330392103</c:v>
                </c:pt>
                <c:pt idx="22">
                  <c:v>0.16534754338458901</c:v>
                </c:pt>
                <c:pt idx="23">
                  <c:v>0.16111499696166501</c:v>
                </c:pt>
                <c:pt idx="24">
                  <c:v>0.15732583765823599</c:v>
                </c:pt>
                <c:pt idx="25">
                  <c:v>0.15465313809641201</c:v>
                </c:pt>
                <c:pt idx="26">
                  <c:v>0.152313481293046</c:v>
                </c:pt>
                <c:pt idx="27">
                  <c:v>0.150336458568152</c:v>
                </c:pt>
                <c:pt idx="28">
                  <c:v>0.14874239412537699</c:v>
                </c:pt>
                <c:pt idx="29">
                  <c:v>0.147513687303858</c:v>
                </c:pt>
                <c:pt idx="30">
                  <c:v>0.14664860510726799</c:v>
                </c:pt>
                <c:pt idx="31">
                  <c:v>0.14615731857707501</c:v>
                </c:pt>
                <c:pt idx="32">
                  <c:v>0.14603238367344301</c:v>
                </c:pt>
                <c:pt idx="33">
                  <c:v>0.14626175507316999</c:v>
                </c:pt>
                <c:pt idx="34">
                  <c:v>0.14678927237238401</c:v>
                </c:pt>
                <c:pt idx="35">
                  <c:v>0.147578234902802</c:v>
                </c:pt>
                <c:pt idx="36">
                  <c:v>0.14857716814329799</c:v>
                </c:pt>
                <c:pt idx="37">
                  <c:v>0.14972658373553899</c:v>
                </c:pt>
                <c:pt idx="38">
                  <c:v>0.15094688542885701</c:v>
                </c:pt>
                <c:pt idx="39">
                  <c:v>0.15217956956287201</c:v>
                </c:pt>
                <c:pt idx="40">
                  <c:v>0.15335506025475101</c:v>
                </c:pt>
                <c:pt idx="41">
                  <c:v>0.15439769336497999</c:v>
                </c:pt>
                <c:pt idx="42">
                  <c:v>0.15523895456856601</c:v>
                </c:pt>
                <c:pt idx="43">
                  <c:v>0.15586133903680499</c:v>
                </c:pt>
                <c:pt idx="44">
                  <c:v>0.15625928415401899</c:v>
                </c:pt>
                <c:pt idx="45">
                  <c:v>0.15645180907773401</c:v>
                </c:pt>
                <c:pt idx="46">
                  <c:v>0.15643795131701099</c:v>
                </c:pt>
                <c:pt idx="47">
                  <c:v>0.156250705237829</c:v>
                </c:pt>
                <c:pt idx="48">
                  <c:v>0.15590610316404799</c:v>
                </c:pt>
                <c:pt idx="49">
                  <c:v>0.15542219726173201</c:v>
                </c:pt>
                <c:pt idx="50">
                  <c:v>0.15484415718880501</c:v>
                </c:pt>
                <c:pt idx="51">
                  <c:v>0.15421793288362701</c:v>
                </c:pt>
                <c:pt idx="52">
                  <c:v>0.15357507341110599</c:v>
                </c:pt>
                <c:pt idx="53">
                  <c:v>0.152954382816366</c:v>
                </c:pt>
                <c:pt idx="54">
                  <c:v>0.152393577913292</c:v>
                </c:pt>
                <c:pt idx="55">
                  <c:v>0.151898918370028</c:v>
                </c:pt>
                <c:pt idx="56">
                  <c:v>0.15154343494703501</c:v>
                </c:pt>
                <c:pt idx="57">
                  <c:v>0.15135906797082599</c:v>
                </c:pt>
                <c:pt idx="58">
                  <c:v>0.15132640507957901</c:v>
                </c:pt>
                <c:pt idx="59">
                  <c:v>0.15144047328847601</c:v>
                </c:pt>
                <c:pt idx="60">
                  <c:v>0.15161768826643901</c:v>
                </c:pt>
                <c:pt idx="61">
                  <c:v>0.151936352235369</c:v>
                </c:pt>
                <c:pt idx="62">
                  <c:v>0.15237507687705601</c:v>
                </c:pt>
                <c:pt idx="63">
                  <c:v>0.152766007019738</c:v>
                </c:pt>
                <c:pt idx="64">
                  <c:v>0.153069140711279</c:v>
                </c:pt>
                <c:pt idx="65">
                  <c:v>0.15337271741940001</c:v>
                </c:pt>
                <c:pt idx="66">
                  <c:v>0.15365833578156199</c:v>
                </c:pt>
                <c:pt idx="67">
                  <c:v>0.15390543980366</c:v>
                </c:pt>
                <c:pt idx="68">
                  <c:v>0.15410213588034599</c:v>
                </c:pt>
                <c:pt idx="69">
                  <c:v>0.15424263881585601</c:v>
                </c:pt>
              </c:numCache>
            </c:numRef>
          </c:val>
        </c:ser>
        <c:dLbls>
          <c:showLegendKey val="0"/>
          <c:showVal val="0"/>
          <c:showCatName val="0"/>
          <c:showSerName val="0"/>
          <c:showPercent val="0"/>
          <c:showBubbleSize val="0"/>
        </c:dLbls>
        <c:axId val="295334656"/>
        <c:axId val="295336192"/>
      </c:areaChart>
      <c:catAx>
        <c:axId val="295334656"/>
        <c:scaling>
          <c:orientation val="minMax"/>
        </c:scaling>
        <c:delete val="0"/>
        <c:axPos val="b"/>
        <c:numFmt formatCode="0000" sourceLinked="1"/>
        <c:majorTickMark val="out"/>
        <c:minorTickMark val="none"/>
        <c:tickLblPos val="nextTo"/>
        <c:txPr>
          <a:bodyPr rot="2700000"/>
          <a:lstStyle/>
          <a:p>
            <a:pPr>
              <a:defRPr sz="800" b="0"/>
            </a:pPr>
            <a:endParaRPr lang="en-US"/>
          </a:p>
        </c:txPr>
        <c:crossAx val="295336192"/>
        <c:crosses val="autoZero"/>
        <c:auto val="1"/>
        <c:lblAlgn val="ctr"/>
        <c:lblOffset val="100"/>
        <c:noMultiLvlLbl val="0"/>
      </c:catAx>
      <c:valAx>
        <c:axId val="295336192"/>
        <c:scaling>
          <c:orientation val="minMax"/>
        </c:scaling>
        <c:delete val="0"/>
        <c:axPos val="l"/>
        <c:majorGridlines/>
        <c:numFmt formatCode="0%" sourceLinked="0"/>
        <c:majorTickMark val="out"/>
        <c:minorTickMark val="none"/>
        <c:tickLblPos val="nextTo"/>
        <c:txPr>
          <a:bodyPr/>
          <a:lstStyle/>
          <a:p>
            <a:pPr>
              <a:defRPr sz="800" b="0"/>
            </a:pPr>
            <a:endParaRPr lang="en-US"/>
          </a:p>
        </c:txPr>
        <c:crossAx val="295334656"/>
        <c:crosses val="autoZero"/>
        <c:crossBetween val="midCat"/>
      </c:valAx>
    </c:plotArea>
    <c:legend>
      <c:legendPos val="b"/>
      <c:overlay val="0"/>
      <c:txPr>
        <a:bodyPr/>
        <a:lstStyle/>
        <a:p>
          <a:pPr>
            <a:defRPr b="0"/>
          </a:pPr>
          <a:endParaRPr lang="en-US"/>
        </a:p>
      </c:txPr>
    </c:legend>
    <c:plotVisOnly val="1"/>
    <c:dispBlanksAs val="gap"/>
    <c:showDLblsOverMax val="0"/>
  </c:chart>
  <c:txPr>
    <a:bodyPr/>
    <a:lstStyle/>
    <a:p>
      <a:pPr>
        <a:defRPr sz="1000" b="1">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CD1D7-C57F-4874-818B-C39B409C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12602</Words>
  <Characters>71833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84267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WB175391</dc:creator>
  <cp:lastModifiedBy>Jurgita Campbell</cp:lastModifiedBy>
  <cp:revision>3</cp:revision>
  <cp:lastPrinted>2014-06-25T19:07:00Z</cp:lastPrinted>
  <dcterms:created xsi:type="dcterms:W3CDTF">2014-05-08T09:17:00Z</dcterms:created>
  <dcterms:modified xsi:type="dcterms:W3CDTF">2014-06-25T19:07:00Z</dcterms:modified>
</cp:coreProperties>
</file>