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FA4D2A" w14:textId="511A2DDC" w:rsidR="00DA66A9" w:rsidRPr="004F740A" w:rsidRDefault="00B311DC" w:rsidP="00DA66A9">
      <w:pPr>
        <w:jc w:val="center"/>
        <w:rPr>
          <w:b/>
          <w:bCs/>
          <w:caps/>
          <w:lang w:val="es-AR"/>
        </w:rPr>
      </w:pPr>
      <w:bookmarkStart w:id="0" w:name="_GoBack"/>
      <w:bookmarkEnd w:id="0"/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5E309A" wp14:editId="2F126822">
                <wp:simplePos x="0" y="0"/>
                <wp:positionH relativeFrom="column">
                  <wp:posOffset>4665573</wp:posOffset>
                </wp:positionH>
                <wp:positionV relativeFrom="paragraph">
                  <wp:posOffset>-824732</wp:posOffset>
                </wp:positionV>
                <wp:extent cx="1733086" cy="525438"/>
                <wp:effectExtent l="0" t="0" r="635" b="825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086" cy="5254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65D93A" w14:textId="7031A309" w:rsidR="00B311DC" w:rsidRPr="00B311DC" w:rsidRDefault="00B311DC">
                            <w:pP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RES11868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7.35pt;margin-top:-64.95pt;width:136.45pt;height:41.3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dfyjAIAAJEFAAAOAAAAZHJzL2Uyb0RvYy54bWysVE1v2zAMvQ/YfxB0X53PrgvqFFmLDgOK&#10;tlg79KzIUiNMFjVJiZ39+pGy87Gulw672JL4SIpPjzy/aGvLNipEA67kw5MBZ8pJqIx7Lvn3x+sP&#10;Z5zFJFwlLDhV8q2K/GL+/t1542dqBCuwlQoMg7g4a3zJVyn5WVFEuVK1iCfglUOjhlCLhNvwXFRB&#10;NBi9tsVoMDgtGgiVDyBVjHh61Rn5PMfXWsl0p3VUidmS491S/ob8XdK3mJ+L2XMQfmVkfw3xD7eo&#10;hXGYdB/qSiTB1sH8Fao2MkAEnU4k1AVobaTKNWA1w8GLah5WwqtcC5IT/Z6m+P/CytvNfWCmKvmI&#10;MydqfKJH1Sb2GVo2InYaH2cIevAISy0e4yvvziMeUtGtDjX9sRyGduR5u+eWgkly+jgeD85OOZNo&#10;m46mk/EZhSkO3j7E9EVBzWhR8oBvlykVm5uYOugOQskiWFNdG2vzhvSiLm1gG4EvbVO+Iwb/A2Ud&#10;a0p+Op4OcmAH5N5Fto7CqKyYPh1V3lWYV2lrFWGs+6Y0MpYLfSW3kFK5ff6MJpTGVG9x7PGHW73F&#10;uasDPXJmcGnvXBsHIVefW+xAWfVjR5nu8Pg2R3XTMrXLNktlL4AlVFvURYCur6KX1wYf70bEdC8C&#10;NhJKAYdDusOPtoDkQ7/ibAXh12vnhEd9o5WzBhuz5PHnWgTFmf3qUPmfhpMJdXLeTKYfR7gJx5bl&#10;scWt60tARQxxDHmZl4RPdrfUAeonnCELyoom4STmLnnaLS9TNy5wBkm1WGQQ9q4X6cY9eEmhiWWS&#10;5mP7JILv9ZtQ+bewa2ExeyHjDkueDhbrBNpkjRPPHas9/9j3uUv6GUWD5XifUYdJOv8NAAD//wMA&#10;UEsDBBQABgAIAAAAIQDLEBr65AAAAA0BAAAPAAAAZHJzL2Rvd25yZXYueG1sTI/BTsMwDIbvSLxD&#10;ZCQuaEvWjpWVphNCwCRuWweIW9aYtqJxqiZry9uTneBo+9Pv7882k2nZgL1rLElYzAUwpNLqhioJ&#10;h+J5dgfMeUVatZZQwg862OSXF5lKtR1ph8PeVyyEkEuVhNr7LuXclTUa5ea2Qwq3L9sb5cPYV1z3&#10;agzhpuWRECtuVEPhQ606fKyx/N6fjITPm+rj1U0vb2N8G3dP26FI3nUh5fXV9HAPzOPk/2A46wd1&#10;yIPT0Z5IO9ZKSOJlElAJs0W0XgM7I0IkK2DHsFsmEfA84/9b5L8AAAD//wMAUEsBAi0AFAAGAAgA&#10;AAAhALaDOJL+AAAA4QEAABMAAAAAAAAAAAAAAAAAAAAAAFtDb250ZW50X1R5cGVzXS54bWxQSwEC&#10;LQAUAAYACAAAACEAOP0h/9YAAACUAQAACwAAAAAAAAAAAAAAAAAvAQAAX3JlbHMvLnJlbHNQSwEC&#10;LQAUAAYACAAAACEAk+HX8owCAACRBQAADgAAAAAAAAAAAAAAAAAuAgAAZHJzL2Uyb0RvYy54bWxQ&#10;SwECLQAUAAYACAAAACEAyxAa+uQAAAANAQAADwAAAAAAAAAAAAAAAADmBAAAZHJzL2Rvd25yZXYu&#10;eG1sUEsFBgAAAAAEAAQA8wAAAPcFAAAAAA==&#10;" fillcolor="white [3201]" stroked="f" strokeweight=".5pt">
                <v:textbox>
                  <w:txbxContent>
                    <w:p w14:paraId="1165D93A" w14:textId="7031A309" w:rsidR="00B311DC" w:rsidRPr="00B311DC" w:rsidRDefault="00B311DC">
                      <w:pPr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44"/>
                        </w:rPr>
                        <w:t>RES11868</w:t>
                      </w:r>
                    </w:p>
                  </w:txbxContent>
                </v:textbox>
              </v:shape>
            </w:pict>
          </mc:Fallback>
        </mc:AlternateContent>
      </w:r>
      <w:r w:rsidR="007D1003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7AA783" wp14:editId="706DACA4">
                <wp:simplePos x="0" y="0"/>
                <wp:positionH relativeFrom="column">
                  <wp:posOffset>5450319</wp:posOffset>
                </wp:positionH>
                <wp:positionV relativeFrom="paragraph">
                  <wp:posOffset>-824732</wp:posOffset>
                </wp:positionV>
                <wp:extent cx="989462" cy="457200"/>
                <wp:effectExtent l="0" t="0" r="127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9462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CCEEFF" w14:textId="0FC03D6C" w:rsidR="007D1003" w:rsidRPr="007D1003" w:rsidRDefault="007D1003">
                            <w:pP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429.15pt;margin-top:-64.95pt;width:77.9pt;height:3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M6XhwIAAIkFAAAOAAAAZHJzL2Uyb0RvYy54bWysVE1v2zAMvQ/YfxB0X51kadYEcYqsRYcB&#10;QVssGXpWZKkRJomapMTOfv0o2flY10uHXWxKfCRF8pHT68ZoshM+KLAl7V/0KBGWQ6Xsc0m/r+4+&#10;XFESIrMV02BFSfci0OvZ+3fT2k3EADagK+EJOrFhUruSbmJ0k6IIfCMMCxfghEWlBG9YxKN/LirP&#10;avRudDHo9UZFDb5yHrgIAW9vWyWdZf9SCh4fpAwiEl1SfFvMX5+/6/QtZlM2efbMbRTvnsH+4RWG&#10;KYtBj65uWWRk69VfroziHgLIeMHBFCCl4iLngNn0ey+yWW6YEzkXLE5wxzKF/+eW3+8ePVEV9o4S&#10;ywy2aCWaSD5DQ/qpOrULEwQtHcJig9cJ2d0HvExJN9Kb9Md0COqxzvtjbZMzjpfjq/FwNKCEo2p4&#10;+Ql7l7wUJ2PnQ/wiwJAklNRj63JF2W4RYgs9QFKsAFpVd0rrfEh0ETfakx3DRuuYn4jO/0BpS+qS&#10;jj5e9rJjC8m89axtciMyYbpwKfE2wSzFvRYJo+03IbFgOc9XYjPOhT3Gz+iEkhjqLYYd/vSqtxi3&#10;eaBFjgw2Ho2NsuBz9nnCTiWrfhxKJls89uYs7yTGZt10jV9DtUc+eGjnKTh+p7BrCxbiI/M4QEgB&#10;XArxAT9SA1YdOomSDfhfr90nPPIatZTUOJAlDT+3zAtK9FeLjB/3h8M0wfmQGUSJP9eszzV2a24A&#10;qYCsxtdlEY191AdRejBPuDvmKSqqmOUYu6TxIN7Edk3g7uFiPs8gnFnH4sIuHU+uU3kTJ1fNE/Ou&#10;I25Ext/DYXTZ5AV/W2yytDDfRpAqkzsVuK1qV3ic9zwe3W5KC+X8nFGnDTr7DQAA//8DAFBLAwQU&#10;AAYACAAAACEA7BCoB+QAAAANAQAADwAAAGRycy9kb3ducmV2LnhtbEyPwU6DQBCG7ya+w2ZMvJh2&#10;oYgFZGmMUZt4s7Qab1t2BCI7S9gt4Nu7PelxZr788/35ZtYdG3GwrSEB4TIAhlQZ1VItYF8+LxJg&#10;1klSsjOEAn7Qwqa4vMhlpsxEbzjuXM18CNlMCmic6zPObdWglnZpeiR/+zKDls6PQ83VICcfrju+&#10;CoI7rmVL/kMje3xssPrenbSAz5v649XOL4cpiqP+aTuW63dVCnF9NT/cA3M4uz8YzvpeHQrvdDQn&#10;UpZ1ApI4iTwqYBGu0hTYGQnC2xDY0e/idQq8yPn/FsUvAAAA//8DAFBLAQItABQABgAIAAAAIQC2&#10;gziS/gAAAOEBAAATAAAAAAAAAAAAAAAAAAAAAABbQ29udGVudF9UeXBlc10ueG1sUEsBAi0AFAAG&#10;AAgAAAAhADj9If/WAAAAlAEAAAsAAAAAAAAAAAAAAAAALwEAAF9yZWxzLy5yZWxzUEsBAi0AFAAG&#10;AAgAAAAhAOZYzpeHAgAAiQUAAA4AAAAAAAAAAAAAAAAALgIAAGRycy9lMm9Eb2MueG1sUEsBAi0A&#10;FAAGAAgAAAAhAOwQqAfkAAAADQEAAA8AAAAAAAAAAAAAAAAA4QQAAGRycy9kb3ducmV2LnhtbFBL&#10;BQYAAAAABAAEAPMAAADyBQAAAAA=&#10;" fillcolor="white [3201]" stroked="f" strokeweight=".5pt">
                <v:textbox>
                  <w:txbxContent>
                    <w:p w14:paraId="11CCEEFF" w14:textId="0FC03D6C" w:rsidR="007D1003" w:rsidRPr="007D1003" w:rsidRDefault="007D1003">
                      <w:pPr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66A9" w:rsidRPr="004F740A">
        <w:rPr>
          <w:b/>
          <w:lang w:val="es-AR"/>
        </w:rPr>
        <w:t>ARGENTINA</w:t>
      </w:r>
    </w:p>
    <w:p w14:paraId="4B6EF662" w14:textId="77777777" w:rsidR="00DA66A9" w:rsidRPr="00AE6183" w:rsidRDefault="002F2DF3" w:rsidP="00DA66A9">
      <w:pPr>
        <w:spacing w:after="200" w:line="276" w:lineRule="auto"/>
        <w:jc w:val="center"/>
        <w:rPr>
          <w:b/>
          <w:color w:val="000000"/>
          <w:lang w:val="es-AR"/>
        </w:rPr>
      </w:pPr>
      <w:r w:rsidRPr="00AE6183">
        <w:rPr>
          <w:bCs/>
          <w:caps/>
          <w:lang w:val="es-AR"/>
        </w:rPr>
        <w:t xml:space="preserve">proyecto de </w:t>
      </w:r>
      <w:r w:rsidR="00AE6183" w:rsidRPr="00AE6183">
        <w:rPr>
          <w:bCs/>
          <w:caps/>
          <w:lang w:val="es-AR"/>
        </w:rPr>
        <w:t>TER</w:t>
      </w:r>
      <w:r w:rsidR="00A71AAF">
        <w:rPr>
          <w:bCs/>
          <w:caps/>
          <w:lang w:val="es-AR"/>
        </w:rPr>
        <w:t xml:space="preserve">CERA COMUNICACIÓN NACIONAL ante </w:t>
      </w:r>
      <w:r w:rsidR="00AE6183" w:rsidRPr="00AE6183">
        <w:rPr>
          <w:bCs/>
          <w:caps/>
          <w:lang w:val="es-AR"/>
        </w:rPr>
        <w:t xml:space="preserve"> la convención marco de </w:t>
      </w:r>
      <w:r w:rsidR="004F740A">
        <w:rPr>
          <w:bCs/>
          <w:caps/>
          <w:lang w:val="es-AR"/>
        </w:rPr>
        <w:t xml:space="preserve">las </w:t>
      </w:r>
      <w:r w:rsidR="00AE6183" w:rsidRPr="00AE6183">
        <w:rPr>
          <w:bCs/>
          <w:caps/>
          <w:lang w:val="es-AR"/>
        </w:rPr>
        <w:t>naciones unidas sobre el cambio clim</w:t>
      </w:r>
      <w:r w:rsidR="00AE6183">
        <w:rPr>
          <w:bCs/>
          <w:caps/>
          <w:lang w:val="es-AR"/>
        </w:rPr>
        <w:t>ático</w:t>
      </w:r>
    </w:p>
    <w:p w14:paraId="7AEEFB4B" w14:textId="77777777" w:rsidR="00DA66A9" w:rsidRPr="009148CD" w:rsidRDefault="00E70001" w:rsidP="00DA66A9">
      <w:pPr>
        <w:spacing w:after="200" w:line="276" w:lineRule="auto"/>
        <w:jc w:val="center"/>
        <w:rPr>
          <w:b/>
          <w:color w:val="000000"/>
        </w:rPr>
      </w:pPr>
      <w:r>
        <w:rPr>
          <w:b/>
          <w:color w:val="000000"/>
        </w:rPr>
        <w:t>DOCUMENTO DE REESTRUCTURACIÓN</w:t>
      </w:r>
    </w:p>
    <w:p w14:paraId="3D2B6974" w14:textId="77777777" w:rsidR="00DA66A9" w:rsidRPr="00A2141B" w:rsidRDefault="00E70001" w:rsidP="00DA66A9">
      <w:pPr>
        <w:pStyle w:val="Heading1"/>
      </w:pPr>
      <w:bookmarkStart w:id="1" w:name="_Ref248036046"/>
      <w:r>
        <w:t>RESUMEN</w:t>
      </w:r>
      <w:r w:rsidR="00DA66A9">
        <w:t xml:space="preserve"> </w:t>
      </w:r>
    </w:p>
    <w:p w14:paraId="45794EB2" w14:textId="77777777" w:rsidR="00DA66A9" w:rsidRPr="00A2141B" w:rsidRDefault="00DA66A9" w:rsidP="00DA66A9"/>
    <w:p w14:paraId="59CCEE69" w14:textId="731AE3AF" w:rsidR="00DD0452" w:rsidRDefault="00AE62DD" w:rsidP="00DA66A9">
      <w:pPr>
        <w:jc w:val="both"/>
        <w:rPr>
          <w:iCs/>
          <w:lang w:val="es-AR"/>
        </w:rPr>
      </w:pPr>
      <w:r w:rsidRPr="004F740A">
        <w:rPr>
          <w:iCs/>
          <w:lang w:val="es-AR"/>
        </w:rPr>
        <w:t>Est</w:t>
      </w:r>
      <w:r w:rsidR="00BF529A">
        <w:rPr>
          <w:iCs/>
          <w:lang w:val="es-AR"/>
        </w:rPr>
        <w:t xml:space="preserve">a </w:t>
      </w:r>
      <w:r w:rsidRPr="004F740A">
        <w:rPr>
          <w:iCs/>
          <w:lang w:val="es-AR"/>
        </w:rPr>
        <w:t xml:space="preserve">reestructuración </w:t>
      </w:r>
      <w:r w:rsidR="00BF529A">
        <w:rPr>
          <w:iCs/>
          <w:lang w:val="es-AR"/>
        </w:rPr>
        <w:t xml:space="preserve">de </w:t>
      </w:r>
      <w:r w:rsidR="00BF529A" w:rsidRPr="004F740A">
        <w:rPr>
          <w:iCs/>
          <w:lang w:val="es-AR"/>
        </w:rPr>
        <w:t xml:space="preserve">proyecto </w:t>
      </w:r>
      <w:r w:rsidRPr="004F740A">
        <w:rPr>
          <w:iCs/>
          <w:lang w:val="es-AR"/>
        </w:rPr>
        <w:t xml:space="preserve">abarca una segunda prórroga de la fecha de cierre de </w:t>
      </w:r>
      <w:r w:rsidR="005749DA" w:rsidRPr="004F740A">
        <w:rPr>
          <w:iCs/>
          <w:lang w:val="es-AR"/>
        </w:rPr>
        <w:t xml:space="preserve">la </w:t>
      </w:r>
      <w:r w:rsidR="00164C17" w:rsidRPr="004F740A">
        <w:rPr>
          <w:iCs/>
          <w:lang w:val="es-AR"/>
        </w:rPr>
        <w:t>donación</w:t>
      </w:r>
      <w:r w:rsidR="005749DA" w:rsidRPr="004F740A">
        <w:rPr>
          <w:iCs/>
          <w:color w:val="FF0000"/>
          <w:lang w:val="es-AR"/>
        </w:rPr>
        <w:t xml:space="preserve"> </w:t>
      </w:r>
      <w:r w:rsidR="008B09D1" w:rsidRPr="004F740A">
        <w:rPr>
          <w:iCs/>
          <w:lang w:val="es-AR"/>
        </w:rPr>
        <w:t xml:space="preserve">por siete meses y medio (7,5) adicionales, desde el 13 de Noviembre de 2014 hasta el 30 de Junio de 2015, para (i) </w:t>
      </w:r>
      <w:r w:rsidR="00C9091A" w:rsidRPr="004F740A">
        <w:rPr>
          <w:iCs/>
          <w:lang w:val="es-AR"/>
        </w:rPr>
        <w:t>finalizar los estudios en curso bajo l</w:t>
      </w:r>
      <w:r w:rsidR="006C6908">
        <w:rPr>
          <w:iCs/>
          <w:lang w:val="es-AR"/>
        </w:rPr>
        <w:t>os</w:t>
      </w:r>
      <w:r w:rsidR="00C9091A" w:rsidRPr="004F740A">
        <w:rPr>
          <w:iCs/>
          <w:lang w:val="es-AR"/>
        </w:rPr>
        <w:t xml:space="preserve"> component</w:t>
      </w:r>
      <w:r w:rsidR="00290296" w:rsidRPr="004F740A">
        <w:rPr>
          <w:iCs/>
          <w:lang w:val="es-AR"/>
        </w:rPr>
        <w:t>e</w:t>
      </w:r>
      <w:r w:rsidR="006C6908">
        <w:rPr>
          <w:iCs/>
          <w:lang w:val="es-AR"/>
        </w:rPr>
        <w:t>s</w:t>
      </w:r>
      <w:r w:rsidR="00C9091A" w:rsidRPr="004F740A">
        <w:rPr>
          <w:iCs/>
          <w:lang w:val="es-AR"/>
        </w:rPr>
        <w:t xml:space="preserve"> 1 y 2 sobre </w:t>
      </w:r>
      <w:r w:rsidR="00290296" w:rsidRPr="004F740A">
        <w:rPr>
          <w:iCs/>
          <w:lang w:val="es-AR"/>
        </w:rPr>
        <w:t xml:space="preserve">mitigación y adaptación al </w:t>
      </w:r>
      <w:r w:rsidR="006C6908">
        <w:rPr>
          <w:iCs/>
          <w:lang w:val="es-AR"/>
        </w:rPr>
        <w:t xml:space="preserve">cambio </w:t>
      </w:r>
      <w:r w:rsidR="00290296" w:rsidRPr="004F740A">
        <w:rPr>
          <w:iCs/>
          <w:lang w:val="es-AR"/>
        </w:rPr>
        <w:t>clim</w:t>
      </w:r>
      <w:r w:rsidR="006C6908">
        <w:rPr>
          <w:iCs/>
          <w:lang w:val="es-AR"/>
        </w:rPr>
        <w:t>ático</w:t>
      </w:r>
      <w:r w:rsidR="00290296" w:rsidRPr="004F740A">
        <w:rPr>
          <w:iCs/>
          <w:lang w:val="es-AR"/>
        </w:rPr>
        <w:t xml:space="preserve">, (ii) </w:t>
      </w:r>
      <w:r w:rsidR="00DF5A33" w:rsidRPr="004F740A">
        <w:rPr>
          <w:iCs/>
          <w:lang w:val="es-AR"/>
        </w:rPr>
        <w:t>prepara</w:t>
      </w:r>
      <w:r w:rsidR="00147508" w:rsidRPr="004F740A">
        <w:rPr>
          <w:iCs/>
          <w:lang w:val="es-AR"/>
        </w:rPr>
        <w:t xml:space="preserve">r un Reporte </w:t>
      </w:r>
      <w:r w:rsidR="0077722D">
        <w:rPr>
          <w:iCs/>
          <w:lang w:val="es-AR"/>
        </w:rPr>
        <w:t xml:space="preserve">Bienal </w:t>
      </w:r>
      <w:r w:rsidR="004E37F7">
        <w:rPr>
          <w:iCs/>
          <w:lang w:val="es-AR"/>
        </w:rPr>
        <w:t xml:space="preserve">de Actualización básico </w:t>
      </w:r>
      <w:r w:rsidR="00DF5A33" w:rsidRPr="004F740A">
        <w:rPr>
          <w:iCs/>
          <w:lang w:val="es-AR"/>
        </w:rPr>
        <w:t>(BUR</w:t>
      </w:r>
      <w:r w:rsidR="002B6BD9">
        <w:rPr>
          <w:iCs/>
          <w:lang w:val="es-AR"/>
        </w:rPr>
        <w:t>, por siglas en inglés</w:t>
      </w:r>
      <w:r w:rsidR="00DF5A33" w:rsidRPr="004F740A">
        <w:rPr>
          <w:iCs/>
          <w:lang w:val="es-AR"/>
        </w:rPr>
        <w:t>)</w:t>
      </w:r>
      <w:r w:rsidR="004F740A" w:rsidRPr="004F740A">
        <w:rPr>
          <w:iCs/>
          <w:lang w:val="es-AR"/>
        </w:rPr>
        <w:t xml:space="preserve"> de la República Argentina a la Convención Marco de las Naciones Unidas sobre el Cambio Climático (</w:t>
      </w:r>
      <w:r w:rsidR="004F740A">
        <w:rPr>
          <w:iCs/>
          <w:lang w:val="es-AR"/>
        </w:rPr>
        <w:t xml:space="preserve">CMNUCC), y </w:t>
      </w:r>
      <w:r w:rsidR="00C375CC">
        <w:rPr>
          <w:iCs/>
          <w:lang w:val="es-AR"/>
        </w:rPr>
        <w:t xml:space="preserve">(iii) </w:t>
      </w:r>
      <w:r w:rsidR="00B2297C">
        <w:rPr>
          <w:iCs/>
          <w:lang w:val="es-AR"/>
        </w:rPr>
        <w:t>realizar</w:t>
      </w:r>
      <w:r w:rsidR="006737AB">
        <w:rPr>
          <w:iCs/>
          <w:lang w:val="es-AR"/>
        </w:rPr>
        <w:t xml:space="preserve"> tareas de dif</w:t>
      </w:r>
      <w:r w:rsidR="00B2297C">
        <w:rPr>
          <w:iCs/>
          <w:lang w:val="es-AR"/>
        </w:rPr>
        <w:t>usión relacionadas y talleres en la</w:t>
      </w:r>
      <w:r w:rsidR="006737AB">
        <w:rPr>
          <w:iCs/>
          <w:lang w:val="es-AR"/>
        </w:rPr>
        <w:t xml:space="preserve"> capacitación </w:t>
      </w:r>
      <w:r w:rsidR="00AD27E5">
        <w:rPr>
          <w:iCs/>
          <w:lang w:val="es-AR"/>
        </w:rPr>
        <w:t>conexa</w:t>
      </w:r>
      <w:r w:rsidR="00B2297C">
        <w:rPr>
          <w:iCs/>
          <w:lang w:val="es-AR"/>
        </w:rPr>
        <w:t xml:space="preserve"> </w:t>
      </w:r>
      <w:r w:rsidR="006737AB">
        <w:rPr>
          <w:iCs/>
          <w:lang w:val="es-AR"/>
        </w:rPr>
        <w:t xml:space="preserve">a nivel provincial. </w:t>
      </w:r>
      <w:r w:rsidR="00293430" w:rsidRPr="0045402B">
        <w:rPr>
          <w:iCs/>
          <w:lang w:val="es-AR"/>
        </w:rPr>
        <w:t>La reestructuración propuesta incluye la reasignación de fondos</w:t>
      </w:r>
      <w:r w:rsidR="0045402B" w:rsidRPr="0045402B">
        <w:rPr>
          <w:iCs/>
          <w:lang w:val="es-AR"/>
        </w:rPr>
        <w:t xml:space="preserve"> entre categorías de desembolso y </w:t>
      </w:r>
      <w:r w:rsidR="00BF529A">
        <w:rPr>
          <w:iCs/>
          <w:lang w:val="es-AR"/>
        </w:rPr>
        <w:t xml:space="preserve">entre </w:t>
      </w:r>
      <w:r w:rsidR="0045402B" w:rsidRPr="0045402B">
        <w:rPr>
          <w:iCs/>
          <w:lang w:val="es-AR"/>
        </w:rPr>
        <w:t>los component</w:t>
      </w:r>
      <w:r w:rsidR="0045402B">
        <w:rPr>
          <w:iCs/>
          <w:lang w:val="es-AR"/>
        </w:rPr>
        <w:t>e</w:t>
      </w:r>
      <w:r w:rsidR="0045402B" w:rsidRPr="0045402B">
        <w:rPr>
          <w:iCs/>
          <w:lang w:val="es-AR"/>
        </w:rPr>
        <w:t>s, as</w:t>
      </w:r>
      <w:r w:rsidR="0045402B">
        <w:rPr>
          <w:iCs/>
          <w:lang w:val="es-AR"/>
        </w:rPr>
        <w:t xml:space="preserve">í como una revisión del marco de resultados. </w:t>
      </w:r>
      <w:r w:rsidR="00095061" w:rsidRPr="00095061">
        <w:rPr>
          <w:iCs/>
          <w:lang w:val="es-AR"/>
        </w:rPr>
        <w:t xml:space="preserve">Dicha </w:t>
      </w:r>
      <w:r w:rsidR="0021011C" w:rsidRPr="00095061">
        <w:rPr>
          <w:iCs/>
          <w:lang w:val="es-AR"/>
        </w:rPr>
        <w:t>revisió</w:t>
      </w:r>
      <w:r w:rsidR="00BD2C37" w:rsidRPr="00095061">
        <w:rPr>
          <w:iCs/>
          <w:lang w:val="es-AR"/>
        </w:rPr>
        <w:t xml:space="preserve">n reduce </w:t>
      </w:r>
      <w:r w:rsidR="00095061" w:rsidRPr="00095061">
        <w:rPr>
          <w:iCs/>
          <w:lang w:val="es-AR"/>
        </w:rPr>
        <w:t xml:space="preserve">el número de estudios </w:t>
      </w:r>
      <w:r w:rsidR="00BF529A" w:rsidRPr="00095061">
        <w:rPr>
          <w:iCs/>
          <w:lang w:val="es-AR"/>
        </w:rPr>
        <w:t xml:space="preserve">específicos </w:t>
      </w:r>
      <w:r w:rsidR="00095061" w:rsidRPr="00095061">
        <w:rPr>
          <w:iCs/>
          <w:lang w:val="es-AR"/>
        </w:rPr>
        <w:t>de adaptación y excluye los estudios finales sobre pol</w:t>
      </w:r>
      <w:r w:rsidR="00095061">
        <w:rPr>
          <w:iCs/>
          <w:lang w:val="es-AR"/>
        </w:rPr>
        <w:t xml:space="preserve">íticas </w:t>
      </w:r>
      <w:r w:rsidR="00BF529A">
        <w:rPr>
          <w:iCs/>
          <w:lang w:val="es-AR"/>
        </w:rPr>
        <w:t xml:space="preserve">y medidas </w:t>
      </w:r>
      <w:r w:rsidR="00095061">
        <w:rPr>
          <w:iCs/>
          <w:lang w:val="es-AR"/>
        </w:rPr>
        <w:t>de mitigación y adaptación (P&amp;M</w:t>
      </w:r>
      <w:r w:rsidR="00753BDE">
        <w:rPr>
          <w:iCs/>
          <w:lang w:val="es-AR"/>
        </w:rPr>
        <w:t>, por siglas en inglés</w:t>
      </w:r>
      <w:r w:rsidR="00095061">
        <w:rPr>
          <w:iCs/>
          <w:lang w:val="es-AR"/>
        </w:rPr>
        <w:t xml:space="preserve">). </w:t>
      </w:r>
      <w:r w:rsidR="00753BDE" w:rsidRPr="004A19D8">
        <w:rPr>
          <w:iCs/>
          <w:lang w:val="es-AR"/>
        </w:rPr>
        <w:t>Además,</w:t>
      </w:r>
      <w:r w:rsidR="00F324BB" w:rsidRPr="004A19D8">
        <w:rPr>
          <w:iCs/>
          <w:lang w:val="es-AR"/>
        </w:rPr>
        <w:t xml:space="preserve"> mejora la medición de resultados intermedios.</w:t>
      </w:r>
      <w:r w:rsidR="00DA66A9" w:rsidRPr="004A19D8">
        <w:rPr>
          <w:iCs/>
          <w:lang w:val="es-AR"/>
        </w:rPr>
        <w:t xml:space="preserve"> </w:t>
      </w:r>
      <w:r w:rsidR="00BF529A">
        <w:rPr>
          <w:iCs/>
          <w:lang w:val="es-AR"/>
        </w:rPr>
        <w:t>Dich</w:t>
      </w:r>
      <w:r w:rsidR="00BF529A" w:rsidRPr="008E6816">
        <w:rPr>
          <w:iCs/>
          <w:lang w:val="es-AR"/>
        </w:rPr>
        <w:t xml:space="preserve">as </w:t>
      </w:r>
      <w:r w:rsidR="00753BDE" w:rsidRPr="008E6816">
        <w:rPr>
          <w:iCs/>
          <w:lang w:val="es-AR"/>
        </w:rPr>
        <w:t>reducciones reflejan que el proyecto</w:t>
      </w:r>
      <w:r w:rsidR="008E6816" w:rsidRPr="008E6816">
        <w:rPr>
          <w:iCs/>
          <w:lang w:val="es-AR"/>
        </w:rPr>
        <w:t xml:space="preserve"> no será capaz de completar las contribuciones clave a P&amp;M y la integración de las prioridades del cambio climático en las estrategias de desar</w:t>
      </w:r>
      <w:r w:rsidR="00891C93">
        <w:rPr>
          <w:iCs/>
          <w:lang w:val="es-AR"/>
        </w:rPr>
        <w:t>rollo y los programas sectoriales</w:t>
      </w:r>
      <w:r w:rsidR="008E6816" w:rsidRPr="008E6816">
        <w:rPr>
          <w:iCs/>
          <w:lang w:val="es-AR"/>
        </w:rPr>
        <w:t xml:space="preserve"> relevantes del </w:t>
      </w:r>
      <w:r w:rsidR="00BF529A">
        <w:rPr>
          <w:iCs/>
          <w:lang w:val="es-AR"/>
        </w:rPr>
        <w:t>receptor de la donación</w:t>
      </w:r>
      <w:r w:rsidR="008E6816">
        <w:rPr>
          <w:iCs/>
          <w:lang w:val="es-AR"/>
        </w:rPr>
        <w:t>.</w:t>
      </w:r>
      <w:r w:rsidR="00DA66A9" w:rsidRPr="00340138">
        <w:rPr>
          <w:iCs/>
          <w:lang w:val="es-AR"/>
        </w:rPr>
        <w:t xml:space="preserve"> </w:t>
      </w:r>
      <w:r w:rsidR="00DC3DF2" w:rsidRPr="00DC3DF2">
        <w:rPr>
          <w:iCs/>
          <w:lang w:val="es-AR"/>
        </w:rPr>
        <w:t>Sin embargo, el proyecto llevará a cabo todos los esfuerzos para producir un informe final sobre los result</w:t>
      </w:r>
      <w:r w:rsidR="004A19D8">
        <w:rPr>
          <w:iCs/>
          <w:lang w:val="es-AR"/>
        </w:rPr>
        <w:t>ados del mismo</w:t>
      </w:r>
      <w:r w:rsidR="00DC3DF2" w:rsidRPr="00DC3DF2">
        <w:rPr>
          <w:iCs/>
          <w:lang w:val="es-AR"/>
        </w:rPr>
        <w:t xml:space="preserve"> que podrían presentarse en la CMNUCC.</w:t>
      </w:r>
      <w:r w:rsidR="00DC3DF2">
        <w:rPr>
          <w:iCs/>
          <w:lang w:val="es-AR"/>
        </w:rPr>
        <w:t xml:space="preserve"> </w:t>
      </w:r>
    </w:p>
    <w:p w14:paraId="25E313A1" w14:textId="77777777" w:rsidR="00DD0452" w:rsidRPr="004A19D8" w:rsidRDefault="00DD0452" w:rsidP="00DA66A9">
      <w:pPr>
        <w:jc w:val="both"/>
        <w:rPr>
          <w:iCs/>
          <w:lang w:val="es-AR"/>
        </w:rPr>
      </w:pPr>
    </w:p>
    <w:p w14:paraId="1374C708" w14:textId="77777777" w:rsidR="00DA66A9" w:rsidRPr="00A2141B" w:rsidRDefault="002C27C1" w:rsidP="00DA66A9">
      <w:pPr>
        <w:pStyle w:val="Heading1"/>
      </w:pPr>
      <w:r>
        <w:t>ESTADO DEL PROYECTO</w:t>
      </w:r>
    </w:p>
    <w:p w14:paraId="02043296" w14:textId="77777777" w:rsidR="00DA66A9" w:rsidRPr="00A2141B" w:rsidRDefault="00DA66A9" w:rsidP="00DA66A9">
      <w:pPr>
        <w:jc w:val="both"/>
      </w:pPr>
    </w:p>
    <w:p w14:paraId="76154C34" w14:textId="77777777" w:rsidR="00DA66A9" w:rsidRDefault="00BD4660" w:rsidP="00DA66A9">
      <w:pPr>
        <w:jc w:val="both"/>
        <w:rPr>
          <w:rFonts w:ascii="Verdana" w:hAnsi="Verdana"/>
          <w:color w:val="000000"/>
          <w:sz w:val="21"/>
          <w:szCs w:val="21"/>
          <w:shd w:val="clear" w:color="auto" w:fill="FFFFFF"/>
          <w:lang w:val="es-AR"/>
        </w:rPr>
      </w:pPr>
      <w:r w:rsidRPr="00BD4660">
        <w:rPr>
          <w:lang w:val="es-AR"/>
        </w:rPr>
        <w:t>El proyecto fue aprobado en Febrero de 2011, pero entró e</w:t>
      </w:r>
      <w:r w:rsidR="00022EBC">
        <w:rPr>
          <w:lang w:val="es-AR"/>
        </w:rPr>
        <w:t>n vigor</w:t>
      </w:r>
      <w:r w:rsidRPr="00BD4660">
        <w:rPr>
          <w:lang w:val="es-AR"/>
        </w:rPr>
        <w:t xml:space="preserve"> en Julio de 2012;  </w:t>
      </w:r>
      <w:r w:rsidR="00022EBC">
        <w:rPr>
          <w:lang w:val="es-AR"/>
        </w:rPr>
        <w:t xml:space="preserve">apenas </w:t>
      </w:r>
      <w:r w:rsidRPr="00BD4660">
        <w:rPr>
          <w:lang w:val="es-AR"/>
        </w:rPr>
        <w:t>10 meses ante</w:t>
      </w:r>
      <w:r>
        <w:rPr>
          <w:lang w:val="es-AR"/>
        </w:rPr>
        <w:t xml:space="preserve">s de la fecha </w:t>
      </w:r>
      <w:r w:rsidR="00022EBC">
        <w:rPr>
          <w:lang w:val="es-AR"/>
        </w:rPr>
        <w:t>original de cierre</w:t>
      </w:r>
      <w:r w:rsidRPr="00BD4660">
        <w:rPr>
          <w:lang w:val="es-AR"/>
        </w:rPr>
        <w:t xml:space="preserve">. </w:t>
      </w:r>
      <w:r w:rsidR="009E0D0E" w:rsidRPr="009E0D0E">
        <w:rPr>
          <w:lang w:val="es-AR"/>
        </w:rPr>
        <w:t xml:space="preserve">Después de alcanzar </w:t>
      </w:r>
      <w:r w:rsidR="00BF529A">
        <w:rPr>
          <w:lang w:val="es-AR"/>
        </w:rPr>
        <w:t xml:space="preserve">la </w:t>
      </w:r>
      <w:r w:rsidR="00755769">
        <w:rPr>
          <w:lang w:val="es-AR"/>
        </w:rPr>
        <w:t>efectividad</w:t>
      </w:r>
      <w:r w:rsidR="009E0D0E" w:rsidRPr="009E0D0E">
        <w:rPr>
          <w:lang w:val="es-AR"/>
        </w:rPr>
        <w:t>, el proyecto tomó seis meses adicio</w:t>
      </w:r>
      <w:r w:rsidR="009E0D0E">
        <w:rPr>
          <w:lang w:val="es-AR"/>
        </w:rPr>
        <w:t>nales para iniciar la implementación</w:t>
      </w:r>
      <w:r w:rsidR="009E0D0E" w:rsidRPr="009E0D0E">
        <w:rPr>
          <w:lang w:val="es-AR"/>
        </w:rPr>
        <w:t>.</w:t>
      </w:r>
      <w:r w:rsidR="009E0D0E">
        <w:rPr>
          <w:lang w:val="es-AR"/>
        </w:rPr>
        <w:t xml:space="preserve"> </w:t>
      </w:r>
      <w:r w:rsidR="00B67F9F" w:rsidRPr="00B67F9F">
        <w:rPr>
          <w:lang w:val="es-AR"/>
        </w:rPr>
        <w:t>La primera extensión del proyecto</w:t>
      </w:r>
      <w:r w:rsidR="00272EE2">
        <w:rPr>
          <w:lang w:val="es-AR"/>
        </w:rPr>
        <w:t>,</w:t>
      </w:r>
      <w:r w:rsidR="00B67F9F" w:rsidRPr="00B67F9F">
        <w:rPr>
          <w:lang w:val="es-AR"/>
        </w:rPr>
        <w:t xml:space="preserve"> de 18 meses</w:t>
      </w:r>
      <w:r w:rsidR="00272EE2">
        <w:rPr>
          <w:lang w:val="es-AR"/>
        </w:rPr>
        <w:t>,</w:t>
      </w:r>
      <w:r w:rsidR="00B67F9F" w:rsidRPr="00B67F9F">
        <w:rPr>
          <w:lang w:val="es-AR"/>
        </w:rPr>
        <w:t xml:space="preserve"> se concedió en Febrero de 2013, tras lo cual</w:t>
      </w:r>
      <w:r w:rsidR="00272EE2">
        <w:rPr>
          <w:lang w:val="es-AR"/>
        </w:rPr>
        <w:t>,</w:t>
      </w:r>
      <w:r w:rsidR="00B67F9F" w:rsidRPr="00B67F9F">
        <w:rPr>
          <w:lang w:val="es-AR"/>
        </w:rPr>
        <w:t xml:space="preserve"> </w:t>
      </w:r>
      <w:r w:rsidR="00272EE2">
        <w:rPr>
          <w:lang w:val="es-AR"/>
        </w:rPr>
        <w:t>la consecución de la</w:t>
      </w:r>
      <w:r w:rsidR="00B67F9F" w:rsidRPr="00B67F9F">
        <w:rPr>
          <w:lang w:val="es-AR"/>
        </w:rPr>
        <w:t xml:space="preserve"> aprobación ministerial del primer contrato importante </w:t>
      </w:r>
      <w:r w:rsidR="007A7ECC">
        <w:rPr>
          <w:lang w:val="es-AR"/>
        </w:rPr>
        <w:t>retras</w:t>
      </w:r>
      <w:r w:rsidR="00272EE2">
        <w:rPr>
          <w:lang w:val="es-AR"/>
        </w:rPr>
        <w:t>ó aún más</w:t>
      </w:r>
      <w:r w:rsidR="00B67F9F">
        <w:rPr>
          <w:lang w:val="es-AR"/>
        </w:rPr>
        <w:t xml:space="preserve"> la </w:t>
      </w:r>
      <w:r w:rsidR="009B3AB7" w:rsidRPr="00B67F9F">
        <w:rPr>
          <w:lang w:val="es-AR"/>
        </w:rPr>
        <w:t>ejecución</w:t>
      </w:r>
      <w:r w:rsidR="00B67F9F" w:rsidRPr="00B67F9F">
        <w:rPr>
          <w:lang w:val="es-AR"/>
        </w:rPr>
        <w:t>.</w:t>
      </w:r>
      <w:r w:rsidR="00B67F9F">
        <w:rPr>
          <w:lang w:val="es-AR"/>
        </w:rPr>
        <w:t xml:space="preserve"> </w:t>
      </w:r>
      <w:r w:rsidR="00272EE2">
        <w:rPr>
          <w:color w:val="000000"/>
          <w:shd w:val="clear" w:color="auto" w:fill="FFFFFF"/>
          <w:lang w:val="es-AR"/>
        </w:rPr>
        <w:t>Hasta</w:t>
      </w:r>
      <w:r w:rsidR="00D45D30" w:rsidRPr="00D45D30">
        <w:rPr>
          <w:color w:val="000000"/>
          <w:shd w:val="clear" w:color="auto" w:fill="FFFFFF"/>
          <w:lang w:val="es-AR"/>
        </w:rPr>
        <w:t xml:space="preserve"> e</w:t>
      </w:r>
      <w:r w:rsidR="00BC44EF">
        <w:rPr>
          <w:color w:val="000000"/>
          <w:shd w:val="clear" w:color="auto" w:fill="FFFFFF"/>
          <w:lang w:val="es-AR"/>
        </w:rPr>
        <w:t>l 11 de N</w:t>
      </w:r>
      <w:r w:rsidR="00D45D30" w:rsidRPr="00D45D30">
        <w:rPr>
          <w:color w:val="000000"/>
          <w:shd w:val="clear" w:color="auto" w:fill="FFFFFF"/>
          <w:lang w:val="es-AR"/>
        </w:rPr>
        <w:t>oviembre de 2014,</w:t>
      </w:r>
      <w:r w:rsidR="00973180">
        <w:rPr>
          <w:color w:val="000000"/>
          <w:shd w:val="clear" w:color="auto" w:fill="FFFFFF"/>
          <w:lang w:val="es-AR"/>
        </w:rPr>
        <w:t xml:space="preserve"> el proyecto ha desembolsado</w:t>
      </w:r>
      <w:r w:rsidR="00D45D30" w:rsidRPr="00D45D30">
        <w:rPr>
          <w:color w:val="000000"/>
          <w:shd w:val="clear" w:color="auto" w:fill="FFFFFF"/>
          <w:lang w:val="es-AR"/>
        </w:rPr>
        <w:t xml:space="preserve"> 800.000</w:t>
      </w:r>
      <w:r w:rsidR="00BC44EF">
        <w:rPr>
          <w:color w:val="000000"/>
          <w:shd w:val="clear" w:color="auto" w:fill="FFFFFF"/>
          <w:lang w:val="es-AR"/>
        </w:rPr>
        <w:t xml:space="preserve"> </w:t>
      </w:r>
      <w:r w:rsidR="00973180">
        <w:rPr>
          <w:color w:val="000000"/>
          <w:shd w:val="clear" w:color="auto" w:fill="FFFFFF"/>
          <w:lang w:val="es-AR"/>
        </w:rPr>
        <w:t xml:space="preserve">dólares americanos </w:t>
      </w:r>
      <w:r w:rsidR="00BC44EF">
        <w:rPr>
          <w:color w:val="000000"/>
          <w:shd w:val="clear" w:color="auto" w:fill="FFFFFF"/>
          <w:lang w:val="es-AR"/>
        </w:rPr>
        <w:t>(33 por ciento de</w:t>
      </w:r>
      <w:r w:rsidR="00272EE2">
        <w:rPr>
          <w:color w:val="000000"/>
          <w:shd w:val="clear" w:color="auto" w:fill="FFFFFF"/>
          <w:lang w:val="es-AR"/>
        </w:rPr>
        <w:t>l total de</w:t>
      </w:r>
      <w:r w:rsidR="00BC44EF">
        <w:rPr>
          <w:color w:val="000000"/>
          <w:shd w:val="clear" w:color="auto" w:fill="FFFFFF"/>
          <w:lang w:val="es-AR"/>
        </w:rPr>
        <w:t xml:space="preserve"> la donación</w:t>
      </w:r>
      <w:r w:rsidR="00973180">
        <w:rPr>
          <w:color w:val="000000"/>
          <w:shd w:val="clear" w:color="auto" w:fill="FFFFFF"/>
          <w:lang w:val="es-AR"/>
        </w:rPr>
        <w:t>)</w:t>
      </w:r>
      <w:r w:rsidR="00272EE2">
        <w:rPr>
          <w:color w:val="000000"/>
          <w:shd w:val="clear" w:color="auto" w:fill="FFFFFF"/>
          <w:lang w:val="es-AR"/>
        </w:rPr>
        <w:t>,</w:t>
      </w:r>
      <w:r w:rsidR="00973180">
        <w:rPr>
          <w:color w:val="000000"/>
          <w:shd w:val="clear" w:color="auto" w:fill="FFFFFF"/>
          <w:lang w:val="es-AR"/>
        </w:rPr>
        <w:t xml:space="preserve"> ejecutado</w:t>
      </w:r>
      <w:r w:rsidR="00BC44EF">
        <w:rPr>
          <w:color w:val="000000"/>
          <w:shd w:val="clear" w:color="auto" w:fill="FFFFFF"/>
          <w:lang w:val="es-AR"/>
        </w:rPr>
        <w:t xml:space="preserve"> 528.948</w:t>
      </w:r>
      <w:r w:rsidR="00973180">
        <w:rPr>
          <w:color w:val="000000"/>
          <w:shd w:val="clear" w:color="auto" w:fill="FFFFFF"/>
          <w:lang w:val="es-AR"/>
        </w:rPr>
        <w:t xml:space="preserve"> dólares americanos</w:t>
      </w:r>
      <w:r w:rsidR="00BC44EF">
        <w:rPr>
          <w:color w:val="000000"/>
          <w:shd w:val="clear" w:color="auto" w:fill="FFFFFF"/>
          <w:lang w:val="es-AR"/>
        </w:rPr>
        <w:t xml:space="preserve"> (22 por ciento</w:t>
      </w:r>
      <w:r w:rsidR="00D45D30" w:rsidRPr="00D45D30">
        <w:rPr>
          <w:color w:val="000000"/>
          <w:shd w:val="clear" w:color="auto" w:fill="FFFFFF"/>
          <w:lang w:val="es-AR"/>
        </w:rPr>
        <w:t>), y tiene compromisos</w:t>
      </w:r>
      <w:r w:rsidR="00BC44EF">
        <w:rPr>
          <w:color w:val="000000"/>
          <w:shd w:val="clear" w:color="auto" w:fill="FFFFFF"/>
          <w:lang w:val="es-AR"/>
        </w:rPr>
        <w:t xml:space="preserve"> </w:t>
      </w:r>
      <w:r w:rsidR="00272EE2">
        <w:rPr>
          <w:color w:val="000000"/>
          <w:shd w:val="clear" w:color="auto" w:fill="FFFFFF"/>
          <w:lang w:val="es-AR"/>
        </w:rPr>
        <w:t xml:space="preserve">asumidos </w:t>
      </w:r>
      <w:r w:rsidR="00BC44EF">
        <w:rPr>
          <w:color w:val="000000"/>
          <w:shd w:val="clear" w:color="auto" w:fill="FFFFFF"/>
          <w:lang w:val="es-AR"/>
        </w:rPr>
        <w:t>por</w:t>
      </w:r>
      <w:r w:rsidR="00D45D30" w:rsidRPr="00D45D30">
        <w:rPr>
          <w:color w:val="000000"/>
          <w:shd w:val="clear" w:color="auto" w:fill="FFFFFF"/>
          <w:lang w:val="es-AR"/>
        </w:rPr>
        <w:t xml:space="preserve"> </w:t>
      </w:r>
      <w:r w:rsidR="00973180">
        <w:rPr>
          <w:color w:val="000000"/>
          <w:shd w:val="clear" w:color="auto" w:fill="FFFFFF"/>
          <w:lang w:val="es-AR"/>
        </w:rPr>
        <w:t>un adicional de</w:t>
      </w:r>
      <w:r w:rsidR="00BC44EF">
        <w:rPr>
          <w:color w:val="000000"/>
          <w:shd w:val="clear" w:color="auto" w:fill="FFFFFF"/>
          <w:lang w:val="es-AR"/>
        </w:rPr>
        <w:t xml:space="preserve"> 614.450 (25 por ciento</w:t>
      </w:r>
      <w:r w:rsidR="00D45D30" w:rsidRPr="00D45D30">
        <w:rPr>
          <w:color w:val="000000"/>
          <w:shd w:val="clear" w:color="auto" w:fill="FFFFFF"/>
          <w:lang w:val="es-AR"/>
        </w:rPr>
        <w:t>).</w:t>
      </w:r>
      <w:r w:rsidR="00D45D30">
        <w:rPr>
          <w:rFonts w:ascii="Verdana" w:hAnsi="Verdana"/>
          <w:color w:val="000000"/>
          <w:sz w:val="21"/>
          <w:szCs w:val="21"/>
          <w:shd w:val="clear" w:color="auto" w:fill="FFFFFF"/>
          <w:lang w:val="es-AR"/>
        </w:rPr>
        <w:t xml:space="preserve"> </w:t>
      </w:r>
    </w:p>
    <w:p w14:paraId="2A194B13" w14:textId="77777777" w:rsidR="00BC44EF" w:rsidRPr="0033503F" w:rsidRDefault="00BC44EF" w:rsidP="00DA66A9">
      <w:pPr>
        <w:jc w:val="both"/>
        <w:rPr>
          <w:lang w:val="es-AR"/>
        </w:rPr>
      </w:pPr>
    </w:p>
    <w:p w14:paraId="2761DCC3" w14:textId="77777777" w:rsidR="00DA66A9" w:rsidRDefault="001B7872" w:rsidP="00DA66A9">
      <w:pPr>
        <w:jc w:val="both"/>
        <w:rPr>
          <w:lang w:val="es-AR"/>
        </w:rPr>
      </w:pPr>
      <w:r w:rsidRPr="001970C0">
        <w:rPr>
          <w:lang w:val="es-AR"/>
        </w:rPr>
        <w:t xml:space="preserve">La Unidad de Ejecución del Proyecto </w:t>
      </w:r>
      <w:r w:rsidR="00DA66A9" w:rsidRPr="001970C0">
        <w:rPr>
          <w:lang w:val="es-AR"/>
        </w:rPr>
        <w:t>(</w:t>
      </w:r>
      <w:r w:rsidR="00272EE2">
        <w:rPr>
          <w:lang w:val="es-AR"/>
        </w:rPr>
        <w:t>UEP</w:t>
      </w:r>
      <w:r w:rsidR="00DA66A9" w:rsidRPr="001970C0">
        <w:rPr>
          <w:lang w:val="es-AR"/>
        </w:rPr>
        <w:t xml:space="preserve">) </w:t>
      </w:r>
      <w:r w:rsidR="00170517" w:rsidRPr="001970C0">
        <w:rPr>
          <w:lang w:val="es-AR"/>
        </w:rPr>
        <w:t>consiste en un equipo de consultores técnicos c</w:t>
      </w:r>
      <w:r w:rsidR="001970C0">
        <w:rPr>
          <w:lang w:val="es-AR"/>
        </w:rPr>
        <w:t>alificados y dedicados</w:t>
      </w:r>
      <w:r w:rsidR="00272EE2">
        <w:rPr>
          <w:lang w:val="es-AR"/>
        </w:rPr>
        <w:t>,</w:t>
      </w:r>
      <w:r w:rsidR="001970C0">
        <w:rPr>
          <w:lang w:val="es-AR"/>
        </w:rPr>
        <w:t xml:space="preserve"> contratados</w:t>
      </w:r>
      <w:r w:rsidR="00170517" w:rsidRPr="001970C0">
        <w:rPr>
          <w:lang w:val="es-AR"/>
        </w:rPr>
        <w:t xml:space="preserve"> con fondos de la donación</w:t>
      </w:r>
      <w:r w:rsidR="00272EE2">
        <w:rPr>
          <w:lang w:val="es-AR"/>
        </w:rPr>
        <w:t>;</w:t>
      </w:r>
      <w:r w:rsidR="00170517" w:rsidRPr="001970C0">
        <w:rPr>
          <w:lang w:val="es-AR"/>
        </w:rPr>
        <w:t xml:space="preserve"> y complementados por miembros del personal de la Secretaría de Ambiente y Desarrollo Sustentable</w:t>
      </w:r>
      <w:r w:rsidR="00272EE2">
        <w:rPr>
          <w:lang w:val="es-AR"/>
        </w:rPr>
        <w:t xml:space="preserve"> de la Nación</w:t>
      </w:r>
      <w:r w:rsidR="00170517" w:rsidRPr="001970C0">
        <w:rPr>
          <w:lang w:val="es-AR"/>
        </w:rPr>
        <w:t xml:space="preserve"> </w:t>
      </w:r>
      <w:r w:rsidR="00DA66A9" w:rsidRPr="001970C0">
        <w:rPr>
          <w:lang w:val="es-AR"/>
        </w:rPr>
        <w:t>(</w:t>
      </w:r>
      <w:proofErr w:type="spellStart"/>
      <w:r w:rsidR="00DA66A9" w:rsidRPr="001970C0">
        <w:rPr>
          <w:lang w:val="es-AR"/>
        </w:rPr>
        <w:t>SAyDS</w:t>
      </w:r>
      <w:proofErr w:type="spellEnd"/>
      <w:r w:rsidR="00DA66A9" w:rsidRPr="001970C0">
        <w:rPr>
          <w:lang w:val="es-AR"/>
        </w:rPr>
        <w:t xml:space="preserve">), </w:t>
      </w:r>
      <w:r w:rsidR="00565A4C">
        <w:rPr>
          <w:lang w:val="es-AR"/>
        </w:rPr>
        <w:t xml:space="preserve">quienes están a cargo del enlace político y </w:t>
      </w:r>
      <w:r w:rsidR="00272EE2">
        <w:rPr>
          <w:lang w:val="es-AR"/>
        </w:rPr>
        <w:t xml:space="preserve">de </w:t>
      </w:r>
      <w:r w:rsidR="00565A4C">
        <w:rPr>
          <w:lang w:val="es-AR"/>
        </w:rPr>
        <w:t>prestar soporte técnico y administrativo/burocrático</w:t>
      </w:r>
      <w:r w:rsidR="00DA66A9" w:rsidRPr="001970C0">
        <w:rPr>
          <w:lang w:val="es-AR"/>
        </w:rPr>
        <w:t xml:space="preserve">. </w:t>
      </w:r>
      <w:r w:rsidR="007E41CD">
        <w:rPr>
          <w:lang w:val="es-AR"/>
        </w:rPr>
        <w:t>En J</w:t>
      </w:r>
      <w:r w:rsidR="007E41CD" w:rsidRPr="007E41CD">
        <w:rPr>
          <w:lang w:val="es-AR"/>
        </w:rPr>
        <w:t xml:space="preserve">unio de 2013, </w:t>
      </w:r>
      <w:r w:rsidR="007E41CD">
        <w:rPr>
          <w:lang w:val="es-AR"/>
        </w:rPr>
        <w:t xml:space="preserve">la </w:t>
      </w:r>
      <w:r w:rsidR="00272EE2">
        <w:rPr>
          <w:lang w:val="es-AR"/>
        </w:rPr>
        <w:t xml:space="preserve">calificación de la </w:t>
      </w:r>
      <w:r w:rsidR="007E41CD">
        <w:rPr>
          <w:lang w:val="es-AR"/>
        </w:rPr>
        <w:t>ejecución del proyecto fue actualizada</w:t>
      </w:r>
      <w:r w:rsidR="007E41CD" w:rsidRPr="007E41CD">
        <w:rPr>
          <w:lang w:val="es-AR"/>
        </w:rPr>
        <w:t xml:space="preserve"> d</w:t>
      </w:r>
      <w:r w:rsidR="007E41CD">
        <w:rPr>
          <w:lang w:val="es-AR"/>
        </w:rPr>
        <w:t>esde moderadamente insatisfactoria a moderadamente satisfactoria</w:t>
      </w:r>
      <w:r w:rsidR="007E41CD" w:rsidRPr="007E41CD">
        <w:rPr>
          <w:lang w:val="es-AR"/>
        </w:rPr>
        <w:t>, y dicha valo</w:t>
      </w:r>
      <w:r w:rsidR="0033503F">
        <w:rPr>
          <w:lang w:val="es-AR"/>
        </w:rPr>
        <w:t>ración fue mejorada</w:t>
      </w:r>
      <w:r w:rsidR="007E41CD">
        <w:rPr>
          <w:lang w:val="es-AR"/>
        </w:rPr>
        <w:t xml:space="preserve"> a satisfactoria en S</w:t>
      </w:r>
      <w:r w:rsidR="007E41CD" w:rsidRPr="007E41CD">
        <w:rPr>
          <w:lang w:val="es-AR"/>
        </w:rPr>
        <w:t>eptiembre de 2014.</w:t>
      </w:r>
      <w:r w:rsidR="007E41CD">
        <w:rPr>
          <w:lang w:val="es-AR"/>
        </w:rPr>
        <w:t xml:space="preserve"> </w:t>
      </w:r>
      <w:r w:rsidR="00A310AC" w:rsidRPr="00F53DC2">
        <w:rPr>
          <w:lang w:val="es-AR"/>
        </w:rPr>
        <w:t xml:space="preserve">Esta mejoría </w:t>
      </w:r>
      <w:r w:rsidR="00272EE2">
        <w:rPr>
          <w:lang w:val="es-AR"/>
        </w:rPr>
        <w:t>se debió</w:t>
      </w:r>
      <w:r w:rsidR="004743E1" w:rsidRPr="00F53DC2">
        <w:rPr>
          <w:lang w:val="es-AR"/>
        </w:rPr>
        <w:t xml:space="preserve"> a los siguientes resultados claves: 1) </w:t>
      </w:r>
      <w:r w:rsidR="00A310AC" w:rsidRPr="00F53DC2">
        <w:rPr>
          <w:lang w:val="es-AR"/>
        </w:rPr>
        <w:t>el estudio principal</w:t>
      </w:r>
      <w:r w:rsidR="006F4FB5" w:rsidRPr="00F53DC2">
        <w:rPr>
          <w:lang w:val="es-AR"/>
        </w:rPr>
        <w:t xml:space="preserve"> </w:t>
      </w:r>
      <w:r w:rsidR="00103A2F" w:rsidRPr="00F53DC2">
        <w:rPr>
          <w:lang w:val="es-AR"/>
        </w:rPr>
        <w:t>de modelos climáticos y la</w:t>
      </w:r>
      <w:r w:rsidR="006F4FB5" w:rsidRPr="00F53DC2">
        <w:rPr>
          <w:lang w:val="es-AR"/>
        </w:rPr>
        <w:t xml:space="preserve"> base de datos relacionada estaban listos para su uso </w:t>
      </w:r>
      <w:r w:rsidR="00103A2F" w:rsidRPr="00F53DC2">
        <w:rPr>
          <w:lang w:val="es-AR"/>
        </w:rPr>
        <w:t xml:space="preserve">por </w:t>
      </w:r>
      <w:r w:rsidR="00272EE2">
        <w:rPr>
          <w:lang w:val="es-AR"/>
        </w:rPr>
        <w:t xml:space="preserve">parte de </w:t>
      </w:r>
      <w:r w:rsidR="00103A2F" w:rsidRPr="00F53DC2">
        <w:rPr>
          <w:lang w:val="es-AR"/>
        </w:rPr>
        <w:t>los estudios sectoriales de vulnerabilidad y adaptación (V&amp;A, por siglas en ingles)</w:t>
      </w:r>
      <w:r w:rsidR="00DA66A9" w:rsidRPr="00F53DC2">
        <w:rPr>
          <w:lang w:val="es-AR"/>
        </w:rPr>
        <w:t xml:space="preserve">; 2) </w:t>
      </w:r>
      <w:r w:rsidR="00F53DC2" w:rsidRPr="00F53DC2">
        <w:rPr>
          <w:lang w:val="es-AR"/>
        </w:rPr>
        <w:t xml:space="preserve">los cuatro inventarios de gases de efecto invernadero (GEI) </w:t>
      </w:r>
      <w:r w:rsidR="00F53DC2" w:rsidRPr="00F53DC2">
        <w:rPr>
          <w:lang w:val="es-AR"/>
        </w:rPr>
        <w:lastRenderedPageBreak/>
        <w:t>sectoriales y los estudios de mitigación habían estado progresando bien</w:t>
      </w:r>
      <w:r w:rsidR="009A75B9">
        <w:rPr>
          <w:lang w:val="es-AR"/>
        </w:rPr>
        <w:t>; 3) los términos de referencia (</w:t>
      </w:r>
      <w:proofErr w:type="spellStart"/>
      <w:r w:rsidR="009A75B9">
        <w:rPr>
          <w:lang w:val="es-AR"/>
        </w:rPr>
        <w:t>T</w:t>
      </w:r>
      <w:r w:rsidR="00272EE2">
        <w:rPr>
          <w:lang w:val="es-AR"/>
        </w:rPr>
        <w:t>d</w:t>
      </w:r>
      <w:r w:rsidR="009A75B9">
        <w:rPr>
          <w:lang w:val="es-AR"/>
        </w:rPr>
        <w:t>Rs</w:t>
      </w:r>
      <w:proofErr w:type="spellEnd"/>
      <w:r w:rsidR="009A75B9">
        <w:rPr>
          <w:lang w:val="es-AR"/>
        </w:rPr>
        <w:t xml:space="preserve">) </w:t>
      </w:r>
      <w:r w:rsidR="00C2498F">
        <w:rPr>
          <w:lang w:val="es-AR"/>
        </w:rPr>
        <w:t xml:space="preserve">han sido </w:t>
      </w:r>
      <w:r w:rsidR="00C2498F" w:rsidRPr="00FC134A">
        <w:rPr>
          <w:lang w:val="es-AR"/>
        </w:rPr>
        <w:t xml:space="preserve">finalizados para los estudios de V&amp;A </w:t>
      </w:r>
      <w:r w:rsidR="00FC134A" w:rsidRPr="00FC134A">
        <w:rPr>
          <w:lang w:val="es-AR"/>
        </w:rPr>
        <w:t xml:space="preserve">y </w:t>
      </w:r>
      <w:r w:rsidR="00FC134A">
        <w:rPr>
          <w:lang w:val="es-AR"/>
        </w:rPr>
        <w:t>sus procesos de contratación avanzados al pun</w:t>
      </w:r>
      <w:r w:rsidR="002753C4">
        <w:rPr>
          <w:lang w:val="es-AR"/>
        </w:rPr>
        <w:t>to viable</w:t>
      </w:r>
      <w:r w:rsidR="00483574">
        <w:rPr>
          <w:lang w:val="es-AR"/>
        </w:rPr>
        <w:t xml:space="preserve"> en el marco </w:t>
      </w:r>
      <w:r w:rsidR="00FC134A">
        <w:rPr>
          <w:lang w:val="es-AR"/>
        </w:rPr>
        <w:t xml:space="preserve">de </w:t>
      </w:r>
      <w:r w:rsidR="002753C4">
        <w:rPr>
          <w:lang w:val="es-AR"/>
        </w:rPr>
        <w:t>la fecha de cierre de</w:t>
      </w:r>
      <w:r w:rsidR="00FC134A">
        <w:rPr>
          <w:lang w:val="es-AR"/>
        </w:rPr>
        <w:t xml:space="preserve"> Noviembre de 2014;</w:t>
      </w:r>
      <w:r w:rsidR="0065220F">
        <w:rPr>
          <w:lang w:val="es-AR"/>
        </w:rPr>
        <w:t xml:space="preserve"> y</w:t>
      </w:r>
      <w:r w:rsidR="00DA66A9" w:rsidRPr="00FC134A">
        <w:rPr>
          <w:lang w:val="es-AR"/>
        </w:rPr>
        <w:t xml:space="preserve"> 4) </w:t>
      </w:r>
      <w:r w:rsidR="00771272">
        <w:rPr>
          <w:lang w:val="es-AR"/>
        </w:rPr>
        <w:t xml:space="preserve">las </w:t>
      </w:r>
      <w:r w:rsidR="00E22388" w:rsidRPr="00E22388">
        <w:rPr>
          <w:lang w:val="es-AR"/>
        </w:rPr>
        <w:t>actividade</w:t>
      </w:r>
      <w:r w:rsidR="00552205">
        <w:rPr>
          <w:lang w:val="es-AR"/>
        </w:rPr>
        <w:t xml:space="preserve">s de comunicación y </w:t>
      </w:r>
      <w:r w:rsidR="00771272">
        <w:rPr>
          <w:lang w:val="es-AR"/>
        </w:rPr>
        <w:t xml:space="preserve">de </w:t>
      </w:r>
      <w:r w:rsidR="00552205">
        <w:rPr>
          <w:lang w:val="es-AR"/>
        </w:rPr>
        <w:t>desarrollo</w:t>
      </w:r>
      <w:r w:rsidR="00E22388" w:rsidRPr="00E22388">
        <w:rPr>
          <w:lang w:val="es-AR"/>
        </w:rPr>
        <w:t xml:space="preserve"> de capacidades han creado u</w:t>
      </w:r>
      <w:r w:rsidR="001131BC">
        <w:rPr>
          <w:lang w:val="es-AR"/>
        </w:rPr>
        <w:t xml:space="preserve">n creciente interés y demanda </w:t>
      </w:r>
      <w:r w:rsidR="00272EE2">
        <w:rPr>
          <w:lang w:val="es-AR"/>
        </w:rPr>
        <w:t>de</w:t>
      </w:r>
      <w:r w:rsidR="00272EE2" w:rsidRPr="00E22388">
        <w:rPr>
          <w:lang w:val="es-AR"/>
        </w:rPr>
        <w:t xml:space="preserve"> </w:t>
      </w:r>
      <w:r w:rsidR="00E22388">
        <w:rPr>
          <w:lang w:val="es-AR"/>
        </w:rPr>
        <w:t xml:space="preserve">los </w:t>
      </w:r>
      <w:r w:rsidR="00E22388" w:rsidRPr="00E22388">
        <w:rPr>
          <w:lang w:val="es-AR"/>
        </w:rPr>
        <w:t>result</w:t>
      </w:r>
      <w:r w:rsidR="00E22388">
        <w:rPr>
          <w:lang w:val="es-AR"/>
        </w:rPr>
        <w:t>ados del proyecto, particularmente</w:t>
      </w:r>
      <w:r w:rsidR="00E22388" w:rsidRPr="00E22388">
        <w:rPr>
          <w:lang w:val="es-AR"/>
        </w:rPr>
        <w:t xml:space="preserve"> a nivel </w:t>
      </w:r>
      <w:r w:rsidR="009C1595">
        <w:rPr>
          <w:lang w:val="es-AR"/>
        </w:rPr>
        <w:t>provincial</w:t>
      </w:r>
      <w:r w:rsidR="00272EE2">
        <w:rPr>
          <w:lang w:val="es-AR"/>
        </w:rPr>
        <w:t>;</w:t>
      </w:r>
      <w:r w:rsidR="009C1595">
        <w:rPr>
          <w:lang w:val="es-AR"/>
        </w:rPr>
        <w:t xml:space="preserve"> y los actores clave</w:t>
      </w:r>
      <w:r w:rsidR="00E22388" w:rsidRPr="00E22388">
        <w:rPr>
          <w:lang w:val="es-AR"/>
        </w:rPr>
        <w:t xml:space="preserve"> han continuado </w:t>
      </w:r>
      <w:r w:rsidR="009C1595">
        <w:rPr>
          <w:lang w:val="es-AR"/>
        </w:rPr>
        <w:t xml:space="preserve">con </w:t>
      </w:r>
      <w:r w:rsidR="00E22388">
        <w:rPr>
          <w:lang w:val="es-AR"/>
        </w:rPr>
        <w:t xml:space="preserve">una </w:t>
      </w:r>
      <w:r w:rsidR="00E22388" w:rsidRPr="00E22388">
        <w:rPr>
          <w:lang w:val="es-AR"/>
        </w:rPr>
        <w:t>participación activ</w:t>
      </w:r>
      <w:r w:rsidR="00E22388">
        <w:rPr>
          <w:lang w:val="es-AR"/>
        </w:rPr>
        <w:t xml:space="preserve">a en la revisión y </w:t>
      </w:r>
      <w:r w:rsidR="009C1595">
        <w:rPr>
          <w:lang w:val="es-AR"/>
        </w:rPr>
        <w:t xml:space="preserve">la </w:t>
      </w:r>
      <w:r w:rsidR="00E22388">
        <w:rPr>
          <w:lang w:val="es-AR"/>
        </w:rPr>
        <w:t>contribución</w:t>
      </w:r>
      <w:r w:rsidR="00E22388" w:rsidRPr="00E22388">
        <w:rPr>
          <w:lang w:val="es-AR"/>
        </w:rPr>
        <w:t xml:space="preserve"> a </w:t>
      </w:r>
      <w:r w:rsidR="00E22388">
        <w:rPr>
          <w:lang w:val="es-AR"/>
        </w:rPr>
        <w:t xml:space="preserve">los </w:t>
      </w:r>
      <w:r w:rsidR="00E22388" w:rsidRPr="00E22388">
        <w:rPr>
          <w:lang w:val="es-AR"/>
        </w:rPr>
        <w:t>docu</w:t>
      </w:r>
      <w:r w:rsidR="009C1595">
        <w:rPr>
          <w:lang w:val="es-AR"/>
        </w:rPr>
        <w:t xml:space="preserve">mentos del </w:t>
      </w:r>
      <w:r w:rsidR="00272EE2">
        <w:rPr>
          <w:lang w:val="es-AR"/>
        </w:rPr>
        <w:t>proyecto</w:t>
      </w:r>
      <w:r w:rsidR="00E22388" w:rsidRPr="00E22388">
        <w:rPr>
          <w:lang w:val="es-AR"/>
        </w:rPr>
        <w:t>.</w:t>
      </w:r>
      <w:r w:rsidR="00E22388">
        <w:rPr>
          <w:lang w:val="es-AR"/>
        </w:rPr>
        <w:t xml:space="preserve"> </w:t>
      </w:r>
    </w:p>
    <w:p w14:paraId="705EFBE7" w14:textId="77777777" w:rsidR="00D30C47" w:rsidRPr="00FC134A" w:rsidRDefault="00D30C47" w:rsidP="00DA66A9">
      <w:pPr>
        <w:jc w:val="both"/>
        <w:rPr>
          <w:lang w:val="es-AR"/>
        </w:rPr>
      </w:pPr>
    </w:p>
    <w:p w14:paraId="06F2CFAC" w14:textId="77777777" w:rsidR="00DA66A9" w:rsidRDefault="00E95397" w:rsidP="00DA66A9">
      <w:pPr>
        <w:jc w:val="both"/>
        <w:rPr>
          <w:rFonts w:eastAsia="Calibri"/>
          <w:lang w:val="es-AR"/>
        </w:rPr>
      </w:pPr>
      <w:r w:rsidRPr="00E95397">
        <w:rPr>
          <w:rFonts w:eastAsia="Calibri"/>
          <w:lang w:val="es-AR"/>
        </w:rPr>
        <w:t>A pesar</w:t>
      </w:r>
      <w:r w:rsidR="00A81CE7">
        <w:rPr>
          <w:rFonts w:eastAsia="Calibri"/>
          <w:lang w:val="es-AR"/>
        </w:rPr>
        <w:t xml:space="preserve"> de su</w:t>
      </w:r>
      <w:r w:rsidRPr="00E95397">
        <w:rPr>
          <w:rFonts w:eastAsia="Calibri"/>
          <w:lang w:val="es-AR"/>
        </w:rPr>
        <w:t xml:space="preserve"> implementación más lenta que lo esperado, el proyecto </w:t>
      </w:r>
      <w:r>
        <w:rPr>
          <w:rFonts w:eastAsia="Calibri"/>
          <w:lang w:val="es-AR"/>
        </w:rPr>
        <w:t xml:space="preserve">sigue siendo técnicamente </w:t>
      </w:r>
      <w:r w:rsidR="00ED3706">
        <w:rPr>
          <w:rFonts w:eastAsia="Calibri"/>
          <w:lang w:val="es-AR"/>
        </w:rPr>
        <w:t xml:space="preserve">válido </w:t>
      </w:r>
      <w:r>
        <w:rPr>
          <w:rFonts w:eastAsia="Calibri"/>
          <w:lang w:val="es-AR"/>
        </w:rPr>
        <w:t xml:space="preserve">y estratégico. </w:t>
      </w:r>
      <w:r w:rsidR="000455AD" w:rsidRPr="000455AD">
        <w:rPr>
          <w:rFonts w:eastAsia="Calibri"/>
          <w:lang w:val="es-AR"/>
        </w:rPr>
        <w:t>Incluso</w:t>
      </w:r>
      <w:r w:rsidR="00A81CE7">
        <w:rPr>
          <w:rFonts w:eastAsia="Calibri"/>
          <w:lang w:val="es-AR"/>
        </w:rPr>
        <w:t xml:space="preserve"> cuando el período de ejecución restante no sea</w:t>
      </w:r>
      <w:r w:rsidR="000455AD" w:rsidRPr="000455AD">
        <w:rPr>
          <w:rFonts w:eastAsia="Calibri"/>
          <w:lang w:val="es-AR"/>
        </w:rPr>
        <w:t xml:space="preserve"> suficiente para llevar a cabo la mayoría de los es</w:t>
      </w:r>
      <w:r w:rsidR="00A81CE7">
        <w:rPr>
          <w:rFonts w:eastAsia="Calibri"/>
          <w:lang w:val="es-AR"/>
        </w:rPr>
        <w:t>tudios de adaptación planificados</w:t>
      </w:r>
      <w:r w:rsidR="000455AD" w:rsidRPr="000455AD">
        <w:rPr>
          <w:rFonts w:eastAsia="Calibri"/>
          <w:lang w:val="es-AR"/>
        </w:rPr>
        <w:t>, el proceso participativo aplicado para preparar los respect</w:t>
      </w:r>
      <w:r w:rsidR="00A81CE7">
        <w:rPr>
          <w:rFonts w:eastAsia="Calibri"/>
          <w:lang w:val="es-AR"/>
        </w:rPr>
        <w:t>ivos ToRs en colaboración con las agencias</w:t>
      </w:r>
      <w:r w:rsidR="0090220A">
        <w:rPr>
          <w:rFonts w:eastAsia="Calibri"/>
          <w:lang w:val="es-AR"/>
        </w:rPr>
        <w:t xml:space="preserve"> </w:t>
      </w:r>
      <w:r w:rsidR="00ED3706">
        <w:rPr>
          <w:rFonts w:eastAsia="Calibri"/>
          <w:lang w:val="es-AR"/>
        </w:rPr>
        <w:t>g</w:t>
      </w:r>
      <w:r w:rsidR="000455AD" w:rsidRPr="000455AD">
        <w:rPr>
          <w:rFonts w:eastAsia="Calibri"/>
          <w:lang w:val="es-AR"/>
        </w:rPr>
        <w:t>ubername</w:t>
      </w:r>
      <w:r w:rsidR="00A81CE7">
        <w:rPr>
          <w:rFonts w:eastAsia="Calibri"/>
          <w:lang w:val="es-AR"/>
        </w:rPr>
        <w:t>ntales relacionada</w:t>
      </w:r>
      <w:r w:rsidR="000455AD" w:rsidRPr="000455AD">
        <w:rPr>
          <w:rFonts w:eastAsia="Calibri"/>
          <w:lang w:val="es-AR"/>
        </w:rPr>
        <w:t>s facilit</w:t>
      </w:r>
      <w:r w:rsidR="0090220A">
        <w:rPr>
          <w:rFonts w:eastAsia="Calibri"/>
          <w:lang w:val="es-AR"/>
        </w:rPr>
        <w:t>ará el desarrollo de los</w:t>
      </w:r>
      <w:r w:rsidR="000455AD" w:rsidRPr="000455AD">
        <w:rPr>
          <w:rFonts w:eastAsia="Calibri"/>
          <w:lang w:val="es-AR"/>
        </w:rPr>
        <w:t xml:space="preserve"> estudios </w:t>
      </w:r>
      <w:r w:rsidR="0090220A">
        <w:rPr>
          <w:rFonts w:eastAsia="Calibri"/>
          <w:lang w:val="es-AR"/>
        </w:rPr>
        <w:t>futuros en sectores clave</w:t>
      </w:r>
      <w:r w:rsidR="00ED3706">
        <w:rPr>
          <w:rFonts w:eastAsia="Calibri"/>
          <w:lang w:val="es-AR"/>
        </w:rPr>
        <w:t>,</w:t>
      </w:r>
      <w:r w:rsidR="0090220A">
        <w:rPr>
          <w:rFonts w:eastAsia="Calibri"/>
          <w:lang w:val="es-AR"/>
        </w:rPr>
        <w:t xml:space="preserve"> en </w:t>
      </w:r>
      <w:r w:rsidR="00ED3706">
        <w:rPr>
          <w:rFonts w:eastAsia="Calibri"/>
          <w:lang w:val="es-AR"/>
        </w:rPr>
        <w:t xml:space="preserve">el marco de </w:t>
      </w:r>
      <w:r w:rsidR="0090220A">
        <w:rPr>
          <w:rFonts w:eastAsia="Calibri"/>
          <w:lang w:val="es-AR"/>
        </w:rPr>
        <w:t>la Estrategia Nacional de Cambio C</w:t>
      </w:r>
      <w:r w:rsidR="000455AD" w:rsidRPr="000455AD">
        <w:rPr>
          <w:rFonts w:eastAsia="Calibri"/>
          <w:lang w:val="es-AR"/>
        </w:rPr>
        <w:t>limático.</w:t>
      </w:r>
      <w:r w:rsidR="00A81CE7">
        <w:rPr>
          <w:rFonts w:eastAsia="Calibri"/>
          <w:lang w:val="es-AR"/>
        </w:rPr>
        <w:t xml:space="preserve"> </w:t>
      </w:r>
    </w:p>
    <w:p w14:paraId="2C15AB9D" w14:textId="77777777" w:rsidR="00F65F06" w:rsidRPr="00523B1F" w:rsidRDefault="00F65F06" w:rsidP="00DA66A9">
      <w:pPr>
        <w:jc w:val="both"/>
        <w:rPr>
          <w:rFonts w:eastAsia="Calibri"/>
          <w:lang w:val="es-AR"/>
        </w:rPr>
      </w:pPr>
    </w:p>
    <w:p w14:paraId="56656D5E" w14:textId="77777777" w:rsidR="00DA66A9" w:rsidRPr="00A2141B" w:rsidRDefault="004C5789" w:rsidP="00DA66A9">
      <w:pPr>
        <w:pStyle w:val="Heading1"/>
      </w:pPr>
      <w:r>
        <w:t>CAMBIOS PROPUESTOS</w:t>
      </w:r>
    </w:p>
    <w:bookmarkEnd w:id="1"/>
    <w:p w14:paraId="0C2185FE" w14:textId="77777777" w:rsidR="00DA66A9" w:rsidRDefault="00DA66A9" w:rsidP="00DA66A9"/>
    <w:p w14:paraId="7D1E28C0" w14:textId="77777777" w:rsidR="00DA66A9" w:rsidRDefault="0040789B" w:rsidP="00DA66A9">
      <w:pPr>
        <w:rPr>
          <w:b/>
          <w:bCs/>
        </w:rPr>
      </w:pPr>
      <w:r>
        <w:rPr>
          <w:b/>
          <w:bCs/>
        </w:rPr>
        <w:t>Objetivos de Desarrollo/Resultados</w:t>
      </w:r>
      <w:r w:rsidR="00DA66A9">
        <w:rPr>
          <w:b/>
          <w:bCs/>
        </w:rPr>
        <w:t xml:space="preserve"> </w:t>
      </w:r>
    </w:p>
    <w:p w14:paraId="090E58E5" w14:textId="77777777" w:rsidR="00DA66A9" w:rsidRPr="00A2141B" w:rsidRDefault="00DA66A9" w:rsidP="00DA66A9"/>
    <w:p w14:paraId="06750882" w14:textId="77777777" w:rsidR="00DA66A9" w:rsidRPr="00834869" w:rsidRDefault="00DB43AA" w:rsidP="00DA66A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Marco de resultados</w:t>
      </w:r>
      <w:r w:rsidR="00DA66A9" w:rsidRPr="00834869">
        <w:rPr>
          <w:b/>
        </w:rPr>
        <w:t xml:space="preserve"> </w:t>
      </w:r>
    </w:p>
    <w:p w14:paraId="52D4295C" w14:textId="77777777" w:rsidR="00DA66A9" w:rsidRPr="00A2141B" w:rsidRDefault="00DA66A9" w:rsidP="00DA66A9">
      <w:pPr>
        <w:pStyle w:val="ListParagraph"/>
        <w:rPr>
          <w:highlight w:val="yellow"/>
        </w:rPr>
      </w:pPr>
    </w:p>
    <w:p w14:paraId="304388DD" w14:textId="77777777" w:rsidR="00DA66A9" w:rsidRDefault="008A6F0C" w:rsidP="00DA66A9">
      <w:pPr>
        <w:jc w:val="both"/>
        <w:rPr>
          <w:lang w:val="es-AR"/>
        </w:rPr>
      </w:pPr>
      <w:r w:rsidRPr="00FD37FC">
        <w:rPr>
          <w:lang w:val="es-AR"/>
        </w:rPr>
        <w:t>El marco de resultados es revisado para reducir los e</w:t>
      </w:r>
      <w:r w:rsidR="00464466" w:rsidRPr="00FD37FC">
        <w:rPr>
          <w:lang w:val="es-AR"/>
        </w:rPr>
        <w:t xml:space="preserve">studios </w:t>
      </w:r>
      <w:r w:rsidR="0055548B" w:rsidRPr="00FD37FC">
        <w:rPr>
          <w:lang w:val="es-AR"/>
        </w:rPr>
        <w:t xml:space="preserve">específicos </w:t>
      </w:r>
      <w:r w:rsidR="00464466" w:rsidRPr="00FD37FC">
        <w:rPr>
          <w:lang w:val="es-AR"/>
        </w:rPr>
        <w:t xml:space="preserve">de adaptación </w:t>
      </w:r>
      <w:r w:rsidRPr="00FD37FC">
        <w:rPr>
          <w:lang w:val="es-AR"/>
        </w:rPr>
        <w:t xml:space="preserve">y excluir los estudios finales sobre </w:t>
      </w:r>
      <w:r w:rsidR="0055548B">
        <w:rPr>
          <w:lang w:val="es-AR"/>
        </w:rPr>
        <w:t xml:space="preserve">políticas y medidas de </w:t>
      </w:r>
      <w:r w:rsidRPr="00FD37FC">
        <w:rPr>
          <w:lang w:val="es-AR"/>
        </w:rPr>
        <w:t>mitigación y adaptación</w:t>
      </w:r>
      <w:r w:rsidR="00464466" w:rsidRPr="00FD37FC">
        <w:rPr>
          <w:lang w:val="es-AR"/>
        </w:rPr>
        <w:t>.</w:t>
      </w:r>
      <w:r w:rsidRPr="00FD37FC">
        <w:rPr>
          <w:lang w:val="es-AR"/>
        </w:rPr>
        <w:t xml:space="preserve"> </w:t>
      </w:r>
      <w:r w:rsidR="001E4EBB" w:rsidRPr="00FD37FC">
        <w:rPr>
          <w:lang w:val="es-AR"/>
        </w:rPr>
        <w:t xml:space="preserve">Además, la revisión mejorará la medición de </w:t>
      </w:r>
      <w:r w:rsidR="0033104B" w:rsidRPr="00FD37FC">
        <w:rPr>
          <w:lang w:val="es-AR"/>
        </w:rPr>
        <w:t xml:space="preserve">los </w:t>
      </w:r>
      <w:r w:rsidR="001E4EBB" w:rsidRPr="00FD37FC">
        <w:rPr>
          <w:lang w:val="es-AR"/>
        </w:rPr>
        <w:t>indicadores de resultados intermedios.</w:t>
      </w:r>
      <w:r w:rsidR="00FD37FC" w:rsidRPr="00FD37FC">
        <w:rPr>
          <w:rFonts w:ascii="Verdana" w:hAnsi="Verdana"/>
          <w:color w:val="000000"/>
          <w:sz w:val="21"/>
          <w:szCs w:val="21"/>
          <w:shd w:val="clear" w:color="auto" w:fill="FFFFFF"/>
          <w:lang w:val="es-AR"/>
        </w:rPr>
        <w:t xml:space="preserve"> </w:t>
      </w:r>
      <w:r w:rsidR="00FD37FC" w:rsidRPr="00FD37FC">
        <w:rPr>
          <w:lang w:val="es-AR"/>
        </w:rPr>
        <w:t>Los indicadores de resultado</w:t>
      </w:r>
      <w:r w:rsidR="002A15F1">
        <w:rPr>
          <w:lang w:val="es-AR"/>
        </w:rPr>
        <w:t>s</w:t>
      </w:r>
      <w:r w:rsidR="00FD37FC" w:rsidRPr="00FD37FC">
        <w:rPr>
          <w:lang w:val="es-AR"/>
        </w:rPr>
        <w:t xml:space="preserve"> intermedio</w:t>
      </w:r>
      <w:r w:rsidR="002A15F1">
        <w:rPr>
          <w:lang w:val="es-AR"/>
        </w:rPr>
        <w:t>s</w:t>
      </w:r>
      <w:r w:rsidR="00CB3DED">
        <w:rPr>
          <w:lang w:val="es-AR"/>
        </w:rPr>
        <w:t xml:space="preserve"> revisados</w:t>
      </w:r>
      <w:r w:rsidR="00FD37FC" w:rsidRPr="00FD37FC">
        <w:rPr>
          <w:lang w:val="es-AR"/>
        </w:rPr>
        <w:t xml:space="preserve"> se centran en </w:t>
      </w:r>
      <w:r w:rsidR="003A4544">
        <w:rPr>
          <w:lang w:val="es-AR"/>
        </w:rPr>
        <w:t xml:space="preserve">el </w:t>
      </w:r>
      <w:r w:rsidR="00FD37FC" w:rsidRPr="00FD37FC">
        <w:rPr>
          <w:lang w:val="es-AR"/>
        </w:rPr>
        <w:t xml:space="preserve">seguimiento del avance de los estudios y </w:t>
      </w:r>
      <w:r w:rsidR="002A42F2">
        <w:rPr>
          <w:lang w:val="es-AR"/>
        </w:rPr>
        <w:t xml:space="preserve">de </w:t>
      </w:r>
      <w:r w:rsidR="00FD37FC" w:rsidRPr="00FD37FC">
        <w:rPr>
          <w:lang w:val="es-AR"/>
        </w:rPr>
        <w:t>la participación de l</w:t>
      </w:r>
      <w:r w:rsidR="00E4626D">
        <w:rPr>
          <w:lang w:val="es-AR"/>
        </w:rPr>
        <w:t>os actores clave en la contribución</w:t>
      </w:r>
      <w:r w:rsidR="00FD37FC" w:rsidRPr="00FD37FC">
        <w:rPr>
          <w:lang w:val="es-AR"/>
        </w:rPr>
        <w:t xml:space="preserve"> a su desarrollo.</w:t>
      </w:r>
      <w:r w:rsidR="0033104B" w:rsidRPr="00FD37FC">
        <w:rPr>
          <w:lang w:val="es-AR"/>
        </w:rPr>
        <w:t xml:space="preserve"> </w:t>
      </w:r>
      <w:r w:rsidR="00A90A6D" w:rsidRPr="00441E01">
        <w:rPr>
          <w:lang w:val="es-AR"/>
        </w:rPr>
        <w:t xml:space="preserve">En general, </w:t>
      </w:r>
      <w:r w:rsidR="00441E01" w:rsidRPr="00441E01">
        <w:rPr>
          <w:lang w:val="es-AR"/>
        </w:rPr>
        <w:t xml:space="preserve">aunque implica un trabajo </w:t>
      </w:r>
      <w:r w:rsidR="00A156CC">
        <w:rPr>
          <w:lang w:val="es-AR"/>
        </w:rPr>
        <w:t>intensivo</w:t>
      </w:r>
      <w:r w:rsidR="00441E01" w:rsidRPr="00441E01">
        <w:rPr>
          <w:lang w:val="es-AR"/>
        </w:rPr>
        <w:t xml:space="preserve"> y un desafío </w:t>
      </w:r>
      <w:r w:rsidR="0055548B">
        <w:rPr>
          <w:lang w:val="es-AR"/>
        </w:rPr>
        <w:t xml:space="preserve">para </w:t>
      </w:r>
      <w:r w:rsidR="0055548B" w:rsidRPr="00441E01">
        <w:rPr>
          <w:lang w:val="es-AR"/>
        </w:rPr>
        <w:t xml:space="preserve">el </w:t>
      </w:r>
      <w:r w:rsidR="00441E01" w:rsidRPr="00441E01">
        <w:rPr>
          <w:lang w:val="es-AR"/>
        </w:rPr>
        <w:t xml:space="preserve">uso </w:t>
      </w:r>
      <w:r w:rsidR="001E2866">
        <w:rPr>
          <w:lang w:val="es-AR"/>
        </w:rPr>
        <w:t xml:space="preserve">apropiado </w:t>
      </w:r>
      <w:r w:rsidR="00441E01" w:rsidRPr="00441E01">
        <w:rPr>
          <w:lang w:val="es-AR"/>
        </w:rPr>
        <w:t>del tiempo, la promoción de una activa participación de los actor</w:t>
      </w:r>
      <w:r w:rsidR="00441E01">
        <w:rPr>
          <w:lang w:val="es-AR"/>
        </w:rPr>
        <w:t>e</w:t>
      </w:r>
      <w:r w:rsidR="00441E01" w:rsidRPr="00441E01">
        <w:rPr>
          <w:lang w:val="es-AR"/>
        </w:rPr>
        <w:t xml:space="preserve">s sectoriales clave </w:t>
      </w:r>
      <w:r w:rsidR="0055548B">
        <w:rPr>
          <w:lang w:val="es-AR"/>
        </w:rPr>
        <w:t>se</w:t>
      </w:r>
      <w:r w:rsidR="00441E01" w:rsidRPr="00441E01">
        <w:rPr>
          <w:lang w:val="es-AR"/>
        </w:rPr>
        <w:t xml:space="preserve"> considera crucial</w:t>
      </w:r>
      <w:r w:rsidR="006C6908">
        <w:rPr>
          <w:lang w:val="es-AR"/>
        </w:rPr>
        <w:t>,</w:t>
      </w:r>
      <w:r w:rsidR="00441E01" w:rsidRPr="00441E01">
        <w:rPr>
          <w:lang w:val="es-AR"/>
        </w:rPr>
        <w:t xml:space="preserve"> y que vale el es</w:t>
      </w:r>
      <w:r w:rsidR="00E533AD">
        <w:rPr>
          <w:lang w:val="es-AR"/>
        </w:rPr>
        <w:t>fuerzo, ya que el objetivo</w:t>
      </w:r>
      <w:r w:rsidR="009C1D93">
        <w:rPr>
          <w:lang w:val="es-AR"/>
        </w:rPr>
        <w:t xml:space="preserve"> </w:t>
      </w:r>
      <w:r w:rsidR="006C6908">
        <w:rPr>
          <w:lang w:val="es-AR"/>
        </w:rPr>
        <w:t xml:space="preserve">último </w:t>
      </w:r>
      <w:r w:rsidR="009C1D93">
        <w:rPr>
          <w:lang w:val="es-AR"/>
        </w:rPr>
        <w:t>es desarrollar propuestas viables de P&amp;M para mitigación y adaptación.</w:t>
      </w:r>
      <w:r w:rsidR="00441E01">
        <w:rPr>
          <w:lang w:val="es-AR"/>
        </w:rPr>
        <w:t xml:space="preserve"> </w:t>
      </w:r>
      <w:r w:rsidR="00E4789C">
        <w:rPr>
          <w:lang w:val="es-AR"/>
        </w:rPr>
        <w:t>El marco de resultados revisado s</w:t>
      </w:r>
      <w:r w:rsidR="006C6908">
        <w:rPr>
          <w:lang w:val="es-AR"/>
        </w:rPr>
        <w:t>e</w:t>
      </w:r>
      <w:r w:rsidR="00E4789C" w:rsidRPr="00E4789C">
        <w:rPr>
          <w:lang w:val="es-AR"/>
        </w:rPr>
        <w:t xml:space="preserve"> presenta</w:t>
      </w:r>
      <w:r w:rsidR="00E4789C">
        <w:rPr>
          <w:lang w:val="es-AR"/>
        </w:rPr>
        <w:t xml:space="preserve"> en el A</w:t>
      </w:r>
      <w:r w:rsidR="00E4789C" w:rsidRPr="00E4789C">
        <w:rPr>
          <w:lang w:val="es-AR"/>
        </w:rPr>
        <w:t>nexo</w:t>
      </w:r>
      <w:r w:rsidR="00E4789C">
        <w:rPr>
          <w:lang w:val="es-AR"/>
        </w:rPr>
        <w:t xml:space="preserve"> I</w:t>
      </w:r>
      <w:r w:rsidR="00E4789C" w:rsidRPr="00E4789C">
        <w:rPr>
          <w:lang w:val="es-AR"/>
        </w:rPr>
        <w:t xml:space="preserve"> y se </w:t>
      </w:r>
      <w:r w:rsidR="00E4789C">
        <w:rPr>
          <w:lang w:val="es-AR"/>
        </w:rPr>
        <w:t>verá reflejado en el Manual de O</w:t>
      </w:r>
      <w:r w:rsidR="00E4789C" w:rsidRPr="00E4789C">
        <w:rPr>
          <w:lang w:val="es-AR"/>
        </w:rPr>
        <w:t>peraciones del proyecto.</w:t>
      </w:r>
      <w:r w:rsidR="00441E01" w:rsidRPr="00441E01">
        <w:rPr>
          <w:lang w:val="es-AR"/>
        </w:rPr>
        <w:t xml:space="preserve"> </w:t>
      </w:r>
    </w:p>
    <w:p w14:paraId="29E642FB" w14:textId="77777777" w:rsidR="00E4789C" w:rsidRPr="00523B1F" w:rsidRDefault="00E4789C" w:rsidP="00DA66A9">
      <w:pPr>
        <w:jc w:val="both"/>
        <w:rPr>
          <w:lang w:val="es-AR"/>
        </w:rPr>
      </w:pPr>
    </w:p>
    <w:p w14:paraId="01A44F9C" w14:textId="77777777" w:rsidR="00DA66A9" w:rsidRDefault="00E1383E" w:rsidP="00DA66A9">
      <w:pPr>
        <w:jc w:val="both"/>
        <w:rPr>
          <w:b/>
          <w:bCs/>
        </w:rPr>
      </w:pPr>
      <w:r>
        <w:rPr>
          <w:b/>
          <w:bCs/>
        </w:rPr>
        <w:t>Financiamiento</w:t>
      </w:r>
    </w:p>
    <w:p w14:paraId="178EBE89" w14:textId="77777777" w:rsidR="00DA66A9" w:rsidRPr="00A2141B" w:rsidRDefault="00DA66A9" w:rsidP="00DA66A9">
      <w:pPr>
        <w:jc w:val="both"/>
      </w:pPr>
    </w:p>
    <w:p w14:paraId="5A303D59" w14:textId="77777777" w:rsidR="00DA66A9" w:rsidRPr="00820A9E" w:rsidRDefault="00820A9E" w:rsidP="00DA66A9">
      <w:pPr>
        <w:pStyle w:val="ListParagraph"/>
        <w:numPr>
          <w:ilvl w:val="0"/>
          <w:numId w:val="1"/>
        </w:numPr>
        <w:rPr>
          <w:b/>
          <w:lang w:val="es-AR"/>
        </w:rPr>
      </w:pPr>
      <w:r w:rsidRPr="00820A9E">
        <w:rPr>
          <w:b/>
          <w:lang w:val="es-AR"/>
        </w:rPr>
        <w:t>Fecha de cierre de la donaci</w:t>
      </w:r>
      <w:r>
        <w:rPr>
          <w:b/>
          <w:lang w:val="es-AR"/>
        </w:rPr>
        <w:t>ón</w:t>
      </w:r>
    </w:p>
    <w:p w14:paraId="07AE71CA" w14:textId="77777777" w:rsidR="00DA66A9" w:rsidRPr="00820A9E" w:rsidRDefault="00DA66A9" w:rsidP="00DA66A9">
      <w:pPr>
        <w:rPr>
          <w:lang w:val="es-AR"/>
        </w:rPr>
      </w:pPr>
    </w:p>
    <w:p w14:paraId="4A500423" w14:textId="77777777" w:rsidR="00DA66A9" w:rsidRPr="00304FA5" w:rsidRDefault="00067A79" w:rsidP="00DA66A9">
      <w:pPr>
        <w:jc w:val="both"/>
        <w:rPr>
          <w:lang w:val="es-AR"/>
        </w:rPr>
      </w:pPr>
      <w:r w:rsidRPr="00304FA5">
        <w:rPr>
          <w:lang w:val="es-AR"/>
        </w:rPr>
        <w:t>La segunda prórroga</w:t>
      </w:r>
      <w:r w:rsidR="00952E8E" w:rsidRPr="00304FA5">
        <w:rPr>
          <w:lang w:val="es-AR"/>
        </w:rPr>
        <w:t xml:space="preserve"> d</w:t>
      </w:r>
      <w:r w:rsidR="005B45F3" w:rsidRPr="00304FA5">
        <w:rPr>
          <w:lang w:val="es-AR"/>
        </w:rPr>
        <w:t>el</w:t>
      </w:r>
      <w:r w:rsidR="00952E8E" w:rsidRPr="00304FA5">
        <w:rPr>
          <w:lang w:val="es-AR"/>
        </w:rPr>
        <w:t xml:space="preserve"> proyecto</w:t>
      </w:r>
      <w:r w:rsidR="006C6908">
        <w:rPr>
          <w:lang w:val="es-AR"/>
        </w:rPr>
        <w:t>,</w:t>
      </w:r>
      <w:r w:rsidR="00952E8E" w:rsidRPr="00304FA5">
        <w:rPr>
          <w:lang w:val="es-AR"/>
        </w:rPr>
        <w:t xml:space="preserve"> de siete </w:t>
      </w:r>
      <w:r w:rsidRPr="00304FA5">
        <w:rPr>
          <w:lang w:val="es-AR"/>
        </w:rPr>
        <w:t>meses y medio</w:t>
      </w:r>
      <w:r w:rsidR="00952E8E" w:rsidRPr="00304FA5">
        <w:rPr>
          <w:lang w:val="es-AR"/>
        </w:rPr>
        <w:t xml:space="preserve"> (7,5), de</w:t>
      </w:r>
      <w:r w:rsidRPr="00304FA5">
        <w:rPr>
          <w:lang w:val="es-AR"/>
        </w:rPr>
        <w:t>sde el 13 de Noviembre de 2014 al 30 de J</w:t>
      </w:r>
      <w:r w:rsidR="00304FA5" w:rsidRPr="00304FA5">
        <w:rPr>
          <w:lang w:val="es-AR"/>
        </w:rPr>
        <w:t>unio de 2015, es necesaria</w:t>
      </w:r>
      <w:r w:rsidR="00952E8E" w:rsidRPr="00304FA5">
        <w:rPr>
          <w:lang w:val="es-AR"/>
        </w:rPr>
        <w:t xml:space="preserve"> para permitir que el proyecto (</w:t>
      </w:r>
      <w:r w:rsidRPr="00304FA5">
        <w:rPr>
          <w:lang w:val="es-AR"/>
        </w:rPr>
        <w:t>i) finalice</w:t>
      </w:r>
      <w:r w:rsidR="00952E8E" w:rsidRPr="00304FA5">
        <w:rPr>
          <w:lang w:val="es-AR"/>
        </w:rPr>
        <w:t xml:space="preserve"> los estudios en curso bajo </w:t>
      </w:r>
      <w:r w:rsidR="006C6908">
        <w:rPr>
          <w:lang w:val="es-AR"/>
        </w:rPr>
        <w:t>los</w:t>
      </w:r>
      <w:r w:rsidR="006C6908" w:rsidRPr="00304FA5">
        <w:rPr>
          <w:lang w:val="es-AR"/>
        </w:rPr>
        <w:t xml:space="preserve"> </w:t>
      </w:r>
      <w:r w:rsidRPr="00304FA5">
        <w:rPr>
          <w:lang w:val="es-AR"/>
        </w:rPr>
        <w:t>componente</w:t>
      </w:r>
      <w:r w:rsidR="006C6908">
        <w:rPr>
          <w:lang w:val="es-AR"/>
        </w:rPr>
        <w:t>s</w:t>
      </w:r>
      <w:r w:rsidRPr="00304FA5">
        <w:rPr>
          <w:lang w:val="es-AR"/>
        </w:rPr>
        <w:t xml:space="preserve"> 1 y 2 sobre</w:t>
      </w:r>
      <w:r w:rsidR="00952E8E" w:rsidRPr="00304FA5">
        <w:rPr>
          <w:lang w:val="es-AR"/>
        </w:rPr>
        <w:t xml:space="preserve"> mitigación y adaptación</w:t>
      </w:r>
      <w:r w:rsidR="006C6908">
        <w:rPr>
          <w:lang w:val="es-AR"/>
        </w:rPr>
        <w:t xml:space="preserve"> al cambio climático</w:t>
      </w:r>
      <w:r w:rsidRPr="00304FA5">
        <w:rPr>
          <w:lang w:val="es-AR"/>
        </w:rPr>
        <w:t xml:space="preserve">, (ii) </w:t>
      </w:r>
      <w:r w:rsidR="007A1E02">
        <w:rPr>
          <w:lang w:val="es-AR"/>
        </w:rPr>
        <w:t>prepare</w:t>
      </w:r>
      <w:r w:rsidR="00304FA5">
        <w:rPr>
          <w:lang w:val="es-AR"/>
        </w:rPr>
        <w:t xml:space="preserve"> un Reporte Bienal</w:t>
      </w:r>
      <w:r w:rsidR="00304FA5" w:rsidRPr="00304FA5">
        <w:rPr>
          <w:lang w:val="es-AR"/>
        </w:rPr>
        <w:t xml:space="preserve"> de </w:t>
      </w:r>
      <w:r w:rsidR="00304FA5">
        <w:rPr>
          <w:lang w:val="es-AR"/>
        </w:rPr>
        <w:t>Actualización básico</w:t>
      </w:r>
      <w:r w:rsidR="00304FA5" w:rsidRPr="00304FA5">
        <w:rPr>
          <w:lang w:val="es-AR"/>
        </w:rPr>
        <w:t xml:space="preserve"> (BUR) de </w:t>
      </w:r>
      <w:r w:rsidR="00BC0AB6">
        <w:rPr>
          <w:lang w:val="es-AR"/>
        </w:rPr>
        <w:t>la República Argentina a</w:t>
      </w:r>
      <w:r w:rsidR="00304FA5" w:rsidRPr="00304FA5">
        <w:rPr>
          <w:lang w:val="es-AR"/>
        </w:rPr>
        <w:t xml:space="preserve"> la CMNUCC, a</w:t>
      </w:r>
      <w:r w:rsidR="00304FA5">
        <w:rPr>
          <w:lang w:val="es-AR"/>
        </w:rPr>
        <w:t xml:space="preserve"> tiempo para la Conferencia de Cambio C</w:t>
      </w:r>
      <w:r w:rsidR="00304FA5" w:rsidRPr="00304FA5">
        <w:rPr>
          <w:lang w:val="es-AR"/>
        </w:rPr>
        <w:t xml:space="preserve">limático de las Naciones Unidas (COP21) que se </w:t>
      </w:r>
      <w:r w:rsidR="00304FA5">
        <w:rPr>
          <w:lang w:val="es-AR"/>
        </w:rPr>
        <w:t>celebrará en París, Francia en D</w:t>
      </w:r>
      <w:r w:rsidR="00304FA5" w:rsidRPr="00304FA5">
        <w:rPr>
          <w:lang w:val="es-AR"/>
        </w:rPr>
        <w:t>iciembre de 2015</w:t>
      </w:r>
      <w:r w:rsidR="00304FA5">
        <w:rPr>
          <w:lang w:val="es-AR"/>
        </w:rPr>
        <w:t xml:space="preserve">, y (iii) </w:t>
      </w:r>
      <w:r w:rsidR="00523B1F">
        <w:rPr>
          <w:lang w:val="es-AR"/>
        </w:rPr>
        <w:t>realice tareas de difusión relacionadas</w:t>
      </w:r>
      <w:r w:rsidR="007A1E02">
        <w:rPr>
          <w:lang w:val="es-AR"/>
        </w:rPr>
        <w:t xml:space="preserve"> y talleres conexos a nivel provincial </w:t>
      </w:r>
      <w:r w:rsidR="007E24A1">
        <w:rPr>
          <w:lang w:val="es-AR"/>
        </w:rPr>
        <w:t>sobre desarrollo de capacidades.</w:t>
      </w:r>
      <w:r w:rsidR="00DA66A9" w:rsidRPr="00304FA5">
        <w:rPr>
          <w:lang w:val="es-AR"/>
        </w:rPr>
        <w:t xml:space="preserve"> </w:t>
      </w:r>
    </w:p>
    <w:p w14:paraId="7ABB7D91" w14:textId="77777777" w:rsidR="00DA66A9" w:rsidRPr="00304FA5" w:rsidRDefault="00DA66A9" w:rsidP="00DA66A9">
      <w:pPr>
        <w:jc w:val="both"/>
        <w:rPr>
          <w:lang w:val="es-AR"/>
        </w:rPr>
      </w:pPr>
    </w:p>
    <w:p w14:paraId="05CD0F20" w14:textId="77777777" w:rsidR="00DA66A9" w:rsidRPr="00523B1F" w:rsidRDefault="007E13EE" w:rsidP="00DA66A9">
      <w:pPr>
        <w:jc w:val="both"/>
        <w:rPr>
          <w:iCs/>
          <w:lang w:val="es-AR"/>
        </w:rPr>
      </w:pPr>
      <w:r w:rsidRPr="007E13EE">
        <w:rPr>
          <w:lang w:val="es-AR"/>
        </w:rPr>
        <w:t xml:space="preserve">Aún con la segunda extensión de la fecha de cierre, el progreso para la obtención del </w:t>
      </w:r>
      <w:r w:rsidR="006C6908">
        <w:rPr>
          <w:lang w:val="es-AR"/>
        </w:rPr>
        <w:t>Objetivo Global Ambiental (</w:t>
      </w:r>
      <w:r w:rsidRPr="007E13EE">
        <w:rPr>
          <w:lang w:val="es-AR"/>
        </w:rPr>
        <w:t>GEO</w:t>
      </w:r>
      <w:r w:rsidR="006C6908">
        <w:rPr>
          <w:lang w:val="es-AR"/>
        </w:rPr>
        <w:t xml:space="preserve">, por sus </w:t>
      </w:r>
      <w:r w:rsidR="00EA4A2C">
        <w:rPr>
          <w:lang w:val="es-AR"/>
        </w:rPr>
        <w:t xml:space="preserve">siglas en inglés) </w:t>
      </w:r>
      <w:r w:rsidRPr="007E13EE">
        <w:rPr>
          <w:lang w:val="es-AR"/>
        </w:rPr>
        <w:t>permanecerá mod</w:t>
      </w:r>
      <w:r>
        <w:rPr>
          <w:lang w:val="es-AR"/>
        </w:rPr>
        <w:t>eradamente insatisfactorio, dado que</w:t>
      </w:r>
      <w:r w:rsidRPr="007E13EE">
        <w:rPr>
          <w:lang w:val="es-AR"/>
        </w:rPr>
        <w:t xml:space="preserve"> la mayoría de los estudios de V&amp;A, el </w:t>
      </w:r>
      <w:r>
        <w:rPr>
          <w:lang w:val="es-AR"/>
        </w:rPr>
        <w:t>e</w:t>
      </w:r>
      <w:r w:rsidRPr="007E13EE">
        <w:rPr>
          <w:lang w:val="es-AR"/>
        </w:rPr>
        <w:t xml:space="preserve">studio final sobre </w:t>
      </w:r>
      <w:r w:rsidR="006C6908">
        <w:rPr>
          <w:lang w:val="es-AR"/>
        </w:rPr>
        <w:t xml:space="preserve">políticas y medidas de </w:t>
      </w:r>
      <w:r w:rsidRPr="007E13EE">
        <w:rPr>
          <w:lang w:val="es-AR"/>
        </w:rPr>
        <w:t>mitigaci</w:t>
      </w:r>
      <w:r>
        <w:rPr>
          <w:lang w:val="es-AR"/>
        </w:rPr>
        <w:t xml:space="preserve">ón y adaptación </w:t>
      </w:r>
      <w:r w:rsidR="006C6908">
        <w:rPr>
          <w:lang w:val="es-AR"/>
        </w:rPr>
        <w:t>(</w:t>
      </w:r>
      <w:r>
        <w:rPr>
          <w:lang w:val="es-AR"/>
        </w:rPr>
        <w:t>P&amp;M</w:t>
      </w:r>
      <w:r w:rsidR="006C6908">
        <w:rPr>
          <w:lang w:val="es-AR"/>
        </w:rPr>
        <w:t>)</w:t>
      </w:r>
      <w:r>
        <w:rPr>
          <w:lang w:val="es-AR"/>
        </w:rPr>
        <w:t xml:space="preserve">,  y </w:t>
      </w:r>
      <w:r w:rsidR="006C6908">
        <w:rPr>
          <w:lang w:val="es-AR"/>
        </w:rPr>
        <w:t>algun</w:t>
      </w:r>
      <w:r w:rsidR="00943D61">
        <w:rPr>
          <w:lang w:val="es-AR"/>
        </w:rPr>
        <w:t xml:space="preserve">as </w:t>
      </w:r>
      <w:r>
        <w:rPr>
          <w:lang w:val="es-AR"/>
        </w:rPr>
        <w:lastRenderedPageBreak/>
        <w:t>actividades</w:t>
      </w:r>
      <w:r w:rsidR="006C6908">
        <w:rPr>
          <w:lang w:val="es-AR"/>
        </w:rPr>
        <w:t xml:space="preserve"> clave</w:t>
      </w:r>
      <w:r>
        <w:rPr>
          <w:lang w:val="es-AR"/>
        </w:rPr>
        <w:t xml:space="preserve"> de difusión </w:t>
      </w:r>
      <w:r w:rsidR="00CD092B">
        <w:rPr>
          <w:lang w:val="es-AR"/>
        </w:rPr>
        <w:t>y capacitación no podrán implementarse</w:t>
      </w:r>
      <w:r>
        <w:rPr>
          <w:lang w:val="es-AR"/>
        </w:rPr>
        <w:t xml:space="preserve">. </w:t>
      </w:r>
      <w:r w:rsidR="00C8207C" w:rsidRPr="000D7D86">
        <w:rPr>
          <w:lang w:val="es-AR"/>
        </w:rPr>
        <w:t xml:space="preserve">Consecuentemente, </w:t>
      </w:r>
      <w:r w:rsidR="00877AD9" w:rsidRPr="000D7D86">
        <w:rPr>
          <w:lang w:val="es-AR"/>
        </w:rPr>
        <w:t xml:space="preserve">el proyecto </w:t>
      </w:r>
      <w:r w:rsidR="000D7D86" w:rsidRPr="000D7D86">
        <w:rPr>
          <w:lang w:val="es-AR"/>
        </w:rPr>
        <w:t>no podrá ser capaz de completar las contribuciones clave a P&amp;M y la integración de las prioridades del cambio clim</w:t>
      </w:r>
      <w:r w:rsidR="000D7D86">
        <w:rPr>
          <w:lang w:val="es-AR"/>
        </w:rPr>
        <w:t xml:space="preserve">ático en las estrategias de desarrollo </w:t>
      </w:r>
      <w:r w:rsidR="00943D61" w:rsidRPr="00943D61">
        <w:rPr>
          <w:lang w:val="es-AR"/>
        </w:rPr>
        <w:t xml:space="preserve">y en los programas sectoriales relevantes </w:t>
      </w:r>
      <w:r w:rsidR="000D7D86">
        <w:rPr>
          <w:lang w:val="es-AR"/>
        </w:rPr>
        <w:t xml:space="preserve">del </w:t>
      </w:r>
      <w:r w:rsidR="006C6908">
        <w:rPr>
          <w:lang w:val="es-AR"/>
        </w:rPr>
        <w:t>receptor de la donación</w:t>
      </w:r>
      <w:r w:rsidR="000D7D86">
        <w:rPr>
          <w:lang w:val="es-AR"/>
        </w:rPr>
        <w:t>.</w:t>
      </w:r>
      <w:r w:rsidR="00986972" w:rsidRPr="00986972">
        <w:rPr>
          <w:rFonts w:ascii="Verdana" w:hAnsi="Verdana"/>
          <w:color w:val="000000"/>
          <w:sz w:val="21"/>
          <w:szCs w:val="21"/>
          <w:shd w:val="clear" w:color="auto" w:fill="FFFFFF"/>
          <w:lang w:val="es-AR"/>
        </w:rPr>
        <w:t xml:space="preserve"> </w:t>
      </w:r>
      <w:r w:rsidR="00986972" w:rsidRPr="00986972">
        <w:rPr>
          <w:lang w:val="es-AR"/>
        </w:rPr>
        <w:t>Sin embargo, el proyecto llevará a cabo todos los esfuerzos para producir un informe final sobre los resultados del pro</w:t>
      </w:r>
      <w:r w:rsidR="00986972">
        <w:rPr>
          <w:lang w:val="es-AR"/>
        </w:rPr>
        <w:t>yecto que podrían presentarse a</w:t>
      </w:r>
      <w:r w:rsidR="00986972" w:rsidRPr="00986972">
        <w:rPr>
          <w:lang w:val="es-AR"/>
        </w:rPr>
        <w:t xml:space="preserve"> la CMNUCC</w:t>
      </w:r>
      <w:r w:rsidR="00986972">
        <w:rPr>
          <w:lang w:val="es-AR"/>
        </w:rPr>
        <w:t>.</w:t>
      </w:r>
      <w:r w:rsidR="00D35287" w:rsidRPr="00D35287">
        <w:rPr>
          <w:rFonts w:ascii="Verdana" w:hAnsi="Verdana"/>
          <w:color w:val="000000"/>
          <w:sz w:val="21"/>
          <w:szCs w:val="21"/>
          <w:shd w:val="clear" w:color="auto" w:fill="FFFFFF"/>
          <w:lang w:val="es-AR"/>
        </w:rPr>
        <w:t xml:space="preserve"> </w:t>
      </w:r>
      <w:r w:rsidR="00843BFF">
        <w:rPr>
          <w:rFonts w:ascii="Verdana" w:hAnsi="Verdana"/>
          <w:color w:val="000000"/>
          <w:sz w:val="21"/>
          <w:szCs w:val="21"/>
          <w:shd w:val="clear" w:color="auto" w:fill="FFFFFF"/>
          <w:lang w:val="es-AR"/>
        </w:rPr>
        <w:t>Quedará a discreción d</w:t>
      </w:r>
      <w:r w:rsidR="00D35287" w:rsidRPr="00D35287">
        <w:rPr>
          <w:lang w:val="es-AR"/>
        </w:rPr>
        <w:t>el Gobierno presentar</w:t>
      </w:r>
      <w:r w:rsidR="00843BFF">
        <w:rPr>
          <w:lang w:val="es-AR"/>
        </w:rPr>
        <w:t xml:space="preserve"> o no</w:t>
      </w:r>
      <w:r w:rsidR="00D35287" w:rsidRPr="00D35287">
        <w:rPr>
          <w:lang w:val="es-AR"/>
        </w:rPr>
        <w:t xml:space="preserve"> una versión reducida </w:t>
      </w:r>
      <w:r w:rsidR="00E52203">
        <w:rPr>
          <w:lang w:val="es-AR"/>
        </w:rPr>
        <w:t xml:space="preserve">de </w:t>
      </w:r>
      <w:r w:rsidR="00843BFF">
        <w:rPr>
          <w:lang w:val="es-AR"/>
        </w:rPr>
        <w:t xml:space="preserve">la Tercera </w:t>
      </w:r>
      <w:r w:rsidR="00E52203">
        <w:rPr>
          <w:lang w:val="es-AR"/>
        </w:rPr>
        <w:t>C</w:t>
      </w:r>
      <w:r w:rsidR="00843BFF">
        <w:rPr>
          <w:lang w:val="es-AR"/>
        </w:rPr>
        <w:t xml:space="preserve">omunicación </w:t>
      </w:r>
      <w:r w:rsidR="00E52203">
        <w:rPr>
          <w:lang w:val="es-AR"/>
        </w:rPr>
        <w:t>N</w:t>
      </w:r>
      <w:r w:rsidR="00843BFF">
        <w:rPr>
          <w:lang w:val="es-AR"/>
        </w:rPr>
        <w:t>acional</w:t>
      </w:r>
      <w:r w:rsidR="00E52203">
        <w:rPr>
          <w:lang w:val="es-AR"/>
        </w:rPr>
        <w:t xml:space="preserve"> originalmente prevista</w:t>
      </w:r>
      <w:r w:rsidR="00D35287" w:rsidRPr="00D35287">
        <w:rPr>
          <w:lang w:val="es-AR"/>
        </w:rPr>
        <w:t xml:space="preserve"> para </w:t>
      </w:r>
      <w:r w:rsidR="00843BFF">
        <w:rPr>
          <w:lang w:val="es-AR"/>
        </w:rPr>
        <w:t xml:space="preserve">la </w:t>
      </w:r>
      <w:r w:rsidR="00E52203">
        <w:rPr>
          <w:lang w:val="es-AR"/>
        </w:rPr>
        <w:t>COP21</w:t>
      </w:r>
      <w:r w:rsidR="00D35287" w:rsidRPr="00D35287">
        <w:rPr>
          <w:lang w:val="es-AR"/>
        </w:rPr>
        <w:t>.</w:t>
      </w:r>
      <w:r w:rsidR="00DA66A9" w:rsidRPr="00986972">
        <w:rPr>
          <w:iCs/>
          <w:lang w:val="es-AR"/>
        </w:rPr>
        <w:t xml:space="preserve"> </w:t>
      </w:r>
    </w:p>
    <w:p w14:paraId="26CA0463" w14:textId="77777777" w:rsidR="00CE2774" w:rsidRPr="00523B1F" w:rsidRDefault="00CE2774" w:rsidP="00DA66A9">
      <w:pPr>
        <w:jc w:val="both"/>
        <w:rPr>
          <w:iCs/>
          <w:lang w:val="es-AR"/>
        </w:rPr>
      </w:pPr>
    </w:p>
    <w:p w14:paraId="2F170190" w14:textId="77777777" w:rsidR="00DA66A9" w:rsidRDefault="00254DC8" w:rsidP="00DA66A9">
      <w:pPr>
        <w:jc w:val="both"/>
        <w:rPr>
          <w:lang w:val="es-AR"/>
        </w:rPr>
      </w:pPr>
      <w:r w:rsidRPr="004D52FF">
        <w:rPr>
          <w:lang w:val="es-AR"/>
        </w:rPr>
        <w:t xml:space="preserve">Después de un arranque </w:t>
      </w:r>
      <w:r w:rsidR="00BC0B0C" w:rsidRPr="004D52FF">
        <w:rPr>
          <w:lang w:val="es-AR"/>
        </w:rPr>
        <w:t>excepcionalmente lento</w:t>
      </w:r>
      <w:r w:rsidR="00581829">
        <w:rPr>
          <w:lang w:val="es-AR"/>
        </w:rPr>
        <w:t>,</w:t>
      </w:r>
      <w:r w:rsidR="00BC0B0C" w:rsidRPr="004D52FF">
        <w:rPr>
          <w:lang w:val="es-AR"/>
        </w:rPr>
        <w:t xml:space="preserve"> y más allá de un </w:t>
      </w:r>
      <w:r w:rsidR="00581829" w:rsidRPr="004D52FF">
        <w:rPr>
          <w:lang w:val="es-AR"/>
        </w:rPr>
        <w:t>per</w:t>
      </w:r>
      <w:r w:rsidR="00581829">
        <w:rPr>
          <w:lang w:val="es-AR"/>
        </w:rPr>
        <w:t>í</w:t>
      </w:r>
      <w:r w:rsidR="00581829" w:rsidRPr="004D52FF">
        <w:rPr>
          <w:lang w:val="es-AR"/>
        </w:rPr>
        <w:t xml:space="preserve">odo </w:t>
      </w:r>
      <w:r w:rsidR="00BC0B0C" w:rsidRPr="004D52FF">
        <w:rPr>
          <w:lang w:val="es-AR"/>
        </w:rPr>
        <w:t>de implementación inicial</w:t>
      </w:r>
      <w:r w:rsidR="00581829">
        <w:rPr>
          <w:lang w:val="es-AR"/>
        </w:rPr>
        <w:t>mente previsto en</w:t>
      </w:r>
      <w:r w:rsidR="00A87ACE" w:rsidRPr="004D52FF">
        <w:rPr>
          <w:lang w:val="es-AR"/>
        </w:rPr>
        <w:t xml:space="preserve"> dos años</w:t>
      </w:r>
      <w:r w:rsidR="00581829">
        <w:rPr>
          <w:lang w:val="es-AR"/>
        </w:rPr>
        <w:t>, de forma</w:t>
      </w:r>
      <w:r w:rsidR="00A87ACE" w:rsidRPr="004D52FF">
        <w:rPr>
          <w:lang w:val="es-AR"/>
        </w:rPr>
        <w:t xml:space="preserve"> </w:t>
      </w:r>
      <w:r w:rsidR="00BC0B0C" w:rsidRPr="004D52FF">
        <w:rPr>
          <w:lang w:val="es-AR"/>
        </w:rPr>
        <w:t>demasiado ambicios</w:t>
      </w:r>
      <w:r w:rsidR="00581829">
        <w:rPr>
          <w:lang w:val="es-AR"/>
        </w:rPr>
        <w:t>a</w:t>
      </w:r>
      <w:r w:rsidRPr="004D52FF">
        <w:rPr>
          <w:lang w:val="es-AR"/>
        </w:rPr>
        <w:t xml:space="preserve">, </w:t>
      </w:r>
      <w:r w:rsidR="00581829">
        <w:rPr>
          <w:lang w:val="es-AR"/>
        </w:rPr>
        <w:t>la</w:t>
      </w:r>
      <w:r w:rsidR="00581829" w:rsidRPr="004D52FF">
        <w:rPr>
          <w:lang w:val="es-AR"/>
        </w:rPr>
        <w:t xml:space="preserve"> </w:t>
      </w:r>
      <w:r w:rsidR="00BC0B0C" w:rsidRPr="004D52FF">
        <w:rPr>
          <w:lang w:val="es-AR"/>
        </w:rPr>
        <w:t xml:space="preserve">ejecución </w:t>
      </w:r>
      <w:r w:rsidR="00581829">
        <w:rPr>
          <w:lang w:val="es-AR"/>
        </w:rPr>
        <w:t xml:space="preserve">expeditiva </w:t>
      </w:r>
      <w:r w:rsidR="00BC0B0C" w:rsidRPr="004D52FF">
        <w:rPr>
          <w:lang w:val="es-AR"/>
        </w:rPr>
        <w:t xml:space="preserve">del proyecto </w:t>
      </w:r>
      <w:r w:rsidR="00AE1185">
        <w:rPr>
          <w:lang w:val="es-AR"/>
        </w:rPr>
        <w:t xml:space="preserve">ha sido </w:t>
      </w:r>
      <w:r w:rsidR="00581829">
        <w:rPr>
          <w:lang w:val="es-AR"/>
        </w:rPr>
        <w:t>desafiada por</w:t>
      </w:r>
      <w:r w:rsidR="00BC0B0C" w:rsidRPr="004D52FF">
        <w:rPr>
          <w:lang w:val="es-AR"/>
        </w:rPr>
        <w:t xml:space="preserve"> (i) procesos de contratación complejos; (ii) </w:t>
      </w:r>
      <w:r w:rsidR="00FA2172" w:rsidRPr="004D52FF">
        <w:rPr>
          <w:lang w:val="es-AR"/>
        </w:rPr>
        <w:t>la necesidad de secuenciar estudios</w:t>
      </w:r>
      <w:r w:rsidR="00581829">
        <w:rPr>
          <w:lang w:val="es-AR"/>
        </w:rPr>
        <w:t>,</w:t>
      </w:r>
      <w:r w:rsidR="00FA2172" w:rsidRPr="004D52FF">
        <w:rPr>
          <w:lang w:val="es-AR"/>
        </w:rPr>
        <w:t xml:space="preserve"> dado que los resultados </w:t>
      </w:r>
      <w:r w:rsidR="00D3299C" w:rsidRPr="004D52FF">
        <w:rPr>
          <w:lang w:val="es-AR"/>
        </w:rPr>
        <w:t xml:space="preserve">del primer estudio </w:t>
      </w:r>
      <w:r w:rsidR="00B47326" w:rsidRPr="004D52FF">
        <w:rPr>
          <w:lang w:val="es-AR"/>
        </w:rPr>
        <w:t>de modelos climáticos prov</w:t>
      </w:r>
      <w:r w:rsidR="006823E8" w:rsidRPr="004D52FF">
        <w:rPr>
          <w:lang w:val="es-AR"/>
        </w:rPr>
        <w:t>e</w:t>
      </w:r>
      <w:r w:rsidR="00B47326" w:rsidRPr="004D52FF">
        <w:rPr>
          <w:lang w:val="es-AR"/>
        </w:rPr>
        <w:t>e</w:t>
      </w:r>
      <w:r w:rsidR="006823E8" w:rsidRPr="004D52FF">
        <w:rPr>
          <w:lang w:val="es-AR"/>
        </w:rPr>
        <w:t>n</w:t>
      </w:r>
      <w:r w:rsidR="00B47326" w:rsidRPr="004D52FF">
        <w:rPr>
          <w:lang w:val="es-AR"/>
        </w:rPr>
        <w:t xml:space="preserve"> de la base para los estudios sectoriales V&amp;A y de </w:t>
      </w:r>
      <w:r w:rsidR="00581829" w:rsidRPr="004D52FF">
        <w:rPr>
          <w:lang w:val="es-AR"/>
        </w:rPr>
        <w:t xml:space="preserve">P&amp;M </w:t>
      </w:r>
      <w:r w:rsidR="00581829">
        <w:rPr>
          <w:lang w:val="es-AR"/>
        </w:rPr>
        <w:t xml:space="preserve">de </w:t>
      </w:r>
      <w:r w:rsidR="00B47326" w:rsidRPr="004D52FF">
        <w:rPr>
          <w:lang w:val="es-AR"/>
        </w:rPr>
        <w:t>adaptación</w:t>
      </w:r>
      <w:r w:rsidR="00581829">
        <w:rPr>
          <w:lang w:val="es-AR"/>
        </w:rPr>
        <w:t>;</w:t>
      </w:r>
      <w:r w:rsidR="00B47326" w:rsidRPr="004D52FF">
        <w:rPr>
          <w:lang w:val="es-AR"/>
        </w:rPr>
        <w:t xml:space="preserve"> y </w:t>
      </w:r>
      <w:r w:rsidR="00581829">
        <w:rPr>
          <w:lang w:val="es-AR"/>
        </w:rPr>
        <w:t>que</w:t>
      </w:r>
      <w:r w:rsidR="00B47326" w:rsidRPr="004D52FF">
        <w:rPr>
          <w:lang w:val="es-AR"/>
        </w:rPr>
        <w:t xml:space="preserve"> los inventarios de GEI sectoriales y estudios relacionados proporcionan la base para la</w:t>
      </w:r>
      <w:r w:rsidR="00581829">
        <w:rPr>
          <w:lang w:val="es-AR"/>
        </w:rPr>
        <w:t>s</w:t>
      </w:r>
      <w:r w:rsidR="00B47326" w:rsidRPr="004D52FF">
        <w:rPr>
          <w:lang w:val="es-AR"/>
        </w:rPr>
        <w:t xml:space="preserve"> </w:t>
      </w:r>
      <w:r w:rsidR="00581829" w:rsidRPr="004D52FF">
        <w:rPr>
          <w:lang w:val="es-AR"/>
        </w:rPr>
        <w:t xml:space="preserve">P&amp;M </w:t>
      </w:r>
      <w:r w:rsidR="00581829">
        <w:rPr>
          <w:lang w:val="es-AR"/>
        </w:rPr>
        <w:t xml:space="preserve">de </w:t>
      </w:r>
      <w:r w:rsidR="00B47326" w:rsidRPr="004D52FF">
        <w:rPr>
          <w:lang w:val="es-AR"/>
        </w:rPr>
        <w:t xml:space="preserve">mitigación; y (iii) </w:t>
      </w:r>
      <w:r w:rsidR="004D52FF" w:rsidRPr="004D52FF">
        <w:rPr>
          <w:lang w:val="es-AR"/>
        </w:rPr>
        <w:t xml:space="preserve">la </w:t>
      </w:r>
      <w:r w:rsidR="005C63E7">
        <w:rPr>
          <w:lang w:val="es-AR"/>
        </w:rPr>
        <w:t xml:space="preserve">demanda de tiempo asociada a la </w:t>
      </w:r>
      <w:r w:rsidR="004D52FF" w:rsidRPr="004D52FF">
        <w:rPr>
          <w:lang w:val="es-AR"/>
        </w:rPr>
        <w:t>colaboración inst</w:t>
      </w:r>
      <w:r w:rsidR="002804F9">
        <w:rPr>
          <w:lang w:val="es-AR"/>
        </w:rPr>
        <w:t>itucional</w:t>
      </w:r>
      <w:r w:rsidR="00581829">
        <w:rPr>
          <w:lang w:val="es-AR"/>
        </w:rPr>
        <w:t xml:space="preserve"> que es</w:t>
      </w:r>
      <w:r w:rsidR="004D52FF" w:rsidRPr="004D52FF">
        <w:rPr>
          <w:lang w:val="es-AR"/>
        </w:rPr>
        <w:t xml:space="preserve"> necesaria para</w:t>
      </w:r>
      <w:r w:rsidR="002804F9">
        <w:rPr>
          <w:lang w:val="es-AR"/>
        </w:rPr>
        <w:t xml:space="preserve"> recoger aportes</w:t>
      </w:r>
      <w:r w:rsidR="005C63E7">
        <w:rPr>
          <w:lang w:val="es-AR"/>
        </w:rPr>
        <w:t xml:space="preserve"> sectoriales</w:t>
      </w:r>
      <w:r w:rsidR="008572B0">
        <w:rPr>
          <w:lang w:val="es-AR"/>
        </w:rPr>
        <w:t xml:space="preserve"> </w:t>
      </w:r>
      <w:r w:rsidR="005C63E7">
        <w:rPr>
          <w:lang w:val="es-AR"/>
        </w:rPr>
        <w:t xml:space="preserve">y para generar </w:t>
      </w:r>
      <w:r w:rsidR="00581829">
        <w:rPr>
          <w:lang w:val="es-AR"/>
        </w:rPr>
        <w:t>apropiación sobre</w:t>
      </w:r>
      <w:r w:rsidR="004D52FF">
        <w:rPr>
          <w:lang w:val="es-AR"/>
        </w:rPr>
        <w:t xml:space="preserve"> los resultados del proyecto. </w:t>
      </w:r>
      <w:r w:rsidR="006026E1" w:rsidRPr="006026E1">
        <w:rPr>
          <w:lang w:val="es-AR"/>
        </w:rPr>
        <w:t>A</w:t>
      </w:r>
      <w:r w:rsidR="006026E1">
        <w:rPr>
          <w:lang w:val="es-AR"/>
        </w:rPr>
        <w:t xml:space="preserve">demás, </w:t>
      </w:r>
      <w:r w:rsidR="005C63E7">
        <w:rPr>
          <w:lang w:val="es-AR"/>
        </w:rPr>
        <w:t>la UEP</w:t>
      </w:r>
      <w:r w:rsidR="006026E1">
        <w:rPr>
          <w:lang w:val="es-AR"/>
        </w:rPr>
        <w:t xml:space="preserve"> adoleció</w:t>
      </w:r>
      <w:r w:rsidR="006026E1" w:rsidRPr="006026E1">
        <w:rPr>
          <w:lang w:val="es-AR"/>
        </w:rPr>
        <w:t xml:space="preserve"> de falt</w:t>
      </w:r>
      <w:r w:rsidR="006026E1">
        <w:rPr>
          <w:lang w:val="es-AR"/>
        </w:rPr>
        <w:t>a de capacidad en la obtención</w:t>
      </w:r>
      <w:r w:rsidR="006026E1" w:rsidRPr="006026E1">
        <w:rPr>
          <w:lang w:val="es-AR"/>
        </w:rPr>
        <w:t xml:space="preserve"> de servicios de consultoría, y </w:t>
      </w:r>
      <w:r w:rsidR="006026E1">
        <w:rPr>
          <w:lang w:val="es-AR"/>
        </w:rPr>
        <w:t xml:space="preserve">los </w:t>
      </w:r>
      <w:r w:rsidR="006026E1" w:rsidRPr="006026E1">
        <w:rPr>
          <w:lang w:val="es-AR"/>
        </w:rPr>
        <w:t>procedimientos administrativos dentro de la SAyDS han ralentizado la ejecución.</w:t>
      </w:r>
      <w:r w:rsidR="006026E1">
        <w:rPr>
          <w:lang w:val="es-AR"/>
        </w:rPr>
        <w:t xml:space="preserve"> </w:t>
      </w:r>
    </w:p>
    <w:p w14:paraId="20A3C29D" w14:textId="77777777" w:rsidR="006026E1" w:rsidRPr="00523B1F" w:rsidRDefault="006026E1" w:rsidP="00DA66A9">
      <w:pPr>
        <w:jc w:val="both"/>
        <w:rPr>
          <w:lang w:val="es-AR"/>
        </w:rPr>
      </w:pPr>
    </w:p>
    <w:p w14:paraId="456DB795" w14:textId="77777777" w:rsidR="00DA66A9" w:rsidRDefault="00304C6A" w:rsidP="00DA66A9">
      <w:pPr>
        <w:jc w:val="both"/>
        <w:rPr>
          <w:lang w:val="es-AR"/>
        </w:rPr>
      </w:pPr>
      <w:r>
        <w:rPr>
          <w:lang w:val="es-AR"/>
        </w:rPr>
        <w:t xml:space="preserve">En la actualidad, </w:t>
      </w:r>
      <w:r w:rsidR="005C63E7">
        <w:rPr>
          <w:lang w:val="es-AR"/>
        </w:rPr>
        <w:t>la UEP</w:t>
      </w:r>
      <w:r w:rsidR="00C04F2B" w:rsidRPr="00C04F2B">
        <w:rPr>
          <w:lang w:val="es-AR"/>
        </w:rPr>
        <w:t xml:space="preserve"> se ha fortalecido a través de leccio</w:t>
      </w:r>
      <w:r w:rsidR="00722BAE">
        <w:rPr>
          <w:lang w:val="es-AR"/>
        </w:rPr>
        <w:t xml:space="preserve">nes aprendidas y cuenta con un Auxiliar de Adquisiciones </w:t>
      </w:r>
      <w:r w:rsidR="005C63E7">
        <w:rPr>
          <w:lang w:val="es-AR"/>
        </w:rPr>
        <w:t>a</w:t>
      </w:r>
      <w:r w:rsidR="00722BAE">
        <w:rPr>
          <w:lang w:val="es-AR"/>
        </w:rPr>
        <w:t xml:space="preserve"> </w:t>
      </w:r>
      <w:r w:rsidR="00C04F2B" w:rsidRPr="00C04F2B">
        <w:rPr>
          <w:lang w:val="es-AR"/>
        </w:rPr>
        <w:t>tiempo c</w:t>
      </w:r>
      <w:r w:rsidR="001857CA">
        <w:rPr>
          <w:lang w:val="es-AR"/>
        </w:rPr>
        <w:t>ompleto</w:t>
      </w:r>
      <w:r w:rsidR="005C63E7">
        <w:rPr>
          <w:lang w:val="es-AR"/>
        </w:rPr>
        <w:t>,</w:t>
      </w:r>
      <w:r w:rsidR="001857CA">
        <w:rPr>
          <w:lang w:val="es-AR"/>
        </w:rPr>
        <w:t xml:space="preserve"> con experiencia previa</w:t>
      </w:r>
      <w:r w:rsidR="00C04F2B" w:rsidRPr="00C04F2B">
        <w:rPr>
          <w:lang w:val="es-AR"/>
        </w:rPr>
        <w:t xml:space="preserve"> en </w:t>
      </w:r>
      <w:proofErr w:type="gramStart"/>
      <w:r w:rsidR="00C04F2B" w:rsidRPr="00C04F2B">
        <w:rPr>
          <w:lang w:val="es-AR"/>
        </w:rPr>
        <w:t>un proyecto</w:t>
      </w:r>
      <w:r w:rsidR="005C63E7">
        <w:rPr>
          <w:lang w:val="es-AR"/>
        </w:rPr>
        <w:t>s</w:t>
      </w:r>
      <w:proofErr w:type="gramEnd"/>
      <w:r w:rsidR="00C04F2B" w:rsidRPr="00C04F2B">
        <w:rPr>
          <w:lang w:val="es-AR"/>
        </w:rPr>
        <w:t xml:space="preserve"> del Banco Mundial. </w:t>
      </w:r>
      <w:r w:rsidR="00E529CF" w:rsidRPr="00E529CF">
        <w:rPr>
          <w:lang w:val="es-AR"/>
        </w:rPr>
        <w:t xml:space="preserve">Una vez </w:t>
      </w:r>
      <w:r w:rsidR="005C63E7">
        <w:rPr>
          <w:lang w:val="es-AR"/>
        </w:rPr>
        <w:t>extendi</w:t>
      </w:r>
      <w:r w:rsidR="005C63E7" w:rsidRPr="00E529CF">
        <w:rPr>
          <w:lang w:val="es-AR"/>
        </w:rPr>
        <w:t xml:space="preserve">do </w:t>
      </w:r>
      <w:r w:rsidR="00E529CF" w:rsidRPr="00E529CF">
        <w:rPr>
          <w:lang w:val="es-AR"/>
        </w:rPr>
        <w:t xml:space="preserve">y con </w:t>
      </w:r>
      <w:r w:rsidR="005C63E7">
        <w:rPr>
          <w:lang w:val="es-AR"/>
        </w:rPr>
        <w:t>condiciones</w:t>
      </w:r>
      <w:r w:rsidR="005C63E7" w:rsidRPr="00E529CF">
        <w:rPr>
          <w:lang w:val="es-AR"/>
        </w:rPr>
        <w:t xml:space="preserve"> </w:t>
      </w:r>
      <w:r w:rsidR="00E529CF" w:rsidRPr="00E529CF">
        <w:rPr>
          <w:lang w:val="es-AR"/>
        </w:rPr>
        <w:t>para firmar nuevos contratos, el proyecto</w:t>
      </w:r>
      <w:r w:rsidR="00AA450B">
        <w:rPr>
          <w:lang w:val="es-AR"/>
        </w:rPr>
        <w:t xml:space="preserve"> está listo para</w:t>
      </w:r>
      <w:r w:rsidR="00567109">
        <w:rPr>
          <w:lang w:val="es-AR"/>
        </w:rPr>
        <w:t xml:space="preserve"> seguir </w:t>
      </w:r>
      <w:proofErr w:type="gramStart"/>
      <w:r w:rsidR="00567109">
        <w:rPr>
          <w:lang w:val="es-AR"/>
        </w:rPr>
        <w:t>una</w:t>
      </w:r>
      <w:proofErr w:type="gramEnd"/>
      <w:r w:rsidR="00567109">
        <w:rPr>
          <w:lang w:val="es-AR"/>
        </w:rPr>
        <w:t xml:space="preserve"> </w:t>
      </w:r>
      <w:r w:rsidR="005C63E7">
        <w:rPr>
          <w:lang w:val="es-AR"/>
        </w:rPr>
        <w:t xml:space="preserve">plan de </w:t>
      </w:r>
      <w:r w:rsidR="00567109">
        <w:rPr>
          <w:lang w:val="es-AR"/>
        </w:rPr>
        <w:t>implementación</w:t>
      </w:r>
      <w:r w:rsidR="00E529CF" w:rsidRPr="00E529CF">
        <w:rPr>
          <w:lang w:val="es-AR"/>
        </w:rPr>
        <w:t xml:space="preserve"> preparad</w:t>
      </w:r>
      <w:r w:rsidR="005C63E7">
        <w:rPr>
          <w:lang w:val="es-AR"/>
        </w:rPr>
        <w:t>o</w:t>
      </w:r>
      <w:r w:rsidR="00E529CF" w:rsidRPr="00E529CF">
        <w:rPr>
          <w:lang w:val="es-AR"/>
        </w:rPr>
        <w:t xml:space="preserve"> cuidado</w:t>
      </w:r>
      <w:r w:rsidR="00E529CF">
        <w:rPr>
          <w:lang w:val="es-AR"/>
        </w:rPr>
        <w:t>samente</w:t>
      </w:r>
      <w:r w:rsidR="00567109">
        <w:rPr>
          <w:lang w:val="es-AR"/>
        </w:rPr>
        <w:t xml:space="preserve"> </w:t>
      </w:r>
      <w:r w:rsidR="00567109" w:rsidRPr="00567109">
        <w:rPr>
          <w:lang w:val="es-AR"/>
        </w:rPr>
        <w:t>para permitir el logro de los resultados mencionados arriba.</w:t>
      </w:r>
      <w:r w:rsidR="00567109">
        <w:rPr>
          <w:lang w:val="es-AR"/>
        </w:rPr>
        <w:t xml:space="preserve"> </w:t>
      </w:r>
      <w:r w:rsidR="00F93D54" w:rsidRPr="00F93D54">
        <w:rPr>
          <w:lang w:val="es-AR"/>
        </w:rPr>
        <w:t xml:space="preserve">Las autoridades de la </w:t>
      </w:r>
      <w:r w:rsidR="00DA66A9" w:rsidRPr="00F93D54">
        <w:rPr>
          <w:lang w:val="es-AR"/>
        </w:rPr>
        <w:t xml:space="preserve">SAyDS </w:t>
      </w:r>
      <w:r w:rsidR="00F93D54" w:rsidRPr="00F93D54">
        <w:rPr>
          <w:lang w:val="es-AR"/>
        </w:rPr>
        <w:t>son conscientes de la nec</w:t>
      </w:r>
      <w:r w:rsidR="00F93D54">
        <w:rPr>
          <w:lang w:val="es-AR"/>
        </w:rPr>
        <w:t>esidad crítica del proyecto de</w:t>
      </w:r>
      <w:r w:rsidR="00F93D54" w:rsidRPr="00F93D54">
        <w:rPr>
          <w:lang w:val="es-AR"/>
        </w:rPr>
        <w:t xml:space="preserve"> avanzar con prontitud, y reuni</w:t>
      </w:r>
      <w:r w:rsidR="00F93D54">
        <w:rPr>
          <w:lang w:val="es-AR"/>
        </w:rPr>
        <w:t>ones de coordinación relacionada</w:t>
      </w:r>
      <w:r w:rsidR="00F93D54" w:rsidRPr="00F93D54">
        <w:rPr>
          <w:lang w:val="es-AR"/>
        </w:rPr>
        <w:t>s han sido y serán organizadas según sea</w:t>
      </w:r>
      <w:r w:rsidR="00211AE6">
        <w:rPr>
          <w:lang w:val="es-AR"/>
        </w:rPr>
        <w:t>n necesarias</w:t>
      </w:r>
      <w:r w:rsidR="00F93D54">
        <w:rPr>
          <w:lang w:val="es-AR"/>
        </w:rPr>
        <w:t xml:space="preserve">. </w:t>
      </w:r>
    </w:p>
    <w:p w14:paraId="1D28B1F6" w14:textId="77777777" w:rsidR="00F0587D" w:rsidRPr="00F93D54" w:rsidRDefault="00F0587D" w:rsidP="00DA66A9">
      <w:pPr>
        <w:jc w:val="both"/>
        <w:rPr>
          <w:lang w:val="es-AR"/>
        </w:rPr>
      </w:pPr>
    </w:p>
    <w:p w14:paraId="3D3FF43F" w14:textId="77777777" w:rsidR="00DA66A9" w:rsidRDefault="00F802D5" w:rsidP="00DA66A9">
      <w:pPr>
        <w:jc w:val="both"/>
        <w:rPr>
          <w:lang w:val="es-AR"/>
        </w:rPr>
      </w:pPr>
      <w:r w:rsidRPr="00F802D5">
        <w:rPr>
          <w:lang w:val="es-AR"/>
        </w:rPr>
        <w:t xml:space="preserve">La </w:t>
      </w:r>
      <w:r>
        <w:rPr>
          <w:lang w:val="es-AR"/>
        </w:rPr>
        <w:t>siguiente tabla retoma</w:t>
      </w:r>
      <w:r w:rsidRPr="00F802D5">
        <w:rPr>
          <w:lang w:val="es-AR"/>
        </w:rPr>
        <w:t xml:space="preserve"> el estado de las fechas de cierre del proyecto</w:t>
      </w:r>
      <w:r>
        <w:rPr>
          <w:lang w:val="es-AR"/>
        </w:rPr>
        <w:t>.</w:t>
      </w:r>
    </w:p>
    <w:p w14:paraId="5989F279" w14:textId="77777777" w:rsidR="00F802D5" w:rsidRPr="00F802D5" w:rsidRDefault="00F802D5" w:rsidP="00DA66A9">
      <w:pPr>
        <w:jc w:val="both"/>
        <w:rPr>
          <w:lang w:val="es-AR"/>
        </w:rPr>
      </w:pPr>
    </w:p>
    <w:tbl>
      <w:tblPr>
        <w:tblW w:w="0" w:type="auto"/>
        <w:tblInd w:w="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1728"/>
        <w:gridCol w:w="1728"/>
        <w:gridCol w:w="1728"/>
        <w:gridCol w:w="1728"/>
        <w:gridCol w:w="1728"/>
      </w:tblGrid>
      <w:tr w:rsidR="00DA66A9" w14:paraId="44F4E001" w14:textId="77777777" w:rsidTr="00B40494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C27E0C7" w14:textId="77777777" w:rsidR="00DA66A9" w:rsidRPr="00944CC9" w:rsidRDefault="00DA66A9" w:rsidP="00B40494">
            <w:r w:rsidRPr="00944CC9">
              <w:rPr>
                <w:b/>
                <w:bCs/>
              </w:rPr>
              <w:t>TF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0E6FD72" w14:textId="77777777" w:rsidR="00DA66A9" w:rsidRPr="00944CC9" w:rsidRDefault="009965C7" w:rsidP="00B40494">
            <w:r>
              <w:rPr>
                <w:b/>
                <w:bCs/>
              </w:rPr>
              <w:t>Estado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895DF5E" w14:textId="77777777" w:rsidR="00DA66A9" w:rsidRPr="00944CC9" w:rsidRDefault="00B1513B" w:rsidP="00B40494">
            <w:r>
              <w:rPr>
                <w:b/>
                <w:bCs/>
              </w:rPr>
              <w:t>Fecha de Cierre Original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8A71B00" w14:textId="77777777" w:rsidR="00DA66A9" w:rsidRPr="00944CC9" w:rsidRDefault="00A557E3" w:rsidP="00B40494">
            <w:r>
              <w:rPr>
                <w:b/>
                <w:bCs/>
              </w:rPr>
              <w:t>Fecha de Cierre Actual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DC3A099" w14:textId="77777777" w:rsidR="00DA66A9" w:rsidRPr="00944CC9" w:rsidRDefault="00A557E3" w:rsidP="00B40494">
            <w:r>
              <w:rPr>
                <w:b/>
                <w:bCs/>
              </w:rPr>
              <w:t>Fecha de Cierre Propuesta</w:t>
            </w:r>
          </w:p>
        </w:tc>
      </w:tr>
      <w:tr w:rsidR="00DA66A9" w14:paraId="7DF05BC5" w14:textId="77777777" w:rsidTr="00B40494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14258B7" w14:textId="77777777" w:rsidR="00DA66A9" w:rsidRPr="00944CC9" w:rsidRDefault="00DA66A9" w:rsidP="00B40494">
            <w:r w:rsidRPr="00944CC9">
              <w:t>TF-98640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952097E" w14:textId="77777777" w:rsidR="00DA66A9" w:rsidRPr="00944CC9" w:rsidRDefault="009965C7" w:rsidP="00B40494">
            <w:r>
              <w:t>Efectivo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B431CA4" w14:textId="77777777" w:rsidR="00DA66A9" w:rsidRPr="00944CC9" w:rsidRDefault="00F14B32" w:rsidP="00B40494">
            <w:r>
              <w:t>31 de Mayo,</w:t>
            </w:r>
            <w:r w:rsidR="00B1513B">
              <w:t xml:space="preserve"> </w:t>
            </w:r>
            <w:r w:rsidR="00DA66A9" w:rsidRPr="00944CC9">
              <w:t>2013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8AE73CE" w14:textId="77777777" w:rsidR="00DA66A9" w:rsidRPr="00944CC9" w:rsidRDefault="00F14B32" w:rsidP="00B40494">
            <w:r>
              <w:t xml:space="preserve">13 de Nov., </w:t>
            </w:r>
            <w:r w:rsidR="00A557E3">
              <w:t>2014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79D7077" w14:textId="77777777" w:rsidR="00DA66A9" w:rsidRPr="00944CC9" w:rsidRDefault="00F14B32" w:rsidP="00B40494">
            <w:r>
              <w:t>30 de Junio,</w:t>
            </w:r>
            <w:r w:rsidR="00A557E3">
              <w:t xml:space="preserve"> 2015</w:t>
            </w:r>
          </w:p>
        </w:tc>
      </w:tr>
    </w:tbl>
    <w:p w14:paraId="08FD8CE8" w14:textId="77777777" w:rsidR="00DA66A9" w:rsidRDefault="00DA66A9" w:rsidP="00DA66A9">
      <w:pPr>
        <w:jc w:val="both"/>
      </w:pPr>
    </w:p>
    <w:p w14:paraId="021348F9" w14:textId="77777777" w:rsidR="00DA66A9" w:rsidRPr="00834869" w:rsidRDefault="00BF0D5D" w:rsidP="00DA66A9">
      <w:pPr>
        <w:pStyle w:val="ListParagraph"/>
        <w:numPr>
          <w:ilvl w:val="0"/>
          <w:numId w:val="1"/>
        </w:numPr>
      </w:pPr>
      <w:r>
        <w:rPr>
          <w:b/>
          <w:bCs/>
        </w:rPr>
        <w:t>Reasignaciones</w:t>
      </w:r>
    </w:p>
    <w:p w14:paraId="38E31DC6" w14:textId="77777777" w:rsidR="00DA66A9" w:rsidRPr="00834869" w:rsidRDefault="00DA66A9" w:rsidP="00DA66A9"/>
    <w:p w14:paraId="7BF9F9F0" w14:textId="6DCDB572" w:rsidR="00DA66A9" w:rsidRPr="00590EE9" w:rsidRDefault="00E62303" w:rsidP="00DA66A9">
      <w:pPr>
        <w:jc w:val="both"/>
        <w:rPr>
          <w:lang w:val="es-AR"/>
        </w:rPr>
      </w:pPr>
      <w:r w:rsidRPr="00DD7C31">
        <w:rPr>
          <w:lang w:val="es-AR"/>
        </w:rPr>
        <w:t>Durante la ejecución del proyecto, el PIU se ha encontrado con</w:t>
      </w:r>
      <w:r w:rsidR="009657BD" w:rsidRPr="00DD7C31">
        <w:rPr>
          <w:lang w:val="es-AR"/>
        </w:rPr>
        <w:t xml:space="preserve"> menos necesidad de adquirir</w:t>
      </w:r>
      <w:r w:rsidRPr="00DD7C31">
        <w:rPr>
          <w:lang w:val="es-AR"/>
        </w:rPr>
        <w:t xml:space="preserve"> bienes </w:t>
      </w:r>
      <w:r w:rsidR="009657BD" w:rsidRPr="00DD7C31">
        <w:rPr>
          <w:lang w:val="es-AR"/>
        </w:rPr>
        <w:t xml:space="preserve">o </w:t>
      </w:r>
      <w:r w:rsidR="00DD7C31" w:rsidRPr="00DD7C31">
        <w:rPr>
          <w:lang w:val="es-AR"/>
        </w:rPr>
        <w:t xml:space="preserve">de </w:t>
      </w:r>
      <w:r w:rsidR="009657BD" w:rsidRPr="00DD7C31">
        <w:rPr>
          <w:lang w:val="es-AR"/>
        </w:rPr>
        <w:t>cubrir los costos operativos</w:t>
      </w:r>
      <w:r w:rsidRPr="00DD7C31">
        <w:rPr>
          <w:lang w:val="es-AR"/>
        </w:rPr>
        <w:t xml:space="preserve"> que </w:t>
      </w:r>
      <w:r w:rsidR="009657BD" w:rsidRPr="00DD7C31">
        <w:rPr>
          <w:lang w:val="es-AR"/>
        </w:rPr>
        <w:t xml:space="preserve">lo </w:t>
      </w:r>
      <w:r w:rsidRPr="00DD7C31">
        <w:rPr>
          <w:lang w:val="es-AR"/>
        </w:rPr>
        <w:t>originalmente proyectado</w:t>
      </w:r>
      <w:r w:rsidR="009657BD" w:rsidRPr="00DD7C31">
        <w:rPr>
          <w:lang w:val="es-AR"/>
        </w:rPr>
        <w:t>.</w:t>
      </w:r>
      <w:r w:rsidR="00B832E8">
        <w:rPr>
          <w:lang w:val="es-AR"/>
        </w:rPr>
        <w:t xml:space="preserve"> </w:t>
      </w:r>
      <w:r w:rsidR="00B832E8" w:rsidRPr="00527E1E">
        <w:rPr>
          <w:lang w:val="es-AR"/>
        </w:rPr>
        <w:t xml:space="preserve">Por el contrario, dichos ahorros son necesarios </w:t>
      </w:r>
      <w:r w:rsidR="00527E1E" w:rsidRPr="00527E1E">
        <w:rPr>
          <w:lang w:val="es-AR"/>
        </w:rPr>
        <w:t>para cubrir los servicios de consultoría adicionales y un par de servicios de consultor</w:t>
      </w:r>
      <w:r w:rsidR="00527E1E">
        <w:rPr>
          <w:lang w:val="es-AR"/>
        </w:rPr>
        <w:t>ía modificados y adicionales que fueron incorporados bajo el componente 1.</w:t>
      </w:r>
      <w:r w:rsidR="00DA66A9" w:rsidRPr="00527E1E">
        <w:rPr>
          <w:lang w:val="es-AR"/>
        </w:rPr>
        <w:t xml:space="preserve"> </w:t>
      </w:r>
      <w:r w:rsidR="000931B2" w:rsidRPr="000931B2">
        <w:rPr>
          <w:lang w:val="es-AR"/>
        </w:rPr>
        <w:t>Lo último contribuye a la preparación de un BUR básico de la República Argentina a la CMNUCC</w:t>
      </w:r>
      <w:r w:rsidR="000931B2">
        <w:rPr>
          <w:lang w:val="es-AR"/>
        </w:rPr>
        <w:t>; una responsabilidad de todas la</w:t>
      </w:r>
      <w:r w:rsidR="000931B2" w:rsidRPr="000931B2">
        <w:rPr>
          <w:lang w:val="es-AR"/>
        </w:rPr>
        <w:t xml:space="preserve">s </w:t>
      </w:r>
      <w:r w:rsidR="000931B2">
        <w:rPr>
          <w:lang w:val="es-AR"/>
        </w:rPr>
        <w:t xml:space="preserve">Partes no incluidas en el Anexo </w:t>
      </w:r>
      <w:r w:rsidR="008262E4">
        <w:rPr>
          <w:lang w:val="es-AR"/>
        </w:rPr>
        <w:t>1</w:t>
      </w:r>
      <w:r w:rsidR="000931B2">
        <w:rPr>
          <w:lang w:val="es-AR"/>
        </w:rPr>
        <w:t xml:space="preserve"> (países en desarrollo)</w:t>
      </w:r>
      <w:r w:rsidR="000931B2" w:rsidRPr="000931B2">
        <w:rPr>
          <w:lang w:val="es-AR"/>
        </w:rPr>
        <w:t xml:space="preserve"> </w:t>
      </w:r>
      <w:r w:rsidR="000931B2">
        <w:rPr>
          <w:lang w:val="es-AR"/>
        </w:rPr>
        <w:t xml:space="preserve">hacia la </w:t>
      </w:r>
      <w:r w:rsidR="000931B2" w:rsidRPr="000931B2">
        <w:rPr>
          <w:lang w:val="es-AR"/>
        </w:rPr>
        <w:t>CMNUCC</w:t>
      </w:r>
      <w:r w:rsidR="00DE08B0">
        <w:rPr>
          <w:lang w:val="es-AR"/>
        </w:rPr>
        <w:t>,</w:t>
      </w:r>
      <w:r w:rsidR="000931B2">
        <w:rPr>
          <w:lang w:val="es-AR"/>
        </w:rPr>
        <w:t xml:space="preserve"> desde fines de 2011. </w:t>
      </w:r>
      <w:r w:rsidR="00590EE9" w:rsidRPr="00590EE9">
        <w:rPr>
          <w:lang w:val="es-AR"/>
        </w:rPr>
        <w:t xml:space="preserve">Dichos servicios de consultoría coinciden totalmente con el objetivo del </w:t>
      </w:r>
      <w:r w:rsidR="00590EE9" w:rsidRPr="00590EE9">
        <w:rPr>
          <w:lang w:val="es-AR"/>
        </w:rPr>
        <w:lastRenderedPageBreak/>
        <w:t xml:space="preserve">proyecto y </w:t>
      </w:r>
      <w:r w:rsidR="00590EE9">
        <w:rPr>
          <w:lang w:val="es-AR"/>
        </w:rPr>
        <w:t xml:space="preserve">son </w:t>
      </w:r>
      <w:r w:rsidR="00590EE9" w:rsidRPr="00590EE9">
        <w:rPr>
          <w:lang w:val="es-AR"/>
        </w:rPr>
        <w:t xml:space="preserve">sinérgicos con los cuatro estudios </w:t>
      </w:r>
      <w:r w:rsidR="00590EE9">
        <w:rPr>
          <w:lang w:val="es-AR"/>
        </w:rPr>
        <w:t xml:space="preserve">sectoriales </w:t>
      </w:r>
      <w:r w:rsidR="00590EE9" w:rsidRPr="00590EE9">
        <w:rPr>
          <w:lang w:val="es-AR"/>
        </w:rPr>
        <w:t>en c</w:t>
      </w:r>
      <w:r w:rsidR="00590EE9">
        <w:rPr>
          <w:lang w:val="es-AR"/>
        </w:rPr>
        <w:t>urso de inventario</w:t>
      </w:r>
      <w:r w:rsidR="00DE08B0">
        <w:rPr>
          <w:lang w:val="es-AR"/>
        </w:rPr>
        <w:t>s</w:t>
      </w:r>
      <w:r w:rsidR="00590EE9">
        <w:rPr>
          <w:lang w:val="es-AR"/>
        </w:rPr>
        <w:t>/mitigación de GEI.</w:t>
      </w:r>
    </w:p>
    <w:p w14:paraId="3FF66832" w14:textId="77777777" w:rsidR="00DA66A9" w:rsidRPr="00590EE9" w:rsidRDefault="00DA66A9" w:rsidP="00DA66A9">
      <w:pPr>
        <w:jc w:val="both"/>
        <w:rPr>
          <w:lang w:val="es-AR"/>
        </w:rPr>
      </w:pPr>
    </w:p>
    <w:p w14:paraId="6B081151" w14:textId="77777777" w:rsidR="00DA66A9" w:rsidRPr="001328DE" w:rsidRDefault="00600FF7" w:rsidP="00DA66A9">
      <w:pPr>
        <w:jc w:val="both"/>
        <w:rPr>
          <w:lang w:val="es-AR"/>
        </w:rPr>
      </w:pPr>
      <w:r w:rsidRPr="00600FF7">
        <w:rPr>
          <w:lang w:val="es-AR"/>
        </w:rPr>
        <w:t>La tabla siguiente presenta las categorías aplicables del gasto</w:t>
      </w:r>
      <w:r w:rsidR="009C5CAE">
        <w:rPr>
          <w:lang w:val="es-AR"/>
        </w:rPr>
        <w:t xml:space="preserve"> según el </w:t>
      </w:r>
      <w:r w:rsidR="00DE08B0">
        <w:rPr>
          <w:lang w:val="es-AR"/>
        </w:rPr>
        <w:t>Acuerd</w:t>
      </w:r>
      <w:r w:rsidR="00DE08B0" w:rsidRPr="000328C4">
        <w:rPr>
          <w:lang w:val="es-AR"/>
        </w:rPr>
        <w:t xml:space="preserve">o </w:t>
      </w:r>
      <w:r w:rsidR="000328C4" w:rsidRPr="000328C4">
        <w:rPr>
          <w:lang w:val="es-AR"/>
        </w:rPr>
        <w:t xml:space="preserve">de </w:t>
      </w:r>
      <w:r w:rsidR="000328C4">
        <w:rPr>
          <w:lang w:val="es-AR"/>
        </w:rPr>
        <w:t>Donación</w:t>
      </w:r>
      <w:r w:rsidRPr="00600FF7">
        <w:rPr>
          <w:lang w:val="es-AR"/>
        </w:rPr>
        <w:t>, incluyendo sus asignaciones pres</w:t>
      </w:r>
      <w:r w:rsidR="009C5CAE">
        <w:rPr>
          <w:lang w:val="es-AR"/>
        </w:rPr>
        <w:t>upuestarias actuales y propuesta</w:t>
      </w:r>
      <w:r w:rsidRPr="00600FF7">
        <w:rPr>
          <w:lang w:val="es-AR"/>
        </w:rPr>
        <w:t>s</w:t>
      </w:r>
      <w:r w:rsidR="006C0330">
        <w:rPr>
          <w:lang w:val="es-AR"/>
        </w:rPr>
        <w:t xml:space="preserve">. </w:t>
      </w:r>
    </w:p>
    <w:p w14:paraId="2F8D3162" w14:textId="77777777" w:rsidR="00DA66A9" w:rsidRPr="001328DE" w:rsidRDefault="00DA66A9" w:rsidP="00DA66A9">
      <w:pPr>
        <w:jc w:val="both"/>
        <w:rPr>
          <w:lang w:val="es-AR"/>
        </w:rPr>
      </w:pPr>
    </w:p>
    <w:tbl>
      <w:tblPr>
        <w:tblW w:w="8730" w:type="dxa"/>
        <w:tblInd w:w="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340"/>
        <w:gridCol w:w="1518"/>
        <w:gridCol w:w="1812"/>
        <w:gridCol w:w="1530"/>
        <w:gridCol w:w="1530"/>
      </w:tblGrid>
      <w:tr w:rsidR="00DA66A9" w:rsidRPr="00944CC9" w14:paraId="778288CE" w14:textId="77777777" w:rsidTr="00B40494">
        <w:tc>
          <w:tcPr>
            <w:tcW w:w="2340" w:type="dxa"/>
            <w:vMerge w:val="restart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6AC583D" w14:textId="77777777" w:rsidR="00DA66A9" w:rsidRPr="00944CC9" w:rsidRDefault="00791309" w:rsidP="00B40494">
            <w:pPr>
              <w:jc w:val="both"/>
            </w:pPr>
            <w:r>
              <w:rPr>
                <w:b/>
                <w:bCs/>
              </w:rPr>
              <w:t>Categoría del Gasto Actual</w:t>
            </w:r>
          </w:p>
        </w:tc>
        <w:tc>
          <w:tcPr>
            <w:tcW w:w="3330" w:type="dxa"/>
            <w:gridSpan w:val="2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CC1FB9F" w14:textId="77777777" w:rsidR="00DA66A9" w:rsidRPr="00944CC9" w:rsidRDefault="00791309" w:rsidP="00B40494">
            <w:pPr>
              <w:jc w:val="both"/>
            </w:pPr>
            <w:r>
              <w:rPr>
                <w:b/>
                <w:bCs/>
              </w:rPr>
              <w:t>Asignación</w:t>
            </w:r>
          </w:p>
        </w:tc>
        <w:tc>
          <w:tcPr>
            <w:tcW w:w="3060" w:type="dxa"/>
            <w:gridSpan w:val="2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8DEC5F9" w14:textId="77777777" w:rsidR="00DA66A9" w:rsidRDefault="009E0473" w:rsidP="00B4049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Desembolso</w:t>
            </w:r>
            <w:r w:rsidR="00DA66A9" w:rsidRPr="00944CC9">
              <w:rPr>
                <w:b/>
                <w:bCs/>
              </w:rPr>
              <w:t xml:space="preserve"> % </w:t>
            </w:r>
          </w:p>
          <w:p w14:paraId="055DB8AD" w14:textId="77777777" w:rsidR="00DA66A9" w:rsidRPr="00944CC9" w:rsidRDefault="009E0473" w:rsidP="00B40494">
            <w:pPr>
              <w:jc w:val="both"/>
            </w:pPr>
            <w:r>
              <w:rPr>
                <w:b/>
                <w:bCs/>
              </w:rPr>
              <w:t>(Tipo total</w:t>
            </w:r>
            <w:r w:rsidR="00DA66A9" w:rsidRPr="00944CC9">
              <w:rPr>
                <w:b/>
                <w:bCs/>
              </w:rPr>
              <w:t>)</w:t>
            </w:r>
          </w:p>
        </w:tc>
      </w:tr>
      <w:tr w:rsidR="00DA66A9" w:rsidRPr="00944CC9" w14:paraId="538CE8F0" w14:textId="77777777" w:rsidTr="00B40494">
        <w:tc>
          <w:tcPr>
            <w:tcW w:w="2340" w:type="dxa"/>
            <w:vMerge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5C73D5F" w14:textId="77777777" w:rsidR="00DA66A9" w:rsidRPr="00944CC9" w:rsidRDefault="00DA66A9" w:rsidP="00B40494">
            <w:pPr>
              <w:jc w:val="both"/>
            </w:pPr>
          </w:p>
        </w:tc>
        <w:tc>
          <w:tcPr>
            <w:tcW w:w="1518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78A4D24" w14:textId="77777777" w:rsidR="00DA66A9" w:rsidRPr="00944CC9" w:rsidRDefault="00791309" w:rsidP="00B40494">
            <w:pPr>
              <w:jc w:val="both"/>
            </w:pPr>
            <w:r>
              <w:rPr>
                <w:b/>
                <w:bCs/>
              </w:rPr>
              <w:t>Actual</w:t>
            </w:r>
          </w:p>
        </w:tc>
        <w:tc>
          <w:tcPr>
            <w:tcW w:w="1812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FBE1991" w14:textId="77777777" w:rsidR="00DA66A9" w:rsidRPr="00944CC9" w:rsidRDefault="00791309" w:rsidP="00B40494">
            <w:pPr>
              <w:jc w:val="both"/>
            </w:pPr>
            <w:r>
              <w:rPr>
                <w:b/>
                <w:bCs/>
              </w:rPr>
              <w:t>Propuesta</w:t>
            </w:r>
          </w:p>
        </w:tc>
        <w:tc>
          <w:tcPr>
            <w:tcW w:w="1530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AE7D86C" w14:textId="77777777" w:rsidR="00DA66A9" w:rsidRPr="00944CC9" w:rsidRDefault="000C5A45" w:rsidP="00B40494">
            <w:pPr>
              <w:jc w:val="both"/>
            </w:pPr>
            <w:r>
              <w:rPr>
                <w:b/>
                <w:bCs/>
              </w:rPr>
              <w:t>Actual</w:t>
            </w:r>
          </w:p>
        </w:tc>
        <w:tc>
          <w:tcPr>
            <w:tcW w:w="1530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B666DBD" w14:textId="77777777" w:rsidR="00DA66A9" w:rsidRPr="00944CC9" w:rsidRDefault="000C5A45" w:rsidP="00B40494">
            <w:pPr>
              <w:jc w:val="both"/>
            </w:pPr>
            <w:r>
              <w:rPr>
                <w:b/>
                <w:bCs/>
              </w:rPr>
              <w:t>Propuesto</w:t>
            </w:r>
          </w:p>
        </w:tc>
      </w:tr>
      <w:tr w:rsidR="00DA66A9" w:rsidRPr="00944CC9" w14:paraId="2827C4B2" w14:textId="77777777" w:rsidTr="00B40494">
        <w:tc>
          <w:tcPr>
            <w:tcW w:w="2340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FD13400" w14:textId="77777777" w:rsidR="00DA66A9" w:rsidRPr="00944CC9" w:rsidRDefault="004F6790" w:rsidP="00B40494">
            <w:pPr>
              <w:jc w:val="both"/>
            </w:pPr>
            <w:r>
              <w:t>BIENES</w:t>
            </w:r>
          </w:p>
        </w:tc>
        <w:tc>
          <w:tcPr>
            <w:tcW w:w="1518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7C4C4A8" w14:textId="77777777" w:rsidR="00DA66A9" w:rsidRPr="00944CC9" w:rsidRDefault="00E4455C" w:rsidP="00B40494">
            <w:pPr>
              <w:jc w:val="right"/>
            </w:pPr>
            <w:r>
              <w:t>98.000,</w:t>
            </w:r>
            <w:r w:rsidR="00DA66A9" w:rsidRPr="00944CC9">
              <w:t>00</w:t>
            </w:r>
          </w:p>
        </w:tc>
        <w:tc>
          <w:tcPr>
            <w:tcW w:w="1812" w:type="dxa"/>
            <w:shd w:val="clear" w:color="auto" w:fill="DCDCDC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2B94702" w14:textId="77777777" w:rsidR="00DA66A9" w:rsidRPr="00944CC9" w:rsidRDefault="00E4455C" w:rsidP="00B40494">
            <w:pPr>
              <w:jc w:val="right"/>
            </w:pPr>
            <w:r>
              <w:rPr>
                <w:b/>
                <w:bCs/>
              </w:rPr>
              <w:t>19.000,</w:t>
            </w:r>
            <w:r w:rsidR="00DA66A9" w:rsidRPr="00944CC9">
              <w:rPr>
                <w:b/>
                <w:bCs/>
              </w:rPr>
              <w:t>00</w:t>
            </w:r>
          </w:p>
        </w:tc>
        <w:tc>
          <w:tcPr>
            <w:tcW w:w="1530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8E5F9CF" w14:textId="77777777" w:rsidR="00DA66A9" w:rsidRPr="00944CC9" w:rsidRDefault="007C64CC" w:rsidP="00B40494">
            <w:pPr>
              <w:jc w:val="right"/>
            </w:pPr>
            <w:r>
              <w:t>100,</w:t>
            </w:r>
            <w:r w:rsidR="00DA66A9" w:rsidRPr="00944CC9">
              <w:t>00</w:t>
            </w:r>
          </w:p>
        </w:tc>
        <w:tc>
          <w:tcPr>
            <w:tcW w:w="1530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9AD4B20" w14:textId="77777777" w:rsidR="00DA66A9" w:rsidRPr="00944CC9" w:rsidRDefault="007C64CC" w:rsidP="00B40494">
            <w:pPr>
              <w:jc w:val="right"/>
            </w:pPr>
            <w:r>
              <w:t>100,</w:t>
            </w:r>
            <w:r w:rsidR="00DA66A9" w:rsidRPr="00944CC9">
              <w:t>00</w:t>
            </w:r>
          </w:p>
        </w:tc>
      </w:tr>
      <w:tr w:rsidR="00DA66A9" w:rsidRPr="00944CC9" w14:paraId="2CCDC687" w14:textId="77777777" w:rsidTr="00B40494">
        <w:tc>
          <w:tcPr>
            <w:tcW w:w="2340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8B1B1BD" w14:textId="77777777" w:rsidR="00DA66A9" w:rsidRPr="00944CC9" w:rsidRDefault="004F6790" w:rsidP="00B40494">
            <w:pPr>
              <w:jc w:val="both"/>
            </w:pPr>
            <w:r>
              <w:t>SERVICIOS DE CONSULTORÍA</w:t>
            </w:r>
          </w:p>
        </w:tc>
        <w:tc>
          <w:tcPr>
            <w:tcW w:w="1518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3FC67AA" w14:textId="77777777" w:rsidR="00DA66A9" w:rsidRPr="00944CC9" w:rsidRDefault="00E4455C" w:rsidP="00B40494">
            <w:pPr>
              <w:jc w:val="right"/>
            </w:pPr>
            <w:r>
              <w:t>1.514.209,</w:t>
            </w:r>
            <w:r w:rsidR="00DA66A9" w:rsidRPr="00944CC9">
              <w:t>00</w:t>
            </w:r>
          </w:p>
        </w:tc>
        <w:tc>
          <w:tcPr>
            <w:tcW w:w="1812" w:type="dxa"/>
            <w:shd w:val="clear" w:color="auto" w:fill="DCDCDC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521D3F4" w14:textId="77777777" w:rsidR="00DA66A9" w:rsidRPr="00944CC9" w:rsidRDefault="00E4455C" w:rsidP="00B40494">
            <w:pPr>
              <w:jc w:val="right"/>
            </w:pPr>
            <w:r>
              <w:rPr>
                <w:b/>
                <w:bCs/>
              </w:rPr>
              <w:t>1.710.209,</w:t>
            </w:r>
            <w:r w:rsidR="00DA66A9" w:rsidRPr="00944CC9">
              <w:rPr>
                <w:b/>
                <w:bCs/>
              </w:rPr>
              <w:t>00</w:t>
            </w:r>
          </w:p>
        </w:tc>
        <w:tc>
          <w:tcPr>
            <w:tcW w:w="1530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DCD0065" w14:textId="77777777" w:rsidR="00DA66A9" w:rsidRPr="00944CC9" w:rsidRDefault="007C64CC" w:rsidP="00B40494">
            <w:pPr>
              <w:jc w:val="right"/>
            </w:pPr>
            <w:r>
              <w:t>100,</w:t>
            </w:r>
            <w:r w:rsidR="00DA66A9" w:rsidRPr="00944CC9">
              <w:t>00</w:t>
            </w:r>
          </w:p>
        </w:tc>
        <w:tc>
          <w:tcPr>
            <w:tcW w:w="1530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C950AD7" w14:textId="77777777" w:rsidR="00DA66A9" w:rsidRPr="00944CC9" w:rsidRDefault="007C64CC" w:rsidP="00B40494">
            <w:pPr>
              <w:jc w:val="right"/>
            </w:pPr>
            <w:r>
              <w:t>100,</w:t>
            </w:r>
            <w:r w:rsidR="00DA66A9" w:rsidRPr="00944CC9">
              <w:t>00</w:t>
            </w:r>
          </w:p>
        </w:tc>
      </w:tr>
      <w:tr w:rsidR="00DA66A9" w:rsidRPr="00944CC9" w14:paraId="0DF14480" w14:textId="77777777" w:rsidTr="00B40494">
        <w:tc>
          <w:tcPr>
            <w:tcW w:w="2340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D45FC96" w14:textId="77777777" w:rsidR="00DA66A9" w:rsidRPr="00D50851" w:rsidRDefault="004F6790" w:rsidP="003E59CA">
            <w:pPr>
              <w:jc w:val="both"/>
              <w:rPr>
                <w:highlight w:val="yellow"/>
                <w:lang w:val="es-AR"/>
              </w:rPr>
            </w:pPr>
            <w:r w:rsidRPr="00D81504">
              <w:rPr>
                <w:lang w:val="es-AR"/>
              </w:rPr>
              <w:t xml:space="preserve">SERVICIOS </w:t>
            </w:r>
            <w:r w:rsidR="003E59CA">
              <w:rPr>
                <w:lang w:val="es-AR"/>
              </w:rPr>
              <w:t xml:space="preserve">NO INCLUIDOS EN </w:t>
            </w:r>
            <w:r w:rsidRPr="00D81504">
              <w:rPr>
                <w:lang w:val="es-AR"/>
              </w:rPr>
              <w:t>CONSULTORÍA</w:t>
            </w:r>
          </w:p>
        </w:tc>
        <w:tc>
          <w:tcPr>
            <w:tcW w:w="1518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0F7F4A3" w14:textId="77777777" w:rsidR="00DA66A9" w:rsidRPr="00944CC9" w:rsidRDefault="00E4455C" w:rsidP="00B40494">
            <w:pPr>
              <w:jc w:val="right"/>
            </w:pPr>
            <w:r>
              <w:t>400.000,</w:t>
            </w:r>
            <w:r w:rsidR="00DA66A9" w:rsidRPr="00944CC9">
              <w:t>00</w:t>
            </w:r>
          </w:p>
        </w:tc>
        <w:tc>
          <w:tcPr>
            <w:tcW w:w="1812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370EBA8" w14:textId="77777777" w:rsidR="00DA66A9" w:rsidRPr="00944CC9" w:rsidRDefault="00E4455C" w:rsidP="00B40494">
            <w:pPr>
              <w:jc w:val="right"/>
            </w:pPr>
            <w:r>
              <w:t>400.000,</w:t>
            </w:r>
            <w:r w:rsidR="00DA66A9" w:rsidRPr="00944CC9">
              <w:t>00</w:t>
            </w:r>
          </w:p>
        </w:tc>
        <w:tc>
          <w:tcPr>
            <w:tcW w:w="1530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E0D48BA" w14:textId="77777777" w:rsidR="00DA66A9" w:rsidRPr="00944CC9" w:rsidRDefault="007C64CC" w:rsidP="00B40494">
            <w:pPr>
              <w:jc w:val="right"/>
            </w:pPr>
            <w:r>
              <w:t>100,</w:t>
            </w:r>
            <w:r w:rsidR="00DA66A9" w:rsidRPr="00944CC9">
              <w:t>00</w:t>
            </w:r>
          </w:p>
        </w:tc>
        <w:tc>
          <w:tcPr>
            <w:tcW w:w="1530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EABBFFE" w14:textId="77777777" w:rsidR="00DA66A9" w:rsidRPr="00944CC9" w:rsidRDefault="007C64CC" w:rsidP="00B40494">
            <w:pPr>
              <w:jc w:val="right"/>
            </w:pPr>
            <w:r>
              <w:t>100,</w:t>
            </w:r>
            <w:r w:rsidR="00DA66A9" w:rsidRPr="00944CC9">
              <w:t>00</w:t>
            </w:r>
          </w:p>
        </w:tc>
      </w:tr>
      <w:tr w:rsidR="00DA66A9" w:rsidRPr="00944CC9" w14:paraId="6DA8D89C" w14:textId="77777777" w:rsidTr="00B40494">
        <w:tc>
          <w:tcPr>
            <w:tcW w:w="2340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BDD9213" w14:textId="77777777" w:rsidR="00DA66A9" w:rsidRPr="00944CC9" w:rsidRDefault="004F6790" w:rsidP="00B40494">
            <w:pPr>
              <w:jc w:val="both"/>
            </w:pPr>
            <w:r>
              <w:t>CAPACITACIÓN</w:t>
            </w:r>
          </w:p>
        </w:tc>
        <w:tc>
          <w:tcPr>
            <w:tcW w:w="1518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E39F037" w14:textId="77777777" w:rsidR="00DA66A9" w:rsidRPr="00944CC9" w:rsidRDefault="00E4455C" w:rsidP="00B40494">
            <w:pPr>
              <w:jc w:val="right"/>
            </w:pPr>
            <w:r>
              <w:t>250.000,</w:t>
            </w:r>
            <w:r w:rsidR="00DA66A9" w:rsidRPr="00944CC9">
              <w:t>00</w:t>
            </w:r>
          </w:p>
        </w:tc>
        <w:tc>
          <w:tcPr>
            <w:tcW w:w="1812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FC15E00" w14:textId="77777777" w:rsidR="00DA66A9" w:rsidRPr="00944CC9" w:rsidRDefault="00E4455C" w:rsidP="00B40494">
            <w:pPr>
              <w:jc w:val="right"/>
            </w:pPr>
            <w:r>
              <w:t>250.000,</w:t>
            </w:r>
            <w:r w:rsidR="00DA66A9" w:rsidRPr="00944CC9">
              <w:t>00</w:t>
            </w:r>
          </w:p>
        </w:tc>
        <w:tc>
          <w:tcPr>
            <w:tcW w:w="1530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83FEEC2" w14:textId="77777777" w:rsidR="00DA66A9" w:rsidRPr="00944CC9" w:rsidRDefault="007C64CC" w:rsidP="00B40494">
            <w:pPr>
              <w:jc w:val="right"/>
            </w:pPr>
            <w:r>
              <w:t>100,</w:t>
            </w:r>
            <w:r w:rsidR="00DA66A9" w:rsidRPr="00944CC9">
              <w:t>00</w:t>
            </w:r>
          </w:p>
        </w:tc>
        <w:tc>
          <w:tcPr>
            <w:tcW w:w="1530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7B74A44" w14:textId="77777777" w:rsidR="00DA66A9" w:rsidRPr="00944CC9" w:rsidRDefault="007C64CC" w:rsidP="00B40494">
            <w:pPr>
              <w:jc w:val="right"/>
            </w:pPr>
            <w:r>
              <w:t>100,</w:t>
            </w:r>
            <w:r w:rsidR="00DA66A9" w:rsidRPr="00944CC9">
              <w:t>00</w:t>
            </w:r>
          </w:p>
        </w:tc>
      </w:tr>
      <w:tr w:rsidR="00DA66A9" w:rsidRPr="00944CC9" w14:paraId="4E3FBD82" w14:textId="77777777" w:rsidTr="00B40494">
        <w:tc>
          <w:tcPr>
            <w:tcW w:w="2340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18AC493" w14:textId="77777777" w:rsidR="00DA66A9" w:rsidRPr="00944CC9" w:rsidRDefault="004F6790" w:rsidP="00B40494">
            <w:pPr>
              <w:jc w:val="both"/>
            </w:pPr>
            <w:r>
              <w:t>COSTOS OPERATIVOS</w:t>
            </w:r>
          </w:p>
        </w:tc>
        <w:tc>
          <w:tcPr>
            <w:tcW w:w="1518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3A3DE18" w14:textId="77777777" w:rsidR="00DA66A9" w:rsidRPr="00944CC9" w:rsidRDefault="00E4455C" w:rsidP="00B40494">
            <w:pPr>
              <w:jc w:val="right"/>
            </w:pPr>
            <w:r>
              <w:t>177.000,</w:t>
            </w:r>
            <w:r w:rsidR="00DA66A9" w:rsidRPr="00944CC9">
              <w:t>00</w:t>
            </w:r>
          </w:p>
        </w:tc>
        <w:tc>
          <w:tcPr>
            <w:tcW w:w="1812" w:type="dxa"/>
            <w:shd w:val="clear" w:color="auto" w:fill="DCDCDC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08C1C62" w14:textId="77777777" w:rsidR="00DA66A9" w:rsidRPr="00944CC9" w:rsidRDefault="00E4455C" w:rsidP="00B40494">
            <w:pPr>
              <w:jc w:val="right"/>
            </w:pPr>
            <w:r>
              <w:rPr>
                <w:b/>
                <w:bCs/>
              </w:rPr>
              <w:t>60.000,</w:t>
            </w:r>
            <w:r w:rsidR="00DA66A9" w:rsidRPr="00944CC9">
              <w:rPr>
                <w:b/>
                <w:bCs/>
              </w:rPr>
              <w:t>00</w:t>
            </w:r>
          </w:p>
        </w:tc>
        <w:tc>
          <w:tcPr>
            <w:tcW w:w="1530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A299C7E" w14:textId="77777777" w:rsidR="00DA66A9" w:rsidRPr="00944CC9" w:rsidRDefault="007C64CC" w:rsidP="00B40494">
            <w:pPr>
              <w:jc w:val="right"/>
            </w:pPr>
            <w:r>
              <w:t>100,</w:t>
            </w:r>
            <w:r w:rsidR="00DA66A9" w:rsidRPr="00944CC9">
              <w:t>00</w:t>
            </w:r>
          </w:p>
        </w:tc>
        <w:tc>
          <w:tcPr>
            <w:tcW w:w="1530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9654CCA" w14:textId="77777777" w:rsidR="00DA66A9" w:rsidRPr="00944CC9" w:rsidRDefault="007C64CC" w:rsidP="00B40494">
            <w:pPr>
              <w:jc w:val="right"/>
            </w:pPr>
            <w:r>
              <w:t>100,</w:t>
            </w:r>
            <w:r w:rsidR="00DA66A9" w:rsidRPr="00944CC9">
              <w:t>00</w:t>
            </w:r>
          </w:p>
        </w:tc>
      </w:tr>
      <w:tr w:rsidR="00DA66A9" w:rsidRPr="00944CC9" w14:paraId="51D9B446" w14:textId="77777777" w:rsidTr="00B40494">
        <w:tc>
          <w:tcPr>
            <w:tcW w:w="2340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E55F765" w14:textId="77777777" w:rsidR="00DA66A9" w:rsidRPr="00944CC9" w:rsidRDefault="00DA66A9" w:rsidP="00B40494">
            <w:pPr>
              <w:jc w:val="both"/>
            </w:pPr>
            <w:r w:rsidRPr="00944CC9">
              <w:rPr>
                <w:b/>
                <w:bCs/>
              </w:rPr>
              <w:t>Total:</w:t>
            </w:r>
          </w:p>
        </w:tc>
        <w:tc>
          <w:tcPr>
            <w:tcW w:w="1518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300CF5C" w14:textId="77777777" w:rsidR="00DA66A9" w:rsidRPr="00944CC9" w:rsidRDefault="00E4455C" w:rsidP="00B40494">
            <w:pPr>
              <w:jc w:val="right"/>
            </w:pPr>
            <w:r>
              <w:t>2.439.209,</w:t>
            </w:r>
            <w:r w:rsidR="00DA66A9" w:rsidRPr="00944CC9">
              <w:t>00</w:t>
            </w:r>
          </w:p>
        </w:tc>
        <w:tc>
          <w:tcPr>
            <w:tcW w:w="1812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11FC508" w14:textId="77777777" w:rsidR="00DA66A9" w:rsidRPr="00944CC9" w:rsidRDefault="00E4455C" w:rsidP="00B40494">
            <w:pPr>
              <w:jc w:val="right"/>
            </w:pPr>
            <w:r>
              <w:t>2.439.209,</w:t>
            </w:r>
            <w:r w:rsidR="00DA66A9" w:rsidRPr="00944CC9">
              <w:t>00</w:t>
            </w:r>
          </w:p>
        </w:tc>
        <w:tc>
          <w:tcPr>
            <w:tcW w:w="1530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AD677C3" w14:textId="77777777" w:rsidR="00DA66A9" w:rsidRPr="00944CC9" w:rsidRDefault="00DA66A9" w:rsidP="00B40494">
            <w:pPr>
              <w:jc w:val="right"/>
            </w:pPr>
          </w:p>
        </w:tc>
        <w:tc>
          <w:tcPr>
            <w:tcW w:w="1530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0BD1BA0" w14:textId="77777777" w:rsidR="00DA66A9" w:rsidRPr="00944CC9" w:rsidRDefault="00DA66A9" w:rsidP="00B40494">
            <w:pPr>
              <w:jc w:val="right"/>
            </w:pPr>
          </w:p>
        </w:tc>
      </w:tr>
    </w:tbl>
    <w:p w14:paraId="27E5B188" w14:textId="77777777" w:rsidR="00DA66A9" w:rsidRPr="00834869" w:rsidRDefault="00DA66A9" w:rsidP="00DA66A9">
      <w:pPr>
        <w:jc w:val="both"/>
      </w:pPr>
    </w:p>
    <w:p w14:paraId="31D8688D" w14:textId="77777777" w:rsidR="00DA66A9" w:rsidRDefault="001250A6" w:rsidP="00DA66A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Estimaciones de </w:t>
      </w:r>
      <w:r w:rsidR="001050D6">
        <w:rPr>
          <w:b/>
        </w:rPr>
        <w:t>desembolso</w:t>
      </w:r>
    </w:p>
    <w:p w14:paraId="562FC143" w14:textId="77777777" w:rsidR="00DA66A9" w:rsidRDefault="00DA66A9" w:rsidP="00DA66A9">
      <w:pPr>
        <w:jc w:val="both"/>
      </w:pPr>
    </w:p>
    <w:p w14:paraId="01161198" w14:textId="77777777" w:rsidR="00DA66A9" w:rsidRDefault="00367560" w:rsidP="00DA66A9">
      <w:pPr>
        <w:jc w:val="both"/>
        <w:rPr>
          <w:lang w:val="es-AR"/>
        </w:rPr>
      </w:pPr>
      <w:r w:rsidRPr="00367560">
        <w:rPr>
          <w:lang w:val="es-AR"/>
        </w:rPr>
        <w:t xml:space="preserve">El proyecto ha sufrido importantes retrasos que han afectado sus desembolsos estimados </w:t>
      </w:r>
      <w:r w:rsidR="001328DE">
        <w:rPr>
          <w:lang w:val="es-AR"/>
        </w:rPr>
        <w:t xml:space="preserve">originalmente </w:t>
      </w:r>
      <w:r w:rsidRPr="00367560">
        <w:rPr>
          <w:lang w:val="es-AR"/>
        </w:rPr>
        <w:t xml:space="preserve">como </w:t>
      </w:r>
      <w:r w:rsidR="001328DE">
        <w:rPr>
          <w:lang w:val="es-AR"/>
        </w:rPr>
        <w:t xml:space="preserve">bien </w:t>
      </w:r>
      <w:r w:rsidRPr="00367560">
        <w:rPr>
          <w:lang w:val="es-AR"/>
        </w:rPr>
        <w:t>se expl</w:t>
      </w:r>
      <w:r w:rsidR="001328DE">
        <w:rPr>
          <w:lang w:val="es-AR"/>
        </w:rPr>
        <w:t xml:space="preserve">ica en la sección sobre el </w:t>
      </w:r>
      <w:r w:rsidR="005203F0">
        <w:rPr>
          <w:lang w:val="es-AR"/>
        </w:rPr>
        <w:t>c</w:t>
      </w:r>
      <w:r w:rsidR="001328DE">
        <w:rPr>
          <w:lang w:val="es-AR"/>
        </w:rPr>
        <w:t xml:space="preserve">ambio en la </w:t>
      </w:r>
      <w:r w:rsidR="005203F0">
        <w:rPr>
          <w:lang w:val="es-AR"/>
        </w:rPr>
        <w:t>f</w:t>
      </w:r>
      <w:r w:rsidR="001328DE">
        <w:rPr>
          <w:lang w:val="es-AR"/>
        </w:rPr>
        <w:t>echa</w:t>
      </w:r>
      <w:r w:rsidR="00E4333E">
        <w:rPr>
          <w:lang w:val="es-AR"/>
        </w:rPr>
        <w:t>(s)</w:t>
      </w:r>
      <w:r w:rsidR="001328DE">
        <w:rPr>
          <w:lang w:val="es-AR"/>
        </w:rPr>
        <w:t xml:space="preserve"> de </w:t>
      </w:r>
      <w:r w:rsidR="005203F0">
        <w:rPr>
          <w:lang w:val="es-AR"/>
        </w:rPr>
        <w:t>c</w:t>
      </w:r>
      <w:r w:rsidRPr="00367560">
        <w:rPr>
          <w:lang w:val="es-AR"/>
        </w:rPr>
        <w:t xml:space="preserve">ierre de </w:t>
      </w:r>
      <w:r w:rsidR="001328DE">
        <w:rPr>
          <w:lang w:val="es-AR"/>
        </w:rPr>
        <w:t xml:space="preserve">la </w:t>
      </w:r>
      <w:r w:rsidR="005203F0">
        <w:rPr>
          <w:lang w:val="es-AR"/>
        </w:rPr>
        <w:t>d</w:t>
      </w:r>
      <w:r w:rsidR="001328DE">
        <w:rPr>
          <w:lang w:val="es-AR"/>
        </w:rPr>
        <w:t>onación</w:t>
      </w:r>
      <w:r w:rsidRPr="00367560">
        <w:rPr>
          <w:lang w:val="es-AR"/>
        </w:rPr>
        <w:t>.</w:t>
      </w:r>
      <w:r w:rsidR="001050D6" w:rsidRPr="001050D6">
        <w:rPr>
          <w:rFonts w:ascii="Verdana" w:hAnsi="Verdana"/>
          <w:color w:val="000000"/>
          <w:sz w:val="21"/>
          <w:szCs w:val="21"/>
          <w:shd w:val="clear" w:color="auto" w:fill="FFFFFF"/>
          <w:lang w:val="es-AR"/>
        </w:rPr>
        <w:t xml:space="preserve"> </w:t>
      </w:r>
      <w:r w:rsidR="003C3844">
        <w:rPr>
          <w:lang w:val="es-AR"/>
        </w:rPr>
        <w:t>Las estimaciones</w:t>
      </w:r>
      <w:r w:rsidR="001050D6" w:rsidRPr="001050D6">
        <w:rPr>
          <w:lang w:val="es-AR"/>
        </w:rPr>
        <w:t xml:space="preserve"> de desembolso </w:t>
      </w:r>
      <w:r w:rsidR="003C3844">
        <w:rPr>
          <w:lang w:val="es-AR"/>
        </w:rPr>
        <w:t xml:space="preserve">originales </w:t>
      </w:r>
      <w:r w:rsidR="001050D6" w:rsidRPr="001050D6">
        <w:rPr>
          <w:lang w:val="es-AR"/>
        </w:rPr>
        <w:t>y la</w:t>
      </w:r>
      <w:r w:rsidR="003C3844">
        <w:rPr>
          <w:lang w:val="es-AR"/>
        </w:rPr>
        <w:t xml:space="preserve">s estimaciones revisadas bajo la segunda prórroga del proyecto </w:t>
      </w:r>
      <w:r w:rsidR="001050D6" w:rsidRPr="001050D6">
        <w:rPr>
          <w:lang w:val="es-AR"/>
        </w:rPr>
        <w:t>se presentan en la siguiente tabla</w:t>
      </w:r>
      <w:r w:rsidR="003C3844">
        <w:rPr>
          <w:lang w:val="es-AR"/>
        </w:rPr>
        <w:t>:</w:t>
      </w:r>
      <w:r w:rsidRPr="00367560">
        <w:rPr>
          <w:lang w:val="es-AR"/>
        </w:rPr>
        <w:t xml:space="preserve"> </w:t>
      </w:r>
    </w:p>
    <w:p w14:paraId="46AD970F" w14:textId="77777777" w:rsidR="007743E3" w:rsidRPr="007743E3" w:rsidRDefault="007743E3" w:rsidP="00DA66A9">
      <w:pPr>
        <w:jc w:val="both"/>
        <w:rPr>
          <w:lang w:val="es-AR"/>
        </w:rPr>
      </w:pPr>
    </w:p>
    <w:tbl>
      <w:tblPr>
        <w:tblW w:w="8730" w:type="dxa"/>
        <w:tblInd w:w="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867"/>
        <w:gridCol w:w="2865"/>
        <w:gridCol w:w="2998"/>
      </w:tblGrid>
      <w:tr w:rsidR="00DA66A9" w:rsidRPr="00834869" w14:paraId="5A6D5A72" w14:textId="77777777" w:rsidTr="00B40494"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C89060D" w14:textId="77777777" w:rsidR="00DA66A9" w:rsidRPr="00834869" w:rsidRDefault="00587D56" w:rsidP="00B40494">
            <w:pPr>
              <w:rPr>
                <w:b/>
              </w:rPr>
            </w:pPr>
            <w:r>
              <w:rPr>
                <w:b/>
                <w:bCs/>
              </w:rPr>
              <w:t>Año Fiscal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FB9D95D" w14:textId="77777777" w:rsidR="00DA66A9" w:rsidRPr="00834869" w:rsidRDefault="00587D56" w:rsidP="00B40494">
            <w:pPr>
              <w:rPr>
                <w:b/>
              </w:rPr>
            </w:pPr>
            <w:r>
              <w:rPr>
                <w:b/>
                <w:bCs/>
              </w:rPr>
              <w:t>Actual</w:t>
            </w:r>
            <w:r w:rsidR="00DA66A9" w:rsidRPr="00834869">
              <w:rPr>
                <w:b/>
                <w:bCs/>
              </w:rPr>
              <w:t xml:space="preserve"> (USD)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7D4D147" w14:textId="77777777" w:rsidR="00DA66A9" w:rsidRPr="00834869" w:rsidRDefault="00587D56" w:rsidP="00B40494">
            <w:pPr>
              <w:rPr>
                <w:b/>
              </w:rPr>
            </w:pPr>
            <w:r>
              <w:rPr>
                <w:b/>
                <w:bCs/>
              </w:rPr>
              <w:t>Propuesto</w:t>
            </w:r>
            <w:r w:rsidR="00DA66A9" w:rsidRPr="00834869">
              <w:rPr>
                <w:b/>
                <w:bCs/>
              </w:rPr>
              <w:t xml:space="preserve"> (USD)</w:t>
            </w:r>
          </w:p>
        </w:tc>
      </w:tr>
      <w:tr w:rsidR="00DA66A9" w:rsidRPr="00834869" w14:paraId="3719D341" w14:textId="77777777" w:rsidTr="00B40494"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033B676" w14:textId="77777777" w:rsidR="00DA66A9" w:rsidRPr="00834869" w:rsidRDefault="00DA66A9" w:rsidP="00B40494">
            <w:r w:rsidRPr="00834869">
              <w:t>2011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AEB87B0" w14:textId="77777777" w:rsidR="00DA66A9" w:rsidRPr="00834869" w:rsidRDefault="002C2552" w:rsidP="00B40494">
            <w:pPr>
              <w:jc w:val="right"/>
            </w:pPr>
            <w:r>
              <w:t>200.000,</w:t>
            </w:r>
            <w:r w:rsidR="00DA66A9" w:rsidRPr="00834869">
              <w:t>00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8C134F7" w14:textId="77777777" w:rsidR="00DA66A9" w:rsidRPr="00834869" w:rsidRDefault="000773E2" w:rsidP="00B40494">
            <w:pPr>
              <w:jc w:val="right"/>
            </w:pPr>
            <w:r>
              <w:t>0,</w:t>
            </w:r>
            <w:r w:rsidR="00DA66A9" w:rsidRPr="00834869">
              <w:t>00</w:t>
            </w:r>
          </w:p>
        </w:tc>
      </w:tr>
      <w:tr w:rsidR="00DA66A9" w:rsidRPr="00834869" w14:paraId="40C67FD9" w14:textId="77777777" w:rsidTr="00B40494"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4CA3130" w14:textId="77777777" w:rsidR="00DA66A9" w:rsidRPr="00834869" w:rsidRDefault="00DA66A9" w:rsidP="00B40494">
            <w:r w:rsidRPr="00834869">
              <w:t>2012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BCDF0B5" w14:textId="77777777" w:rsidR="00DA66A9" w:rsidRPr="00834869" w:rsidRDefault="002C2552" w:rsidP="00B40494">
            <w:pPr>
              <w:jc w:val="right"/>
            </w:pPr>
            <w:r>
              <w:t>1.739.209,</w:t>
            </w:r>
            <w:r w:rsidR="00DA66A9" w:rsidRPr="00834869">
              <w:t>00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6980360" w14:textId="77777777" w:rsidR="00DA66A9" w:rsidRPr="00834869" w:rsidRDefault="000773E2" w:rsidP="00B40494">
            <w:pPr>
              <w:jc w:val="right"/>
            </w:pPr>
            <w:r>
              <w:t>200.000,</w:t>
            </w:r>
            <w:r w:rsidR="00DA66A9" w:rsidRPr="00834869">
              <w:t>00</w:t>
            </w:r>
          </w:p>
        </w:tc>
      </w:tr>
      <w:tr w:rsidR="00DA66A9" w:rsidRPr="00834869" w14:paraId="085CCC71" w14:textId="77777777" w:rsidTr="00B40494"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A2378FB" w14:textId="77777777" w:rsidR="00DA66A9" w:rsidRPr="00834869" w:rsidRDefault="00DA66A9" w:rsidP="00B40494">
            <w:r w:rsidRPr="00834869">
              <w:t>2013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DE50428" w14:textId="77777777" w:rsidR="00DA66A9" w:rsidRPr="00834869" w:rsidRDefault="002C2552" w:rsidP="00B40494">
            <w:pPr>
              <w:jc w:val="right"/>
            </w:pPr>
            <w:r>
              <w:t>500.000,</w:t>
            </w:r>
            <w:r w:rsidR="00DA66A9" w:rsidRPr="00834869">
              <w:t>00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5DD5D9B" w14:textId="77777777" w:rsidR="00DA66A9" w:rsidRPr="00555C28" w:rsidRDefault="000773E2" w:rsidP="00B40494">
            <w:pPr>
              <w:jc w:val="right"/>
            </w:pPr>
            <w:r>
              <w:t>300.000,</w:t>
            </w:r>
            <w:r w:rsidR="00DA66A9" w:rsidRPr="00555C28">
              <w:t>00</w:t>
            </w:r>
          </w:p>
        </w:tc>
      </w:tr>
      <w:tr w:rsidR="00DA66A9" w:rsidRPr="00834869" w14:paraId="52C9492D" w14:textId="77777777" w:rsidTr="00B40494"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B1BC950" w14:textId="77777777" w:rsidR="00DA66A9" w:rsidRPr="00834869" w:rsidRDefault="00DA66A9" w:rsidP="00B40494">
            <w:r w:rsidRPr="00834869">
              <w:t>2014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4070018" w14:textId="77777777" w:rsidR="00DA66A9" w:rsidRPr="00834869" w:rsidRDefault="002C2552" w:rsidP="00B40494">
            <w:pPr>
              <w:jc w:val="right"/>
            </w:pPr>
            <w:r>
              <w:t>0,</w:t>
            </w:r>
            <w:r w:rsidR="00DA66A9" w:rsidRPr="00834869">
              <w:t>00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B9B6047" w14:textId="77777777" w:rsidR="00DA66A9" w:rsidRPr="00555C28" w:rsidRDefault="000773E2" w:rsidP="00B40494">
            <w:pPr>
              <w:jc w:val="right"/>
            </w:pPr>
            <w:r>
              <w:t>700.000,</w:t>
            </w:r>
            <w:r w:rsidR="00DA66A9" w:rsidRPr="00555C28">
              <w:t>00</w:t>
            </w:r>
          </w:p>
        </w:tc>
      </w:tr>
      <w:tr w:rsidR="00DA66A9" w:rsidRPr="00834869" w14:paraId="5F20424B" w14:textId="77777777" w:rsidTr="00B40494"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F0924D5" w14:textId="77777777" w:rsidR="00DA66A9" w:rsidRPr="00834869" w:rsidRDefault="00DA66A9" w:rsidP="00B40494">
            <w:r w:rsidRPr="00834869">
              <w:t>2015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CD6BEEA" w14:textId="77777777" w:rsidR="00DA66A9" w:rsidRPr="00834869" w:rsidRDefault="002C2552" w:rsidP="00B40494">
            <w:pPr>
              <w:jc w:val="right"/>
            </w:pPr>
            <w:r>
              <w:t>0,</w:t>
            </w:r>
            <w:r w:rsidR="00DA66A9" w:rsidRPr="00834869">
              <w:t>00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567186A" w14:textId="77777777" w:rsidR="00DA66A9" w:rsidRPr="00555C28" w:rsidRDefault="000773E2" w:rsidP="00B40494">
            <w:pPr>
              <w:jc w:val="right"/>
            </w:pPr>
            <w:r>
              <w:t>1.239.209,</w:t>
            </w:r>
            <w:r w:rsidR="00DA66A9" w:rsidRPr="00555C28">
              <w:t>00</w:t>
            </w:r>
          </w:p>
        </w:tc>
      </w:tr>
      <w:tr w:rsidR="00DA66A9" w:rsidRPr="00834869" w14:paraId="1C93FFBE" w14:textId="77777777" w:rsidTr="00B40494"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39C2264" w14:textId="77777777" w:rsidR="00DA66A9" w:rsidRPr="00834869" w:rsidRDefault="00DA66A9" w:rsidP="00B40494">
            <w:r w:rsidRPr="00834869">
              <w:rPr>
                <w:bCs/>
              </w:rPr>
              <w:t>Total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7E04CCA" w14:textId="77777777" w:rsidR="00DA66A9" w:rsidRPr="00834869" w:rsidRDefault="002C2552" w:rsidP="00B40494">
            <w:pPr>
              <w:jc w:val="right"/>
            </w:pPr>
            <w:r>
              <w:t>2.439.209,</w:t>
            </w:r>
            <w:r w:rsidR="00DA66A9" w:rsidRPr="00834869">
              <w:t>00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2EEC1F8" w14:textId="77777777" w:rsidR="00DA66A9" w:rsidRPr="00555C28" w:rsidRDefault="000773E2" w:rsidP="00B40494">
            <w:pPr>
              <w:jc w:val="right"/>
            </w:pPr>
            <w:r>
              <w:t>2.439.209,</w:t>
            </w:r>
            <w:r w:rsidR="00DA66A9" w:rsidRPr="00555C28">
              <w:t>00</w:t>
            </w:r>
          </w:p>
        </w:tc>
      </w:tr>
    </w:tbl>
    <w:p w14:paraId="74C6DBC9" w14:textId="77777777" w:rsidR="00DA66A9" w:rsidRDefault="00DA66A9" w:rsidP="00DA66A9">
      <w:pPr>
        <w:jc w:val="both"/>
        <w:rPr>
          <w:b/>
        </w:rPr>
      </w:pPr>
    </w:p>
    <w:p w14:paraId="0BEAB4F8" w14:textId="77777777" w:rsidR="00DA66A9" w:rsidRDefault="00ED72AB" w:rsidP="00DA66A9">
      <w:pPr>
        <w:rPr>
          <w:b/>
          <w:bCs/>
        </w:rPr>
      </w:pPr>
      <w:r>
        <w:rPr>
          <w:b/>
          <w:bCs/>
        </w:rPr>
        <w:t>Componentes</w:t>
      </w:r>
    </w:p>
    <w:p w14:paraId="462D46D0" w14:textId="77777777" w:rsidR="00DA66A9" w:rsidRPr="00834869" w:rsidRDefault="00DA66A9" w:rsidP="00DA66A9">
      <w:pPr>
        <w:rPr>
          <w:b/>
        </w:rPr>
      </w:pPr>
    </w:p>
    <w:p w14:paraId="520286A8" w14:textId="77777777" w:rsidR="00DA66A9" w:rsidRDefault="00DA66A9" w:rsidP="00DA66A9">
      <w:pPr>
        <w:pStyle w:val="ListParagraph"/>
        <w:numPr>
          <w:ilvl w:val="0"/>
          <w:numId w:val="1"/>
        </w:numPr>
        <w:rPr>
          <w:b/>
        </w:rPr>
      </w:pPr>
      <w:r w:rsidRPr="00834869">
        <w:rPr>
          <w:b/>
        </w:rPr>
        <w:t>Component</w:t>
      </w:r>
      <w:r w:rsidR="00ED72AB">
        <w:rPr>
          <w:b/>
        </w:rPr>
        <w:t>e</w:t>
      </w:r>
      <w:r w:rsidRPr="00834869">
        <w:rPr>
          <w:b/>
        </w:rPr>
        <w:t>s</w:t>
      </w:r>
      <w:r w:rsidR="00ED72AB">
        <w:rPr>
          <w:b/>
        </w:rPr>
        <w:t xml:space="preserve"> y Costos</w:t>
      </w:r>
    </w:p>
    <w:p w14:paraId="45F4C6DA" w14:textId="77777777" w:rsidR="0051174B" w:rsidRDefault="0051174B" w:rsidP="00DA66A9">
      <w:pPr>
        <w:jc w:val="both"/>
        <w:rPr>
          <w:b/>
        </w:rPr>
      </w:pPr>
    </w:p>
    <w:p w14:paraId="5A7D81A5" w14:textId="77777777" w:rsidR="00DA66A9" w:rsidRPr="005203F0" w:rsidRDefault="00E71B82" w:rsidP="00DA66A9">
      <w:pPr>
        <w:jc w:val="both"/>
        <w:rPr>
          <w:lang w:val="es-ES"/>
        </w:rPr>
      </w:pPr>
      <w:r w:rsidRPr="009859DD">
        <w:rPr>
          <w:lang w:val="es-AR"/>
        </w:rPr>
        <w:t xml:space="preserve">Se propone </w:t>
      </w:r>
      <w:r w:rsidR="005203F0">
        <w:rPr>
          <w:lang w:val="es-AR"/>
        </w:rPr>
        <w:t>incrementar la asignación de fondos de la donación al</w:t>
      </w:r>
      <w:r w:rsidR="00BD721C" w:rsidRPr="009859DD">
        <w:rPr>
          <w:lang w:val="es-AR"/>
        </w:rPr>
        <w:t xml:space="preserve"> componente 1 con el fin de cubrir los costos de la preparación del BUR </w:t>
      </w:r>
      <w:r w:rsidR="00610EAB" w:rsidRPr="009859DD">
        <w:rPr>
          <w:lang w:val="es-AR"/>
        </w:rPr>
        <w:t>A</w:t>
      </w:r>
      <w:r w:rsidR="0027732C" w:rsidRPr="009859DD">
        <w:rPr>
          <w:lang w:val="es-AR"/>
        </w:rPr>
        <w:t>rgentino</w:t>
      </w:r>
      <w:r w:rsidR="00BD721C" w:rsidRPr="009859DD">
        <w:rPr>
          <w:lang w:val="es-AR"/>
        </w:rPr>
        <w:t xml:space="preserve"> mencionado en la sección anterior: </w:t>
      </w:r>
      <w:r w:rsidR="00C234E5" w:rsidRPr="009859DD">
        <w:rPr>
          <w:lang w:val="es-AR"/>
        </w:rPr>
        <w:t xml:space="preserve">Como </w:t>
      </w:r>
      <w:r w:rsidR="00635679" w:rsidRPr="009859DD">
        <w:rPr>
          <w:lang w:val="es-AR"/>
        </w:rPr>
        <w:t>se prevé</w:t>
      </w:r>
      <w:r w:rsidR="00605A1F" w:rsidRPr="009859DD">
        <w:rPr>
          <w:lang w:val="es-AR"/>
        </w:rPr>
        <w:t xml:space="preserve"> que </w:t>
      </w:r>
      <w:r w:rsidR="00C234E5" w:rsidRPr="009859DD">
        <w:rPr>
          <w:lang w:val="es-AR"/>
        </w:rPr>
        <w:t xml:space="preserve">los países no incluidos en el Anexo 1 </w:t>
      </w:r>
      <w:r w:rsidR="00247B51" w:rsidRPr="009859DD">
        <w:rPr>
          <w:lang w:val="es-AR"/>
        </w:rPr>
        <w:t>presenten sus primero</w:t>
      </w:r>
      <w:r w:rsidR="004316E1" w:rsidRPr="009859DD">
        <w:rPr>
          <w:lang w:val="es-AR"/>
        </w:rPr>
        <w:t>s BUR</w:t>
      </w:r>
      <w:r w:rsidR="00C234E5" w:rsidRPr="009859DD">
        <w:rPr>
          <w:lang w:val="es-AR"/>
        </w:rPr>
        <w:t xml:space="preserve"> a la </w:t>
      </w:r>
      <w:r w:rsidR="004316E1" w:rsidRPr="009859DD">
        <w:rPr>
          <w:lang w:val="es-AR"/>
        </w:rPr>
        <w:t xml:space="preserve">CMNUCC </w:t>
      </w:r>
      <w:r w:rsidR="006A5961" w:rsidRPr="009859DD">
        <w:rPr>
          <w:lang w:val="es-AR"/>
        </w:rPr>
        <w:t>para</w:t>
      </w:r>
      <w:r w:rsidR="00C234E5" w:rsidRPr="009859DD">
        <w:rPr>
          <w:lang w:val="es-AR"/>
        </w:rPr>
        <w:t xml:space="preserve"> </w:t>
      </w:r>
      <w:r w:rsidR="006A5961" w:rsidRPr="009859DD">
        <w:rPr>
          <w:lang w:val="es-AR"/>
        </w:rPr>
        <w:t>D</w:t>
      </w:r>
      <w:r w:rsidR="00C234E5" w:rsidRPr="009859DD">
        <w:rPr>
          <w:lang w:val="es-AR"/>
        </w:rPr>
        <w:t>iciembre de 2014, y el contenido sol</w:t>
      </w:r>
      <w:r w:rsidR="00587835">
        <w:rPr>
          <w:lang w:val="es-AR"/>
        </w:rPr>
        <w:t>icitado se alinea</w:t>
      </w:r>
      <w:r w:rsidR="009859DD">
        <w:rPr>
          <w:lang w:val="es-AR"/>
        </w:rPr>
        <w:t xml:space="preserve"> plenamente</w:t>
      </w:r>
      <w:r w:rsidR="00C234E5" w:rsidRPr="009859DD">
        <w:rPr>
          <w:lang w:val="es-AR"/>
        </w:rPr>
        <w:t xml:space="preserve"> con los estud</w:t>
      </w:r>
      <w:r w:rsidR="006A5961" w:rsidRPr="009859DD">
        <w:rPr>
          <w:lang w:val="es-AR"/>
        </w:rPr>
        <w:t xml:space="preserve">ios de mitigación en curso, el Gobierno de Argentina </w:t>
      </w:r>
      <w:r w:rsidR="006A5961" w:rsidRPr="009859DD">
        <w:rPr>
          <w:lang w:val="es-AR"/>
        </w:rPr>
        <w:lastRenderedPageBreak/>
        <w:t xml:space="preserve">optó por incorporar </w:t>
      </w:r>
      <w:r w:rsidR="00C234E5" w:rsidRPr="009859DD">
        <w:rPr>
          <w:lang w:val="es-AR"/>
        </w:rPr>
        <w:t>la preparación de un</w:t>
      </w:r>
      <w:r w:rsidR="006A5961" w:rsidRPr="009859DD">
        <w:rPr>
          <w:lang w:val="es-AR"/>
        </w:rPr>
        <w:t xml:space="preserve"> BUR básico en el proyecto</w:t>
      </w:r>
      <w:r w:rsidR="00281FA8">
        <w:rPr>
          <w:lang w:val="es-AR"/>
        </w:rPr>
        <w:t>.</w:t>
      </w:r>
      <w:r w:rsidR="008C0427" w:rsidRPr="008C0427">
        <w:rPr>
          <w:rFonts w:ascii="Verdana" w:hAnsi="Verdana"/>
          <w:color w:val="000000"/>
          <w:sz w:val="21"/>
          <w:szCs w:val="21"/>
          <w:shd w:val="clear" w:color="auto" w:fill="FFFFFF"/>
          <w:lang w:val="es-AR"/>
        </w:rPr>
        <w:t xml:space="preserve"> </w:t>
      </w:r>
      <w:r w:rsidR="008C0427" w:rsidRPr="008C0427">
        <w:rPr>
          <w:lang w:val="es-AR"/>
        </w:rPr>
        <w:t xml:space="preserve">Esto requiere extender los contratos de los cuatro estudios sectoriales de inventarios/mitigación de </w:t>
      </w:r>
      <w:r w:rsidR="000328C4">
        <w:rPr>
          <w:lang w:val="es-AR"/>
        </w:rPr>
        <w:t xml:space="preserve">GEI </w:t>
      </w:r>
      <w:r w:rsidR="008C0427" w:rsidRPr="008C0427">
        <w:rPr>
          <w:lang w:val="es-AR"/>
        </w:rPr>
        <w:t xml:space="preserve">y </w:t>
      </w:r>
      <w:r w:rsidR="000328C4">
        <w:rPr>
          <w:lang w:val="es-AR"/>
        </w:rPr>
        <w:t xml:space="preserve">la </w:t>
      </w:r>
      <w:r w:rsidR="008C0427" w:rsidRPr="008C0427">
        <w:rPr>
          <w:lang w:val="es-AR"/>
        </w:rPr>
        <w:t xml:space="preserve">contratación de </w:t>
      </w:r>
      <w:r w:rsidR="00BE4DAC">
        <w:rPr>
          <w:lang w:val="es-AR"/>
        </w:rPr>
        <w:t xml:space="preserve">cuatro </w:t>
      </w:r>
      <w:r w:rsidR="008C0427" w:rsidRPr="008C0427">
        <w:rPr>
          <w:lang w:val="es-AR"/>
        </w:rPr>
        <w:t xml:space="preserve">servicios de </w:t>
      </w:r>
      <w:r w:rsidR="00BE4DAC">
        <w:rPr>
          <w:lang w:val="es-AR"/>
        </w:rPr>
        <w:t xml:space="preserve">consultoría menores; </w:t>
      </w:r>
      <w:r w:rsidR="008C0427" w:rsidRPr="008C0427">
        <w:rPr>
          <w:lang w:val="es-AR"/>
        </w:rPr>
        <w:t xml:space="preserve">procesos </w:t>
      </w:r>
      <w:r w:rsidR="005203F0">
        <w:rPr>
          <w:lang w:val="es-AR"/>
        </w:rPr>
        <w:t xml:space="preserve">que </w:t>
      </w:r>
      <w:r w:rsidR="008C0427" w:rsidRPr="008C0427">
        <w:rPr>
          <w:lang w:val="es-AR"/>
        </w:rPr>
        <w:t>están en marcha.</w:t>
      </w:r>
      <w:r w:rsidR="00DA66A9" w:rsidRPr="00281FA8">
        <w:rPr>
          <w:lang w:val="es-AR"/>
        </w:rPr>
        <w:t xml:space="preserve"> </w:t>
      </w:r>
      <w:r w:rsidR="005203F0">
        <w:rPr>
          <w:lang w:val="es-AR"/>
        </w:rPr>
        <w:t>Además</w:t>
      </w:r>
      <w:r w:rsidR="006A6C66" w:rsidRPr="009921C3">
        <w:rPr>
          <w:lang w:val="es-AR"/>
        </w:rPr>
        <w:t xml:space="preserve">, </w:t>
      </w:r>
      <w:r w:rsidR="005203F0">
        <w:rPr>
          <w:lang w:val="es-AR"/>
        </w:rPr>
        <w:t>se propone incrementar la asignación de fondos de la donación</w:t>
      </w:r>
      <w:r w:rsidR="006A6C66" w:rsidRPr="009921C3">
        <w:rPr>
          <w:lang w:val="es-AR"/>
        </w:rPr>
        <w:t xml:space="preserve"> </w:t>
      </w:r>
      <w:r w:rsidR="005203F0">
        <w:rPr>
          <w:lang w:val="es-AR"/>
        </w:rPr>
        <w:t>a</w:t>
      </w:r>
      <w:r w:rsidR="006A6C66" w:rsidRPr="009921C3">
        <w:rPr>
          <w:lang w:val="es-AR"/>
        </w:rPr>
        <w:t>l component</w:t>
      </w:r>
      <w:r w:rsidR="00C161D5" w:rsidRPr="009921C3">
        <w:rPr>
          <w:lang w:val="es-AR"/>
        </w:rPr>
        <w:t>e</w:t>
      </w:r>
      <w:r w:rsidR="006A6C66" w:rsidRPr="009921C3">
        <w:rPr>
          <w:lang w:val="es-AR"/>
        </w:rPr>
        <w:t xml:space="preserve"> 4</w:t>
      </w:r>
      <w:r w:rsidR="005203F0">
        <w:rPr>
          <w:lang w:val="es-AR"/>
        </w:rPr>
        <w:t>,</w:t>
      </w:r>
      <w:r w:rsidR="006A6C66" w:rsidRPr="009921C3">
        <w:rPr>
          <w:lang w:val="es-AR"/>
        </w:rPr>
        <w:t xml:space="preserve"> </w:t>
      </w:r>
      <w:r w:rsidR="005203F0">
        <w:rPr>
          <w:lang w:val="es-AR"/>
        </w:rPr>
        <w:t>de</w:t>
      </w:r>
      <w:r w:rsidR="005203F0" w:rsidRPr="009921C3">
        <w:rPr>
          <w:lang w:val="es-AR"/>
        </w:rPr>
        <w:t xml:space="preserve"> </w:t>
      </w:r>
      <w:r w:rsidR="006A6C66" w:rsidRPr="009921C3">
        <w:rPr>
          <w:lang w:val="es-AR"/>
        </w:rPr>
        <w:t>gestión de</w:t>
      </w:r>
      <w:r w:rsidR="005203F0">
        <w:rPr>
          <w:lang w:val="es-AR"/>
        </w:rPr>
        <w:t>l</w:t>
      </w:r>
      <w:r w:rsidR="006A6C66" w:rsidRPr="009921C3">
        <w:rPr>
          <w:lang w:val="es-AR"/>
        </w:rPr>
        <w:t xml:space="preserve"> proyecto,</w:t>
      </w:r>
      <w:r w:rsidR="009921C3" w:rsidRPr="009921C3">
        <w:rPr>
          <w:lang w:val="es-AR"/>
        </w:rPr>
        <w:t xml:space="preserve"> teniendo en cuenta el per</w:t>
      </w:r>
      <w:r w:rsidR="005203F0">
        <w:rPr>
          <w:lang w:val="es-AR"/>
        </w:rPr>
        <w:t>í</w:t>
      </w:r>
      <w:r w:rsidR="009921C3" w:rsidRPr="009921C3">
        <w:rPr>
          <w:lang w:val="es-AR"/>
        </w:rPr>
        <w:t>od</w:t>
      </w:r>
      <w:r w:rsidR="009921C3">
        <w:rPr>
          <w:lang w:val="es-AR"/>
        </w:rPr>
        <w:t>o</w:t>
      </w:r>
      <w:r w:rsidR="009921C3" w:rsidRPr="009921C3">
        <w:rPr>
          <w:lang w:val="es-AR"/>
        </w:rPr>
        <w:t xml:space="preserve"> de ejecuci</w:t>
      </w:r>
      <w:r w:rsidR="009921C3">
        <w:rPr>
          <w:lang w:val="es-AR"/>
        </w:rPr>
        <w:t>ón adicional</w:t>
      </w:r>
      <w:r w:rsidR="00FE3E02">
        <w:rPr>
          <w:lang w:val="es-AR"/>
        </w:rPr>
        <w:t xml:space="preserve"> acumulado</w:t>
      </w:r>
      <w:r w:rsidR="001934F6">
        <w:rPr>
          <w:lang w:val="es-AR"/>
        </w:rPr>
        <w:t xml:space="preserve"> de 25,5 meses</w:t>
      </w:r>
      <w:r w:rsidR="005203F0">
        <w:rPr>
          <w:lang w:val="es-AR"/>
        </w:rPr>
        <w:t>,</w:t>
      </w:r>
      <w:r w:rsidR="001934F6">
        <w:rPr>
          <w:lang w:val="es-AR"/>
        </w:rPr>
        <w:t xml:space="preserve"> desde la fecha de cierre original. </w:t>
      </w:r>
      <w:r w:rsidR="005203F0">
        <w:rPr>
          <w:lang w:val="es-AR"/>
        </w:rPr>
        <w:t>El monto</w:t>
      </w:r>
      <w:r w:rsidR="00677729" w:rsidRPr="00677729">
        <w:rPr>
          <w:lang w:val="es-AR"/>
        </w:rPr>
        <w:t xml:space="preserve"> revisad</w:t>
      </w:r>
      <w:r w:rsidR="005203F0">
        <w:rPr>
          <w:lang w:val="es-AR"/>
        </w:rPr>
        <w:t>o</w:t>
      </w:r>
      <w:r w:rsidR="00677729" w:rsidRPr="00677729">
        <w:rPr>
          <w:lang w:val="es-AR"/>
        </w:rPr>
        <w:t xml:space="preserve"> para la</w:t>
      </w:r>
      <w:r w:rsidR="00677729">
        <w:rPr>
          <w:lang w:val="es-AR"/>
        </w:rPr>
        <w:t xml:space="preserve"> gestión del proyecto </w:t>
      </w:r>
      <w:r w:rsidR="005203F0">
        <w:rPr>
          <w:lang w:val="es-AR"/>
        </w:rPr>
        <w:t>equivale al</w:t>
      </w:r>
      <w:r w:rsidR="00677729">
        <w:rPr>
          <w:lang w:val="es-AR"/>
        </w:rPr>
        <w:t xml:space="preserve"> 8,6 por ciento de la donación.</w:t>
      </w:r>
      <w:r w:rsidR="009921C3">
        <w:rPr>
          <w:lang w:val="es-AR"/>
        </w:rPr>
        <w:t xml:space="preserve"> </w:t>
      </w:r>
      <w:r w:rsidR="006A6C66" w:rsidRPr="009921C3">
        <w:rPr>
          <w:lang w:val="es-AR"/>
        </w:rPr>
        <w:t xml:space="preserve"> </w:t>
      </w:r>
    </w:p>
    <w:p w14:paraId="1BE378BA" w14:textId="77777777" w:rsidR="00DA66A9" w:rsidRPr="005203F0" w:rsidRDefault="00DA66A9" w:rsidP="00DA66A9">
      <w:pPr>
        <w:jc w:val="both"/>
        <w:rPr>
          <w:lang w:val="es-ES"/>
        </w:rPr>
      </w:pPr>
    </w:p>
    <w:p w14:paraId="009B2CA0" w14:textId="77777777" w:rsidR="003505E2" w:rsidRPr="003505E2" w:rsidRDefault="0009456B" w:rsidP="003505E2">
      <w:pPr>
        <w:jc w:val="both"/>
        <w:rPr>
          <w:lang w:val="es-AR"/>
        </w:rPr>
      </w:pPr>
      <w:r w:rsidRPr="0009456B">
        <w:rPr>
          <w:lang w:val="es-AR"/>
        </w:rPr>
        <w:t xml:space="preserve">En cuanto a la </w:t>
      </w:r>
      <w:r w:rsidR="005203F0">
        <w:rPr>
          <w:lang w:val="es-AR"/>
        </w:rPr>
        <w:t xml:space="preserve">consecuente </w:t>
      </w:r>
      <w:r w:rsidRPr="0009456B">
        <w:rPr>
          <w:lang w:val="es-AR"/>
        </w:rPr>
        <w:t xml:space="preserve">necesidad de </w:t>
      </w:r>
      <w:r w:rsidR="005203F0">
        <w:rPr>
          <w:lang w:val="es-AR"/>
        </w:rPr>
        <w:t>reduc</w:t>
      </w:r>
      <w:r w:rsidR="005203F0" w:rsidRPr="0009456B">
        <w:rPr>
          <w:lang w:val="es-AR"/>
        </w:rPr>
        <w:t xml:space="preserve">ir </w:t>
      </w:r>
      <w:r w:rsidRPr="0009456B">
        <w:rPr>
          <w:lang w:val="es-AR"/>
        </w:rPr>
        <w:t>el financiami</w:t>
      </w:r>
      <w:r>
        <w:rPr>
          <w:lang w:val="es-AR"/>
        </w:rPr>
        <w:t>ento para los componentes 2 y 3</w:t>
      </w:r>
      <w:r w:rsidRPr="0009456B">
        <w:rPr>
          <w:lang w:val="es-AR"/>
        </w:rPr>
        <w:t>, u</w:t>
      </w:r>
      <w:r>
        <w:rPr>
          <w:lang w:val="es-AR"/>
        </w:rPr>
        <w:t>na parte importante es absorbida</w:t>
      </w:r>
      <w:r w:rsidRPr="0009456B">
        <w:rPr>
          <w:lang w:val="es-AR"/>
        </w:rPr>
        <w:t xml:space="preserve"> por los "recursos adicionales" que el proyecto ha </w:t>
      </w:r>
      <w:r w:rsidR="005203F0">
        <w:rPr>
          <w:lang w:val="es-AR"/>
        </w:rPr>
        <w:t>obten</w:t>
      </w:r>
      <w:r w:rsidR="005203F0" w:rsidRPr="0009456B">
        <w:rPr>
          <w:lang w:val="es-AR"/>
        </w:rPr>
        <w:t xml:space="preserve">ido </w:t>
      </w:r>
      <w:r>
        <w:rPr>
          <w:lang w:val="es-AR"/>
        </w:rPr>
        <w:t>durante su período de implementación</w:t>
      </w:r>
      <w:r w:rsidRPr="0009456B">
        <w:rPr>
          <w:lang w:val="es-AR"/>
        </w:rPr>
        <w:t xml:space="preserve"> activa debido a l</w:t>
      </w:r>
      <w:r w:rsidR="005203F0">
        <w:rPr>
          <w:lang w:val="es-AR"/>
        </w:rPr>
        <w:t>a</w:t>
      </w:r>
      <w:r w:rsidRPr="0009456B">
        <w:rPr>
          <w:lang w:val="es-AR"/>
        </w:rPr>
        <w:t xml:space="preserve">s </w:t>
      </w:r>
      <w:r w:rsidR="005203F0">
        <w:rPr>
          <w:lang w:val="es-AR"/>
        </w:rPr>
        <w:t>diferencias</w:t>
      </w:r>
      <w:r w:rsidR="005203F0" w:rsidRPr="0009456B">
        <w:rPr>
          <w:lang w:val="es-AR"/>
        </w:rPr>
        <w:t xml:space="preserve"> </w:t>
      </w:r>
      <w:r w:rsidRPr="0009456B">
        <w:rPr>
          <w:lang w:val="es-AR"/>
        </w:rPr>
        <w:t xml:space="preserve">de cambio entre </w:t>
      </w:r>
      <w:r w:rsidR="00F13E83">
        <w:rPr>
          <w:lang w:val="es-AR"/>
        </w:rPr>
        <w:t>e</w:t>
      </w:r>
      <w:r w:rsidR="00B96B18">
        <w:rPr>
          <w:lang w:val="es-AR"/>
        </w:rPr>
        <w:t>l dólar americano</w:t>
      </w:r>
      <w:r w:rsidR="00F13E83">
        <w:rPr>
          <w:lang w:val="es-AR"/>
        </w:rPr>
        <w:t xml:space="preserve"> y el peso argentino</w:t>
      </w:r>
      <w:r>
        <w:rPr>
          <w:lang w:val="es-AR"/>
        </w:rPr>
        <w:t>.</w:t>
      </w:r>
      <w:r w:rsidR="0078727B" w:rsidRPr="0078727B">
        <w:rPr>
          <w:rFonts w:ascii="inherit" w:hAnsi="inherit" w:cs="Courier New"/>
          <w:color w:val="212121"/>
          <w:sz w:val="20"/>
          <w:szCs w:val="20"/>
          <w:lang w:val="es-AR" w:eastAsia="es-AR"/>
        </w:rPr>
        <w:t xml:space="preserve"> </w:t>
      </w:r>
      <w:r w:rsidR="00D66233" w:rsidRPr="0078727B">
        <w:rPr>
          <w:lang w:val="es-AR"/>
        </w:rPr>
        <w:t>L</w:t>
      </w:r>
      <w:r w:rsidR="00D66233">
        <w:rPr>
          <w:lang w:val="es-AR"/>
        </w:rPr>
        <w:t>a</w:t>
      </w:r>
      <w:r w:rsidR="00D66233" w:rsidRPr="0078727B">
        <w:rPr>
          <w:lang w:val="es-AR"/>
        </w:rPr>
        <w:t xml:space="preserve">s </w:t>
      </w:r>
      <w:r w:rsidR="00D66233">
        <w:rPr>
          <w:lang w:val="es-AR"/>
        </w:rPr>
        <w:t>diferencia</w:t>
      </w:r>
      <w:r w:rsidR="00D66233" w:rsidRPr="0078727B">
        <w:rPr>
          <w:lang w:val="es-AR"/>
        </w:rPr>
        <w:t xml:space="preserve">s </w:t>
      </w:r>
      <w:r w:rsidR="0078727B" w:rsidRPr="0078727B">
        <w:rPr>
          <w:lang w:val="es-AR"/>
        </w:rPr>
        <w:t>de cambio han tenido el impacto más beneficioso en el componente 3</w:t>
      </w:r>
      <w:r w:rsidR="00D66233">
        <w:rPr>
          <w:lang w:val="es-AR"/>
        </w:rPr>
        <w:t>,</w:t>
      </w:r>
      <w:r w:rsidR="0078727B" w:rsidRPr="0078727B">
        <w:rPr>
          <w:lang w:val="es-AR"/>
        </w:rPr>
        <w:t xml:space="preserve"> que financia la impresión de los informes finales y las actividades de difusión cuyo valor no es</w:t>
      </w:r>
      <w:r w:rsidR="0078727B">
        <w:rPr>
          <w:lang w:val="es-AR"/>
        </w:rPr>
        <w:t>tá</w:t>
      </w:r>
      <w:r w:rsidR="00B96B18">
        <w:rPr>
          <w:lang w:val="es-AR"/>
        </w:rPr>
        <w:t xml:space="preserve"> ceñido al dólar americano</w:t>
      </w:r>
      <w:r w:rsidR="0078727B" w:rsidRPr="0078727B">
        <w:rPr>
          <w:lang w:val="es-AR"/>
        </w:rPr>
        <w:t>.</w:t>
      </w:r>
      <w:r w:rsidR="003505E2" w:rsidRPr="003505E2">
        <w:rPr>
          <w:rFonts w:ascii="inherit" w:hAnsi="inherit" w:cs="Courier New"/>
          <w:color w:val="212121"/>
          <w:sz w:val="20"/>
          <w:szCs w:val="20"/>
          <w:lang w:val="es-AR" w:eastAsia="es-AR"/>
        </w:rPr>
        <w:t xml:space="preserve"> </w:t>
      </w:r>
      <w:r w:rsidR="003505E2" w:rsidRPr="003505E2">
        <w:rPr>
          <w:lang w:val="es-AR"/>
        </w:rPr>
        <w:t>En general, el may</w:t>
      </w:r>
      <w:r w:rsidR="003F1C25">
        <w:rPr>
          <w:lang w:val="es-AR"/>
        </w:rPr>
        <w:t>or reto que el</w:t>
      </w:r>
      <w:r w:rsidR="003505E2" w:rsidRPr="003505E2">
        <w:rPr>
          <w:lang w:val="es-AR"/>
        </w:rPr>
        <w:t xml:space="preserve"> proyecto</w:t>
      </w:r>
      <w:r w:rsidR="003F1C25">
        <w:rPr>
          <w:lang w:val="es-AR"/>
        </w:rPr>
        <w:t xml:space="preserve"> ha enfrentado desde su inicio</w:t>
      </w:r>
      <w:r w:rsidR="003505E2" w:rsidRPr="003505E2">
        <w:rPr>
          <w:lang w:val="es-AR"/>
        </w:rPr>
        <w:t xml:space="preserve"> </w:t>
      </w:r>
      <w:r w:rsidR="003F1C25">
        <w:rPr>
          <w:lang w:val="es-AR"/>
        </w:rPr>
        <w:t xml:space="preserve">ha sido el período </w:t>
      </w:r>
      <w:r w:rsidR="0076602A">
        <w:rPr>
          <w:lang w:val="es-AR"/>
        </w:rPr>
        <w:t xml:space="preserve">limitado </w:t>
      </w:r>
      <w:r w:rsidR="003F1C25">
        <w:rPr>
          <w:lang w:val="es-AR"/>
        </w:rPr>
        <w:t>de ejecución</w:t>
      </w:r>
      <w:r w:rsidR="003505E2" w:rsidRPr="003505E2">
        <w:rPr>
          <w:lang w:val="es-AR"/>
        </w:rPr>
        <w:t xml:space="preserve"> </w:t>
      </w:r>
      <w:r w:rsidR="003F1C25">
        <w:rPr>
          <w:lang w:val="es-AR"/>
        </w:rPr>
        <w:t xml:space="preserve">más que el de la disponibilidad de financiamiento. </w:t>
      </w:r>
    </w:p>
    <w:p w14:paraId="5C0B9A50" w14:textId="77777777" w:rsidR="00DA66A9" w:rsidRPr="00BD0448" w:rsidRDefault="00DA66A9" w:rsidP="00DA66A9">
      <w:pPr>
        <w:jc w:val="both"/>
        <w:rPr>
          <w:lang w:val="es-ES"/>
        </w:rPr>
      </w:pPr>
    </w:p>
    <w:p w14:paraId="442BE500" w14:textId="77777777" w:rsidR="00775F7C" w:rsidRPr="002C04E1" w:rsidRDefault="00E56C16" w:rsidP="00775F7C">
      <w:pPr>
        <w:jc w:val="both"/>
        <w:rPr>
          <w:lang w:val="es-ES"/>
        </w:rPr>
      </w:pPr>
      <w:r w:rsidRPr="00E56C16">
        <w:rPr>
          <w:lang w:val="es-AR"/>
        </w:rPr>
        <w:t>La siguiente tabla presenta los com</w:t>
      </w:r>
      <w:r>
        <w:rPr>
          <w:lang w:val="es-AR"/>
        </w:rPr>
        <w:t>ponentes del proyecto según el D</w:t>
      </w:r>
      <w:r w:rsidRPr="00E56C16">
        <w:rPr>
          <w:lang w:val="es-AR"/>
        </w:rPr>
        <w:t xml:space="preserve">ocumento de </w:t>
      </w:r>
      <w:r>
        <w:rPr>
          <w:lang w:val="es-AR"/>
        </w:rPr>
        <w:t>Evaluación del P</w:t>
      </w:r>
      <w:r w:rsidRPr="00E56C16">
        <w:rPr>
          <w:lang w:val="es-AR"/>
        </w:rPr>
        <w:t>royecto</w:t>
      </w:r>
      <w:r w:rsidR="004A0267">
        <w:rPr>
          <w:lang w:val="es-AR"/>
        </w:rPr>
        <w:t xml:space="preserve"> (PAD, según sus siglas en inglés)</w:t>
      </w:r>
      <w:r w:rsidRPr="00E56C16">
        <w:rPr>
          <w:lang w:val="es-AR"/>
        </w:rPr>
        <w:t>, incluyendo sus as</w:t>
      </w:r>
      <w:r w:rsidR="00775F7C">
        <w:rPr>
          <w:lang w:val="es-AR"/>
        </w:rPr>
        <w:t>ignaciones originales/</w:t>
      </w:r>
      <w:r w:rsidRPr="00E56C16">
        <w:rPr>
          <w:lang w:val="es-AR"/>
        </w:rPr>
        <w:t>actuales y propuestas de presupuesto</w:t>
      </w:r>
      <w:r w:rsidR="00E30178">
        <w:rPr>
          <w:lang w:val="es-AR"/>
        </w:rPr>
        <w:t xml:space="preserve">. </w:t>
      </w:r>
      <w:r w:rsidR="00775F7C" w:rsidRPr="00775F7C">
        <w:rPr>
          <w:lang w:val="es-AR"/>
        </w:rPr>
        <w:t>Los nú</w:t>
      </w:r>
      <w:r w:rsidR="00775F7C">
        <w:rPr>
          <w:lang w:val="es-AR"/>
        </w:rPr>
        <w:t>meros incluyen un total de 615.</w:t>
      </w:r>
      <w:r w:rsidR="00775F7C" w:rsidRPr="00775F7C">
        <w:rPr>
          <w:lang w:val="es-AR"/>
        </w:rPr>
        <w:t xml:space="preserve">764 </w:t>
      </w:r>
      <w:r w:rsidR="00775F7C">
        <w:rPr>
          <w:lang w:val="es-AR"/>
        </w:rPr>
        <w:t xml:space="preserve">dólares americanos </w:t>
      </w:r>
      <w:r w:rsidR="00775F7C" w:rsidRPr="00775F7C">
        <w:rPr>
          <w:lang w:val="es-AR"/>
        </w:rPr>
        <w:t>del gobierno</w:t>
      </w:r>
      <w:r w:rsidR="002C04E1">
        <w:rPr>
          <w:lang w:val="es-AR"/>
        </w:rPr>
        <w:t>,</w:t>
      </w:r>
      <w:r w:rsidR="00775F7C" w:rsidRPr="00775F7C">
        <w:rPr>
          <w:lang w:val="es-AR"/>
        </w:rPr>
        <w:t xml:space="preserve"> en especie</w:t>
      </w:r>
      <w:r w:rsidR="002C04E1">
        <w:rPr>
          <w:lang w:val="es-AR"/>
        </w:rPr>
        <w:t>,</w:t>
      </w:r>
      <w:r w:rsidR="00775F7C" w:rsidRPr="00775F7C">
        <w:rPr>
          <w:lang w:val="es-AR"/>
        </w:rPr>
        <w:t xml:space="preserve"> </w:t>
      </w:r>
      <w:r w:rsidR="00775F7C">
        <w:rPr>
          <w:lang w:val="es-AR"/>
        </w:rPr>
        <w:t>como fondos de contrapartida asignados</w:t>
      </w:r>
      <w:r w:rsidR="00775F7C" w:rsidRPr="00775F7C">
        <w:rPr>
          <w:lang w:val="es-AR"/>
        </w:rPr>
        <w:t xml:space="preserve"> a través de los componentes</w:t>
      </w:r>
      <w:r w:rsidR="00775F7C">
        <w:rPr>
          <w:lang w:val="es-AR"/>
        </w:rPr>
        <w:t>.</w:t>
      </w:r>
      <w:r w:rsidR="00775F7C" w:rsidRPr="00775F7C">
        <w:rPr>
          <w:rFonts w:ascii="inherit" w:hAnsi="inherit" w:cs="Courier New"/>
          <w:color w:val="212121"/>
          <w:sz w:val="20"/>
          <w:szCs w:val="20"/>
          <w:lang w:val="es-AR" w:eastAsia="es-AR"/>
        </w:rPr>
        <w:t xml:space="preserve"> </w:t>
      </w:r>
      <w:r w:rsidR="00775F7C" w:rsidRPr="002C04E1">
        <w:rPr>
          <w:lang w:val="es-ES"/>
        </w:rPr>
        <w:t>La cantidad equivalente y las asignaciones permanecen sin cambios</w:t>
      </w:r>
      <w:r w:rsidR="00E503C3" w:rsidRPr="002C04E1">
        <w:rPr>
          <w:lang w:val="es-ES"/>
        </w:rPr>
        <w:t>.</w:t>
      </w:r>
      <w:r w:rsidR="00775F7C" w:rsidRPr="002C04E1">
        <w:rPr>
          <w:lang w:val="es-ES"/>
        </w:rPr>
        <w:t xml:space="preserve"> </w:t>
      </w:r>
    </w:p>
    <w:p w14:paraId="62FD128E" w14:textId="77777777" w:rsidR="00775F7C" w:rsidRPr="002C04E1" w:rsidRDefault="00775F7C" w:rsidP="00775F7C">
      <w:pPr>
        <w:jc w:val="both"/>
        <w:rPr>
          <w:lang w:val="es-ES"/>
        </w:rPr>
      </w:pPr>
    </w:p>
    <w:tbl>
      <w:tblPr>
        <w:tblW w:w="8730" w:type="dxa"/>
        <w:tblInd w:w="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390"/>
        <w:gridCol w:w="2387"/>
        <w:gridCol w:w="1432"/>
        <w:gridCol w:w="1431"/>
        <w:gridCol w:w="1090"/>
      </w:tblGrid>
      <w:tr w:rsidR="00DA66A9" w:rsidRPr="00944CC9" w14:paraId="6A641726" w14:textId="77777777" w:rsidTr="00B40494"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1BDBE75" w14:textId="77777777" w:rsidR="00DA66A9" w:rsidRPr="00944CC9" w:rsidRDefault="00DA66A9" w:rsidP="00B40494">
            <w:r w:rsidRPr="002C04E1">
              <w:rPr>
                <w:lang w:val="es-ES"/>
              </w:rPr>
              <w:t xml:space="preserve"> </w:t>
            </w:r>
            <w:proofErr w:type="spellStart"/>
            <w:r w:rsidR="00E503C3">
              <w:rPr>
                <w:b/>
                <w:bCs/>
              </w:rPr>
              <w:t>Nombre</w:t>
            </w:r>
            <w:proofErr w:type="spellEnd"/>
            <w:r w:rsidR="00E503C3">
              <w:rPr>
                <w:b/>
                <w:bCs/>
              </w:rPr>
              <w:t xml:space="preserve"> del </w:t>
            </w:r>
            <w:proofErr w:type="spellStart"/>
            <w:r w:rsidR="00E503C3">
              <w:rPr>
                <w:b/>
                <w:bCs/>
              </w:rPr>
              <w:t>Componente</w:t>
            </w:r>
            <w:proofErr w:type="spellEnd"/>
            <w:r w:rsidR="00E503C3">
              <w:rPr>
                <w:b/>
                <w:bCs/>
              </w:rPr>
              <w:t xml:space="preserve"> Actual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740656D" w14:textId="77777777" w:rsidR="00DA66A9" w:rsidRPr="00944CC9" w:rsidRDefault="00E503C3" w:rsidP="00B40494">
            <w:r>
              <w:rPr>
                <w:b/>
                <w:bCs/>
              </w:rPr>
              <w:t>Nombre del Componente Propuesto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C7FAEAF" w14:textId="77777777" w:rsidR="00DA66A9" w:rsidRPr="00944CC9" w:rsidRDefault="00E503C3" w:rsidP="00B40494">
            <w:r>
              <w:rPr>
                <w:b/>
                <w:bCs/>
              </w:rPr>
              <w:t>Costo Actual</w:t>
            </w:r>
            <w:r w:rsidR="00DA66A9" w:rsidRPr="00944CC9">
              <w:rPr>
                <w:b/>
                <w:bCs/>
              </w:rPr>
              <w:t xml:space="preserve"> (US$)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95D503B" w14:textId="77777777" w:rsidR="00DA66A9" w:rsidRPr="00944CC9" w:rsidRDefault="00E503C3" w:rsidP="00B40494">
            <w:r>
              <w:rPr>
                <w:b/>
                <w:bCs/>
              </w:rPr>
              <w:t xml:space="preserve">Costo Propuesto </w:t>
            </w:r>
            <w:r w:rsidR="00DA66A9" w:rsidRPr="00944CC9">
              <w:rPr>
                <w:b/>
                <w:bCs/>
              </w:rPr>
              <w:t>(US$)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BDBCD69" w14:textId="77777777" w:rsidR="00DA66A9" w:rsidRPr="00944CC9" w:rsidRDefault="00E503C3" w:rsidP="00B40494">
            <w:r>
              <w:rPr>
                <w:b/>
                <w:bCs/>
              </w:rPr>
              <w:t>Acción</w:t>
            </w:r>
          </w:p>
        </w:tc>
      </w:tr>
      <w:tr w:rsidR="00DA66A9" w:rsidRPr="00944CC9" w14:paraId="5C870FB0" w14:textId="77777777" w:rsidTr="00B40494"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CD8FD20" w14:textId="77777777" w:rsidR="00DA66A9" w:rsidRPr="00713C73" w:rsidRDefault="00713C73" w:rsidP="00713C73">
            <w:pPr>
              <w:rPr>
                <w:lang w:val="es-AR"/>
              </w:rPr>
            </w:pPr>
            <w:r w:rsidRPr="00713C73">
              <w:rPr>
                <w:lang w:val="es-AR"/>
              </w:rPr>
              <w:t>Aprovechamiento del Potencial Nacional para la Mitigaci</w:t>
            </w:r>
            <w:r>
              <w:rPr>
                <w:lang w:val="es-AR"/>
              </w:rPr>
              <w:t xml:space="preserve">ón del Cambio Climático 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B7372D1" w14:textId="77777777" w:rsidR="00DA66A9" w:rsidRPr="00713C73" w:rsidRDefault="00DA66A9" w:rsidP="00B40494">
            <w:pPr>
              <w:rPr>
                <w:lang w:val="es-AR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7088CA0" w14:textId="77777777" w:rsidR="00DA66A9" w:rsidRPr="00944CC9" w:rsidRDefault="001C7609" w:rsidP="00B40494">
            <w:pPr>
              <w:jc w:val="right"/>
            </w:pPr>
            <w:r>
              <w:t>665.913,</w:t>
            </w:r>
            <w:r w:rsidR="00DA66A9" w:rsidRPr="00944CC9">
              <w:t>00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E07A1A8" w14:textId="77777777" w:rsidR="00DA66A9" w:rsidRPr="00944CC9" w:rsidRDefault="001C7609" w:rsidP="00B40494">
            <w:pPr>
              <w:jc w:val="right"/>
              <w:rPr>
                <w:color w:val="314F4F"/>
              </w:rPr>
            </w:pPr>
            <w:r>
              <w:rPr>
                <w:b/>
                <w:bCs/>
                <w:color w:val="314F4F"/>
              </w:rPr>
              <w:t>746.116,</w:t>
            </w:r>
            <w:r w:rsidR="00DA66A9" w:rsidRPr="00944CC9">
              <w:rPr>
                <w:b/>
                <w:bCs/>
                <w:color w:val="314F4F"/>
              </w:rPr>
              <w:t>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5D1611A" w14:textId="77777777" w:rsidR="00DA66A9" w:rsidRPr="00944CC9" w:rsidRDefault="001C7609" w:rsidP="00B40494">
            <w:r>
              <w:t>Revisado</w:t>
            </w:r>
          </w:p>
        </w:tc>
      </w:tr>
      <w:tr w:rsidR="00DA66A9" w:rsidRPr="00944CC9" w14:paraId="25E86361" w14:textId="77777777" w:rsidTr="00B40494"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471CCB2" w14:textId="77777777" w:rsidR="00DA66A9" w:rsidRPr="00CB2ED3" w:rsidRDefault="00CB2ED3" w:rsidP="00CB2ED3">
            <w:pPr>
              <w:rPr>
                <w:lang w:val="es-AR"/>
              </w:rPr>
            </w:pPr>
            <w:r w:rsidRPr="00CB2ED3">
              <w:rPr>
                <w:lang w:val="es-AR"/>
              </w:rPr>
              <w:t>Fortalecimiento de la Agenda de Adaptaci</w:t>
            </w:r>
            <w:r>
              <w:rPr>
                <w:lang w:val="es-AR"/>
              </w:rPr>
              <w:t xml:space="preserve">ón Nacional 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CC6A8DF" w14:textId="77777777" w:rsidR="00DA66A9" w:rsidRPr="00CB2ED3" w:rsidRDefault="00DA66A9" w:rsidP="00B40494">
            <w:pPr>
              <w:rPr>
                <w:lang w:val="es-AR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C49558B" w14:textId="77777777" w:rsidR="00DA66A9" w:rsidRPr="00944CC9" w:rsidRDefault="001C7609" w:rsidP="00B40494">
            <w:pPr>
              <w:jc w:val="right"/>
            </w:pPr>
            <w:r>
              <w:t>1.163.372,</w:t>
            </w:r>
            <w:r w:rsidR="00DA66A9" w:rsidRPr="00944CC9">
              <w:t>00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46389DE" w14:textId="77777777" w:rsidR="00DA66A9" w:rsidRPr="00944CC9" w:rsidRDefault="001C7609" w:rsidP="00B40494">
            <w:pPr>
              <w:jc w:val="right"/>
              <w:rPr>
                <w:color w:val="314F4F"/>
              </w:rPr>
            </w:pPr>
            <w:r>
              <w:rPr>
                <w:b/>
                <w:bCs/>
                <w:color w:val="314F4F"/>
              </w:rPr>
              <w:t>1.075.412,</w:t>
            </w:r>
            <w:r w:rsidR="00DA66A9" w:rsidRPr="00944CC9">
              <w:rPr>
                <w:b/>
                <w:bCs/>
                <w:color w:val="314F4F"/>
              </w:rPr>
              <w:t>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9ACD15A" w14:textId="77777777" w:rsidR="00DA66A9" w:rsidRPr="00944CC9" w:rsidRDefault="001C7609" w:rsidP="00B40494">
            <w:r>
              <w:t>Revisado</w:t>
            </w:r>
          </w:p>
        </w:tc>
      </w:tr>
      <w:tr w:rsidR="00DA66A9" w:rsidRPr="00944CC9" w14:paraId="2E00F245" w14:textId="77777777" w:rsidTr="00B40494"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F39597A" w14:textId="77777777" w:rsidR="00DA66A9" w:rsidRPr="0051174B" w:rsidRDefault="004F5694" w:rsidP="004F5694">
            <w:pPr>
              <w:rPr>
                <w:lang w:val="es-AR"/>
              </w:rPr>
            </w:pPr>
            <w:r>
              <w:rPr>
                <w:lang w:val="es-AR"/>
              </w:rPr>
              <w:t>Fortalecimiento Institucional</w:t>
            </w:r>
            <w:r w:rsidR="0051174B">
              <w:rPr>
                <w:lang w:val="es-AR"/>
              </w:rPr>
              <w:t xml:space="preserve">, </w:t>
            </w:r>
            <w:r w:rsidRPr="004F5694">
              <w:rPr>
                <w:lang w:val="es-AR"/>
              </w:rPr>
              <w:t>Desarrollo</w:t>
            </w:r>
            <w:r w:rsidR="0051174B">
              <w:rPr>
                <w:lang w:val="es-AR"/>
              </w:rPr>
              <w:t xml:space="preserve"> de Capacidades y Gestión de la </w:t>
            </w:r>
            <w:r w:rsidRPr="004F5694">
              <w:rPr>
                <w:lang w:val="es-AR"/>
              </w:rPr>
              <w:t>Información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62A83F9" w14:textId="77777777" w:rsidR="00DA66A9" w:rsidRPr="0051174B" w:rsidRDefault="00DA66A9" w:rsidP="00B40494">
            <w:pPr>
              <w:rPr>
                <w:lang w:val="es-AR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815BB74" w14:textId="77777777" w:rsidR="00DA66A9" w:rsidRPr="00944CC9" w:rsidRDefault="001C7609" w:rsidP="00B40494">
            <w:pPr>
              <w:jc w:val="right"/>
            </w:pPr>
            <w:r>
              <w:t>1.093.646,</w:t>
            </w:r>
            <w:r w:rsidR="00DA66A9" w:rsidRPr="00944CC9">
              <w:t>00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4C51C5F" w14:textId="77777777" w:rsidR="00DA66A9" w:rsidRPr="00944CC9" w:rsidRDefault="001C7609" w:rsidP="00B40494">
            <w:pPr>
              <w:jc w:val="right"/>
              <w:rPr>
                <w:color w:val="314F4F"/>
              </w:rPr>
            </w:pPr>
            <w:r>
              <w:rPr>
                <w:b/>
                <w:bCs/>
                <w:color w:val="314F4F"/>
              </w:rPr>
              <w:t>998.499,</w:t>
            </w:r>
            <w:r w:rsidR="00DA66A9" w:rsidRPr="00944CC9">
              <w:rPr>
                <w:b/>
                <w:bCs/>
                <w:color w:val="314F4F"/>
              </w:rPr>
              <w:t>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8DE2A12" w14:textId="77777777" w:rsidR="00DA66A9" w:rsidRPr="00944CC9" w:rsidRDefault="001C7609" w:rsidP="00B40494">
            <w:r>
              <w:t>Revisado</w:t>
            </w:r>
          </w:p>
        </w:tc>
      </w:tr>
      <w:tr w:rsidR="00DA66A9" w:rsidRPr="00944CC9" w14:paraId="21CE89C8" w14:textId="77777777" w:rsidTr="00B40494"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55B12F6" w14:textId="77777777" w:rsidR="00DA66A9" w:rsidRPr="00944CC9" w:rsidRDefault="0051174B" w:rsidP="00B40494">
            <w:r>
              <w:t xml:space="preserve">Gestión </w:t>
            </w:r>
            <w:r w:rsidR="004F5694">
              <w:t>de Proyectos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1F355A9" w14:textId="77777777" w:rsidR="00DA66A9" w:rsidRPr="00944CC9" w:rsidRDefault="00DA66A9" w:rsidP="00B40494"/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F2A1C9F" w14:textId="77777777" w:rsidR="00DA66A9" w:rsidRPr="00944CC9" w:rsidRDefault="001C7609" w:rsidP="00B40494">
            <w:pPr>
              <w:jc w:val="right"/>
            </w:pPr>
            <w:r>
              <w:t>132.042,</w:t>
            </w:r>
            <w:r w:rsidR="00DA66A9" w:rsidRPr="00944CC9">
              <w:t>00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D98CCA2" w14:textId="77777777" w:rsidR="00DA66A9" w:rsidRPr="00944CC9" w:rsidRDefault="001C7609" w:rsidP="00B40494">
            <w:pPr>
              <w:jc w:val="right"/>
              <w:rPr>
                <w:color w:val="314F4F"/>
              </w:rPr>
            </w:pPr>
            <w:r>
              <w:rPr>
                <w:b/>
                <w:bCs/>
                <w:color w:val="314F4F"/>
              </w:rPr>
              <w:t>234.946,</w:t>
            </w:r>
            <w:r w:rsidR="00DA66A9" w:rsidRPr="00944CC9">
              <w:rPr>
                <w:b/>
                <w:bCs/>
                <w:color w:val="314F4F"/>
              </w:rPr>
              <w:t>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9EF70FD" w14:textId="77777777" w:rsidR="00DA66A9" w:rsidRPr="00944CC9" w:rsidRDefault="001C7609" w:rsidP="00B40494">
            <w:r>
              <w:t>Revisado</w:t>
            </w:r>
          </w:p>
        </w:tc>
      </w:tr>
      <w:tr w:rsidR="00DA66A9" w:rsidRPr="00944CC9" w14:paraId="339FE347" w14:textId="77777777" w:rsidTr="00B40494">
        <w:trPr>
          <w:trHeight w:val="27"/>
        </w:trPr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B887867" w14:textId="77777777" w:rsidR="00DA66A9" w:rsidRPr="00944CC9" w:rsidRDefault="00DA66A9" w:rsidP="00B40494"/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D7FCA7B" w14:textId="77777777" w:rsidR="00DA66A9" w:rsidRPr="00944CC9" w:rsidRDefault="00DA66A9" w:rsidP="00B40494">
            <w:pPr>
              <w:jc w:val="center"/>
            </w:pPr>
            <w:r w:rsidRPr="00944CC9">
              <w:rPr>
                <w:b/>
                <w:bCs/>
              </w:rPr>
              <w:t>Total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A8799F6" w14:textId="77777777" w:rsidR="00DA66A9" w:rsidRPr="00944CC9" w:rsidRDefault="00736240" w:rsidP="00B40494">
            <w:pPr>
              <w:jc w:val="right"/>
            </w:pPr>
            <w:r>
              <w:t>3.054.973,</w:t>
            </w:r>
            <w:r w:rsidR="00DA66A9" w:rsidRPr="00944CC9">
              <w:t>00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F2A64EF" w14:textId="77777777" w:rsidR="00DA66A9" w:rsidRPr="00944CC9" w:rsidRDefault="00736240" w:rsidP="00B40494">
            <w:pPr>
              <w:jc w:val="right"/>
            </w:pPr>
            <w:r>
              <w:t>3.054.973,</w:t>
            </w:r>
            <w:r w:rsidR="00DA66A9" w:rsidRPr="00944CC9">
              <w:t>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86EF452" w14:textId="77777777" w:rsidR="00DA66A9" w:rsidRPr="00944CC9" w:rsidRDefault="00DA66A9" w:rsidP="00B40494"/>
        </w:tc>
      </w:tr>
    </w:tbl>
    <w:p w14:paraId="17DEED71" w14:textId="77777777" w:rsidR="00E503C3" w:rsidRDefault="00E503C3" w:rsidP="00DA66A9">
      <w:pPr>
        <w:rPr>
          <w:b/>
        </w:rPr>
      </w:pPr>
    </w:p>
    <w:p w14:paraId="5E47C8F0" w14:textId="77777777" w:rsidR="00DA66A9" w:rsidRPr="00170ED0" w:rsidRDefault="00A7444A" w:rsidP="00DA66A9">
      <w:pPr>
        <w:rPr>
          <w:b/>
        </w:rPr>
      </w:pPr>
      <w:proofErr w:type="spellStart"/>
      <w:r>
        <w:rPr>
          <w:b/>
          <w:bCs/>
        </w:rPr>
        <w:t>Otros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Cambios</w:t>
      </w:r>
      <w:proofErr w:type="spellEnd"/>
    </w:p>
    <w:p w14:paraId="02F48492" w14:textId="77777777" w:rsidR="00DA66A9" w:rsidRPr="00170ED0" w:rsidRDefault="00A7444A" w:rsidP="00DA66A9">
      <w:pPr>
        <w:pStyle w:val="ListParagraph"/>
        <w:numPr>
          <w:ilvl w:val="0"/>
          <w:numId w:val="1"/>
        </w:numPr>
        <w:rPr>
          <w:b/>
        </w:rPr>
      </w:pPr>
      <w:r>
        <w:rPr>
          <w:b/>
          <w:bCs/>
        </w:rPr>
        <w:t>Programa de Ejecución</w:t>
      </w:r>
    </w:p>
    <w:p w14:paraId="798E7F4C" w14:textId="77777777" w:rsidR="00DA66A9" w:rsidRDefault="00DA66A9" w:rsidP="00DA66A9">
      <w:pPr>
        <w:rPr>
          <w:b/>
        </w:rPr>
      </w:pPr>
    </w:p>
    <w:p w14:paraId="6AB67188" w14:textId="77777777" w:rsidR="00C5271D" w:rsidRDefault="001F2FD0">
      <w:pPr>
        <w:rPr>
          <w:lang w:val="es-AR"/>
        </w:rPr>
      </w:pPr>
      <w:r>
        <w:rPr>
          <w:lang w:val="es-AR"/>
        </w:rPr>
        <w:t xml:space="preserve">Por favor, </w:t>
      </w:r>
      <w:r w:rsidR="00243EFE">
        <w:rPr>
          <w:lang w:val="es-AR"/>
        </w:rPr>
        <w:t>véase</w:t>
      </w:r>
      <w:r w:rsidRPr="001F2FD0">
        <w:rPr>
          <w:lang w:val="es-AR"/>
        </w:rPr>
        <w:t xml:space="preserve"> </w:t>
      </w:r>
      <w:r>
        <w:rPr>
          <w:lang w:val="es-AR"/>
        </w:rPr>
        <w:t xml:space="preserve">en la sección </w:t>
      </w:r>
      <w:r w:rsidRPr="001F2FD0">
        <w:rPr>
          <w:lang w:val="es-AR"/>
        </w:rPr>
        <w:t>Cambio en la Fecha(s) de Cierre de la Donación</w:t>
      </w:r>
      <w:r>
        <w:rPr>
          <w:lang w:val="es-AR"/>
        </w:rPr>
        <w:t>.</w:t>
      </w:r>
    </w:p>
    <w:p w14:paraId="742E66F7" w14:textId="77777777" w:rsidR="004705B4" w:rsidRDefault="004705B4">
      <w:pPr>
        <w:rPr>
          <w:lang w:val="es-AR"/>
        </w:rPr>
        <w:sectPr w:rsidR="004705B4" w:rsidSect="004705B4">
          <w:pgSz w:w="11907" w:h="16839" w:code="9"/>
          <w:pgMar w:top="1417" w:right="1701" w:bottom="1417" w:left="1701" w:header="708" w:footer="708" w:gutter="0"/>
          <w:cols w:space="708"/>
          <w:docGrid w:linePitch="360"/>
        </w:sectPr>
      </w:pPr>
    </w:p>
    <w:p w14:paraId="3330F589" w14:textId="3756AF25" w:rsidR="004705B4" w:rsidRPr="004705B4" w:rsidRDefault="008262E4" w:rsidP="004705B4">
      <w:pPr>
        <w:jc w:val="center"/>
        <w:rPr>
          <w:b/>
          <w:lang w:val="es-AR"/>
        </w:rPr>
      </w:pPr>
      <w:r w:rsidRPr="008262E4">
        <w:rPr>
          <w:b/>
          <w:lang w:val="es-AR"/>
        </w:rPr>
        <w:lastRenderedPageBreak/>
        <w:t>Anexo I</w:t>
      </w:r>
      <w:r>
        <w:rPr>
          <w:b/>
          <w:lang w:val="es-AR"/>
        </w:rPr>
        <w:t>:</w:t>
      </w:r>
      <w:r w:rsidRPr="008262E4">
        <w:rPr>
          <w:b/>
          <w:lang w:val="es-AR"/>
        </w:rPr>
        <w:t xml:space="preserve"> </w:t>
      </w:r>
      <w:r w:rsidR="004705B4" w:rsidRPr="004705B4">
        <w:rPr>
          <w:b/>
          <w:lang w:val="es-AR"/>
        </w:rPr>
        <w:t>Marco de Resultados</w:t>
      </w:r>
      <w:r w:rsidR="00D40DA9">
        <w:rPr>
          <w:rStyle w:val="FootnoteReference"/>
          <w:b/>
          <w:lang w:val="es-AR"/>
        </w:rPr>
        <w:footnoteReference w:id="1"/>
      </w:r>
    </w:p>
    <w:p w14:paraId="78486082" w14:textId="77777777" w:rsidR="004705B4" w:rsidRDefault="004705B4" w:rsidP="004705B4">
      <w:pPr>
        <w:jc w:val="center"/>
        <w:rPr>
          <w:lang w:val="es-A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09"/>
        <w:gridCol w:w="435"/>
        <w:gridCol w:w="1046"/>
        <w:gridCol w:w="1303"/>
        <w:gridCol w:w="939"/>
        <w:gridCol w:w="939"/>
        <w:gridCol w:w="912"/>
        <w:gridCol w:w="1066"/>
        <w:gridCol w:w="1222"/>
        <w:gridCol w:w="223"/>
        <w:gridCol w:w="1264"/>
        <w:gridCol w:w="1864"/>
      </w:tblGrid>
      <w:tr w:rsidR="004705B4" w:rsidRPr="0000724A" w14:paraId="46279092" w14:textId="77777777" w:rsidTr="003537B0">
        <w:trPr>
          <w:trHeight w:val="342"/>
        </w:trPr>
        <w:tc>
          <w:tcPr>
            <w:tcW w:w="5000" w:type="pct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0BAB4FF8" w14:textId="77777777" w:rsidR="004705B4" w:rsidRPr="00421468" w:rsidRDefault="004705B4" w:rsidP="004705B4">
            <w:pPr>
              <w:spacing w:before="120" w:after="120"/>
              <w:jc w:val="center"/>
              <w:rPr>
                <w:bCs/>
                <w:sz w:val="18"/>
                <w:lang w:val="es-AR"/>
              </w:rPr>
            </w:pPr>
            <w:r w:rsidRPr="00421468">
              <w:rPr>
                <w:b/>
                <w:bCs/>
                <w:sz w:val="18"/>
                <w:u w:val="single"/>
                <w:lang w:val="es-AR"/>
              </w:rPr>
              <w:t>Objetivo de desarrollo de proyecto (PDO)</w:t>
            </w:r>
            <w:r w:rsidRPr="00421468">
              <w:rPr>
                <w:b/>
                <w:bCs/>
                <w:sz w:val="18"/>
                <w:lang w:val="es-AR"/>
              </w:rPr>
              <w:t xml:space="preserve">: </w:t>
            </w:r>
            <w:r w:rsidRPr="00421468">
              <w:rPr>
                <w:bCs/>
                <w:sz w:val="18"/>
                <w:lang w:val="es-AR"/>
              </w:rPr>
              <w:t>Fortalecer la base de información y la capacidad institucional de miembros clave del Comité de Dirección, a fin de integrar las prioridades relativas a cambio climático en las estrategias de desarrollo y programas sectoriales relevantes del Receptor, brindando apoyo financiero y técnico para la preparación de la TCN.</w:t>
            </w:r>
          </w:p>
        </w:tc>
      </w:tr>
      <w:tr w:rsidR="003537B0" w:rsidRPr="00421468" w14:paraId="62AEF232" w14:textId="77777777" w:rsidTr="003537B0">
        <w:trPr>
          <w:trHeight w:val="342"/>
        </w:trPr>
        <w:tc>
          <w:tcPr>
            <w:tcW w:w="760" w:type="pct"/>
            <w:vMerge w:val="restart"/>
            <w:tcBorders>
              <w:right w:val="double" w:sz="4" w:space="0" w:color="auto"/>
            </w:tcBorders>
            <w:shd w:val="pct15" w:color="auto" w:fill="auto"/>
            <w:vAlign w:val="center"/>
          </w:tcPr>
          <w:p w14:paraId="76E202B5" w14:textId="77777777" w:rsidR="003537B0" w:rsidRPr="00421468" w:rsidRDefault="003537B0" w:rsidP="004705B4">
            <w:pPr>
              <w:jc w:val="center"/>
              <w:rPr>
                <w:b/>
                <w:bCs/>
                <w:sz w:val="18"/>
                <w:szCs w:val="18"/>
                <w:lang w:val="es-AR"/>
              </w:rPr>
            </w:pPr>
            <w:r w:rsidRPr="00421468">
              <w:rPr>
                <w:b/>
                <w:bCs/>
                <w:sz w:val="18"/>
                <w:szCs w:val="18"/>
                <w:lang w:val="es-AR"/>
              </w:rPr>
              <w:t>Indicadores de Resultados del Proyecto (PDO)</w:t>
            </w:r>
          </w:p>
        </w:tc>
        <w:tc>
          <w:tcPr>
            <w:tcW w:w="164" w:type="pct"/>
            <w:vMerge w:val="restart"/>
            <w:tcBorders>
              <w:left w:val="double" w:sz="4" w:space="0" w:color="auto"/>
            </w:tcBorders>
            <w:shd w:val="pct15" w:color="auto" w:fill="auto"/>
            <w:textDirection w:val="btLr"/>
            <w:vAlign w:val="center"/>
          </w:tcPr>
          <w:p w14:paraId="578ED981" w14:textId="77777777" w:rsidR="003537B0" w:rsidRPr="00421468" w:rsidRDefault="003537B0" w:rsidP="004705B4">
            <w:pPr>
              <w:ind w:left="-108" w:right="-108"/>
              <w:jc w:val="center"/>
              <w:rPr>
                <w:b/>
                <w:bCs/>
                <w:sz w:val="18"/>
                <w:szCs w:val="18"/>
                <w:lang w:val="es-AR"/>
              </w:rPr>
            </w:pPr>
            <w:r w:rsidRPr="00421468">
              <w:rPr>
                <w:b/>
                <w:bCs/>
                <w:sz w:val="18"/>
                <w:szCs w:val="18"/>
                <w:lang w:val="es-AR"/>
              </w:rPr>
              <w:t>Core</w:t>
            </w:r>
          </w:p>
        </w:tc>
        <w:tc>
          <w:tcPr>
            <w:tcW w:w="396" w:type="pct"/>
            <w:vMerge w:val="restart"/>
            <w:shd w:val="pct15" w:color="auto" w:fill="auto"/>
            <w:vAlign w:val="center"/>
          </w:tcPr>
          <w:p w14:paraId="1E3B1E87" w14:textId="77777777" w:rsidR="003537B0" w:rsidRPr="00421468" w:rsidRDefault="003537B0" w:rsidP="004705B4">
            <w:pPr>
              <w:ind w:left="-108" w:right="-108"/>
              <w:jc w:val="center"/>
              <w:rPr>
                <w:b/>
                <w:bCs/>
                <w:sz w:val="18"/>
                <w:szCs w:val="18"/>
                <w:lang w:val="es-AR"/>
              </w:rPr>
            </w:pPr>
            <w:r w:rsidRPr="00421468">
              <w:rPr>
                <w:b/>
                <w:bCs/>
                <w:sz w:val="18"/>
                <w:szCs w:val="18"/>
                <w:lang w:val="es-AR"/>
              </w:rPr>
              <w:t>Unidad de medición</w:t>
            </w:r>
          </w:p>
        </w:tc>
        <w:tc>
          <w:tcPr>
            <w:tcW w:w="493" w:type="pct"/>
            <w:vMerge w:val="restart"/>
            <w:tcBorders>
              <w:right w:val="double" w:sz="4" w:space="0" w:color="auto"/>
            </w:tcBorders>
            <w:shd w:val="pct15" w:color="auto" w:fill="auto"/>
            <w:vAlign w:val="center"/>
          </w:tcPr>
          <w:p w14:paraId="5D0EF3C3" w14:textId="77777777" w:rsidR="003537B0" w:rsidRPr="00421468" w:rsidRDefault="003537B0" w:rsidP="004705B4">
            <w:pPr>
              <w:jc w:val="center"/>
              <w:rPr>
                <w:b/>
                <w:bCs/>
                <w:sz w:val="18"/>
                <w:szCs w:val="18"/>
                <w:lang w:val="es-AR"/>
              </w:rPr>
            </w:pPr>
            <w:r w:rsidRPr="00421468">
              <w:rPr>
                <w:b/>
                <w:bCs/>
                <w:sz w:val="18"/>
                <w:szCs w:val="18"/>
                <w:lang w:val="es-AR"/>
              </w:rPr>
              <w:t>Línea de Base</w:t>
            </w:r>
          </w:p>
        </w:tc>
        <w:tc>
          <w:tcPr>
            <w:tcW w:w="1055" w:type="pct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21AA6E10" w14:textId="77777777" w:rsidR="003537B0" w:rsidRPr="00421468" w:rsidRDefault="003537B0" w:rsidP="004705B4">
            <w:pPr>
              <w:jc w:val="center"/>
              <w:rPr>
                <w:b/>
                <w:bCs/>
                <w:sz w:val="18"/>
                <w:szCs w:val="18"/>
                <w:lang w:val="es-AR"/>
              </w:rPr>
            </w:pPr>
            <w:r w:rsidRPr="00421468">
              <w:rPr>
                <w:b/>
                <w:bCs/>
                <w:sz w:val="18"/>
                <w:szCs w:val="18"/>
                <w:lang w:val="es-AR"/>
              </w:rPr>
              <w:t>Valores objetivos acumulados</w:t>
            </w:r>
          </w:p>
        </w:tc>
        <w:tc>
          <w:tcPr>
            <w:tcW w:w="403" w:type="pct"/>
            <w:vMerge w:val="restart"/>
            <w:tcBorders>
              <w:left w:val="double" w:sz="4" w:space="0" w:color="auto"/>
            </w:tcBorders>
            <w:shd w:val="pct15" w:color="auto" w:fill="auto"/>
            <w:vAlign w:val="center"/>
          </w:tcPr>
          <w:p w14:paraId="224D16B5" w14:textId="77777777" w:rsidR="003537B0" w:rsidRPr="00421468" w:rsidRDefault="003537B0" w:rsidP="004705B4">
            <w:pPr>
              <w:jc w:val="center"/>
              <w:rPr>
                <w:b/>
                <w:bCs/>
                <w:sz w:val="18"/>
                <w:szCs w:val="18"/>
                <w:lang w:val="es-AR"/>
              </w:rPr>
            </w:pPr>
            <w:r w:rsidRPr="00421468">
              <w:rPr>
                <w:b/>
                <w:bCs/>
                <w:sz w:val="18"/>
                <w:szCs w:val="18"/>
                <w:lang w:val="es-AR"/>
              </w:rPr>
              <w:t>Frecuencia y Reportes</w:t>
            </w:r>
          </w:p>
        </w:tc>
        <w:tc>
          <w:tcPr>
            <w:tcW w:w="462" w:type="pct"/>
            <w:vMerge w:val="restart"/>
            <w:shd w:val="pct15" w:color="auto" w:fill="auto"/>
            <w:vAlign w:val="center"/>
          </w:tcPr>
          <w:p w14:paraId="026CEEC1" w14:textId="77777777" w:rsidR="003537B0" w:rsidRPr="00421468" w:rsidRDefault="003537B0" w:rsidP="004705B4">
            <w:pPr>
              <w:jc w:val="center"/>
              <w:rPr>
                <w:b/>
                <w:bCs/>
                <w:sz w:val="18"/>
                <w:szCs w:val="18"/>
                <w:lang w:val="es-AR"/>
              </w:rPr>
            </w:pPr>
            <w:r w:rsidRPr="00421468">
              <w:rPr>
                <w:b/>
                <w:bCs/>
                <w:sz w:val="18"/>
                <w:szCs w:val="18"/>
                <w:lang w:val="es-AR"/>
              </w:rPr>
              <w:t>Origen de Información /</w:t>
            </w:r>
          </w:p>
          <w:p w14:paraId="28102327" w14:textId="77777777" w:rsidR="003537B0" w:rsidRPr="00421468" w:rsidRDefault="003537B0" w:rsidP="004705B4">
            <w:pPr>
              <w:jc w:val="center"/>
              <w:rPr>
                <w:b/>
                <w:bCs/>
                <w:sz w:val="18"/>
                <w:szCs w:val="18"/>
                <w:lang w:val="es-AR"/>
              </w:rPr>
            </w:pPr>
            <w:r w:rsidRPr="00421468">
              <w:rPr>
                <w:b/>
                <w:bCs/>
                <w:sz w:val="18"/>
                <w:szCs w:val="18"/>
                <w:lang w:val="es-AR"/>
              </w:rPr>
              <w:t>Metodología</w:t>
            </w:r>
          </w:p>
        </w:tc>
        <w:tc>
          <w:tcPr>
            <w:tcW w:w="562" w:type="pct"/>
            <w:gridSpan w:val="2"/>
            <w:vMerge w:val="restart"/>
            <w:shd w:val="pct15" w:color="auto" w:fill="auto"/>
            <w:vAlign w:val="center"/>
          </w:tcPr>
          <w:p w14:paraId="0E215C20" w14:textId="77777777" w:rsidR="003537B0" w:rsidRPr="00421468" w:rsidRDefault="003537B0" w:rsidP="004705B4">
            <w:pPr>
              <w:jc w:val="center"/>
              <w:rPr>
                <w:b/>
                <w:bCs/>
                <w:sz w:val="18"/>
                <w:szCs w:val="18"/>
                <w:lang w:val="es-AR"/>
              </w:rPr>
            </w:pPr>
            <w:r w:rsidRPr="00421468">
              <w:rPr>
                <w:b/>
                <w:bCs/>
                <w:sz w:val="18"/>
                <w:szCs w:val="18"/>
                <w:lang w:val="es-AR"/>
              </w:rPr>
              <w:t>Responsabilidad para la</w:t>
            </w:r>
          </w:p>
          <w:p w14:paraId="30D7F0A6" w14:textId="77777777" w:rsidR="003537B0" w:rsidRPr="00421468" w:rsidRDefault="003537B0" w:rsidP="004705B4">
            <w:pPr>
              <w:jc w:val="center"/>
              <w:rPr>
                <w:b/>
                <w:bCs/>
                <w:sz w:val="18"/>
                <w:szCs w:val="18"/>
                <w:lang w:val="es-AR"/>
              </w:rPr>
            </w:pPr>
            <w:r w:rsidRPr="00421468">
              <w:rPr>
                <w:b/>
                <w:bCs/>
                <w:sz w:val="18"/>
                <w:szCs w:val="18"/>
                <w:lang w:val="es-AR"/>
              </w:rPr>
              <w:t>Recolección de Información</w:t>
            </w:r>
          </w:p>
        </w:tc>
        <w:tc>
          <w:tcPr>
            <w:tcW w:w="705" w:type="pct"/>
            <w:vMerge w:val="restart"/>
            <w:shd w:val="pct15" w:color="auto" w:fill="auto"/>
            <w:vAlign w:val="center"/>
          </w:tcPr>
          <w:p w14:paraId="6737CC8C" w14:textId="77777777" w:rsidR="003537B0" w:rsidRPr="00421468" w:rsidRDefault="003537B0" w:rsidP="004705B4">
            <w:pPr>
              <w:jc w:val="center"/>
              <w:rPr>
                <w:b/>
                <w:bCs/>
                <w:sz w:val="18"/>
                <w:szCs w:val="18"/>
                <w:lang w:val="es-AR"/>
              </w:rPr>
            </w:pPr>
            <w:r w:rsidRPr="00421468">
              <w:rPr>
                <w:b/>
                <w:bCs/>
                <w:sz w:val="18"/>
                <w:szCs w:val="18"/>
                <w:lang w:val="es-AR"/>
              </w:rPr>
              <w:t>Definición del indicador</w:t>
            </w:r>
          </w:p>
        </w:tc>
      </w:tr>
      <w:tr w:rsidR="003537B0" w:rsidRPr="00421468" w14:paraId="4773382F" w14:textId="77777777" w:rsidTr="003537B0">
        <w:trPr>
          <w:trHeight w:val="242"/>
        </w:trPr>
        <w:tc>
          <w:tcPr>
            <w:tcW w:w="760" w:type="pct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C8E521C" w14:textId="77777777" w:rsidR="003537B0" w:rsidRPr="00421468" w:rsidRDefault="003537B0" w:rsidP="004705B4">
            <w:pPr>
              <w:jc w:val="center"/>
              <w:rPr>
                <w:b/>
                <w:bCs/>
                <w:sz w:val="18"/>
                <w:szCs w:val="18"/>
                <w:lang w:val="es-AR"/>
              </w:rPr>
            </w:pPr>
          </w:p>
        </w:tc>
        <w:tc>
          <w:tcPr>
            <w:tcW w:w="164" w:type="pct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2AF0F63B" w14:textId="77777777" w:rsidR="003537B0" w:rsidRPr="00421468" w:rsidRDefault="003537B0" w:rsidP="004705B4">
            <w:pPr>
              <w:jc w:val="center"/>
              <w:rPr>
                <w:b/>
                <w:bCs/>
                <w:sz w:val="18"/>
                <w:szCs w:val="18"/>
                <w:lang w:val="es-AR"/>
              </w:rPr>
            </w:pPr>
          </w:p>
        </w:tc>
        <w:tc>
          <w:tcPr>
            <w:tcW w:w="396" w:type="pct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9230B39" w14:textId="77777777" w:rsidR="003537B0" w:rsidRPr="00421468" w:rsidRDefault="003537B0" w:rsidP="004705B4">
            <w:pPr>
              <w:jc w:val="center"/>
              <w:rPr>
                <w:b/>
                <w:bCs/>
                <w:sz w:val="18"/>
                <w:szCs w:val="18"/>
                <w:lang w:val="es-AR"/>
              </w:rPr>
            </w:pPr>
          </w:p>
        </w:tc>
        <w:tc>
          <w:tcPr>
            <w:tcW w:w="493" w:type="pct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50728916" w14:textId="77777777" w:rsidR="003537B0" w:rsidRPr="00421468" w:rsidRDefault="003537B0" w:rsidP="004705B4">
            <w:pPr>
              <w:jc w:val="center"/>
              <w:rPr>
                <w:b/>
                <w:bCs/>
                <w:sz w:val="18"/>
                <w:szCs w:val="18"/>
                <w:lang w:val="es-AR"/>
              </w:rPr>
            </w:pPr>
          </w:p>
        </w:tc>
        <w:tc>
          <w:tcPr>
            <w:tcW w:w="355" w:type="pct"/>
            <w:tcBorders>
              <w:left w:val="doub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5501E2BD" w14:textId="77777777" w:rsidR="003537B0" w:rsidRPr="00421468" w:rsidRDefault="003537B0" w:rsidP="004705B4">
            <w:pPr>
              <w:jc w:val="center"/>
              <w:rPr>
                <w:b/>
                <w:bCs/>
                <w:sz w:val="18"/>
                <w:szCs w:val="18"/>
                <w:lang w:val="es-AR"/>
              </w:rPr>
            </w:pPr>
            <w:r w:rsidRPr="00421468">
              <w:rPr>
                <w:b/>
                <w:bCs/>
                <w:sz w:val="18"/>
                <w:szCs w:val="18"/>
                <w:lang w:val="es-AR"/>
              </w:rPr>
              <w:t>2013</w:t>
            </w:r>
          </w:p>
        </w:tc>
        <w:tc>
          <w:tcPr>
            <w:tcW w:w="355" w:type="pct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44644D05" w14:textId="77777777" w:rsidR="003537B0" w:rsidRPr="00421468" w:rsidRDefault="003537B0" w:rsidP="004705B4">
            <w:pPr>
              <w:jc w:val="center"/>
              <w:rPr>
                <w:b/>
                <w:bCs/>
                <w:sz w:val="18"/>
                <w:szCs w:val="18"/>
                <w:lang w:val="es-AR"/>
              </w:rPr>
            </w:pPr>
            <w:r w:rsidRPr="00421468">
              <w:rPr>
                <w:b/>
                <w:bCs/>
                <w:sz w:val="18"/>
                <w:szCs w:val="18"/>
                <w:lang w:val="es-AR"/>
              </w:rPr>
              <w:t>2014</w:t>
            </w:r>
          </w:p>
        </w:tc>
        <w:tc>
          <w:tcPr>
            <w:tcW w:w="345" w:type="pct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56EB82EB" w14:textId="77777777" w:rsidR="003537B0" w:rsidRPr="00421468" w:rsidRDefault="003537B0" w:rsidP="004705B4">
            <w:pPr>
              <w:jc w:val="center"/>
              <w:rPr>
                <w:b/>
                <w:bCs/>
                <w:sz w:val="18"/>
                <w:szCs w:val="18"/>
                <w:lang w:val="es-AR"/>
              </w:rPr>
            </w:pPr>
            <w:r w:rsidRPr="00421468">
              <w:rPr>
                <w:b/>
                <w:bCs/>
                <w:sz w:val="18"/>
                <w:szCs w:val="18"/>
                <w:lang w:val="es-AR"/>
              </w:rPr>
              <w:t>2015</w:t>
            </w:r>
          </w:p>
        </w:tc>
        <w:tc>
          <w:tcPr>
            <w:tcW w:w="403" w:type="pct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240A63DD" w14:textId="77777777" w:rsidR="003537B0" w:rsidRPr="00421468" w:rsidRDefault="003537B0" w:rsidP="004705B4">
            <w:pPr>
              <w:jc w:val="center"/>
              <w:rPr>
                <w:b/>
                <w:bCs/>
                <w:sz w:val="18"/>
                <w:szCs w:val="18"/>
                <w:lang w:val="es-AR"/>
              </w:rPr>
            </w:pPr>
          </w:p>
        </w:tc>
        <w:tc>
          <w:tcPr>
            <w:tcW w:w="462" w:type="pct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DA5DDBE" w14:textId="77777777" w:rsidR="003537B0" w:rsidRPr="00421468" w:rsidRDefault="003537B0" w:rsidP="004705B4">
            <w:pPr>
              <w:jc w:val="center"/>
              <w:rPr>
                <w:b/>
                <w:bCs/>
                <w:sz w:val="18"/>
                <w:szCs w:val="18"/>
                <w:lang w:val="es-AR"/>
              </w:rPr>
            </w:pPr>
          </w:p>
        </w:tc>
        <w:tc>
          <w:tcPr>
            <w:tcW w:w="562" w:type="pct"/>
            <w:gridSpan w:val="2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F388E4E" w14:textId="77777777" w:rsidR="003537B0" w:rsidRPr="00421468" w:rsidRDefault="003537B0" w:rsidP="004705B4">
            <w:pPr>
              <w:jc w:val="center"/>
              <w:rPr>
                <w:b/>
                <w:bCs/>
                <w:sz w:val="18"/>
                <w:szCs w:val="18"/>
                <w:lang w:val="es-AR"/>
              </w:rPr>
            </w:pPr>
          </w:p>
        </w:tc>
        <w:tc>
          <w:tcPr>
            <w:tcW w:w="705" w:type="pct"/>
            <w:vMerge/>
            <w:tcBorders>
              <w:bottom w:val="single" w:sz="4" w:space="0" w:color="auto"/>
            </w:tcBorders>
            <w:shd w:val="clear" w:color="auto" w:fill="E6E6E6"/>
          </w:tcPr>
          <w:p w14:paraId="57B7F65D" w14:textId="77777777" w:rsidR="003537B0" w:rsidRPr="00421468" w:rsidRDefault="003537B0" w:rsidP="004705B4">
            <w:pPr>
              <w:jc w:val="center"/>
              <w:rPr>
                <w:b/>
                <w:bCs/>
                <w:sz w:val="18"/>
                <w:szCs w:val="18"/>
                <w:lang w:val="es-AR"/>
              </w:rPr>
            </w:pPr>
          </w:p>
        </w:tc>
      </w:tr>
      <w:tr w:rsidR="004705B4" w:rsidRPr="0000724A" w14:paraId="5FE6AF7D" w14:textId="77777777" w:rsidTr="003537B0">
        <w:trPr>
          <w:trHeight w:val="440"/>
        </w:trPr>
        <w:tc>
          <w:tcPr>
            <w:tcW w:w="760" w:type="pct"/>
            <w:tcBorders>
              <w:bottom w:val="single" w:sz="4" w:space="0" w:color="auto"/>
              <w:right w:val="double" w:sz="4" w:space="0" w:color="auto"/>
            </w:tcBorders>
          </w:tcPr>
          <w:p w14:paraId="450B910E" w14:textId="77777777" w:rsidR="003537B0" w:rsidRDefault="004705B4" w:rsidP="003537B0">
            <w:pPr>
              <w:jc w:val="center"/>
              <w:rPr>
                <w:rFonts w:eastAsia="Calibri"/>
                <w:b/>
                <w:sz w:val="18"/>
                <w:szCs w:val="18"/>
                <w:lang w:val="es-ES"/>
              </w:rPr>
            </w:pPr>
            <w:r w:rsidRPr="0000724A">
              <w:rPr>
                <w:rFonts w:eastAsia="Calibri"/>
                <w:b/>
                <w:sz w:val="18"/>
                <w:szCs w:val="18"/>
                <w:lang w:val="es-ES"/>
              </w:rPr>
              <w:t xml:space="preserve">Indicador: </w:t>
            </w:r>
          </w:p>
          <w:p w14:paraId="53AB0918" w14:textId="77777777" w:rsidR="004705B4" w:rsidRDefault="003537B0" w:rsidP="003537B0">
            <w:pPr>
              <w:jc w:val="center"/>
              <w:rPr>
                <w:rFonts w:eastAsia="Calibri"/>
                <w:i/>
                <w:sz w:val="18"/>
                <w:szCs w:val="18"/>
                <w:lang w:val="es-ES"/>
              </w:rPr>
            </w:pPr>
            <w:r w:rsidRPr="003537B0">
              <w:rPr>
                <w:rFonts w:eastAsia="Calibri"/>
                <w:i/>
                <w:iCs/>
                <w:sz w:val="18"/>
                <w:szCs w:val="18"/>
                <w:lang w:val="es-AR"/>
              </w:rPr>
              <w:t>Reporte Bienal de Actualización (BUR, por siglas en inglés)</w:t>
            </w:r>
            <w:r w:rsidR="004705B4" w:rsidRPr="003537B0">
              <w:rPr>
                <w:rFonts w:eastAsia="Calibri"/>
                <w:i/>
                <w:sz w:val="18"/>
                <w:szCs w:val="18"/>
                <w:lang w:val="es-ES"/>
              </w:rPr>
              <w:t xml:space="preserve"> entregada al Ministerio</w:t>
            </w:r>
            <w:r w:rsidR="004705B4" w:rsidRPr="0000724A">
              <w:rPr>
                <w:rFonts w:eastAsia="Calibri"/>
                <w:i/>
                <w:sz w:val="18"/>
                <w:szCs w:val="18"/>
                <w:lang w:val="es-ES"/>
              </w:rPr>
              <w:t xml:space="preserve"> de Relaciones Exteriores y Culto (MRECIC) para ser presentada a la </w:t>
            </w:r>
            <w:r w:rsidRPr="003537B0">
              <w:rPr>
                <w:rFonts w:eastAsia="Calibri"/>
                <w:i/>
                <w:iCs/>
                <w:sz w:val="18"/>
                <w:szCs w:val="18"/>
                <w:lang w:val="es-AR"/>
              </w:rPr>
              <w:t>Convención Marco de las Naciones Unidas sobre el Cambio Climático</w:t>
            </w:r>
            <w:r w:rsidRPr="003537B0">
              <w:rPr>
                <w:rFonts w:eastAsia="Calibri"/>
                <w:i/>
                <w:sz w:val="18"/>
                <w:szCs w:val="18"/>
                <w:lang w:val="es-ES"/>
              </w:rPr>
              <w:t xml:space="preserve"> </w:t>
            </w:r>
            <w:r>
              <w:rPr>
                <w:rFonts w:eastAsia="Calibri"/>
                <w:i/>
                <w:sz w:val="18"/>
                <w:szCs w:val="18"/>
                <w:lang w:val="es-ES"/>
              </w:rPr>
              <w:t>(</w:t>
            </w:r>
            <w:r w:rsidR="004705B4" w:rsidRPr="0000724A">
              <w:rPr>
                <w:rFonts w:eastAsia="Calibri"/>
                <w:i/>
                <w:sz w:val="18"/>
                <w:szCs w:val="18"/>
                <w:lang w:val="es-ES"/>
              </w:rPr>
              <w:t>CMNUCC</w:t>
            </w:r>
            <w:r>
              <w:rPr>
                <w:rFonts w:eastAsia="Calibri"/>
                <w:i/>
                <w:sz w:val="18"/>
                <w:szCs w:val="18"/>
                <w:lang w:val="es-ES"/>
              </w:rPr>
              <w:t>)</w:t>
            </w:r>
            <w:r w:rsidR="004705B4" w:rsidRPr="0000724A">
              <w:rPr>
                <w:rFonts w:eastAsia="Calibri"/>
                <w:i/>
                <w:sz w:val="18"/>
                <w:szCs w:val="18"/>
                <w:lang w:val="es-ES"/>
              </w:rPr>
              <w:t>.</w:t>
            </w:r>
          </w:p>
          <w:p w14:paraId="2A3F3A38" w14:textId="784568B7" w:rsidR="003537B0" w:rsidRPr="0000724A" w:rsidRDefault="003537B0" w:rsidP="003537B0">
            <w:pPr>
              <w:jc w:val="center"/>
              <w:rPr>
                <w:rFonts w:eastAsia="Calibri"/>
                <w:sz w:val="18"/>
                <w:szCs w:val="18"/>
                <w:lang w:val="es-ES"/>
              </w:rPr>
            </w:pPr>
          </w:p>
        </w:tc>
        <w:tc>
          <w:tcPr>
            <w:tcW w:w="164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56A93356" w14:textId="77777777" w:rsidR="004705B4" w:rsidRPr="006F496A" w:rsidRDefault="004705B4" w:rsidP="004705B4">
            <w:pPr>
              <w:jc w:val="center"/>
              <w:rPr>
                <w:sz w:val="18"/>
                <w:szCs w:val="18"/>
                <w:lang w:val="es-AR"/>
              </w:rPr>
            </w:pPr>
            <w:r w:rsidRPr="006F496A">
              <w:rPr>
                <w:sz w:val="18"/>
                <w:szCs w:val="18"/>
                <w:lang w:val="es-A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496A">
              <w:rPr>
                <w:sz w:val="18"/>
                <w:szCs w:val="18"/>
                <w:lang w:val="es-AR"/>
              </w:rPr>
              <w:instrText xml:space="preserve"> FORMCHECKBOX </w:instrText>
            </w:r>
            <w:r w:rsidR="00B311DC">
              <w:rPr>
                <w:sz w:val="18"/>
                <w:szCs w:val="18"/>
                <w:lang w:val="es-AR"/>
              </w:rPr>
            </w:r>
            <w:r w:rsidR="00B311DC">
              <w:rPr>
                <w:sz w:val="18"/>
                <w:szCs w:val="18"/>
                <w:lang w:val="es-AR"/>
              </w:rPr>
              <w:fldChar w:fldCharType="separate"/>
            </w:r>
            <w:r w:rsidRPr="006F496A">
              <w:rPr>
                <w:sz w:val="18"/>
                <w:szCs w:val="18"/>
                <w:lang w:val="es-AR"/>
              </w:rPr>
              <w:fldChar w:fldCharType="end"/>
            </w:r>
          </w:p>
        </w:tc>
        <w:tc>
          <w:tcPr>
            <w:tcW w:w="39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233E8A" w14:textId="77777777" w:rsidR="004705B4" w:rsidRPr="006F496A" w:rsidRDefault="004705B4" w:rsidP="004705B4">
            <w:pPr>
              <w:jc w:val="center"/>
              <w:rPr>
                <w:rFonts w:eastAsia="Calibri"/>
                <w:sz w:val="18"/>
                <w:szCs w:val="18"/>
                <w:lang w:val="es-AR"/>
              </w:rPr>
            </w:pPr>
            <w:r w:rsidRPr="006F496A">
              <w:rPr>
                <w:rFonts w:eastAsia="Calibri"/>
                <w:sz w:val="18"/>
                <w:szCs w:val="18"/>
                <w:lang w:val="es-AR"/>
              </w:rPr>
              <w:t>Si/No</w:t>
            </w:r>
          </w:p>
        </w:tc>
        <w:tc>
          <w:tcPr>
            <w:tcW w:w="493" w:type="pct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722F4DF" w14:textId="530A6F30" w:rsidR="004705B4" w:rsidRPr="006F496A" w:rsidRDefault="003537B0" w:rsidP="003537B0">
            <w:pPr>
              <w:jc w:val="center"/>
              <w:rPr>
                <w:rFonts w:eastAsia="Calibri"/>
                <w:sz w:val="18"/>
                <w:szCs w:val="18"/>
                <w:lang w:val="es-AR"/>
              </w:rPr>
            </w:pPr>
            <w:r>
              <w:rPr>
                <w:rFonts w:eastAsia="Calibri"/>
                <w:sz w:val="18"/>
                <w:szCs w:val="18"/>
                <w:lang w:val="es-AR"/>
              </w:rPr>
              <w:t xml:space="preserve">Será el primer BUR que presenta la </w:t>
            </w:r>
            <w:r w:rsidR="004705B4" w:rsidRPr="006F496A">
              <w:rPr>
                <w:rFonts w:eastAsia="Calibri"/>
                <w:sz w:val="18"/>
                <w:szCs w:val="18"/>
                <w:lang w:val="es-AR"/>
              </w:rPr>
              <w:t>República Argentina</w:t>
            </w:r>
            <w:r>
              <w:rPr>
                <w:rFonts w:eastAsia="Calibri"/>
                <w:sz w:val="18"/>
                <w:szCs w:val="18"/>
                <w:lang w:val="es-AR"/>
              </w:rPr>
              <w:t xml:space="preserve"> a la CMNUCC</w:t>
            </w:r>
          </w:p>
        </w:tc>
        <w:tc>
          <w:tcPr>
            <w:tcW w:w="355" w:type="pct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18E675" w14:textId="77777777" w:rsidR="004705B4" w:rsidRPr="006F496A" w:rsidRDefault="004705B4" w:rsidP="004705B4">
            <w:pPr>
              <w:jc w:val="center"/>
              <w:rPr>
                <w:sz w:val="18"/>
                <w:szCs w:val="18"/>
                <w:lang w:val="es-AR"/>
              </w:rPr>
            </w:pPr>
            <w:r w:rsidRPr="006F496A">
              <w:rPr>
                <w:sz w:val="18"/>
                <w:szCs w:val="18"/>
                <w:lang w:val="es-AR"/>
              </w:rPr>
              <w:t>No</w:t>
            </w:r>
          </w:p>
        </w:tc>
        <w:tc>
          <w:tcPr>
            <w:tcW w:w="3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DC902" w14:textId="77777777" w:rsidR="004705B4" w:rsidRPr="006F496A" w:rsidRDefault="004705B4" w:rsidP="004705B4">
            <w:pPr>
              <w:jc w:val="center"/>
              <w:rPr>
                <w:sz w:val="18"/>
                <w:szCs w:val="18"/>
                <w:lang w:val="es-AR"/>
              </w:rPr>
            </w:pPr>
            <w:r w:rsidRPr="006F496A">
              <w:rPr>
                <w:sz w:val="18"/>
                <w:szCs w:val="18"/>
                <w:lang w:val="es-AR"/>
              </w:rPr>
              <w:t>No</w:t>
            </w:r>
          </w:p>
        </w:tc>
        <w:tc>
          <w:tcPr>
            <w:tcW w:w="34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251589" w14:textId="77777777" w:rsidR="004705B4" w:rsidRPr="006F496A" w:rsidRDefault="004705B4" w:rsidP="004705B4">
            <w:pPr>
              <w:jc w:val="center"/>
              <w:rPr>
                <w:sz w:val="18"/>
                <w:szCs w:val="18"/>
                <w:lang w:val="es-AR"/>
              </w:rPr>
            </w:pPr>
            <w:r w:rsidRPr="006F496A">
              <w:rPr>
                <w:sz w:val="18"/>
                <w:szCs w:val="18"/>
                <w:lang w:val="es-AR"/>
              </w:rPr>
              <w:t>Si</w:t>
            </w:r>
          </w:p>
        </w:tc>
        <w:tc>
          <w:tcPr>
            <w:tcW w:w="403" w:type="pct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B8115F" w14:textId="77777777" w:rsidR="004705B4" w:rsidRPr="006F496A" w:rsidRDefault="004705B4" w:rsidP="004705B4">
            <w:pPr>
              <w:jc w:val="center"/>
              <w:rPr>
                <w:sz w:val="18"/>
                <w:szCs w:val="18"/>
                <w:lang w:val="es-AR"/>
              </w:rPr>
            </w:pPr>
            <w:r w:rsidRPr="006F496A">
              <w:rPr>
                <w:sz w:val="18"/>
                <w:szCs w:val="18"/>
                <w:lang w:val="es-AR"/>
              </w:rPr>
              <w:t>Semestral</w:t>
            </w:r>
          </w:p>
        </w:tc>
        <w:tc>
          <w:tcPr>
            <w:tcW w:w="46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7F32DD" w14:textId="77777777" w:rsidR="004705B4" w:rsidRPr="006F496A" w:rsidRDefault="004705B4" w:rsidP="004705B4">
            <w:pPr>
              <w:jc w:val="center"/>
              <w:rPr>
                <w:rFonts w:eastAsia="Calibri"/>
                <w:sz w:val="18"/>
                <w:szCs w:val="18"/>
                <w:lang w:val="es-AR"/>
              </w:rPr>
            </w:pPr>
            <w:r w:rsidRPr="006F496A">
              <w:rPr>
                <w:rFonts w:eastAsia="Calibri"/>
                <w:sz w:val="18"/>
                <w:szCs w:val="18"/>
                <w:lang w:val="es-AR"/>
              </w:rPr>
              <w:t>Entrega del documento final al Ministerio de Relaciones Exteriores y Culto.</w:t>
            </w:r>
          </w:p>
        </w:tc>
        <w:tc>
          <w:tcPr>
            <w:tcW w:w="56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CF41D2" w14:textId="77777777" w:rsidR="004705B4" w:rsidRPr="006F496A" w:rsidRDefault="004705B4" w:rsidP="004705B4">
            <w:pPr>
              <w:jc w:val="center"/>
              <w:rPr>
                <w:sz w:val="18"/>
                <w:szCs w:val="18"/>
                <w:lang w:val="es-AR"/>
              </w:rPr>
            </w:pPr>
            <w:r w:rsidRPr="006F496A">
              <w:rPr>
                <w:sz w:val="18"/>
                <w:szCs w:val="18"/>
                <w:lang w:val="es-AR"/>
              </w:rPr>
              <w:t>UEP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vAlign w:val="center"/>
          </w:tcPr>
          <w:p w14:paraId="251CE0BE" w14:textId="77777777" w:rsidR="004705B4" w:rsidRPr="006F496A" w:rsidRDefault="004705B4" w:rsidP="004705B4">
            <w:pPr>
              <w:jc w:val="center"/>
              <w:rPr>
                <w:sz w:val="18"/>
                <w:szCs w:val="18"/>
                <w:lang w:val="es-AR"/>
              </w:rPr>
            </w:pPr>
            <w:r w:rsidRPr="006F496A">
              <w:rPr>
                <w:sz w:val="18"/>
                <w:szCs w:val="18"/>
                <w:lang w:val="es-AR"/>
              </w:rPr>
              <w:t>El objetivo es medir el cumplimiento del compromiso de la República Argentina frente a la CMNUCC referido a la presentación de comunicaciones nacionales.</w:t>
            </w:r>
          </w:p>
        </w:tc>
      </w:tr>
      <w:tr w:rsidR="004705B4" w:rsidRPr="0000724A" w14:paraId="7E7F2143" w14:textId="77777777" w:rsidTr="003537B0">
        <w:trPr>
          <w:trHeight w:val="440"/>
        </w:trPr>
        <w:tc>
          <w:tcPr>
            <w:tcW w:w="760" w:type="pct"/>
            <w:tcBorders>
              <w:bottom w:val="single" w:sz="4" w:space="0" w:color="auto"/>
              <w:right w:val="double" w:sz="4" w:space="0" w:color="auto"/>
            </w:tcBorders>
          </w:tcPr>
          <w:p w14:paraId="1B6BA87F" w14:textId="77777777" w:rsidR="004705B4" w:rsidRDefault="004705B4" w:rsidP="006F496A">
            <w:pPr>
              <w:jc w:val="center"/>
              <w:rPr>
                <w:rFonts w:eastAsia="Calibri"/>
                <w:i/>
                <w:sz w:val="18"/>
                <w:szCs w:val="18"/>
                <w:lang w:val="es-AR"/>
              </w:rPr>
            </w:pPr>
            <w:r w:rsidRPr="006F496A">
              <w:rPr>
                <w:rFonts w:eastAsia="Calibri"/>
                <w:b/>
                <w:sz w:val="18"/>
                <w:szCs w:val="18"/>
                <w:lang w:val="es-AR"/>
              </w:rPr>
              <w:t xml:space="preserve">Indicador: </w:t>
            </w:r>
            <w:r w:rsidRPr="006F496A">
              <w:rPr>
                <w:rFonts w:eastAsia="Calibri"/>
                <w:i/>
                <w:sz w:val="18"/>
                <w:szCs w:val="18"/>
                <w:lang w:val="es-AR"/>
              </w:rPr>
              <w:t>Herramientas de gestión y</w:t>
            </w:r>
            <w:r w:rsidR="00E84088" w:rsidRPr="006F496A">
              <w:rPr>
                <w:rFonts w:eastAsia="Calibri"/>
                <w:i/>
                <w:sz w:val="18"/>
                <w:szCs w:val="18"/>
                <w:lang w:val="es-AR"/>
              </w:rPr>
              <w:t>/o</w:t>
            </w:r>
            <w:r w:rsidRPr="006F496A">
              <w:rPr>
                <w:rFonts w:eastAsia="Calibri"/>
                <w:i/>
                <w:sz w:val="18"/>
                <w:szCs w:val="18"/>
                <w:lang w:val="es-AR"/>
              </w:rPr>
              <w:t xml:space="preserve"> estudios </w:t>
            </w:r>
            <w:r w:rsidR="00E84088" w:rsidRPr="006F496A">
              <w:rPr>
                <w:rFonts w:eastAsia="Calibri"/>
                <w:i/>
                <w:sz w:val="18"/>
                <w:szCs w:val="18"/>
                <w:lang w:val="es-AR"/>
              </w:rPr>
              <w:t>sobre</w:t>
            </w:r>
            <w:r w:rsidRPr="006F496A">
              <w:rPr>
                <w:rFonts w:eastAsia="Calibri"/>
                <w:i/>
                <w:sz w:val="18"/>
                <w:szCs w:val="18"/>
                <w:lang w:val="es-AR"/>
              </w:rPr>
              <w:t xml:space="preserve"> potenciales de mitigación </w:t>
            </w:r>
            <w:r w:rsidR="00E84088" w:rsidRPr="006F496A">
              <w:rPr>
                <w:rFonts w:eastAsia="Calibri"/>
                <w:i/>
                <w:sz w:val="18"/>
                <w:szCs w:val="18"/>
                <w:lang w:val="es-AR"/>
              </w:rPr>
              <w:t>sector-</w:t>
            </w:r>
            <w:r w:rsidRPr="006F496A">
              <w:rPr>
                <w:rFonts w:eastAsia="Calibri"/>
                <w:i/>
                <w:sz w:val="18"/>
                <w:szCs w:val="18"/>
                <w:lang w:val="es-AR"/>
              </w:rPr>
              <w:t>específicos</w:t>
            </w:r>
            <w:r w:rsidR="00E84088" w:rsidRPr="006F496A">
              <w:rPr>
                <w:rFonts w:eastAsia="Calibri"/>
                <w:i/>
                <w:sz w:val="18"/>
                <w:szCs w:val="18"/>
                <w:lang w:val="es-AR"/>
              </w:rPr>
              <w:t xml:space="preserve">, </w:t>
            </w:r>
            <w:r w:rsidRPr="006F496A">
              <w:rPr>
                <w:rFonts w:eastAsia="Calibri"/>
                <w:i/>
                <w:sz w:val="18"/>
                <w:szCs w:val="18"/>
                <w:lang w:val="es-AR"/>
              </w:rPr>
              <w:t>desarrollados para facilitar el proceso de evaluación  y diseño de P</w:t>
            </w:r>
            <w:r w:rsidR="00E84088" w:rsidRPr="006F496A">
              <w:rPr>
                <w:rFonts w:eastAsia="Calibri"/>
                <w:i/>
                <w:sz w:val="18"/>
                <w:szCs w:val="18"/>
                <w:lang w:val="es-AR"/>
              </w:rPr>
              <w:t xml:space="preserve">olíticas </w:t>
            </w:r>
            <w:r w:rsidRPr="006F496A">
              <w:rPr>
                <w:rFonts w:eastAsia="Calibri"/>
                <w:i/>
                <w:sz w:val="18"/>
                <w:szCs w:val="18"/>
                <w:lang w:val="es-AR"/>
              </w:rPr>
              <w:t>y</w:t>
            </w:r>
            <w:r w:rsidR="00E84088" w:rsidRPr="006F496A">
              <w:rPr>
                <w:rFonts w:eastAsia="Calibri"/>
                <w:i/>
                <w:sz w:val="18"/>
                <w:szCs w:val="18"/>
                <w:lang w:val="es-AR"/>
              </w:rPr>
              <w:t xml:space="preserve"> </w:t>
            </w:r>
            <w:r w:rsidRPr="006F496A">
              <w:rPr>
                <w:rFonts w:eastAsia="Calibri"/>
                <w:i/>
                <w:sz w:val="18"/>
                <w:szCs w:val="18"/>
                <w:lang w:val="es-AR"/>
              </w:rPr>
              <w:t>M</w:t>
            </w:r>
            <w:r w:rsidR="00E84088" w:rsidRPr="006F496A">
              <w:rPr>
                <w:rFonts w:eastAsia="Calibri"/>
                <w:i/>
                <w:sz w:val="18"/>
                <w:szCs w:val="18"/>
                <w:lang w:val="es-AR"/>
              </w:rPr>
              <w:t>edidas</w:t>
            </w:r>
            <w:r w:rsidRPr="006F496A">
              <w:rPr>
                <w:rFonts w:eastAsia="Calibri"/>
                <w:i/>
                <w:sz w:val="18"/>
                <w:szCs w:val="18"/>
                <w:lang w:val="es-AR"/>
              </w:rPr>
              <w:t xml:space="preserve"> de mitigación.</w:t>
            </w:r>
          </w:p>
          <w:p w14:paraId="2FE73FC7" w14:textId="77777777" w:rsidR="003537B0" w:rsidRPr="006F496A" w:rsidRDefault="003537B0" w:rsidP="006F496A">
            <w:pPr>
              <w:jc w:val="center"/>
              <w:rPr>
                <w:rFonts w:eastAsia="Calibri"/>
                <w:sz w:val="18"/>
                <w:szCs w:val="18"/>
                <w:lang w:val="es-AR"/>
              </w:rPr>
            </w:pPr>
          </w:p>
        </w:tc>
        <w:tc>
          <w:tcPr>
            <w:tcW w:w="164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55868850" w14:textId="77777777" w:rsidR="004705B4" w:rsidRPr="006F496A" w:rsidRDefault="004705B4" w:rsidP="004705B4">
            <w:pPr>
              <w:jc w:val="center"/>
              <w:rPr>
                <w:sz w:val="18"/>
                <w:szCs w:val="18"/>
                <w:lang w:val="es-AR"/>
              </w:rPr>
            </w:pPr>
            <w:r w:rsidRPr="006F496A">
              <w:rPr>
                <w:sz w:val="18"/>
                <w:szCs w:val="18"/>
                <w:lang w:val="es-A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496A">
              <w:rPr>
                <w:sz w:val="18"/>
                <w:szCs w:val="18"/>
                <w:lang w:val="es-AR"/>
              </w:rPr>
              <w:instrText xml:space="preserve"> FORMCHECKBOX </w:instrText>
            </w:r>
            <w:r w:rsidR="00B311DC">
              <w:rPr>
                <w:sz w:val="18"/>
                <w:szCs w:val="18"/>
                <w:lang w:val="es-AR"/>
              </w:rPr>
            </w:r>
            <w:r w:rsidR="00B311DC">
              <w:rPr>
                <w:sz w:val="18"/>
                <w:szCs w:val="18"/>
                <w:lang w:val="es-AR"/>
              </w:rPr>
              <w:fldChar w:fldCharType="separate"/>
            </w:r>
            <w:r w:rsidRPr="006F496A">
              <w:rPr>
                <w:sz w:val="18"/>
                <w:szCs w:val="18"/>
                <w:lang w:val="es-AR"/>
              </w:rPr>
              <w:fldChar w:fldCharType="end"/>
            </w:r>
          </w:p>
        </w:tc>
        <w:tc>
          <w:tcPr>
            <w:tcW w:w="39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2848CB" w14:textId="77777777" w:rsidR="004705B4" w:rsidRPr="006F496A" w:rsidRDefault="004705B4" w:rsidP="004705B4">
            <w:pPr>
              <w:jc w:val="center"/>
              <w:rPr>
                <w:rFonts w:eastAsia="Calibri"/>
                <w:sz w:val="18"/>
                <w:szCs w:val="18"/>
                <w:lang w:val="es-AR"/>
              </w:rPr>
            </w:pPr>
            <w:r w:rsidRPr="006F496A">
              <w:rPr>
                <w:rFonts w:eastAsia="Calibri"/>
                <w:sz w:val="18"/>
                <w:szCs w:val="18"/>
                <w:lang w:val="es-AR"/>
              </w:rPr>
              <w:t>Cantidad</w:t>
            </w:r>
          </w:p>
        </w:tc>
        <w:tc>
          <w:tcPr>
            <w:tcW w:w="493" w:type="pct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57D6486" w14:textId="77777777" w:rsidR="004705B4" w:rsidRPr="006F496A" w:rsidRDefault="004705B4" w:rsidP="004705B4">
            <w:pPr>
              <w:jc w:val="center"/>
              <w:rPr>
                <w:rFonts w:eastAsia="Calibri"/>
                <w:sz w:val="18"/>
                <w:szCs w:val="18"/>
                <w:lang w:val="es-AR"/>
              </w:rPr>
            </w:pPr>
            <w:r w:rsidRPr="006F496A">
              <w:rPr>
                <w:rFonts w:eastAsia="Calibri"/>
                <w:sz w:val="18"/>
                <w:szCs w:val="18"/>
                <w:lang w:val="es-AR"/>
              </w:rPr>
              <w:t>Estudios realizados en el marco de la Segunda Comunicación Nacional (Estudios Mitigación al 2007)</w:t>
            </w:r>
          </w:p>
        </w:tc>
        <w:tc>
          <w:tcPr>
            <w:tcW w:w="355" w:type="pct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8614D1" w14:textId="77777777" w:rsidR="004705B4" w:rsidRPr="006F496A" w:rsidRDefault="004705B4" w:rsidP="004705B4">
            <w:pPr>
              <w:jc w:val="center"/>
              <w:rPr>
                <w:sz w:val="18"/>
                <w:szCs w:val="18"/>
                <w:lang w:val="es-AR"/>
              </w:rPr>
            </w:pPr>
            <w:r w:rsidRPr="006F496A">
              <w:rPr>
                <w:sz w:val="18"/>
                <w:szCs w:val="18"/>
                <w:lang w:val="es-AR"/>
              </w:rPr>
              <w:t>0</w:t>
            </w:r>
          </w:p>
        </w:tc>
        <w:tc>
          <w:tcPr>
            <w:tcW w:w="3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D948E0" w14:textId="77777777" w:rsidR="004705B4" w:rsidRPr="006F496A" w:rsidRDefault="004705B4" w:rsidP="004705B4">
            <w:pPr>
              <w:jc w:val="center"/>
              <w:rPr>
                <w:sz w:val="18"/>
                <w:szCs w:val="18"/>
                <w:lang w:val="es-AR"/>
              </w:rPr>
            </w:pPr>
            <w:r w:rsidRPr="006F496A">
              <w:rPr>
                <w:sz w:val="18"/>
                <w:szCs w:val="18"/>
                <w:lang w:val="es-AR"/>
              </w:rPr>
              <w:t>0</w:t>
            </w:r>
          </w:p>
        </w:tc>
        <w:tc>
          <w:tcPr>
            <w:tcW w:w="34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CDA700" w14:textId="77777777" w:rsidR="004705B4" w:rsidRPr="006F496A" w:rsidRDefault="004705B4" w:rsidP="004705B4">
            <w:pPr>
              <w:jc w:val="center"/>
              <w:rPr>
                <w:sz w:val="18"/>
                <w:szCs w:val="18"/>
                <w:lang w:val="es-AR"/>
              </w:rPr>
            </w:pPr>
            <w:r w:rsidRPr="006F496A">
              <w:rPr>
                <w:sz w:val="18"/>
                <w:szCs w:val="18"/>
                <w:lang w:val="es-AR"/>
              </w:rPr>
              <w:t>19</w:t>
            </w:r>
          </w:p>
        </w:tc>
        <w:tc>
          <w:tcPr>
            <w:tcW w:w="403" w:type="pct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8C5483" w14:textId="77777777" w:rsidR="004705B4" w:rsidRPr="006F496A" w:rsidRDefault="004705B4" w:rsidP="004705B4">
            <w:pPr>
              <w:jc w:val="center"/>
              <w:rPr>
                <w:sz w:val="18"/>
                <w:szCs w:val="18"/>
                <w:lang w:val="es-AR"/>
              </w:rPr>
            </w:pPr>
            <w:r w:rsidRPr="006F496A">
              <w:rPr>
                <w:sz w:val="18"/>
                <w:szCs w:val="18"/>
                <w:lang w:val="es-AR"/>
              </w:rPr>
              <w:t>Semestral</w:t>
            </w:r>
          </w:p>
        </w:tc>
        <w:tc>
          <w:tcPr>
            <w:tcW w:w="46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92F131" w14:textId="77777777" w:rsidR="004705B4" w:rsidRPr="006F496A" w:rsidRDefault="004705B4" w:rsidP="004705B4">
            <w:pPr>
              <w:jc w:val="center"/>
              <w:rPr>
                <w:rFonts w:eastAsia="Calibri"/>
                <w:sz w:val="18"/>
                <w:szCs w:val="18"/>
                <w:lang w:val="es-AR"/>
              </w:rPr>
            </w:pPr>
            <w:r w:rsidRPr="006F496A">
              <w:rPr>
                <w:rFonts w:eastAsia="Calibri"/>
                <w:sz w:val="18"/>
                <w:szCs w:val="18"/>
                <w:lang w:val="es-AR"/>
              </w:rPr>
              <w:t>Informes consultorías finalizadas</w:t>
            </w:r>
            <w:r w:rsidRPr="006F496A">
              <w:rPr>
                <w:rFonts w:eastAsia="Calibri"/>
                <w:sz w:val="18"/>
                <w:vertAlign w:val="superscript"/>
                <w:lang w:val="es-AR"/>
              </w:rPr>
              <w:footnoteReference w:id="2"/>
            </w:r>
            <w:r w:rsidRPr="006F496A">
              <w:rPr>
                <w:rFonts w:eastAsia="Calibri"/>
                <w:sz w:val="18"/>
                <w:szCs w:val="18"/>
                <w:lang w:val="es-AR"/>
              </w:rPr>
              <w:t>.</w:t>
            </w:r>
          </w:p>
          <w:p w14:paraId="783BC934" w14:textId="77777777" w:rsidR="004705B4" w:rsidRPr="006F496A" w:rsidRDefault="004705B4" w:rsidP="004705B4">
            <w:pPr>
              <w:jc w:val="center"/>
              <w:rPr>
                <w:rFonts w:eastAsia="Calibri"/>
                <w:sz w:val="18"/>
                <w:szCs w:val="18"/>
                <w:lang w:val="es-AR"/>
              </w:rPr>
            </w:pPr>
            <w:r w:rsidRPr="006F496A">
              <w:rPr>
                <w:rFonts w:eastAsia="Calibri"/>
                <w:sz w:val="18"/>
                <w:szCs w:val="18"/>
                <w:lang w:val="es-AR"/>
              </w:rPr>
              <w:t>Valor sumatoria de Estudios y Productos desarrollados.</w:t>
            </w:r>
          </w:p>
        </w:tc>
        <w:tc>
          <w:tcPr>
            <w:tcW w:w="56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2B904" w14:textId="77777777" w:rsidR="004705B4" w:rsidRPr="006F496A" w:rsidRDefault="004705B4" w:rsidP="004705B4">
            <w:pPr>
              <w:jc w:val="center"/>
              <w:rPr>
                <w:sz w:val="18"/>
                <w:szCs w:val="18"/>
                <w:lang w:val="es-AR"/>
              </w:rPr>
            </w:pPr>
            <w:r w:rsidRPr="006F496A">
              <w:rPr>
                <w:sz w:val="18"/>
                <w:szCs w:val="18"/>
                <w:lang w:val="es-AR"/>
              </w:rPr>
              <w:t>UEP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vAlign w:val="center"/>
          </w:tcPr>
          <w:p w14:paraId="05A0A24D" w14:textId="77777777" w:rsidR="004705B4" w:rsidRPr="006F496A" w:rsidRDefault="004705B4" w:rsidP="004705B4">
            <w:pPr>
              <w:jc w:val="center"/>
              <w:rPr>
                <w:sz w:val="18"/>
                <w:szCs w:val="18"/>
                <w:lang w:val="es-AR"/>
              </w:rPr>
            </w:pPr>
            <w:r w:rsidRPr="006F496A">
              <w:rPr>
                <w:sz w:val="18"/>
                <w:szCs w:val="18"/>
                <w:lang w:val="es-AR"/>
              </w:rPr>
              <w:t xml:space="preserve">El objetivo es medir la cantidad de estudios y herramientas de gestión destinadas a diseñar, evaluar, priorizar y gestionar las </w:t>
            </w:r>
            <w:proofErr w:type="spellStart"/>
            <w:r w:rsidRPr="006F496A">
              <w:rPr>
                <w:sz w:val="18"/>
                <w:szCs w:val="18"/>
                <w:lang w:val="es-AR"/>
              </w:rPr>
              <w:t>PyM</w:t>
            </w:r>
            <w:proofErr w:type="spellEnd"/>
            <w:r w:rsidRPr="006F496A">
              <w:rPr>
                <w:sz w:val="18"/>
                <w:szCs w:val="18"/>
                <w:lang w:val="es-AR"/>
              </w:rPr>
              <w:t xml:space="preserve"> en Mitigación.</w:t>
            </w:r>
          </w:p>
        </w:tc>
      </w:tr>
      <w:tr w:rsidR="004705B4" w:rsidRPr="0000724A" w14:paraId="3F474428" w14:textId="77777777" w:rsidTr="003537B0">
        <w:trPr>
          <w:trHeight w:val="440"/>
        </w:trPr>
        <w:tc>
          <w:tcPr>
            <w:tcW w:w="760" w:type="pct"/>
            <w:tcBorders>
              <w:bottom w:val="single" w:sz="4" w:space="0" w:color="auto"/>
              <w:right w:val="double" w:sz="4" w:space="0" w:color="auto"/>
            </w:tcBorders>
          </w:tcPr>
          <w:p w14:paraId="6E2BF781" w14:textId="77777777" w:rsidR="004705B4" w:rsidRPr="006F496A" w:rsidRDefault="004705B4" w:rsidP="006F496A">
            <w:pPr>
              <w:jc w:val="center"/>
              <w:rPr>
                <w:rFonts w:eastAsia="Calibri"/>
                <w:sz w:val="18"/>
                <w:szCs w:val="18"/>
                <w:lang w:val="es-AR"/>
              </w:rPr>
            </w:pPr>
            <w:r w:rsidRPr="006F496A">
              <w:rPr>
                <w:rFonts w:eastAsia="Calibri"/>
                <w:b/>
                <w:sz w:val="18"/>
                <w:szCs w:val="18"/>
                <w:lang w:val="es-AR"/>
              </w:rPr>
              <w:lastRenderedPageBreak/>
              <w:t xml:space="preserve">Indicador: </w:t>
            </w:r>
            <w:r w:rsidR="00E84088" w:rsidRPr="006F496A">
              <w:rPr>
                <w:rFonts w:eastAsia="Calibri"/>
                <w:i/>
                <w:sz w:val="18"/>
                <w:szCs w:val="18"/>
                <w:lang w:val="es-AR"/>
              </w:rPr>
              <w:t>Un Estudio de Modelos Climáticos y</w:t>
            </w:r>
            <w:r w:rsidR="00E84088" w:rsidRPr="006F496A">
              <w:rPr>
                <w:rFonts w:eastAsia="Calibri"/>
                <w:b/>
                <w:sz w:val="18"/>
                <w:szCs w:val="18"/>
                <w:lang w:val="es-AR"/>
              </w:rPr>
              <w:t xml:space="preserve"> </w:t>
            </w:r>
            <w:r w:rsidRPr="006F496A">
              <w:rPr>
                <w:rFonts w:eastAsia="Calibri"/>
                <w:i/>
                <w:sz w:val="18"/>
                <w:szCs w:val="18"/>
                <w:lang w:val="es-AR"/>
              </w:rPr>
              <w:t>estudios de impacto, vulnerabilidad y adaptación desarrollados.</w:t>
            </w:r>
          </w:p>
        </w:tc>
        <w:tc>
          <w:tcPr>
            <w:tcW w:w="164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27C30CEC" w14:textId="77777777" w:rsidR="004705B4" w:rsidRPr="006F496A" w:rsidRDefault="004705B4" w:rsidP="004705B4">
            <w:pPr>
              <w:jc w:val="center"/>
              <w:rPr>
                <w:sz w:val="18"/>
                <w:szCs w:val="18"/>
                <w:lang w:val="es-AR"/>
              </w:rPr>
            </w:pPr>
            <w:r w:rsidRPr="006F496A">
              <w:rPr>
                <w:sz w:val="18"/>
                <w:szCs w:val="18"/>
                <w:lang w:val="es-A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496A">
              <w:rPr>
                <w:sz w:val="18"/>
                <w:szCs w:val="18"/>
                <w:lang w:val="es-AR"/>
              </w:rPr>
              <w:instrText xml:space="preserve"> FORMCHECKBOX </w:instrText>
            </w:r>
            <w:r w:rsidR="00B311DC">
              <w:rPr>
                <w:sz w:val="18"/>
                <w:szCs w:val="18"/>
                <w:lang w:val="es-AR"/>
              </w:rPr>
            </w:r>
            <w:r w:rsidR="00B311DC">
              <w:rPr>
                <w:sz w:val="18"/>
                <w:szCs w:val="18"/>
                <w:lang w:val="es-AR"/>
              </w:rPr>
              <w:fldChar w:fldCharType="separate"/>
            </w:r>
            <w:r w:rsidRPr="006F496A">
              <w:rPr>
                <w:sz w:val="18"/>
                <w:szCs w:val="18"/>
                <w:lang w:val="es-AR"/>
              </w:rPr>
              <w:fldChar w:fldCharType="end"/>
            </w:r>
          </w:p>
        </w:tc>
        <w:tc>
          <w:tcPr>
            <w:tcW w:w="39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D3735C" w14:textId="77777777" w:rsidR="004705B4" w:rsidRPr="006F496A" w:rsidRDefault="004705B4" w:rsidP="004705B4">
            <w:pPr>
              <w:jc w:val="center"/>
              <w:rPr>
                <w:rFonts w:eastAsia="Calibri"/>
                <w:sz w:val="18"/>
                <w:szCs w:val="18"/>
                <w:lang w:val="es-AR"/>
              </w:rPr>
            </w:pPr>
            <w:r w:rsidRPr="006F496A">
              <w:rPr>
                <w:rFonts w:eastAsia="Calibri"/>
                <w:sz w:val="18"/>
                <w:szCs w:val="18"/>
                <w:lang w:val="es-AR"/>
              </w:rPr>
              <w:t>Cantidad</w:t>
            </w:r>
          </w:p>
        </w:tc>
        <w:tc>
          <w:tcPr>
            <w:tcW w:w="493" w:type="pct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171BEA2" w14:textId="77777777" w:rsidR="004705B4" w:rsidRDefault="004705B4" w:rsidP="004705B4">
            <w:pPr>
              <w:jc w:val="center"/>
              <w:rPr>
                <w:rFonts w:eastAsia="Calibri"/>
                <w:sz w:val="18"/>
                <w:szCs w:val="18"/>
                <w:lang w:val="es-AR"/>
              </w:rPr>
            </w:pPr>
            <w:r w:rsidRPr="006F496A">
              <w:rPr>
                <w:rFonts w:eastAsia="Calibri"/>
                <w:sz w:val="18"/>
                <w:szCs w:val="18"/>
                <w:lang w:val="es-AR"/>
              </w:rPr>
              <w:t>Estudios realizados en el marco de la Segunda Comunicación Nacional (Estudios Adaptación al 2007)</w:t>
            </w:r>
          </w:p>
          <w:p w14:paraId="4AFD37AF" w14:textId="77777777" w:rsidR="003537B0" w:rsidRPr="006F496A" w:rsidRDefault="003537B0" w:rsidP="004705B4">
            <w:pPr>
              <w:jc w:val="center"/>
              <w:rPr>
                <w:rFonts w:eastAsia="Calibri"/>
                <w:sz w:val="18"/>
                <w:szCs w:val="18"/>
                <w:lang w:val="es-AR"/>
              </w:rPr>
            </w:pPr>
          </w:p>
        </w:tc>
        <w:tc>
          <w:tcPr>
            <w:tcW w:w="355" w:type="pct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4E154E" w14:textId="77777777" w:rsidR="004705B4" w:rsidRPr="006F496A" w:rsidRDefault="004705B4" w:rsidP="004705B4">
            <w:pPr>
              <w:jc w:val="center"/>
              <w:rPr>
                <w:sz w:val="18"/>
                <w:szCs w:val="18"/>
                <w:lang w:val="es-AR"/>
              </w:rPr>
            </w:pPr>
            <w:r w:rsidRPr="006F496A">
              <w:rPr>
                <w:sz w:val="18"/>
                <w:szCs w:val="18"/>
                <w:lang w:val="es-AR"/>
              </w:rPr>
              <w:t>0</w:t>
            </w:r>
          </w:p>
        </w:tc>
        <w:tc>
          <w:tcPr>
            <w:tcW w:w="3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9449BF" w14:textId="77777777" w:rsidR="004705B4" w:rsidRPr="006F496A" w:rsidRDefault="004705B4" w:rsidP="004705B4">
            <w:pPr>
              <w:jc w:val="center"/>
              <w:rPr>
                <w:sz w:val="18"/>
                <w:szCs w:val="18"/>
                <w:lang w:val="es-AR"/>
              </w:rPr>
            </w:pPr>
            <w:r w:rsidRPr="006F496A">
              <w:rPr>
                <w:sz w:val="18"/>
                <w:szCs w:val="18"/>
                <w:lang w:val="es-AR"/>
              </w:rPr>
              <w:t>1</w:t>
            </w:r>
          </w:p>
        </w:tc>
        <w:tc>
          <w:tcPr>
            <w:tcW w:w="34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DDFA54" w14:textId="77777777" w:rsidR="004705B4" w:rsidRPr="006F496A" w:rsidRDefault="004705B4" w:rsidP="004705B4">
            <w:pPr>
              <w:jc w:val="center"/>
              <w:rPr>
                <w:sz w:val="18"/>
                <w:szCs w:val="18"/>
                <w:lang w:val="es-AR"/>
              </w:rPr>
            </w:pPr>
            <w:r w:rsidRPr="006F496A">
              <w:rPr>
                <w:sz w:val="18"/>
                <w:szCs w:val="18"/>
                <w:lang w:val="es-AR"/>
              </w:rPr>
              <w:t>4</w:t>
            </w:r>
          </w:p>
        </w:tc>
        <w:tc>
          <w:tcPr>
            <w:tcW w:w="403" w:type="pct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D94F77" w14:textId="77777777" w:rsidR="004705B4" w:rsidRPr="006F496A" w:rsidRDefault="004705B4" w:rsidP="004705B4">
            <w:pPr>
              <w:jc w:val="center"/>
              <w:rPr>
                <w:sz w:val="18"/>
                <w:szCs w:val="18"/>
                <w:lang w:val="es-AR"/>
              </w:rPr>
            </w:pPr>
            <w:r w:rsidRPr="006F496A">
              <w:rPr>
                <w:sz w:val="18"/>
                <w:szCs w:val="18"/>
                <w:lang w:val="es-AR"/>
              </w:rPr>
              <w:t>Semestral</w:t>
            </w:r>
          </w:p>
        </w:tc>
        <w:tc>
          <w:tcPr>
            <w:tcW w:w="46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CA781A" w14:textId="77777777" w:rsidR="004705B4" w:rsidRPr="006F496A" w:rsidRDefault="004705B4" w:rsidP="004705B4">
            <w:pPr>
              <w:jc w:val="center"/>
              <w:rPr>
                <w:rFonts w:eastAsia="Calibri"/>
                <w:sz w:val="18"/>
                <w:szCs w:val="18"/>
                <w:lang w:val="es-AR"/>
              </w:rPr>
            </w:pPr>
            <w:r w:rsidRPr="006F496A">
              <w:rPr>
                <w:rFonts w:eastAsia="Calibri"/>
                <w:sz w:val="18"/>
                <w:szCs w:val="18"/>
                <w:lang w:val="es-AR"/>
              </w:rPr>
              <w:t>Informes consultorías finalizadas.</w:t>
            </w:r>
          </w:p>
          <w:p w14:paraId="6F6E3843" w14:textId="77777777" w:rsidR="004705B4" w:rsidRPr="006F496A" w:rsidRDefault="004705B4" w:rsidP="004705B4">
            <w:pPr>
              <w:jc w:val="center"/>
              <w:rPr>
                <w:rFonts w:eastAsia="Calibri"/>
                <w:sz w:val="18"/>
                <w:szCs w:val="18"/>
                <w:lang w:val="es-AR"/>
              </w:rPr>
            </w:pPr>
            <w:r w:rsidRPr="006F496A">
              <w:rPr>
                <w:rFonts w:eastAsia="Calibri"/>
                <w:sz w:val="18"/>
                <w:szCs w:val="18"/>
                <w:lang w:val="es-AR"/>
              </w:rPr>
              <w:t>Valor sumatoria de Estudios y Productos desarrollados.</w:t>
            </w:r>
          </w:p>
        </w:tc>
        <w:tc>
          <w:tcPr>
            <w:tcW w:w="56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152BB" w14:textId="77777777" w:rsidR="004705B4" w:rsidRPr="006F496A" w:rsidRDefault="004705B4" w:rsidP="004705B4">
            <w:pPr>
              <w:jc w:val="center"/>
              <w:rPr>
                <w:sz w:val="18"/>
                <w:szCs w:val="18"/>
                <w:lang w:val="es-AR"/>
              </w:rPr>
            </w:pPr>
            <w:r w:rsidRPr="006F496A">
              <w:rPr>
                <w:sz w:val="18"/>
                <w:szCs w:val="18"/>
                <w:lang w:val="es-AR"/>
              </w:rPr>
              <w:t>UEP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vAlign w:val="center"/>
          </w:tcPr>
          <w:p w14:paraId="007FBB76" w14:textId="77777777" w:rsidR="004705B4" w:rsidRPr="006F496A" w:rsidRDefault="004705B4" w:rsidP="004705B4">
            <w:pPr>
              <w:jc w:val="center"/>
              <w:rPr>
                <w:sz w:val="18"/>
                <w:szCs w:val="18"/>
                <w:lang w:val="es-AR"/>
              </w:rPr>
            </w:pPr>
            <w:r w:rsidRPr="006F496A">
              <w:rPr>
                <w:sz w:val="18"/>
                <w:szCs w:val="18"/>
                <w:lang w:val="es-AR"/>
              </w:rPr>
              <w:t xml:space="preserve">El objetivo es medir la cantidad de estudios y herramientas de gestión destinadas a diseñar, evaluar, priorizar y gestionar las </w:t>
            </w:r>
            <w:proofErr w:type="spellStart"/>
            <w:r w:rsidRPr="006F496A">
              <w:rPr>
                <w:sz w:val="18"/>
                <w:szCs w:val="18"/>
                <w:lang w:val="es-AR"/>
              </w:rPr>
              <w:t>PyM</w:t>
            </w:r>
            <w:proofErr w:type="spellEnd"/>
            <w:r w:rsidRPr="006F496A">
              <w:rPr>
                <w:sz w:val="18"/>
                <w:szCs w:val="18"/>
                <w:lang w:val="es-AR"/>
              </w:rPr>
              <w:t xml:space="preserve"> en Adaptación.</w:t>
            </w:r>
          </w:p>
        </w:tc>
      </w:tr>
      <w:tr w:rsidR="003537B0" w:rsidRPr="006F496A" w14:paraId="2CDBB1E0" w14:textId="77777777" w:rsidTr="003537B0">
        <w:trPr>
          <w:trHeight w:val="342"/>
        </w:trPr>
        <w:tc>
          <w:tcPr>
            <w:tcW w:w="760" w:type="pct"/>
            <w:vMerge w:val="restart"/>
            <w:tcBorders>
              <w:right w:val="double" w:sz="4" w:space="0" w:color="auto"/>
            </w:tcBorders>
            <w:shd w:val="pct15" w:color="auto" w:fill="auto"/>
            <w:vAlign w:val="center"/>
          </w:tcPr>
          <w:p w14:paraId="2C0E8568" w14:textId="77777777" w:rsidR="003537B0" w:rsidRPr="006F496A" w:rsidRDefault="003537B0" w:rsidP="004705B4">
            <w:pPr>
              <w:jc w:val="center"/>
              <w:rPr>
                <w:b/>
                <w:bCs/>
                <w:sz w:val="18"/>
                <w:szCs w:val="18"/>
                <w:lang w:val="es-AR"/>
              </w:rPr>
            </w:pPr>
            <w:r w:rsidRPr="006F496A">
              <w:rPr>
                <w:b/>
                <w:bCs/>
                <w:sz w:val="18"/>
                <w:szCs w:val="18"/>
                <w:lang w:val="es-AR"/>
              </w:rPr>
              <w:t>Indicadores de Resultados Intermedios del Proyecto</w:t>
            </w:r>
          </w:p>
        </w:tc>
        <w:tc>
          <w:tcPr>
            <w:tcW w:w="164" w:type="pct"/>
            <w:vMerge w:val="restart"/>
            <w:tcBorders>
              <w:left w:val="double" w:sz="4" w:space="0" w:color="auto"/>
            </w:tcBorders>
            <w:shd w:val="pct15" w:color="auto" w:fill="auto"/>
            <w:textDirection w:val="btLr"/>
            <w:vAlign w:val="center"/>
          </w:tcPr>
          <w:p w14:paraId="4420A1AD" w14:textId="77777777" w:rsidR="003537B0" w:rsidRPr="006F496A" w:rsidRDefault="003537B0" w:rsidP="004705B4">
            <w:pPr>
              <w:ind w:left="-108" w:right="-108"/>
              <w:jc w:val="center"/>
              <w:rPr>
                <w:b/>
                <w:bCs/>
                <w:sz w:val="18"/>
                <w:szCs w:val="18"/>
                <w:lang w:val="es-AR"/>
              </w:rPr>
            </w:pPr>
            <w:r w:rsidRPr="006F496A">
              <w:rPr>
                <w:b/>
                <w:bCs/>
                <w:sz w:val="18"/>
                <w:szCs w:val="18"/>
                <w:lang w:val="es-AR"/>
              </w:rPr>
              <w:t>Core</w:t>
            </w:r>
          </w:p>
        </w:tc>
        <w:tc>
          <w:tcPr>
            <w:tcW w:w="396" w:type="pct"/>
            <w:vMerge w:val="restart"/>
            <w:shd w:val="pct15" w:color="auto" w:fill="auto"/>
            <w:vAlign w:val="center"/>
          </w:tcPr>
          <w:p w14:paraId="32E73AD9" w14:textId="77777777" w:rsidR="003537B0" w:rsidRPr="006F496A" w:rsidRDefault="003537B0" w:rsidP="004705B4">
            <w:pPr>
              <w:ind w:left="-108" w:right="-108"/>
              <w:jc w:val="center"/>
              <w:rPr>
                <w:b/>
                <w:bCs/>
                <w:sz w:val="18"/>
                <w:szCs w:val="18"/>
                <w:lang w:val="es-AR"/>
              </w:rPr>
            </w:pPr>
            <w:r w:rsidRPr="006F496A">
              <w:rPr>
                <w:b/>
                <w:bCs/>
                <w:sz w:val="18"/>
                <w:szCs w:val="18"/>
                <w:lang w:val="es-AR"/>
              </w:rPr>
              <w:t>Unidad de medición</w:t>
            </w:r>
          </w:p>
        </w:tc>
        <w:tc>
          <w:tcPr>
            <w:tcW w:w="493" w:type="pct"/>
            <w:vMerge w:val="restart"/>
            <w:tcBorders>
              <w:right w:val="double" w:sz="4" w:space="0" w:color="auto"/>
            </w:tcBorders>
            <w:shd w:val="pct15" w:color="auto" w:fill="auto"/>
            <w:vAlign w:val="center"/>
          </w:tcPr>
          <w:p w14:paraId="6BC957DE" w14:textId="77777777" w:rsidR="003537B0" w:rsidRPr="006F496A" w:rsidRDefault="003537B0" w:rsidP="004705B4">
            <w:pPr>
              <w:jc w:val="center"/>
              <w:rPr>
                <w:b/>
                <w:bCs/>
                <w:sz w:val="18"/>
                <w:szCs w:val="18"/>
                <w:lang w:val="es-AR"/>
              </w:rPr>
            </w:pPr>
            <w:r w:rsidRPr="006F496A">
              <w:rPr>
                <w:b/>
                <w:bCs/>
                <w:sz w:val="18"/>
                <w:szCs w:val="18"/>
                <w:lang w:val="es-AR"/>
              </w:rPr>
              <w:t>Línea de Base</w:t>
            </w:r>
          </w:p>
        </w:tc>
        <w:tc>
          <w:tcPr>
            <w:tcW w:w="1055" w:type="pct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263CD2F7" w14:textId="77777777" w:rsidR="003537B0" w:rsidRPr="006F496A" w:rsidRDefault="003537B0" w:rsidP="004705B4">
            <w:pPr>
              <w:jc w:val="center"/>
              <w:rPr>
                <w:b/>
                <w:bCs/>
                <w:sz w:val="18"/>
                <w:szCs w:val="18"/>
                <w:lang w:val="es-AR"/>
              </w:rPr>
            </w:pPr>
            <w:r w:rsidRPr="006F496A">
              <w:rPr>
                <w:b/>
                <w:bCs/>
                <w:sz w:val="18"/>
                <w:szCs w:val="18"/>
                <w:lang w:val="es-AR"/>
              </w:rPr>
              <w:t>Valores objetivos acumulados</w:t>
            </w:r>
          </w:p>
        </w:tc>
        <w:tc>
          <w:tcPr>
            <w:tcW w:w="403" w:type="pct"/>
            <w:vMerge w:val="restart"/>
            <w:tcBorders>
              <w:left w:val="double" w:sz="4" w:space="0" w:color="auto"/>
            </w:tcBorders>
            <w:shd w:val="pct15" w:color="auto" w:fill="auto"/>
            <w:vAlign w:val="center"/>
          </w:tcPr>
          <w:p w14:paraId="06761631" w14:textId="77777777" w:rsidR="003537B0" w:rsidRPr="006F496A" w:rsidRDefault="003537B0" w:rsidP="004705B4">
            <w:pPr>
              <w:jc w:val="center"/>
              <w:rPr>
                <w:b/>
                <w:bCs/>
                <w:sz w:val="18"/>
                <w:szCs w:val="18"/>
                <w:lang w:val="es-AR"/>
              </w:rPr>
            </w:pPr>
            <w:r w:rsidRPr="006F496A">
              <w:rPr>
                <w:b/>
                <w:bCs/>
                <w:sz w:val="18"/>
                <w:szCs w:val="18"/>
                <w:lang w:val="es-AR"/>
              </w:rPr>
              <w:t>Frecuencia y Reportes</w:t>
            </w:r>
          </w:p>
        </w:tc>
        <w:tc>
          <w:tcPr>
            <w:tcW w:w="462" w:type="pct"/>
            <w:vMerge w:val="restart"/>
            <w:shd w:val="pct15" w:color="auto" w:fill="auto"/>
            <w:vAlign w:val="center"/>
          </w:tcPr>
          <w:p w14:paraId="7B3DFBB6" w14:textId="77777777" w:rsidR="003537B0" w:rsidRPr="006F496A" w:rsidRDefault="003537B0" w:rsidP="004705B4">
            <w:pPr>
              <w:jc w:val="center"/>
              <w:rPr>
                <w:b/>
                <w:bCs/>
                <w:sz w:val="18"/>
                <w:szCs w:val="18"/>
                <w:lang w:val="es-AR"/>
              </w:rPr>
            </w:pPr>
            <w:r w:rsidRPr="006F496A">
              <w:rPr>
                <w:b/>
                <w:bCs/>
                <w:sz w:val="18"/>
                <w:szCs w:val="18"/>
                <w:lang w:val="es-AR"/>
              </w:rPr>
              <w:t>Origen de Información /</w:t>
            </w:r>
          </w:p>
          <w:p w14:paraId="13EE71E0" w14:textId="77777777" w:rsidR="003537B0" w:rsidRPr="006F496A" w:rsidRDefault="003537B0" w:rsidP="004705B4">
            <w:pPr>
              <w:jc w:val="center"/>
              <w:rPr>
                <w:b/>
                <w:bCs/>
                <w:sz w:val="18"/>
                <w:szCs w:val="18"/>
                <w:lang w:val="es-AR"/>
              </w:rPr>
            </w:pPr>
            <w:r w:rsidRPr="006F496A">
              <w:rPr>
                <w:b/>
                <w:bCs/>
                <w:sz w:val="18"/>
                <w:szCs w:val="18"/>
                <w:lang w:val="es-AR"/>
              </w:rPr>
              <w:t>Metodología</w:t>
            </w:r>
          </w:p>
        </w:tc>
        <w:tc>
          <w:tcPr>
            <w:tcW w:w="562" w:type="pct"/>
            <w:gridSpan w:val="2"/>
            <w:vMerge w:val="restart"/>
            <w:shd w:val="pct15" w:color="auto" w:fill="auto"/>
            <w:vAlign w:val="center"/>
          </w:tcPr>
          <w:p w14:paraId="3D93627C" w14:textId="77777777" w:rsidR="003537B0" w:rsidRPr="006F496A" w:rsidRDefault="003537B0" w:rsidP="004705B4">
            <w:pPr>
              <w:jc w:val="center"/>
              <w:rPr>
                <w:b/>
                <w:bCs/>
                <w:sz w:val="18"/>
                <w:szCs w:val="18"/>
                <w:lang w:val="es-AR"/>
              </w:rPr>
            </w:pPr>
            <w:r w:rsidRPr="006F496A">
              <w:rPr>
                <w:b/>
                <w:bCs/>
                <w:sz w:val="18"/>
                <w:szCs w:val="18"/>
                <w:lang w:val="es-AR"/>
              </w:rPr>
              <w:t>Responsabilidad para la</w:t>
            </w:r>
          </w:p>
          <w:p w14:paraId="5A360D28" w14:textId="77777777" w:rsidR="003537B0" w:rsidRPr="006F496A" w:rsidRDefault="003537B0" w:rsidP="004705B4">
            <w:pPr>
              <w:jc w:val="center"/>
              <w:rPr>
                <w:b/>
                <w:bCs/>
                <w:sz w:val="18"/>
                <w:szCs w:val="18"/>
                <w:lang w:val="es-AR"/>
              </w:rPr>
            </w:pPr>
            <w:r w:rsidRPr="006F496A">
              <w:rPr>
                <w:b/>
                <w:bCs/>
                <w:sz w:val="18"/>
                <w:szCs w:val="18"/>
                <w:lang w:val="es-AR"/>
              </w:rPr>
              <w:t>Recolección de Información</w:t>
            </w:r>
          </w:p>
        </w:tc>
        <w:tc>
          <w:tcPr>
            <w:tcW w:w="705" w:type="pct"/>
            <w:vMerge w:val="restart"/>
            <w:shd w:val="pct15" w:color="auto" w:fill="auto"/>
          </w:tcPr>
          <w:p w14:paraId="66A396C3" w14:textId="77777777" w:rsidR="003537B0" w:rsidRPr="006F496A" w:rsidRDefault="003537B0" w:rsidP="004705B4">
            <w:pPr>
              <w:jc w:val="center"/>
              <w:rPr>
                <w:b/>
                <w:bCs/>
                <w:sz w:val="18"/>
                <w:szCs w:val="18"/>
                <w:lang w:val="es-AR"/>
              </w:rPr>
            </w:pPr>
            <w:r w:rsidRPr="006F496A">
              <w:rPr>
                <w:b/>
                <w:bCs/>
                <w:sz w:val="18"/>
                <w:szCs w:val="18"/>
                <w:lang w:val="es-AR"/>
              </w:rPr>
              <w:t>Definición del indicador</w:t>
            </w:r>
          </w:p>
        </w:tc>
      </w:tr>
      <w:tr w:rsidR="003537B0" w:rsidRPr="006F496A" w14:paraId="297606F8" w14:textId="77777777" w:rsidTr="003537B0">
        <w:trPr>
          <w:trHeight w:val="242"/>
        </w:trPr>
        <w:tc>
          <w:tcPr>
            <w:tcW w:w="760" w:type="pct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3439B98" w14:textId="77777777" w:rsidR="003537B0" w:rsidRPr="006F496A" w:rsidRDefault="003537B0" w:rsidP="004705B4">
            <w:pPr>
              <w:jc w:val="center"/>
              <w:rPr>
                <w:b/>
                <w:bCs/>
                <w:sz w:val="18"/>
                <w:szCs w:val="18"/>
                <w:lang w:val="es-AR"/>
              </w:rPr>
            </w:pPr>
          </w:p>
        </w:tc>
        <w:tc>
          <w:tcPr>
            <w:tcW w:w="164" w:type="pct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53B4D90E" w14:textId="77777777" w:rsidR="003537B0" w:rsidRPr="006F496A" w:rsidRDefault="003537B0" w:rsidP="004705B4">
            <w:pPr>
              <w:jc w:val="center"/>
              <w:rPr>
                <w:b/>
                <w:bCs/>
                <w:sz w:val="18"/>
                <w:szCs w:val="18"/>
                <w:lang w:val="es-AR"/>
              </w:rPr>
            </w:pPr>
          </w:p>
        </w:tc>
        <w:tc>
          <w:tcPr>
            <w:tcW w:w="396" w:type="pct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BF7C8D3" w14:textId="77777777" w:rsidR="003537B0" w:rsidRPr="006F496A" w:rsidRDefault="003537B0" w:rsidP="004705B4">
            <w:pPr>
              <w:jc w:val="center"/>
              <w:rPr>
                <w:b/>
                <w:bCs/>
                <w:sz w:val="18"/>
                <w:szCs w:val="18"/>
                <w:lang w:val="es-AR"/>
              </w:rPr>
            </w:pPr>
          </w:p>
        </w:tc>
        <w:tc>
          <w:tcPr>
            <w:tcW w:w="493" w:type="pct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4BE03638" w14:textId="77777777" w:rsidR="003537B0" w:rsidRPr="006F496A" w:rsidRDefault="003537B0" w:rsidP="004705B4">
            <w:pPr>
              <w:jc w:val="center"/>
              <w:rPr>
                <w:b/>
                <w:bCs/>
                <w:sz w:val="18"/>
                <w:szCs w:val="18"/>
                <w:lang w:val="es-AR"/>
              </w:rPr>
            </w:pPr>
          </w:p>
        </w:tc>
        <w:tc>
          <w:tcPr>
            <w:tcW w:w="355" w:type="pct"/>
            <w:tcBorders>
              <w:left w:val="doub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738CEDF0" w14:textId="77777777" w:rsidR="003537B0" w:rsidRPr="006F496A" w:rsidRDefault="003537B0" w:rsidP="004705B4">
            <w:pPr>
              <w:jc w:val="center"/>
              <w:rPr>
                <w:b/>
                <w:bCs/>
                <w:sz w:val="18"/>
                <w:szCs w:val="18"/>
                <w:lang w:val="es-AR"/>
              </w:rPr>
            </w:pPr>
            <w:r w:rsidRPr="006F496A">
              <w:rPr>
                <w:b/>
                <w:bCs/>
                <w:sz w:val="18"/>
                <w:szCs w:val="18"/>
                <w:lang w:val="es-AR"/>
              </w:rPr>
              <w:t>2013</w:t>
            </w:r>
          </w:p>
        </w:tc>
        <w:tc>
          <w:tcPr>
            <w:tcW w:w="355" w:type="pct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00910A1A" w14:textId="77777777" w:rsidR="003537B0" w:rsidRPr="006F496A" w:rsidRDefault="003537B0" w:rsidP="004705B4">
            <w:pPr>
              <w:jc w:val="center"/>
              <w:rPr>
                <w:b/>
                <w:bCs/>
                <w:sz w:val="18"/>
                <w:szCs w:val="18"/>
                <w:lang w:val="es-AR"/>
              </w:rPr>
            </w:pPr>
            <w:r w:rsidRPr="006F496A">
              <w:rPr>
                <w:b/>
                <w:bCs/>
                <w:sz w:val="18"/>
                <w:szCs w:val="18"/>
                <w:lang w:val="es-AR"/>
              </w:rPr>
              <w:t>2014</w:t>
            </w:r>
          </w:p>
        </w:tc>
        <w:tc>
          <w:tcPr>
            <w:tcW w:w="345" w:type="pct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573D28F0" w14:textId="77777777" w:rsidR="003537B0" w:rsidRPr="006F496A" w:rsidRDefault="003537B0" w:rsidP="004705B4">
            <w:pPr>
              <w:jc w:val="center"/>
              <w:rPr>
                <w:b/>
                <w:bCs/>
                <w:sz w:val="18"/>
                <w:szCs w:val="18"/>
                <w:lang w:val="es-AR"/>
              </w:rPr>
            </w:pPr>
            <w:r w:rsidRPr="006F496A">
              <w:rPr>
                <w:b/>
                <w:bCs/>
                <w:sz w:val="18"/>
                <w:szCs w:val="18"/>
                <w:lang w:val="es-AR"/>
              </w:rPr>
              <w:t>2015</w:t>
            </w:r>
          </w:p>
        </w:tc>
        <w:tc>
          <w:tcPr>
            <w:tcW w:w="403" w:type="pct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60586072" w14:textId="77777777" w:rsidR="003537B0" w:rsidRPr="006F496A" w:rsidRDefault="003537B0" w:rsidP="004705B4">
            <w:pPr>
              <w:jc w:val="center"/>
              <w:rPr>
                <w:b/>
                <w:bCs/>
                <w:sz w:val="18"/>
                <w:szCs w:val="18"/>
                <w:lang w:val="es-AR"/>
              </w:rPr>
            </w:pPr>
          </w:p>
        </w:tc>
        <w:tc>
          <w:tcPr>
            <w:tcW w:w="462" w:type="pct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978D1E0" w14:textId="77777777" w:rsidR="003537B0" w:rsidRPr="006F496A" w:rsidRDefault="003537B0" w:rsidP="004705B4">
            <w:pPr>
              <w:jc w:val="center"/>
              <w:rPr>
                <w:b/>
                <w:bCs/>
                <w:sz w:val="18"/>
                <w:szCs w:val="18"/>
                <w:lang w:val="es-AR"/>
              </w:rPr>
            </w:pPr>
          </w:p>
        </w:tc>
        <w:tc>
          <w:tcPr>
            <w:tcW w:w="562" w:type="pct"/>
            <w:gridSpan w:val="2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B185DC2" w14:textId="77777777" w:rsidR="003537B0" w:rsidRPr="006F496A" w:rsidRDefault="003537B0" w:rsidP="004705B4">
            <w:pPr>
              <w:jc w:val="center"/>
              <w:rPr>
                <w:b/>
                <w:bCs/>
                <w:sz w:val="18"/>
                <w:szCs w:val="18"/>
                <w:lang w:val="es-AR"/>
              </w:rPr>
            </w:pPr>
          </w:p>
        </w:tc>
        <w:tc>
          <w:tcPr>
            <w:tcW w:w="705" w:type="pct"/>
            <w:vMerge/>
            <w:tcBorders>
              <w:bottom w:val="single" w:sz="4" w:space="0" w:color="auto"/>
            </w:tcBorders>
            <w:shd w:val="clear" w:color="auto" w:fill="E6E6E6"/>
          </w:tcPr>
          <w:p w14:paraId="20D1BE16" w14:textId="77777777" w:rsidR="003537B0" w:rsidRPr="006F496A" w:rsidRDefault="003537B0" w:rsidP="004705B4">
            <w:pPr>
              <w:jc w:val="center"/>
              <w:rPr>
                <w:b/>
                <w:bCs/>
                <w:sz w:val="18"/>
                <w:szCs w:val="18"/>
                <w:lang w:val="es-AR"/>
              </w:rPr>
            </w:pPr>
          </w:p>
        </w:tc>
      </w:tr>
      <w:tr w:rsidR="004705B4" w:rsidRPr="0000724A" w14:paraId="0F90B5E9" w14:textId="77777777" w:rsidTr="004705B4">
        <w:trPr>
          <w:trHeight w:val="321"/>
        </w:trPr>
        <w:tc>
          <w:tcPr>
            <w:tcW w:w="5000" w:type="pct"/>
            <w:gridSpan w:val="12"/>
            <w:shd w:val="clear" w:color="auto" w:fill="auto"/>
            <w:vAlign w:val="center"/>
          </w:tcPr>
          <w:p w14:paraId="2FF61BAE" w14:textId="77777777" w:rsidR="004705B4" w:rsidRPr="006F496A" w:rsidRDefault="004705B4" w:rsidP="004705B4">
            <w:pPr>
              <w:spacing w:before="120" w:after="120"/>
              <w:jc w:val="center"/>
              <w:rPr>
                <w:b/>
                <w:sz w:val="18"/>
                <w:lang w:val="es-AR"/>
              </w:rPr>
            </w:pPr>
            <w:r w:rsidRPr="006F496A">
              <w:rPr>
                <w:b/>
                <w:sz w:val="18"/>
                <w:lang w:val="es-AR"/>
              </w:rPr>
              <w:t>Componente 1: Fortalecimiento del Potencial Nacional para la Mitigación del Cambio Climático</w:t>
            </w:r>
          </w:p>
        </w:tc>
      </w:tr>
      <w:tr w:rsidR="004705B4" w:rsidRPr="0000724A" w14:paraId="616559A3" w14:textId="77777777" w:rsidTr="003537B0">
        <w:trPr>
          <w:trHeight w:val="395"/>
        </w:trPr>
        <w:tc>
          <w:tcPr>
            <w:tcW w:w="760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D9F5B00" w14:textId="3C4A842A" w:rsidR="004705B4" w:rsidRPr="006F496A" w:rsidRDefault="004705B4" w:rsidP="004705B4">
            <w:pPr>
              <w:tabs>
                <w:tab w:val="left" w:pos="270"/>
              </w:tabs>
              <w:jc w:val="center"/>
              <w:rPr>
                <w:i/>
                <w:sz w:val="18"/>
                <w:szCs w:val="18"/>
                <w:lang w:val="es-AR"/>
              </w:rPr>
            </w:pPr>
            <w:r w:rsidRPr="006F496A">
              <w:rPr>
                <w:b/>
                <w:i/>
                <w:sz w:val="18"/>
                <w:szCs w:val="18"/>
                <w:lang w:val="es-AR"/>
              </w:rPr>
              <w:t xml:space="preserve">Indicador: </w:t>
            </w:r>
            <w:r w:rsidRPr="006F496A">
              <w:rPr>
                <w:i/>
                <w:sz w:val="18"/>
                <w:szCs w:val="18"/>
                <w:lang w:val="es-AR"/>
              </w:rPr>
              <w:t>Nivel de progreso alcanzado en la genera</w:t>
            </w:r>
            <w:r w:rsidR="00823035">
              <w:rPr>
                <w:i/>
                <w:sz w:val="18"/>
                <w:szCs w:val="18"/>
                <w:lang w:val="es-AR"/>
              </w:rPr>
              <w:t>ción de información de base de m</w:t>
            </w:r>
            <w:r w:rsidRPr="006F496A">
              <w:rPr>
                <w:i/>
                <w:sz w:val="18"/>
                <w:szCs w:val="18"/>
                <w:lang w:val="es-AR"/>
              </w:rPr>
              <w:t>itigación.</w:t>
            </w:r>
          </w:p>
        </w:tc>
        <w:tc>
          <w:tcPr>
            <w:tcW w:w="164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572E10C" w14:textId="77777777" w:rsidR="004705B4" w:rsidRPr="006F496A" w:rsidRDefault="004705B4" w:rsidP="004705B4">
            <w:pPr>
              <w:jc w:val="center"/>
              <w:rPr>
                <w:sz w:val="18"/>
                <w:szCs w:val="18"/>
                <w:lang w:val="es-AR"/>
              </w:rPr>
            </w:pPr>
            <w:r w:rsidRPr="006F496A">
              <w:rPr>
                <w:sz w:val="18"/>
                <w:szCs w:val="18"/>
                <w:lang w:val="es-A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496A">
              <w:rPr>
                <w:sz w:val="18"/>
                <w:szCs w:val="18"/>
                <w:lang w:val="es-AR"/>
              </w:rPr>
              <w:instrText xml:space="preserve"> FORMCHECKBOX </w:instrText>
            </w:r>
            <w:r w:rsidR="00B311DC">
              <w:rPr>
                <w:sz w:val="18"/>
                <w:szCs w:val="18"/>
                <w:lang w:val="es-AR"/>
              </w:rPr>
            </w:r>
            <w:r w:rsidR="00B311DC">
              <w:rPr>
                <w:sz w:val="18"/>
                <w:szCs w:val="18"/>
                <w:lang w:val="es-AR"/>
              </w:rPr>
              <w:fldChar w:fldCharType="separate"/>
            </w:r>
            <w:r w:rsidRPr="006F496A">
              <w:rPr>
                <w:sz w:val="18"/>
                <w:szCs w:val="18"/>
                <w:lang w:val="es-AR"/>
              </w:rPr>
              <w:fldChar w:fldCharType="end"/>
            </w:r>
          </w:p>
        </w:tc>
        <w:tc>
          <w:tcPr>
            <w:tcW w:w="396" w:type="pct"/>
            <w:shd w:val="clear" w:color="auto" w:fill="auto"/>
            <w:vAlign w:val="center"/>
          </w:tcPr>
          <w:p w14:paraId="43305F3A" w14:textId="77777777" w:rsidR="004705B4" w:rsidRPr="006F496A" w:rsidRDefault="004705B4" w:rsidP="004705B4">
            <w:pPr>
              <w:spacing w:before="120"/>
              <w:jc w:val="center"/>
              <w:rPr>
                <w:rFonts w:eastAsia="Calibri"/>
                <w:bCs/>
                <w:sz w:val="18"/>
                <w:szCs w:val="18"/>
                <w:lang w:val="es-AR"/>
              </w:rPr>
            </w:pPr>
            <w:r w:rsidRPr="006F496A">
              <w:rPr>
                <w:rFonts w:eastAsia="Calibri"/>
                <w:bCs/>
                <w:sz w:val="18"/>
                <w:szCs w:val="18"/>
                <w:lang w:val="es-AR"/>
              </w:rPr>
              <w:t>Porcentaje</w:t>
            </w:r>
          </w:p>
          <w:p w14:paraId="31C2140E" w14:textId="77777777" w:rsidR="004705B4" w:rsidRPr="006F496A" w:rsidRDefault="004705B4" w:rsidP="004705B4">
            <w:pPr>
              <w:spacing w:before="120"/>
              <w:jc w:val="center"/>
              <w:rPr>
                <w:rFonts w:eastAsia="Calibri"/>
                <w:b/>
                <w:bCs/>
                <w:sz w:val="18"/>
                <w:szCs w:val="18"/>
                <w:lang w:val="es-AR"/>
              </w:rPr>
            </w:pPr>
            <w:r w:rsidRPr="006F496A">
              <w:rPr>
                <w:rFonts w:eastAsia="Calibri"/>
                <w:bCs/>
                <w:sz w:val="18"/>
                <w:szCs w:val="18"/>
                <w:lang w:val="es-AR"/>
              </w:rPr>
              <w:t>(0-100%)</w:t>
            </w:r>
          </w:p>
        </w:tc>
        <w:tc>
          <w:tcPr>
            <w:tcW w:w="493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388B90E" w14:textId="37EA9226" w:rsidR="004705B4" w:rsidRDefault="004705B4" w:rsidP="004705B4">
            <w:pPr>
              <w:jc w:val="center"/>
              <w:rPr>
                <w:rFonts w:eastAsia="Calibri"/>
                <w:sz w:val="18"/>
                <w:szCs w:val="18"/>
                <w:lang w:val="es-AR"/>
              </w:rPr>
            </w:pPr>
            <w:r w:rsidRPr="006F496A">
              <w:rPr>
                <w:rFonts w:eastAsia="Calibri"/>
                <w:sz w:val="18"/>
                <w:szCs w:val="18"/>
                <w:lang w:val="es-AR"/>
              </w:rPr>
              <w:t xml:space="preserve">Estudios realizados en el marco de la Segunda Comunicación Nacional (Inventario </w:t>
            </w:r>
            <w:proofErr w:type="spellStart"/>
            <w:r w:rsidRPr="006F496A">
              <w:rPr>
                <w:rFonts w:eastAsia="Calibri"/>
                <w:sz w:val="18"/>
                <w:szCs w:val="18"/>
                <w:lang w:val="es-AR"/>
              </w:rPr>
              <w:t>GEIs</w:t>
            </w:r>
            <w:proofErr w:type="spellEnd"/>
            <w:r w:rsidRPr="006F496A">
              <w:rPr>
                <w:rFonts w:eastAsia="Calibri"/>
                <w:sz w:val="18"/>
                <w:szCs w:val="18"/>
                <w:lang w:val="es-AR"/>
              </w:rPr>
              <w:t xml:space="preserve"> año 200</w:t>
            </w:r>
            <w:r w:rsidR="00823035">
              <w:rPr>
                <w:rFonts w:eastAsia="Calibri"/>
                <w:sz w:val="18"/>
                <w:szCs w:val="18"/>
                <w:lang w:val="es-AR"/>
              </w:rPr>
              <w:t xml:space="preserve"> / Estudios Mitigación al 2007)</w:t>
            </w:r>
          </w:p>
          <w:p w14:paraId="7D882AB5" w14:textId="77777777" w:rsidR="003537B0" w:rsidRPr="006F496A" w:rsidRDefault="003537B0" w:rsidP="004705B4">
            <w:pPr>
              <w:jc w:val="center"/>
              <w:rPr>
                <w:rFonts w:eastAsia="Calibri"/>
                <w:sz w:val="18"/>
                <w:szCs w:val="18"/>
                <w:lang w:val="es-AR"/>
              </w:rPr>
            </w:pPr>
          </w:p>
        </w:tc>
        <w:tc>
          <w:tcPr>
            <w:tcW w:w="355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BDB68D9" w14:textId="77777777" w:rsidR="004705B4" w:rsidRPr="006F496A" w:rsidRDefault="004705B4" w:rsidP="004705B4">
            <w:pPr>
              <w:jc w:val="center"/>
              <w:rPr>
                <w:sz w:val="18"/>
                <w:szCs w:val="18"/>
                <w:lang w:val="es-AR"/>
              </w:rPr>
            </w:pPr>
            <w:r w:rsidRPr="006F496A">
              <w:rPr>
                <w:sz w:val="18"/>
                <w:szCs w:val="18"/>
                <w:lang w:val="es-AR"/>
              </w:rPr>
              <w:t>0%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5B5239DA" w14:textId="77777777" w:rsidR="004705B4" w:rsidRPr="006F496A" w:rsidRDefault="004705B4" w:rsidP="004705B4">
            <w:pPr>
              <w:jc w:val="center"/>
              <w:rPr>
                <w:sz w:val="18"/>
                <w:szCs w:val="18"/>
                <w:lang w:val="es-AR"/>
              </w:rPr>
            </w:pPr>
            <w:r w:rsidRPr="006F496A">
              <w:rPr>
                <w:sz w:val="18"/>
                <w:szCs w:val="18"/>
                <w:lang w:val="es-AR"/>
              </w:rPr>
              <w:t>49%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7C82451F" w14:textId="77777777" w:rsidR="004705B4" w:rsidRPr="006F496A" w:rsidRDefault="004705B4" w:rsidP="004705B4">
            <w:pPr>
              <w:jc w:val="center"/>
              <w:rPr>
                <w:sz w:val="18"/>
                <w:szCs w:val="18"/>
                <w:lang w:val="es-AR"/>
              </w:rPr>
            </w:pPr>
            <w:r w:rsidRPr="006F496A">
              <w:rPr>
                <w:sz w:val="18"/>
                <w:szCs w:val="18"/>
                <w:lang w:val="es-AR"/>
              </w:rPr>
              <w:t>100%</w:t>
            </w:r>
          </w:p>
        </w:tc>
        <w:tc>
          <w:tcPr>
            <w:tcW w:w="403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CA2A9CD" w14:textId="77777777" w:rsidR="004705B4" w:rsidRPr="006F496A" w:rsidRDefault="004705B4" w:rsidP="004705B4">
            <w:pPr>
              <w:jc w:val="center"/>
              <w:rPr>
                <w:rFonts w:eastAsia="Calibri"/>
                <w:sz w:val="18"/>
                <w:szCs w:val="18"/>
                <w:lang w:val="es-AR"/>
              </w:rPr>
            </w:pPr>
            <w:r w:rsidRPr="006F496A">
              <w:rPr>
                <w:rFonts w:eastAsia="Calibri"/>
                <w:sz w:val="18"/>
                <w:szCs w:val="18"/>
                <w:lang w:val="es-AR"/>
              </w:rPr>
              <w:t>Semestral</w:t>
            </w:r>
          </w:p>
        </w:tc>
        <w:tc>
          <w:tcPr>
            <w:tcW w:w="462" w:type="pct"/>
            <w:shd w:val="clear" w:color="auto" w:fill="auto"/>
            <w:vAlign w:val="center"/>
          </w:tcPr>
          <w:p w14:paraId="7758FAE8" w14:textId="77777777" w:rsidR="004705B4" w:rsidRPr="006F496A" w:rsidRDefault="004705B4" w:rsidP="004705B4">
            <w:pPr>
              <w:jc w:val="center"/>
              <w:rPr>
                <w:rFonts w:eastAsia="Calibri"/>
                <w:sz w:val="16"/>
                <w:szCs w:val="18"/>
                <w:lang w:val="es-AR"/>
              </w:rPr>
            </w:pPr>
            <w:r w:rsidRPr="006F496A">
              <w:rPr>
                <w:rFonts w:eastAsia="Calibri"/>
                <w:sz w:val="16"/>
                <w:szCs w:val="18"/>
                <w:lang w:val="es-AR"/>
              </w:rPr>
              <w:t>Sumatoria de informes de avance y finales recibidos.</w:t>
            </w:r>
          </w:p>
        </w:tc>
        <w:tc>
          <w:tcPr>
            <w:tcW w:w="562" w:type="pct"/>
            <w:gridSpan w:val="2"/>
            <w:shd w:val="clear" w:color="auto" w:fill="auto"/>
            <w:vAlign w:val="center"/>
          </w:tcPr>
          <w:p w14:paraId="2B9E8387" w14:textId="77777777" w:rsidR="004705B4" w:rsidRPr="006F496A" w:rsidRDefault="004705B4" w:rsidP="004705B4">
            <w:pPr>
              <w:jc w:val="center"/>
              <w:rPr>
                <w:rFonts w:eastAsia="Calibri"/>
                <w:sz w:val="18"/>
                <w:szCs w:val="18"/>
                <w:lang w:val="es-AR"/>
              </w:rPr>
            </w:pPr>
            <w:r w:rsidRPr="006F496A">
              <w:rPr>
                <w:rFonts w:eastAsia="Calibri"/>
                <w:sz w:val="18"/>
                <w:szCs w:val="18"/>
                <w:lang w:val="es-AR"/>
              </w:rPr>
              <w:t>UEP</w:t>
            </w:r>
          </w:p>
        </w:tc>
        <w:tc>
          <w:tcPr>
            <w:tcW w:w="705" w:type="pct"/>
            <w:vAlign w:val="center"/>
          </w:tcPr>
          <w:p w14:paraId="7B28A596" w14:textId="77777777" w:rsidR="004705B4" w:rsidRPr="006F496A" w:rsidRDefault="004705B4" w:rsidP="004705B4">
            <w:pPr>
              <w:tabs>
                <w:tab w:val="left" w:pos="270"/>
              </w:tabs>
              <w:jc w:val="center"/>
              <w:rPr>
                <w:sz w:val="18"/>
                <w:szCs w:val="18"/>
                <w:lang w:val="es-AR"/>
              </w:rPr>
            </w:pPr>
            <w:r w:rsidRPr="006F496A">
              <w:rPr>
                <w:sz w:val="18"/>
                <w:szCs w:val="18"/>
                <w:lang w:val="es-AR"/>
              </w:rPr>
              <w:t>El objetivo es evaluar el avance en la generación de información de base de mitigación.</w:t>
            </w:r>
          </w:p>
        </w:tc>
      </w:tr>
      <w:tr w:rsidR="004705B4" w:rsidRPr="0000724A" w14:paraId="328295B9" w14:textId="77777777" w:rsidTr="004705B4">
        <w:trPr>
          <w:trHeight w:val="467"/>
        </w:trPr>
        <w:tc>
          <w:tcPr>
            <w:tcW w:w="5000" w:type="pct"/>
            <w:gridSpan w:val="12"/>
          </w:tcPr>
          <w:p w14:paraId="082C9CA8" w14:textId="77777777" w:rsidR="004705B4" w:rsidRPr="006F496A" w:rsidRDefault="004705B4" w:rsidP="004705B4">
            <w:pPr>
              <w:spacing w:before="120" w:after="120"/>
              <w:jc w:val="center"/>
              <w:rPr>
                <w:rFonts w:eastAsia="Calibri"/>
                <w:b/>
                <w:sz w:val="18"/>
                <w:lang w:val="es-AR"/>
              </w:rPr>
            </w:pPr>
            <w:r w:rsidRPr="006F496A">
              <w:rPr>
                <w:rFonts w:eastAsia="Calibri"/>
                <w:b/>
                <w:sz w:val="18"/>
                <w:lang w:val="es-AR"/>
              </w:rPr>
              <w:t>Componente 2: Fortalecimiento de la Agenda Nacional de Adaptación</w:t>
            </w:r>
          </w:p>
        </w:tc>
      </w:tr>
      <w:tr w:rsidR="004705B4" w:rsidRPr="0000724A" w14:paraId="661C7393" w14:textId="77777777" w:rsidTr="003537B0">
        <w:trPr>
          <w:trHeight w:val="395"/>
        </w:trPr>
        <w:tc>
          <w:tcPr>
            <w:tcW w:w="760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6B6B8FE" w14:textId="77777777" w:rsidR="004705B4" w:rsidRPr="006F496A" w:rsidRDefault="004705B4" w:rsidP="004705B4">
            <w:pPr>
              <w:tabs>
                <w:tab w:val="left" w:pos="270"/>
              </w:tabs>
              <w:jc w:val="center"/>
              <w:rPr>
                <w:i/>
                <w:sz w:val="18"/>
                <w:szCs w:val="18"/>
                <w:lang w:val="es-AR"/>
              </w:rPr>
            </w:pPr>
            <w:r w:rsidRPr="006F496A">
              <w:rPr>
                <w:b/>
                <w:i/>
                <w:sz w:val="18"/>
                <w:szCs w:val="18"/>
                <w:lang w:val="es-AR"/>
              </w:rPr>
              <w:t>Indicador</w:t>
            </w:r>
            <w:r w:rsidRPr="006F496A">
              <w:rPr>
                <w:i/>
                <w:sz w:val="18"/>
                <w:szCs w:val="18"/>
                <w:lang w:val="es-AR"/>
              </w:rPr>
              <w:t xml:space="preserve">: Nivel de progreso alcanzado en la generación de información de base </w:t>
            </w:r>
            <w:r w:rsidRPr="006F496A">
              <w:rPr>
                <w:rFonts w:eastAsia="Calibri"/>
                <w:i/>
                <w:sz w:val="18"/>
                <w:szCs w:val="18"/>
                <w:lang w:val="es-AR"/>
              </w:rPr>
              <w:t>de impacto, vulnerabilidad y adaptación</w:t>
            </w:r>
            <w:r w:rsidRPr="006F496A">
              <w:rPr>
                <w:i/>
                <w:sz w:val="18"/>
                <w:szCs w:val="18"/>
                <w:lang w:val="es-AR"/>
              </w:rPr>
              <w:t>.</w:t>
            </w:r>
          </w:p>
        </w:tc>
        <w:tc>
          <w:tcPr>
            <w:tcW w:w="164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AE3B97F" w14:textId="77777777" w:rsidR="004705B4" w:rsidRPr="006F496A" w:rsidRDefault="004705B4" w:rsidP="004705B4">
            <w:pPr>
              <w:jc w:val="center"/>
              <w:rPr>
                <w:sz w:val="18"/>
                <w:szCs w:val="18"/>
                <w:lang w:val="es-AR"/>
              </w:rPr>
            </w:pPr>
            <w:r w:rsidRPr="006F496A">
              <w:rPr>
                <w:sz w:val="18"/>
                <w:szCs w:val="18"/>
                <w:lang w:val="es-A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496A">
              <w:rPr>
                <w:sz w:val="18"/>
                <w:szCs w:val="18"/>
                <w:lang w:val="es-AR"/>
              </w:rPr>
              <w:instrText xml:space="preserve"> FORMCHECKBOX </w:instrText>
            </w:r>
            <w:r w:rsidR="00B311DC">
              <w:rPr>
                <w:sz w:val="18"/>
                <w:szCs w:val="18"/>
                <w:lang w:val="es-AR"/>
              </w:rPr>
            </w:r>
            <w:r w:rsidR="00B311DC">
              <w:rPr>
                <w:sz w:val="18"/>
                <w:szCs w:val="18"/>
                <w:lang w:val="es-AR"/>
              </w:rPr>
              <w:fldChar w:fldCharType="separate"/>
            </w:r>
            <w:r w:rsidRPr="006F496A">
              <w:rPr>
                <w:sz w:val="18"/>
                <w:szCs w:val="18"/>
                <w:lang w:val="es-AR"/>
              </w:rPr>
              <w:fldChar w:fldCharType="end"/>
            </w:r>
          </w:p>
        </w:tc>
        <w:tc>
          <w:tcPr>
            <w:tcW w:w="396" w:type="pct"/>
            <w:shd w:val="clear" w:color="auto" w:fill="auto"/>
            <w:vAlign w:val="center"/>
          </w:tcPr>
          <w:p w14:paraId="4D501314" w14:textId="77777777" w:rsidR="004705B4" w:rsidRPr="006F496A" w:rsidRDefault="004705B4" w:rsidP="004705B4">
            <w:pPr>
              <w:spacing w:before="120"/>
              <w:jc w:val="center"/>
              <w:rPr>
                <w:rFonts w:eastAsia="Calibri"/>
                <w:bCs/>
                <w:sz w:val="18"/>
                <w:szCs w:val="18"/>
                <w:lang w:val="es-AR"/>
              </w:rPr>
            </w:pPr>
            <w:r w:rsidRPr="006F496A">
              <w:rPr>
                <w:rFonts w:eastAsia="Calibri"/>
                <w:bCs/>
                <w:sz w:val="18"/>
                <w:szCs w:val="18"/>
                <w:lang w:val="es-AR"/>
              </w:rPr>
              <w:t>Porcentaje</w:t>
            </w:r>
          </w:p>
          <w:p w14:paraId="13F8CD38" w14:textId="77777777" w:rsidR="004705B4" w:rsidRPr="006F496A" w:rsidRDefault="004705B4" w:rsidP="004705B4">
            <w:pPr>
              <w:spacing w:before="120"/>
              <w:jc w:val="center"/>
              <w:rPr>
                <w:rFonts w:eastAsia="Calibri"/>
                <w:b/>
                <w:bCs/>
                <w:sz w:val="18"/>
                <w:szCs w:val="18"/>
                <w:lang w:val="es-AR"/>
              </w:rPr>
            </w:pPr>
            <w:r w:rsidRPr="006F496A">
              <w:rPr>
                <w:rFonts w:eastAsia="Calibri"/>
                <w:bCs/>
                <w:sz w:val="18"/>
                <w:szCs w:val="18"/>
                <w:lang w:val="es-AR"/>
              </w:rPr>
              <w:t>(0-100%)</w:t>
            </w:r>
          </w:p>
        </w:tc>
        <w:tc>
          <w:tcPr>
            <w:tcW w:w="493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F30380A" w14:textId="34EDA771" w:rsidR="004705B4" w:rsidRDefault="004705B4" w:rsidP="004705B4">
            <w:pPr>
              <w:jc w:val="center"/>
              <w:rPr>
                <w:rFonts w:eastAsia="Calibri"/>
                <w:sz w:val="18"/>
                <w:szCs w:val="18"/>
                <w:lang w:val="es-AR"/>
              </w:rPr>
            </w:pPr>
            <w:r w:rsidRPr="006F496A">
              <w:rPr>
                <w:rFonts w:eastAsia="Calibri"/>
                <w:sz w:val="18"/>
                <w:szCs w:val="18"/>
                <w:lang w:val="es-AR"/>
              </w:rPr>
              <w:t>Estudios realizados en el marco de la Segunda Comunicación Naciona</w:t>
            </w:r>
            <w:r w:rsidR="00823035">
              <w:rPr>
                <w:rFonts w:eastAsia="Calibri"/>
                <w:sz w:val="18"/>
                <w:szCs w:val="18"/>
                <w:lang w:val="es-AR"/>
              </w:rPr>
              <w:t>l (Estudios Adaptación al 2007)</w:t>
            </w:r>
          </w:p>
          <w:p w14:paraId="4AE5A6D9" w14:textId="77777777" w:rsidR="003537B0" w:rsidRPr="006F496A" w:rsidRDefault="003537B0" w:rsidP="004705B4">
            <w:pPr>
              <w:jc w:val="center"/>
              <w:rPr>
                <w:rFonts w:eastAsia="Calibri"/>
                <w:sz w:val="18"/>
                <w:szCs w:val="18"/>
                <w:lang w:val="es-AR"/>
              </w:rPr>
            </w:pPr>
          </w:p>
        </w:tc>
        <w:tc>
          <w:tcPr>
            <w:tcW w:w="355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73EB3F0" w14:textId="77777777" w:rsidR="004705B4" w:rsidRPr="006F496A" w:rsidRDefault="004705B4" w:rsidP="004705B4">
            <w:pPr>
              <w:jc w:val="center"/>
              <w:rPr>
                <w:sz w:val="18"/>
                <w:szCs w:val="18"/>
                <w:lang w:val="es-AR"/>
              </w:rPr>
            </w:pPr>
            <w:r w:rsidRPr="006F496A">
              <w:rPr>
                <w:sz w:val="18"/>
                <w:szCs w:val="18"/>
                <w:lang w:val="es-AR"/>
              </w:rPr>
              <w:t>0%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6B89E79C" w14:textId="77777777" w:rsidR="004705B4" w:rsidRPr="006F496A" w:rsidRDefault="004705B4" w:rsidP="004705B4">
            <w:pPr>
              <w:jc w:val="center"/>
              <w:rPr>
                <w:sz w:val="18"/>
                <w:szCs w:val="18"/>
                <w:lang w:val="es-AR"/>
              </w:rPr>
            </w:pPr>
            <w:r w:rsidRPr="006F496A">
              <w:rPr>
                <w:sz w:val="18"/>
                <w:szCs w:val="18"/>
                <w:lang w:val="es-AR"/>
              </w:rPr>
              <w:t>75%.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24873B51" w14:textId="77777777" w:rsidR="004705B4" w:rsidRPr="006F496A" w:rsidRDefault="004705B4" w:rsidP="004705B4">
            <w:pPr>
              <w:jc w:val="center"/>
              <w:rPr>
                <w:sz w:val="18"/>
                <w:szCs w:val="18"/>
                <w:lang w:val="es-AR"/>
              </w:rPr>
            </w:pPr>
            <w:r w:rsidRPr="006F496A">
              <w:rPr>
                <w:sz w:val="18"/>
                <w:szCs w:val="18"/>
                <w:lang w:val="es-AR"/>
              </w:rPr>
              <w:t>100%</w:t>
            </w:r>
          </w:p>
        </w:tc>
        <w:tc>
          <w:tcPr>
            <w:tcW w:w="403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2FB5EC6" w14:textId="77777777" w:rsidR="004705B4" w:rsidRPr="006F496A" w:rsidRDefault="004705B4" w:rsidP="004705B4">
            <w:pPr>
              <w:jc w:val="center"/>
              <w:rPr>
                <w:rFonts w:eastAsia="Calibri"/>
                <w:sz w:val="18"/>
                <w:szCs w:val="18"/>
                <w:lang w:val="es-AR"/>
              </w:rPr>
            </w:pPr>
            <w:r w:rsidRPr="006F496A">
              <w:rPr>
                <w:rFonts w:eastAsia="Calibri"/>
                <w:sz w:val="18"/>
                <w:szCs w:val="18"/>
                <w:lang w:val="es-AR"/>
              </w:rPr>
              <w:t>Semestral</w:t>
            </w:r>
          </w:p>
        </w:tc>
        <w:tc>
          <w:tcPr>
            <w:tcW w:w="546" w:type="pct"/>
            <w:gridSpan w:val="2"/>
            <w:shd w:val="clear" w:color="auto" w:fill="auto"/>
            <w:vAlign w:val="center"/>
          </w:tcPr>
          <w:p w14:paraId="306FD5A8" w14:textId="77777777" w:rsidR="004705B4" w:rsidRPr="006F496A" w:rsidRDefault="004705B4" w:rsidP="004705B4">
            <w:pPr>
              <w:jc w:val="center"/>
              <w:rPr>
                <w:rFonts w:eastAsia="Calibri"/>
                <w:sz w:val="16"/>
                <w:szCs w:val="18"/>
                <w:lang w:val="es-AR"/>
              </w:rPr>
            </w:pPr>
            <w:r w:rsidRPr="006F496A">
              <w:rPr>
                <w:rFonts w:eastAsia="Calibri"/>
                <w:sz w:val="16"/>
                <w:szCs w:val="18"/>
                <w:lang w:val="es-AR"/>
              </w:rPr>
              <w:t>Sumatoria de informes de avance y finales recibidos.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4D644E18" w14:textId="77777777" w:rsidR="004705B4" w:rsidRPr="006F496A" w:rsidRDefault="004705B4" w:rsidP="004705B4">
            <w:pPr>
              <w:jc w:val="center"/>
              <w:rPr>
                <w:rFonts w:eastAsia="Calibri"/>
                <w:sz w:val="18"/>
                <w:szCs w:val="18"/>
                <w:lang w:val="es-AR"/>
              </w:rPr>
            </w:pPr>
            <w:r w:rsidRPr="006F496A">
              <w:rPr>
                <w:rFonts w:eastAsia="Calibri"/>
                <w:sz w:val="18"/>
                <w:szCs w:val="18"/>
                <w:lang w:val="es-AR"/>
              </w:rPr>
              <w:t>UEP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1C14D42D" w14:textId="77777777" w:rsidR="004705B4" w:rsidRPr="006F496A" w:rsidRDefault="004705B4" w:rsidP="004705B4">
            <w:pPr>
              <w:tabs>
                <w:tab w:val="left" w:pos="270"/>
              </w:tabs>
              <w:jc w:val="center"/>
              <w:rPr>
                <w:sz w:val="18"/>
                <w:szCs w:val="18"/>
                <w:lang w:val="es-AR"/>
              </w:rPr>
            </w:pPr>
            <w:r w:rsidRPr="006F496A">
              <w:rPr>
                <w:sz w:val="18"/>
                <w:szCs w:val="18"/>
                <w:lang w:val="es-AR"/>
              </w:rPr>
              <w:t>El objetivo es evaluar el avance en la generación de información de base de adaptación.</w:t>
            </w:r>
          </w:p>
        </w:tc>
      </w:tr>
      <w:tr w:rsidR="004705B4" w:rsidRPr="0000724A" w14:paraId="20566DD3" w14:textId="77777777" w:rsidTr="004705B4">
        <w:trPr>
          <w:trHeight w:val="453"/>
        </w:trPr>
        <w:tc>
          <w:tcPr>
            <w:tcW w:w="5000" w:type="pct"/>
            <w:gridSpan w:val="12"/>
          </w:tcPr>
          <w:p w14:paraId="6C8AB534" w14:textId="77777777" w:rsidR="004705B4" w:rsidRPr="006F496A" w:rsidRDefault="004705B4" w:rsidP="004705B4">
            <w:pPr>
              <w:spacing w:before="120" w:after="120"/>
              <w:jc w:val="center"/>
              <w:rPr>
                <w:rFonts w:eastAsia="Calibri"/>
                <w:b/>
                <w:sz w:val="18"/>
                <w:lang w:val="es-AR"/>
              </w:rPr>
            </w:pPr>
            <w:r w:rsidRPr="006F496A">
              <w:rPr>
                <w:rFonts w:eastAsia="Calibri"/>
                <w:b/>
                <w:sz w:val="18"/>
                <w:lang w:val="es-AR"/>
              </w:rPr>
              <w:lastRenderedPageBreak/>
              <w:t>Componente 3: Fortalecimiento Institucional, Desarrollo de Capacidad y Gestión de la Información</w:t>
            </w:r>
          </w:p>
        </w:tc>
      </w:tr>
      <w:tr w:rsidR="004705B4" w:rsidRPr="0000724A" w14:paraId="28BDCA00" w14:textId="77777777" w:rsidTr="003537B0">
        <w:trPr>
          <w:trHeight w:val="395"/>
        </w:trPr>
        <w:tc>
          <w:tcPr>
            <w:tcW w:w="760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1BD1F18" w14:textId="77777777" w:rsidR="004705B4" w:rsidRDefault="004705B4" w:rsidP="006F496A">
            <w:pPr>
              <w:tabs>
                <w:tab w:val="left" w:pos="270"/>
              </w:tabs>
              <w:jc w:val="center"/>
              <w:rPr>
                <w:i/>
                <w:sz w:val="18"/>
                <w:szCs w:val="18"/>
                <w:lang w:val="es-AR"/>
              </w:rPr>
            </w:pPr>
            <w:r w:rsidRPr="006F496A">
              <w:rPr>
                <w:b/>
                <w:sz w:val="18"/>
                <w:szCs w:val="18"/>
                <w:lang w:val="es-AR"/>
              </w:rPr>
              <w:t xml:space="preserve">Indicador: </w:t>
            </w:r>
            <w:r w:rsidRPr="006F496A">
              <w:rPr>
                <w:i/>
                <w:sz w:val="18"/>
                <w:szCs w:val="18"/>
                <w:lang w:val="es-AR"/>
              </w:rPr>
              <w:t>Nivel de participación</w:t>
            </w:r>
            <w:r w:rsidRPr="006F496A">
              <w:rPr>
                <w:rStyle w:val="FootnoteReference"/>
                <w:i/>
                <w:sz w:val="18"/>
                <w:szCs w:val="18"/>
                <w:lang w:val="es-AR"/>
              </w:rPr>
              <w:footnoteReference w:id="3"/>
            </w:r>
            <w:r w:rsidRPr="006F496A">
              <w:rPr>
                <w:i/>
                <w:sz w:val="18"/>
                <w:szCs w:val="18"/>
                <w:lang w:val="es-AR"/>
              </w:rPr>
              <w:t xml:space="preserve"> en el desarrollo de los Estudios de Mitigación por parte de organismos clave.</w:t>
            </w:r>
          </w:p>
          <w:p w14:paraId="2EBFFAB7" w14:textId="77777777" w:rsidR="00823035" w:rsidRPr="006F496A" w:rsidRDefault="00823035" w:rsidP="006F496A">
            <w:pPr>
              <w:tabs>
                <w:tab w:val="left" w:pos="270"/>
              </w:tabs>
              <w:jc w:val="center"/>
              <w:rPr>
                <w:i/>
                <w:sz w:val="18"/>
                <w:szCs w:val="18"/>
                <w:lang w:val="es-AR"/>
              </w:rPr>
            </w:pPr>
          </w:p>
        </w:tc>
        <w:tc>
          <w:tcPr>
            <w:tcW w:w="164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60207C3" w14:textId="77777777" w:rsidR="004705B4" w:rsidRPr="006F496A" w:rsidRDefault="004705B4" w:rsidP="004705B4">
            <w:pPr>
              <w:jc w:val="center"/>
              <w:rPr>
                <w:sz w:val="18"/>
                <w:szCs w:val="18"/>
                <w:lang w:val="es-AR"/>
              </w:rPr>
            </w:pPr>
            <w:r w:rsidRPr="006F496A">
              <w:rPr>
                <w:sz w:val="18"/>
                <w:szCs w:val="18"/>
                <w:lang w:val="es-A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496A">
              <w:rPr>
                <w:sz w:val="18"/>
                <w:szCs w:val="18"/>
                <w:lang w:val="es-AR"/>
              </w:rPr>
              <w:instrText xml:space="preserve"> FORMCHECKBOX </w:instrText>
            </w:r>
            <w:r w:rsidR="00B311DC">
              <w:rPr>
                <w:sz w:val="18"/>
                <w:szCs w:val="18"/>
                <w:lang w:val="es-AR"/>
              </w:rPr>
            </w:r>
            <w:r w:rsidR="00B311DC">
              <w:rPr>
                <w:sz w:val="18"/>
                <w:szCs w:val="18"/>
                <w:lang w:val="es-AR"/>
              </w:rPr>
              <w:fldChar w:fldCharType="separate"/>
            </w:r>
            <w:r w:rsidRPr="006F496A">
              <w:rPr>
                <w:sz w:val="18"/>
                <w:szCs w:val="18"/>
                <w:lang w:val="es-AR"/>
              </w:rPr>
              <w:fldChar w:fldCharType="end"/>
            </w:r>
          </w:p>
        </w:tc>
        <w:tc>
          <w:tcPr>
            <w:tcW w:w="396" w:type="pct"/>
            <w:shd w:val="clear" w:color="auto" w:fill="auto"/>
            <w:vAlign w:val="center"/>
          </w:tcPr>
          <w:p w14:paraId="66F0900A" w14:textId="77777777" w:rsidR="004705B4" w:rsidRPr="006F496A" w:rsidRDefault="004705B4" w:rsidP="004705B4">
            <w:pPr>
              <w:jc w:val="center"/>
              <w:rPr>
                <w:rFonts w:eastAsia="Calibri"/>
                <w:sz w:val="18"/>
                <w:szCs w:val="18"/>
                <w:lang w:val="es-AR"/>
              </w:rPr>
            </w:pPr>
            <w:r w:rsidRPr="006F496A">
              <w:rPr>
                <w:rFonts w:eastAsia="Calibri"/>
                <w:sz w:val="18"/>
                <w:szCs w:val="18"/>
                <w:lang w:val="es-AR"/>
              </w:rPr>
              <w:t>Cantidad de organismos claves</w:t>
            </w:r>
          </w:p>
        </w:tc>
        <w:tc>
          <w:tcPr>
            <w:tcW w:w="493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5D2C56C" w14:textId="77777777" w:rsidR="004705B4" w:rsidRPr="006F496A" w:rsidRDefault="004705B4" w:rsidP="004705B4">
            <w:pPr>
              <w:jc w:val="center"/>
              <w:rPr>
                <w:rFonts w:eastAsia="Calibri"/>
                <w:sz w:val="18"/>
                <w:szCs w:val="18"/>
                <w:lang w:val="es-AR"/>
              </w:rPr>
            </w:pPr>
            <w:r w:rsidRPr="006F496A">
              <w:rPr>
                <w:rFonts w:eastAsia="Calibri"/>
                <w:sz w:val="18"/>
                <w:szCs w:val="18"/>
                <w:lang w:val="es-AR"/>
              </w:rPr>
              <w:t>0</w:t>
            </w:r>
          </w:p>
        </w:tc>
        <w:tc>
          <w:tcPr>
            <w:tcW w:w="355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1EC8863" w14:textId="77777777" w:rsidR="004705B4" w:rsidRPr="006F496A" w:rsidRDefault="004705B4" w:rsidP="004705B4">
            <w:pPr>
              <w:jc w:val="center"/>
              <w:rPr>
                <w:sz w:val="18"/>
                <w:szCs w:val="18"/>
                <w:lang w:val="es-AR"/>
              </w:rPr>
            </w:pPr>
            <w:r w:rsidRPr="006F496A">
              <w:rPr>
                <w:sz w:val="18"/>
                <w:szCs w:val="18"/>
                <w:lang w:val="es-AR"/>
              </w:rPr>
              <w:t>7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1A393B19" w14:textId="77777777" w:rsidR="004705B4" w:rsidRPr="006F496A" w:rsidRDefault="004705B4" w:rsidP="004705B4">
            <w:pPr>
              <w:jc w:val="center"/>
              <w:rPr>
                <w:sz w:val="18"/>
                <w:szCs w:val="18"/>
                <w:lang w:val="es-AR"/>
              </w:rPr>
            </w:pPr>
            <w:r w:rsidRPr="006F496A">
              <w:rPr>
                <w:sz w:val="18"/>
                <w:szCs w:val="18"/>
                <w:lang w:val="es-AR"/>
              </w:rPr>
              <w:t>8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209CEEBF" w14:textId="77777777" w:rsidR="004705B4" w:rsidRPr="006F496A" w:rsidRDefault="004705B4" w:rsidP="004705B4">
            <w:pPr>
              <w:jc w:val="center"/>
              <w:rPr>
                <w:sz w:val="18"/>
                <w:szCs w:val="18"/>
                <w:lang w:val="es-AR"/>
              </w:rPr>
            </w:pPr>
            <w:r w:rsidRPr="006F496A">
              <w:rPr>
                <w:sz w:val="18"/>
                <w:szCs w:val="18"/>
                <w:lang w:val="es-AR"/>
              </w:rPr>
              <w:t>8</w:t>
            </w:r>
          </w:p>
        </w:tc>
        <w:tc>
          <w:tcPr>
            <w:tcW w:w="403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F7FE5DC" w14:textId="77777777" w:rsidR="004705B4" w:rsidRPr="006F496A" w:rsidRDefault="004705B4" w:rsidP="004705B4">
            <w:pPr>
              <w:jc w:val="center"/>
              <w:rPr>
                <w:rFonts w:eastAsia="Calibri"/>
                <w:sz w:val="18"/>
                <w:szCs w:val="18"/>
                <w:lang w:val="es-AR"/>
              </w:rPr>
            </w:pPr>
            <w:r w:rsidRPr="006F496A">
              <w:rPr>
                <w:rFonts w:eastAsia="Calibri"/>
                <w:sz w:val="18"/>
                <w:szCs w:val="18"/>
                <w:lang w:val="es-AR"/>
              </w:rPr>
              <w:t>Semestral</w:t>
            </w:r>
          </w:p>
        </w:tc>
        <w:tc>
          <w:tcPr>
            <w:tcW w:w="546" w:type="pct"/>
            <w:gridSpan w:val="2"/>
            <w:shd w:val="clear" w:color="auto" w:fill="auto"/>
            <w:vAlign w:val="center"/>
          </w:tcPr>
          <w:p w14:paraId="28A205E9" w14:textId="77777777" w:rsidR="004705B4" w:rsidRPr="006F496A" w:rsidRDefault="004705B4" w:rsidP="004705B4">
            <w:pPr>
              <w:jc w:val="center"/>
              <w:rPr>
                <w:rFonts w:eastAsia="Calibri"/>
                <w:sz w:val="16"/>
                <w:szCs w:val="16"/>
                <w:lang w:val="es-AR"/>
              </w:rPr>
            </w:pPr>
            <w:r w:rsidRPr="006F496A">
              <w:rPr>
                <w:rFonts w:eastAsia="Calibri"/>
                <w:sz w:val="16"/>
                <w:szCs w:val="16"/>
                <w:lang w:val="es-AR"/>
              </w:rPr>
              <w:t>Sumatoria de organismos claves para cada estudio que revisaron los documentos generados por el proyecto.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6AC97F14" w14:textId="77777777" w:rsidR="004705B4" w:rsidRPr="006F496A" w:rsidRDefault="004705B4" w:rsidP="004705B4">
            <w:pPr>
              <w:jc w:val="center"/>
              <w:rPr>
                <w:rFonts w:eastAsia="Calibri"/>
                <w:sz w:val="18"/>
                <w:szCs w:val="18"/>
                <w:lang w:val="es-AR"/>
              </w:rPr>
            </w:pPr>
            <w:r w:rsidRPr="006F496A">
              <w:rPr>
                <w:rFonts w:eastAsia="Calibri"/>
                <w:sz w:val="18"/>
                <w:szCs w:val="18"/>
                <w:lang w:val="es-AR"/>
              </w:rPr>
              <w:t>UEP</w:t>
            </w:r>
          </w:p>
        </w:tc>
        <w:tc>
          <w:tcPr>
            <w:tcW w:w="705" w:type="pct"/>
            <w:vAlign w:val="center"/>
          </w:tcPr>
          <w:p w14:paraId="4F1D0E63" w14:textId="77777777" w:rsidR="004705B4" w:rsidRPr="006F496A" w:rsidRDefault="004705B4" w:rsidP="004705B4">
            <w:pPr>
              <w:tabs>
                <w:tab w:val="left" w:pos="270"/>
              </w:tabs>
              <w:jc w:val="center"/>
              <w:rPr>
                <w:sz w:val="18"/>
                <w:szCs w:val="18"/>
                <w:lang w:val="es-AR"/>
              </w:rPr>
            </w:pPr>
            <w:r w:rsidRPr="006F496A">
              <w:rPr>
                <w:sz w:val="18"/>
                <w:szCs w:val="18"/>
                <w:lang w:val="es-AR"/>
              </w:rPr>
              <w:t>El objetivo es evaluar el nivel de participación de los organismos claves en el desarrollo de cada estudio.</w:t>
            </w:r>
          </w:p>
        </w:tc>
      </w:tr>
      <w:tr w:rsidR="004705B4" w:rsidRPr="0000724A" w14:paraId="7BCF12C2" w14:textId="77777777" w:rsidTr="003537B0">
        <w:trPr>
          <w:trHeight w:val="395"/>
        </w:trPr>
        <w:tc>
          <w:tcPr>
            <w:tcW w:w="760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F5E9B69" w14:textId="77777777" w:rsidR="004705B4" w:rsidRDefault="004705B4" w:rsidP="004705B4">
            <w:pPr>
              <w:tabs>
                <w:tab w:val="left" w:pos="270"/>
              </w:tabs>
              <w:jc w:val="center"/>
              <w:rPr>
                <w:i/>
                <w:sz w:val="18"/>
                <w:szCs w:val="18"/>
                <w:lang w:val="es-AR"/>
              </w:rPr>
            </w:pPr>
            <w:r w:rsidRPr="006F496A">
              <w:rPr>
                <w:b/>
                <w:sz w:val="18"/>
                <w:szCs w:val="18"/>
                <w:lang w:val="es-AR"/>
              </w:rPr>
              <w:t>Indicador 2:</w:t>
            </w:r>
            <w:r w:rsidRPr="006F496A">
              <w:rPr>
                <w:sz w:val="18"/>
                <w:szCs w:val="18"/>
                <w:lang w:val="es-AR"/>
              </w:rPr>
              <w:t xml:space="preserve"> </w:t>
            </w:r>
            <w:r w:rsidRPr="006F496A">
              <w:rPr>
                <w:i/>
                <w:sz w:val="18"/>
                <w:szCs w:val="18"/>
                <w:lang w:val="es-AR"/>
              </w:rPr>
              <w:t>Nivel de participación  en el desarrollo de los Estudios de impacto, vulnerabilidad y adaptación por parte de organismos claves que integran el Comité de Conducción.</w:t>
            </w:r>
          </w:p>
          <w:p w14:paraId="13FB3A45" w14:textId="77777777" w:rsidR="00823035" w:rsidRPr="006F496A" w:rsidRDefault="00823035" w:rsidP="004705B4">
            <w:pPr>
              <w:tabs>
                <w:tab w:val="left" w:pos="270"/>
              </w:tabs>
              <w:jc w:val="center"/>
              <w:rPr>
                <w:i/>
                <w:sz w:val="18"/>
                <w:szCs w:val="18"/>
                <w:lang w:val="es-AR"/>
              </w:rPr>
            </w:pPr>
          </w:p>
        </w:tc>
        <w:tc>
          <w:tcPr>
            <w:tcW w:w="164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7F71B7F" w14:textId="77777777" w:rsidR="004705B4" w:rsidRPr="006F496A" w:rsidRDefault="004705B4" w:rsidP="004705B4">
            <w:pPr>
              <w:jc w:val="center"/>
              <w:rPr>
                <w:sz w:val="18"/>
                <w:szCs w:val="18"/>
                <w:lang w:val="es-AR"/>
              </w:rPr>
            </w:pPr>
            <w:r w:rsidRPr="006F496A">
              <w:rPr>
                <w:sz w:val="18"/>
                <w:szCs w:val="18"/>
                <w:lang w:val="es-A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496A">
              <w:rPr>
                <w:sz w:val="18"/>
                <w:szCs w:val="18"/>
                <w:lang w:val="es-AR"/>
              </w:rPr>
              <w:instrText xml:space="preserve"> FORMCHECKBOX </w:instrText>
            </w:r>
            <w:r w:rsidR="00B311DC">
              <w:rPr>
                <w:sz w:val="18"/>
                <w:szCs w:val="18"/>
                <w:lang w:val="es-AR"/>
              </w:rPr>
            </w:r>
            <w:r w:rsidR="00B311DC">
              <w:rPr>
                <w:sz w:val="18"/>
                <w:szCs w:val="18"/>
                <w:lang w:val="es-AR"/>
              </w:rPr>
              <w:fldChar w:fldCharType="separate"/>
            </w:r>
            <w:r w:rsidRPr="006F496A">
              <w:rPr>
                <w:sz w:val="18"/>
                <w:szCs w:val="18"/>
                <w:lang w:val="es-AR"/>
              </w:rPr>
              <w:fldChar w:fldCharType="end"/>
            </w:r>
          </w:p>
        </w:tc>
        <w:tc>
          <w:tcPr>
            <w:tcW w:w="396" w:type="pct"/>
            <w:shd w:val="clear" w:color="auto" w:fill="auto"/>
            <w:vAlign w:val="center"/>
          </w:tcPr>
          <w:p w14:paraId="4DE693FA" w14:textId="77777777" w:rsidR="004705B4" w:rsidRPr="006F496A" w:rsidRDefault="004705B4" w:rsidP="004705B4">
            <w:pPr>
              <w:jc w:val="center"/>
              <w:rPr>
                <w:rFonts w:eastAsia="Calibri"/>
                <w:sz w:val="18"/>
                <w:szCs w:val="18"/>
                <w:lang w:val="es-AR"/>
              </w:rPr>
            </w:pPr>
            <w:r w:rsidRPr="006F496A">
              <w:rPr>
                <w:rFonts w:eastAsia="Calibri"/>
                <w:sz w:val="18"/>
                <w:szCs w:val="18"/>
                <w:lang w:val="es-AR"/>
              </w:rPr>
              <w:t>Cantidad de organismos claves</w:t>
            </w:r>
          </w:p>
        </w:tc>
        <w:tc>
          <w:tcPr>
            <w:tcW w:w="493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1C7CA8B" w14:textId="77777777" w:rsidR="004705B4" w:rsidRPr="006F496A" w:rsidRDefault="004705B4" w:rsidP="004705B4">
            <w:pPr>
              <w:jc w:val="center"/>
              <w:rPr>
                <w:rFonts w:eastAsia="Calibri"/>
                <w:sz w:val="18"/>
                <w:szCs w:val="18"/>
                <w:lang w:val="es-AR"/>
              </w:rPr>
            </w:pPr>
            <w:r w:rsidRPr="006F496A">
              <w:rPr>
                <w:rFonts w:eastAsia="Calibri"/>
                <w:sz w:val="18"/>
                <w:szCs w:val="18"/>
                <w:lang w:val="es-AR"/>
              </w:rPr>
              <w:t>0</w:t>
            </w:r>
          </w:p>
        </w:tc>
        <w:tc>
          <w:tcPr>
            <w:tcW w:w="355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8B1FF7B" w14:textId="77777777" w:rsidR="004705B4" w:rsidRPr="006F496A" w:rsidRDefault="004705B4" w:rsidP="004705B4">
            <w:pPr>
              <w:jc w:val="center"/>
              <w:rPr>
                <w:sz w:val="18"/>
                <w:szCs w:val="18"/>
                <w:lang w:val="es-AR"/>
              </w:rPr>
            </w:pPr>
            <w:r w:rsidRPr="006F496A">
              <w:rPr>
                <w:sz w:val="18"/>
                <w:szCs w:val="18"/>
                <w:lang w:val="es-AR"/>
              </w:rPr>
              <w:t>7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2FA2C203" w14:textId="77777777" w:rsidR="004705B4" w:rsidRPr="006F496A" w:rsidRDefault="004705B4" w:rsidP="004705B4">
            <w:pPr>
              <w:jc w:val="center"/>
              <w:rPr>
                <w:sz w:val="18"/>
                <w:szCs w:val="18"/>
                <w:lang w:val="es-AR"/>
              </w:rPr>
            </w:pPr>
            <w:r w:rsidRPr="006F496A">
              <w:rPr>
                <w:sz w:val="18"/>
                <w:szCs w:val="18"/>
                <w:lang w:val="es-AR"/>
              </w:rPr>
              <w:t>7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11F9CD00" w14:textId="77777777" w:rsidR="004705B4" w:rsidRPr="006F496A" w:rsidRDefault="004705B4" w:rsidP="004705B4">
            <w:pPr>
              <w:jc w:val="center"/>
              <w:rPr>
                <w:sz w:val="18"/>
                <w:szCs w:val="18"/>
                <w:lang w:val="es-AR"/>
              </w:rPr>
            </w:pPr>
            <w:r w:rsidRPr="006F496A">
              <w:rPr>
                <w:sz w:val="18"/>
                <w:szCs w:val="18"/>
                <w:lang w:val="es-AR"/>
              </w:rPr>
              <w:t>7</w:t>
            </w:r>
          </w:p>
        </w:tc>
        <w:tc>
          <w:tcPr>
            <w:tcW w:w="403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73A3FA9" w14:textId="77777777" w:rsidR="004705B4" w:rsidRPr="006F496A" w:rsidRDefault="004705B4" w:rsidP="004705B4">
            <w:pPr>
              <w:jc w:val="center"/>
              <w:rPr>
                <w:rFonts w:eastAsia="Calibri"/>
                <w:sz w:val="18"/>
                <w:szCs w:val="18"/>
                <w:lang w:val="es-AR"/>
              </w:rPr>
            </w:pPr>
            <w:r w:rsidRPr="006F496A">
              <w:rPr>
                <w:rFonts w:eastAsia="Calibri"/>
                <w:sz w:val="18"/>
                <w:szCs w:val="18"/>
                <w:lang w:val="es-AR"/>
              </w:rPr>
              <w:t>Semestral</w:t>
            </w:r>
          </w:p>
        </w:tc>
        <w:tc>
          <w:tcPr>
            <w:tcW w:w="546" w:type="pct"/>
            <w:gridSpan w:val="2"/>
            <w:shd w:val="clear" w:color="auto" w:fill="auto"/>
            <w:vAlign w:val="center"/>
          </w:tcPr>
          <w:p w14:paraId="50A8F4E2" w14:textId="77777777" w:rsidR="004705B4" w:rsidRPr="006F496A" w:rsidRDefault="004705B4" w:rsidP="004705B4">
            <w:pPr>
              <w:jc w:val="center"/>
              <w:rPr>
                <w:rFonts w:eastAsia="Calibri"/>
                <w:sz w:val="16"/>
                <w:szCs w:val="16"/>
                <w:lang w:val="es-AR"/>
              </w:rPr>
            </w:pPr>
            <w:r w:rsidRPr="006F496A">
              <w:rPr>
                <w:rFonts w:eastAsia="Calibri"/>
                <w:sz w:val="16"/>
                <w:szCs w:val="16"/>
                <w:lang w:val="es-AR"/>
              </w:rPr>
              <w:t>Sumatoria de organismos claves para cada estudio que revisaron los documentos generados por el proyecto.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7CC76EAB" w14:textId="77777777" w:rsidR="004705B4" w:rsidRPr="006F496A" w:rsidRDefault="004705B4" w:rsidP="004705B4">
            <w:pPr>
              <w:jc w:val="center"/>
              <w:rPr>
                <w:rFonts w:eastAsia="Calibri"/>
                <w:sz w:val="18"/>
                <w:szCs w:val="18"/>
                <w:lang w:val="es-AR"/>
              </w:rPr>
            </w:pPr>
            <w:r w:rsidRPr="006F496A">
              <w:rPr>
                <w:rFonts w:eastAsia="Calibri"/>
                <w:sz w:val="18"/>
                <w:szCs w:val="18"/>
                <w:lang w:val="es-AR"/>
              </w:rPr>
              <w:t>UEP</w:t>
            </w:r>
          </w:p>
        </w:tc>
        <w:tc>
          <w:tcPr>
            <w:tcW w:w="705" w:type="pct"/>
            <w:vAlign w:val="center"/>
          </w:tcPr>
          <w:p w14:paraId="09ED9DE5" w14:textId="77777777" w:rsidR="004705B4" w:rsidRPr="006F496A" w:rsidRDefault="004705B4" w:rsidP="004705B4">
            <w:pPr>
              <w:tabs>
                <w:tab w:val="left" w:pos="270"/>
              </w:tabs>
              <w:jc w:val="center"/>
              <w:rPr>
                <w:sz w:val="18"/>
                <w:szCs w:val="18"/>
                <w:lang w:val="es-AR"/>
              </w:rPr>
            </w:pPr>
            <w:r w:rsidRPr="006F496A">
              <w:rPr>
                <w:sz w:val="18"/>
                <w:szCs w:val="18"/>
                <w:lang w:val="es-AR"/>
              </w:rPr>
              <w:t>El objetivo es evaluar el nivel de participación de los organismos claves en el desarrollo de cada estudio.</w:t>
            </w:r>
          </w:p>
        </w:tc>
      </w:tr>
      <w:tr w:rsidR="004705B4" w:rsidRPr="006F496A" w14:paraId="3CC6A7DA" w14:textId="77777777" w:rsidTr="004705B4">
        <w:trPr>
          <w:trHeight w:val="453"/>
        </w:trPr>
        <w:tc>
          <w:tcPr>
            <w:tcW w:w="5000" w:type="pct"/>
            <w:gridSpan w:val="12"/>
          </w:tcPr>
          <w:p w14:paraId="520FA1FF" w14:textId="77777777" w:rsidR="004705B4" w:rsidRPr="006F496A" w:rsidRDefault="004705B4" w:rsidP="004705B4">
            <w:pPr>
              <w:spacing w:before="120" w:after="120"/>
              <w:jc w:val="center"/>
              <w:rPr>
                <w:rFonts w:eastAsia="Calibri"/>
                <w:b/>
                <w:sz w:val="18"/>
                <w:lang w:val="es-AR"/>
              </w:rPr>
            </w:pPr>
            <w:r w:rsidRPr="006F496A">
              <w:rPr>
                <w:rFonts w:eastAsia="Calibri"/>
                <w:b/>
                <w:sz w:val="18"/>
                <w:lang w:val="es-AR"/>
              </w:rPr>
              <w:t>Componente 4: Gestión del Proyecto</w:t>
            </w:r>
          </w:p>
        </w:tc>
      </w:tr>
      <w:tr w:rsidR="004705B4" w:rsidRPr="0000724A" w14:paraId="2CB27331" w14:textId="77777777" w:rsidTr="003537B0">
        <w:trPr>
          <w:trHeight w:val="395"/>
        </w:trPr>
        <w:tc>
          <w:tcPr>
            <w:tcW w:w="760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B7CCDC2" w14:textId="77777777" w:rsidR="004705B4" w:rsidRDefault="004705B4" w:rsidP="004705B4">
            <w:pPr>
              <w:tabs>
                <w:tab w:val="left" w:pos="270"/>
              </w:tabs>
              <w:jc w:val="center"/>
              <w:rPr>
                <w:i/>
                <w:sz w:val="18"/>
                <w:szCs w:val="18"/>
                <w:lang w:val="es-AR"/>
              </w:rPr>
            </w:pPr>
            <w:r w:rsidRPr="006F496A">
              <w:rPr>
                <w:b/>
                <w:sz w:val="18"/>
                <w:szCs w:val="18"/>
                <w:lang w:val="es-AR"/>
              </w:rPr>
              <w:t xml:space="preserve">Indicador 4.1: </w:t>
            </w:r>
            <w:r w:rsidRPr="006F496A">
              <w:rPr>
                <w:i/>
                <w:sz w:val="18"/>
                <w:szCs w:val="18"/>
                <w:lang w:val="es-AR"/>
              </w:rPr>
              <w:t>Proporción de los procesos de adquisición iniciados.</w:t>
            </w:r>
          </w:p>
          <w:p w14:paraId="2C222579" w14:textId="77777777" w:rsidR="00823035" w:rsidRPr="006F496A" w:rsidRDefault="00823035" w:rsidP="004705B4">
            <w:pPr>
              <w:tabs>
                <w:tab w:val="left" w:pos="270"/>
              </w:tabs>
              <w:jc w:val="center"/>
              <w:rPr>
                <w:i/>
                <w:sz w:val="18"/>
                <w:szCs w:val="18"/>
                <w:lang w:val="es-AR"/>
              </w:rPr>
            </w:pPr>
          </w:p>
        </w:tc>
        <w:tc>
          <w:tcPr>
            <w:tcW w:w="164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5044D2D" w14:textId="77777777" w:rsidR="004705B4" w:rsidRPr="006F496A" w:rsidRDefault="004705B4" w:rsidP="004705B4">
            <w:pPr>
              <w:jc w:val="center"/>
              <w:rPr>
                <w:sz w:val="18"/>
                <w:szCs w:val="18"/>
                <w:lang w:val="es-AR"/>
              </w:rPr>
            </w:pPr>
            <w:r w:rsidRPr="006F496A">
              <w:rPr>
                <w:sz w:val="18"/>
                <w:szCs w:val="18"/>
                <w:lang w:val="es-A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496A">
              <w:rPr>
                <w:sz w:val="18"/>
                <w:szCs w:val="18"/>
                <w:lang w:val="es-AR"/>
              </w:rPr>
              <w:instrText xml:space="preserve"> FORMCHECKBOX </w:instrText>
            </w:r>
            <w:r w:rsidR="00B311DC">
              <w:rPr>
                <w:sz w:val="18"/>
                <w:szCs w:val="18"/>
                <w:lang w:val="es-AR"/>
              </w:rPr>
            </w:r>
            <w:r w:rsidR="00B311DC">
              <w:rPr>
                <w:sz w:val="18"/>
                <w:szCs w:val="18"/>
                <w:lang w:val="es-AR"/>
              </w:rPr>
              <w:fldChar w:fldCharType="separate"/>
            </w:r>
            <w:r w:rsidRPr="006F496A">
              <w:rPr>
                <w:sz w:val="18"/>
                <w:szCs w:val="18"/>
                <w:lang w:val="es-AR"/>
              </w:rPr>
              <w:fldChar w:fldCharType="end"/>
            </w:r>
          </w:p>
        </w:tc>
        <w:tc>
          <w:tcPr>
            <w:tcW w:w="396" w:type="pct"/>
            <w:shd w:val="clear" w:color="auto" w:fill="auto"/>
            <w:vAlign w:val="center"/>
          </w:tcPr>
          <w:p w14:paraId="0111965C" w14:textId="77777777" w:rsidR="004705B4" w:rsidRPr="006F496A" w:rsidRDefault="004705B4" w:rsidP="004705B4">
            <w:pPr>
              <w:spacing w:before="120"/>
              <w:jc w:val="center"/>
              <w:rPr>
                <w:rFonts w:eastAsia="Calibri"/>
                <w:bCs/>
                <w:sz w:val="18"/>
                <w:szCs w:val="18"/>
                <w:lang w:val="es-AR"/>
              </w:rPr>
            </w:pPr>
            <w:r w:rsidRPr="006F496A">
              <w:rPr>
                <w:rFonts w:eastAsia="Calibri"/>
                <w:bCs/>
                <w:sz w:val="18"/>
                <w:szCs w:val="18"/>
                <w:lang w:val="es-AR"/>
              </w:rPr>
              <w:t>Porcentaje</w:t>
            </w:r>
          </w:p>
          <w:p w14:paraId="1AC20730" w14:textId="77777777" w:rsidR="004705B4" w:rsidRPr="006F496A" w:rsidRDefault="004705B4" w:rsidP="004705B4">
            <w:pPr>
              <w:jc w:val="center"/>
              <w:rPr>
                <w:rFonts w:eastAsia="Calibri"/>
                <w:sz w:val="18"/>
                <w:szCs w:val="18"/>
                <w:lang w:val="es-AR"/>
              </w:rPr>
            </w:pPr>
            <w:r w:rsidRPr="006F496A">
              <w:rPr>
                <w:rFonts w:eastAsia="Calibri"/>
                <w:bCs/>
                <w:sz w:val="18"/>
                <w:szCs w:val="18"/>
                <w:lang w:val="es-AR"/>
              </w:rPr>
              <w:t>(0-100%)</w:t>
            </w:r>
          </w:p>
        </w:tc>
        <w:tc>
          <w:tcPr>
            <w:tcW w:w="493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09A8605" w14:textId="77777777" w:rsidR="004705B4" w:rsidRPr="006F496A" w:rsidRDefault="004705B4" w:rsidP="004705B4">
            <w:pPr>
              <w:jc w:val="center"/>
              <w:rPr>
                <w:rFonts w:eastAsia="Calibri"/>
                <w:sz w:val="18"/>
                <w:szCs w:val="18"/>
                <w:lang w:val="es-AR"/>
              </w:rPr>
            </w:pPr>
            <w:r w:rsidRPr="006F496A">
              <w:rPr>
                <w:rFonts w:eastAsia="Calibri"/>
                <w:sz w:val="18"/>
                <w:szCs w:val="18"/>
                <w:lang w:val="es-AR"/>
              </w:rPr>
              <w:t>0</w:t>
            </w:r>
          </w:p>
        </w:tc>
        <w:tc>
          <w:tcPr>
            <w:tcW w:w="355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3143B07" w14:textId="77777777" w:rsidR="004705B4" w:rsidRPr="006F496A" w:rsidRDefault="004705B4" w:rsidP="004705B4">
            <w:pPr>
              <w:jc w:val="center"/>
              <w:rPr>
                <w:sz w:val="18"/>
                <w:szCs w:val="18"/>
                <w:lang w:val="es-AR"/>
              </w:rPr>
            </w:pPr>
            <w:r w:rsidRPr="006F496A">
              <w:rPr>
                <w:sz w:val="18"/>
                <w:szCs w:val="18"/>
                <w:lang w:val="es-AR"/>
              </w:rPr>
              <w:t>36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1A296F7F" w14:textId="77777777" w:rsidR="004705B4" w:rsidRPr="006F496A" w:rsidRDefault="004705B4" w:rsidP="004705B4">
            <w:pPr>
              <w:jc w:val="center"/>
              <w:rPr>
                <w:sz w:val="18"/>
                <w:szCs w:val="18"/>
                <w:lang w:val="es-AR"/>
              </w:rPr>
            </w:pPr>
            <w:r w:rsidRPr="006F496A">
              <w:rPr>
                <w:sz w:val="18"/>
                <w:szCs w:val="18"/>
                <w:lang w:val="es-AR"/>
              </w:rPr>
              <w:t>76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42A7252B" w14:textId="77777777" w:rsidR="004705B4" w:rsidRPr="006F496A" w:rsidRDefault="004705B4" w:rsidP="004705B4">
            <w:pPr>
              <w:jc w:val="center"/>
              <w:rPr>
                <w:sz w:val="18"/>
                <w:szCs w:val="18"/>
                <w:lang w:val="es-AR"/>
              </w:rPr>
            </w:pPr>
            <w:r w:rsidRPr="006F496A">
              <w:rPr>
                <w:sz w:val="18"/>
                <w:szCs w:val="18"/>
                <w:lang w:val="es-AR"/>
              </w:rPr>
              <w:t>100</w:t>
            </w:r>
          </w:p>
        </w:tc>
        <w:tc>
          <w:tcPr>
            <w:tcW w:w="403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149A7C8" w14:textId="77777777" w:rsidR="004705B4" w:rsidRPr="006F496A" w:rsidRDefault="004705B4" w:rsidP="004705B4">
            <w:pPr>
              <w:jc w:val="center"/>
              <w:rPr>
                <w:rFonts w:eastAsia="Calibri"/>
                <w:sz w:val="18"/>
                <w:szCs w:val="18"/>
                <w:lang w:val="es-AR"/>
              </w:rPr>
            </w:pPr>
            <w:r w:rsidRPr="006F496A">
              <w:rPr>
                <w:rFonts w:eastAsia="Calibri"/>
                <w:sz w:val="18"/>
                <w:szCs w:val="18"/>
                <w:lang w:val="es-AR"/>
              </w:rPr>
              <w:t>Semestral</w:t>
            </w:r>
          </w:p>
        </w:tc>
        <w:tc>
          <w:tcPr>
            <w:tcW w:w="546" w:type="pct"/>
            <w:gridSpan w:val="2"/>
            <w:shd w:val="clear" w:color="auto" w:fill="auto"/>
            <w:vAlign w:val="center"/>
          </w:tcPr>
          <w:p w14:paraId="21B6703C" w14:textId="77777777" w:rsidR="004705B4" w:rsidRPr="006F496A" w:rsidRDefault="004705B4" w:rsidP="004705B4">
            <w:pPr>
              <w:jc w:val="center"/>
              <w:rPr>
                <w:rFonts w:eastAsia="Calibri"/>
                <w:sz w:val="16"/>
                <w:szCs w:val="16"/>
                <w:lang w:val="es-AR"/>
              </w:rPr>
            </w:pPr>
            <w:r w:rsidRPr="006F496A">
              <w:rPr>
                <w:rFonts w:eastAsia="Calibri"/>
                <w:sz w:val="16"/>
                <w:szCs w:val="16"/>
                <w:lang w:val="es-AR"/>
              </w:rPr>
              <w:t>Sumatoria de los procesos de adquisición (S.E.P.A.) iniciados.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6EFC79B2" w14:textId="77777777" w:rsidR="004705B4" w:rsidRPr="006F496A" w:rsidRDefault="004705B4" w:rsidP="004705B4">
            <w:pPr>
              <w:jc w:val="center"/>
              <w:rPr>
                <w:rFonts w:eastAsia="Calibri"/>
                <w:sz w:val="18"/>
                <w:szCs w:val="18"/>
                <w:lang w:val="es-AR"/>
              </w:rPr>
            </w:pPr>
            <w:r w:rsidRPr="006F496A">
              <w:rPr>
                <w:rFonts w:eastAsia="Calibri"/>
                <w:sz w:val="18"/>
                <w:szCs w:val="18"/>
                <w:lang w:val="es-AR"/>
              </w:rPr>
              <w:t>UEP</w:t>
            </w:r>
          </w:p>
        </w:tc>
        <w:tc>
          <w:tcPr>
            <w:tcW w:w="705" w:type="pct"/>
            <w:vAlign w:val="center"/>
          </w:tcPr>
          <w:p w14:paraId="2FCD75AA" w14:textId="77777777" w:rsidR="004705B4" w:rsidRDefault="004705B4" w:rsidP="004705B4">
            <w:pPr>
              <w:tabs>
                <w:tab w:val="left" w:pos="270"/>
              </w:tabs>
              <w:jc w:val="center"/>
              <w:rPr>
                <w:sz w:val="18"/>
                <w:szCs w:val="18"/>
                <w:lang w:val="es-AR"/>
              </w:rPr>
            </w:pPr>
            <w:r w:rsidRPr="006F496A">
              <w:rPr>
                <w:sz w:val="18"/>
                <w:szCs w:val="18"/>
                <w:lang w:val="es-AR"/>
              </w:rPr>
              <w:t>El objetivo es medir el avance en la ejecución de los procesos de adquisiciones.</w:t>
            </w:r>
          </w:p>
          <w:p w14:paraId="66D5A1F0" w14:textId="77777777" w:rsidR="00823035" w:rsidRPr="006F496A" w:rsidRDefault="00823035" w:rsidP="004705B4">
            <w:pPr>
              <w:tabs>
                <w:tab w:val="left" w:pos="270"/>
              </w:tabs>
              <w:jc w:val="center"/>
              <w:rPr>
                <w:sz w:val="18"/>
                <w:szCs w:val="18"/>
                <w:lang w:val="es-AR"/>
              </w:rPr>
            </w:pPr>
          </w:p>
        </w:tc>
      </w:tr>
      <w:tr w:rsidR="004705B4" w:rsidRPr="0000724A" w14:paraId="05BACEC9" w14:textId="77777777" w:rsidTr="003537B0">
        <w:trPr>
          <w:trHeight w:val="395"/>
        </w:trPr>
        <w:tc>
          <w:tcPr>
            <w:tcW w:w="760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DEE514F" w14:textId="77777777" w:rsidR="004705B4" w:rsidRDefault="004705B4" w:rsidP="004705B4">
            <w:pPr>
              <w:tabs>
                <w:tab w:val="left" w:pos="270"/>
              </w:tabs>
              <w:jc w:val="center"/>
              <w:rPr>
                <w:i/>
                <w:sz w:val="18"/>
                <w:szCs w:val="18"/>
                <w:lang w:val="es-AR"/>
              </w:rPr>
            </w:pPr>
            <w:r w:rsidRPr="006F496A">
              <w:rPr>
                <w:b/>
                <w:sz w:val="18"/>
                <w:szCs w:val="18"/>
                <w:lang w:val="es-AR"/>
              </w:rPr>
              <w:t xml:space="preserve">Indicador 4.2: </w:t>
            </w:r>
            <w:r w:rsidRPr="006F496A">
              <w:rPr>
                <w:i/>
                <w:sz w:val="18"/>
                <w:szCs w:val="18"/>
                <w:lang w:val="es-AR"/>
              </w:rPr>
              <w:t>Proporción de los procesos de adquisición finalizados.</w:t>
            </w:r>
          </w:p>
          <w:p w14:paraId="54F9F411" w14:textId="77777777" w:rsidR="00823035" w:rsidRPr="006F496A" w:rsidRDefault="00823035" w:rsidP="004705B4">
            <w:pPr>
              <w:tabs>
                <w:tab w:val="left" w:pos="270"/>
              </w:tabs>
              <w:jc w:val="center"/>
              <w:rPr>
                <w:i/>
                <w:sz w:val="18"/>
                <w:szCs w:val="18"/>
                <w:lang w:val="es-AR"/>
              </w:rPr>
            </w:pPr>
          </w:p>
        </w:tc>
        <w:tc>
          <w:tcPr>
            <w:tcW w:w="164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4152524" w14:textId="77777777" w:rsidR="004705B4" w:rsidRPr="006F496A" w:rsidRDefault="004705B4" w:rsidP="004705B4">
            <w:pPr>
              <w:jc w:val="center"/>
              <w:rPr>
                <w:sz w:val="18"/>
                <w:szCs w:val="18"/>
                <w:lang w:val="es-AR"/>
              </w:rPr>
            </w:pPr>
            <w:r w:rsidRPr="006F496A">
              <w:rPr>
                <w:sz w:val="18"/>
                <w:szCs w:val="18"/>
                <w:lang w:val="es-A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496A">
              <w:rPr>
                <w:sz w:val="18"/>
                <w:szCs w:val="18"/>
                <w:lang w:val="es-AR"/>
              </w:rPr>
              <w:instrText xml:space="preserve"> FORMCHECKBOX </w:instrText>
            </w:r>
            <w:r w:rsidR="00B311DC">
              <w:rPr>
                <w:sz w:val="18"/>
                <w:szCs w:val="18"/>
                <w:lang w:val="es-AR"/>
              </w:rPr>
            </w:r>
            <w:r w:rsidR="00B311DC">
              <w:rPr>
                <w:sz w:val="18"/>
                <w:szCs w:val="18"/>
                <w:lang w:val="es-AR"/>
              </w:rPr>
              <w:fldChar w:fldCharType="separate"/>
            </w:r>
            <w:r w:rsidRPr="006F496A">
              <w:rPr>
                <w:sz w:val="18"/>
                <w:szCs w:val="18"/>
                <w:lang w:val="es-AR"/>
              </w:rPr>
              <w:fldChar w:fldCharType="end"/>
            </w:r>
          </w:p>
        </w:tc>
        <w:tc>
          <w:tcPr>
            <w:tcW w:w="396" w:type="pct"/>
            <w:shd w:val="clear" w:color="auto" w:fill="auto"/>
            <w:vAlign w:val="center"/>
          </w:tcPr>
          <w:p w14:paraId="0A3E9E50" w14:textId="77777777" w:rsidR="004705B4" w:rsidRPr="006F496A" w:rsidRDefault="004705B4" w:rsidP="004705B4">
            <w:pPr>
              <w:spacing w:before="120"/>
              <w:jc w:val="center"/>
              <w:rPr>
                <w:rFonts w:eastAsia="Calibri"/>
                <w:bCs/>
                <w:sz w:val="18"/>
                <w:szCs w:val="18"/>
                <w:lang w:val="es-AR"/>
              </w:rPr>
            </w:pPr>
            <w:r w:rsidRPr="006F496A">
              <w:rPr>
                <w:rFonts w:eastAsia="Calibri"/>
                <w:bCs/>
                <w:sz w:val="18"/>
                <w:szCs w:val="18"/>
                <w:lang w:val="es-AR"/>
              </w:rPr>
              <w:t>Porcentaje</w:t>
            </w:r>
          </w:p>
          <w:p w14:paraId="1F4C1A70" w14:textId="77777777" w:rsidR="004705B4" w:rsidRPr="006F496A" w:rsidRDefault="004705B4" w:rsidP="004705B4">
            <w:pPr>
              <w:jc w:val="center"/>
              <w:rPr>
                <w:rFonts w:eastAsia="Calibri"/>
                <w:sz w:val="18"/>
                <w:szCs w:val="18"/>
                <w:lang w:val="es-AR"/>
              </w:rPr>
            </w:pPr>
            <w:r w:rsidRPr="006F496A">
              <w:rPr>
                <w:rFonts w:eastAsia="Calibri"/>
                <w:bCs/>
                <w:sz w:val="18"/>
                <w:szCs w:val="18"/>
                <w:lang w:val="es-AR"/>
              </w:rPr>
              <w:t>(0-100%)</w:t>
            </w:r>
          </w:p>
        </w:tc>
        <w:tc>
          <w:tcPr>
            <w:tcW w:w="493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59EF714" w14:textId="77777777" w:rsidR="004705B4" w:rsidRPr="006F496A" w:rsidRDefault="004705B4" w:rsidP="004705B4">
            <w:pPr>
              <w:jc w:val="center"/>
              <w:rPr>
                <w:rFonts w:eastAsia="Calibri"/>
                <w:sz w:val="18"/>
                <w:szCs w:val="18"/>
                <w:lang w:val="es-AR"/>
              </w:rPr>
            </w:pPr>
            <w:r w:rsidRPr="006F496A">
              <w:rPr>
                <w:rFonts w:eastAsia="Calibri"/>
                <w:sz w:val="18"/>
                <w:szCs w:val="18"/>
                <w:lang w:val="es-AR"/>
              </w:rPr>
              <w:t>0</w:t>
            </w:r>
          </w:p>
        </w:tc>
        <w:tc>
          <w:tcPr>
            <w:tcW w:w="355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E79A389" w14:textId="77777777" w:rsidR="004705B4" w:rsidRPr="006F496A" w:rsidRDefault="004705B4" w:rsidP="004705B4">
            <w:pPr>
              <w:jc w:val="center"/>
              <w:rPr>
                <w:sz w:val="18"/>
                <w:szCs w:val="18"/>
                <w:lang w:val="es-AR"/>
              </w:rPr>
            </w:pPr>
            <w:r w:rsidRPr="006F496A">
              <w:rPr>
                <w:sz w:val="18"/>
                <w:szCs w:val="18"/>
                <w:lang w:val="es-AR"/>
              </w:rPr>
              <w:t>18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1B83C6D8" w14:textId="77777777" w:rsidR="004705B4" w:rsidRPr="006F496A" w:rsidRDefault="004705B4" w:rsidP="004705B4">
            <w:pPr>
              <w:jc w:val="center"/>
              <w:rPr>
                <w:sz w:val="18"/>
                <w:szCs w:val="18"/>
                <w:lang w:val="es-AR"/>
              </w:rPr>
            </w:pPr>
            <w:r w:rsidRPr="006F496A">
              <w:rPr>
                <w:sz w:val="18"/>
                <w:szCs w:val="18"/>
                <w:lang w:val="es-AR"/>
              </w:rPr>
              <w:t>33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296FFA8D" w14:textId="77777777" w:rsidR="004705B4" w:rsidRPr="006F496A" w:rsidRDefault="004705B4" w:rsidP="004705B4">
            <w:pPr>
              <w:jc w:val="center"/>
              <w:rPr>
                <w:sz w:val="18"/>
                <w:szCs w:val="18"/>
                <w:lang w:val="es-AR"/>
              </w:rPr>
            </w:pPr>
            <w:r w:rsidRPr="006F496A">
              <w:rPr>
                <w:sz w:val="18"/>
                <w:szCs w:val="18"/>
                <w:lang w:val="es-AR"/>
              </w:rPr>
              <w:t>100</w:t>
            </w:r>
          </w:p>
        </w:tc>
        <w:tc>
          <w:tcPr>
            <w:tcW w:w="403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7EBC1E6" w14:textId="77777777" w:rsidR="004705B4" w:rsidRPr="006F496A" w:rsidRDefault="004705B4" w:rsidP="004705B4">
            <w:pPr>
              <w:jc w:val="center"/>
              <w:rPr>
                <w:rFonts w:eastAsia="Calibri"/>
                <w:sz w:val="18"/>
                <w:szCs w:val="18"/>
                <w:lang w:val="es-AR"/>
              </w:rPr>
            </w:pPr>
            <w:r w:rsidRPr="006F496A">
              <w:rPr>
                <w:rFonts w:eastAsia="Calibri"/>
                <w:sz w:val="18"/>
                <w:szCs w:val="18"/>
                <w:lang w:val="es-AR"/>
              </w:rPr>
              <w:t>Semestral</w:t>
            </w:r>
          </w:p>
        </w:tc>
        <w:tc>
          <w:tcPr>
            <w:tcW w:w="546" w:type="pct"/>
            <w:gridSpan w:val="2"/>
            <w:shd w:val="clear" w:color="auto" w:fill="auto"/>
            <w:vAlign w:val="center"/>
          </w:tcPr>
          <w:p w14:paraId="3A7A63C1" w14:textId="77777777" w:rsidR="004705B4" w:rsidRPr="006F496A" w:rsidRDefault="004705B4" w:rsidP="004705B4">
            <w:pPr>
              <w:jc w:val="center"/>
              <w:rPr>
                <w:rFonts w:eastAsia="Calibri"/>
                <w:sz w:val="16"/>
                <w:szCs w:val="16"/>
                <w:lang w:val="es-AR"/>
              </w:rPr>
            </w:pPr>
            <w:r w:rsidRPr="006F496A">
              <w:rPr>
                <w:rFonts w:eastAsia="Calibri"/>
                <w:sz w:val="16"/>
                <w:szCs w:val="16"/>
                <w:lang w:val="es-AR"/>
              </w:rPr>
              <w:t>Sumatoria de los procesos de adquisición (S.E.P.A.) finalizados.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0451BCBB" w14:textId="77777777" w:rsidR="004705B4" w:rsidRPr="006F496A" w:rsidRDefault="004705B4" w:rsidP="004705B4">
            <w:pPr>
              <w:jc w:val="center"/>
              <w:rPr>
                <w:rFonts w:eastAsia="Calibri"/>
                <w:sz w:val="18"/>
                <w:szCs w:val="18"/>
                <w:lang w:val="es-AR"/>
              </w:rPr>
            </w:pPr>
            <w:r w:rsidRPr="006F496A">
              <w:rPr>
                <w:rFonts w:eastAsia="Calibri"/>
                <w:sz w:val="18"/>
                <w:szCs w:val="18"/>
                <w:lang w:val="es-AR"/>
              </w:rPr>
              <w:t>UEP</w:t>
            </w:r>
          </w:p>
        </w:tc>
        <w:tc>
          <w:tcPr>
            <w:tcW w:w="705" w:type="pct"/>
            <w:vAlign w:val="center"/>
          </w:tcPr>
          <w:p w14:paraId="4AB228A1" w14:textId="77777777" w:rsidR="004705B4" w:rsidRDefault="004705B4" w:rsidP="004705B4">
            <w:pPr>
              <w:tabs>
                <w:tab w:val="left" w:pos="270"/>
              </w:tabs>
              <w:jc w:val="center"/>
              <w:rPr>
                <w:sz w:val="18"/>
                <w:szCs w:val="18"/>
                <w:lang w:val="es-AR"/>
              </w:rPr>
            </w:pPr>
            <w:r w:rsidRPr="006F496A">
              <w:rPr>
                <w:sz w:val="18"/>
                <w:szCs w:val="18"/>
                <w:lang w:val="es-AR"/>
              </w:rPr>
              <w:t>El objetivo es medir el avance en la conclusión de los procesos de adquisiciones.</w:t>
            </w:r>
          </w:p>
          <w:p w14:paraId="4EC20EB3" w14:textId="77777777" w:rsidR="00823035" w:rsidRPr="00421468" w:rsidRDefault="00823035" w:rsidP="004705B4">
            <w:pPr>
              <w:tabs>
                <w:tab w:val="left" w:pos="270"/>
              </w:tabs>
              <w:jc w:val="center"/>
              <w:rPr>
                <w:sz w:val="18"/>
                <w:szCs w:val="18"/>
                <w:lang w:val="es-AR"/>
              </w:rPr>
            </w:pPr>
          </w:p>
        </w:tc>
      </w:tr>
    </w:tbl>
    <w:p w14:paraId="6A9B9BC1" w14:textId="77777777" w:rsidR="004705B4" w:rsidRPr="001F2FD0" w:rsidRDefault="004705B4" w:rsidP="004705B4">
      <w:pPr>
        <w:jc w:val="center"/>
        <w:rPr>
          <w:lang w:val="es-AR"/>
        </w:rPr>
      </w:pPr>
    </w:p>
    <w:sectPr w:rsidR="004705B4" w:rsidRPr="001F2FD0" w:rsidSect="004705B4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608F46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F6B38F" w14:textId="77777777" w:rsidR="00E835B9" w:rsidRDefault="00E835B9" w:rsidP="004705B4">
      <w:r>
        <w:separator/>
      </w:r>
    </w:p>
  </w:endnote>
  <w:endnote w:type="continuationSeparator" w:id="0">
    <w:p w14:paraId="02B1F0AE" w14:textId="77777777" w:rsidR="00E835B9" w:rsidRDefault="00E835B9" w:rsidP="00470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626E81" w14:textId="77777777" w:rsidR="00E835B9" w:rsidRDefault="00E835B9" w:rsidP="004705B4">
      <w:r>
        <w:separator/>
      </w:r>
    </w:p>
  </w:footnote>
  <w:footnote w:type="continuationSeparator" w:id="0">
    <w:p w14:paraId="63F6CA5E" w14:textId="77777777" w:rsidR="00E835B9" w:rsidRDefault="00E835B9" w:rsidP="004705B4">
      <w:r>
        <w:continuationSeparator/>
      </w:r>
    </w:p>
  </w:footnote>
  <w:footnote w:id="1">
    <w:p w14:paraId="1389F549" w14:textId="320C1B6D" w:rsidR="00D40DA9" w:rsidRPr="0000724A" w:rsidRDefault="00D40DA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0724A">
        <w:t xml:space="preserve">Esta traducción </w:t>
      </w:r>
      <w:r w:rsidR="003537B0">
        <w:t xml:space="preserve">capta los indicadores oficiales </w:t>
      </w:r>
      <w:r w:rsidR="003537B0" w:rsidRPr="0000724A">
        <w:t xml:space="preserve">del Marco de Resultados vigente </w:t>
      </w:r>
      <w:r w:rsidR="003537B0">
        <w:t xml:space="preserve">después de la restructuración del Proyecto. </w:t>
      </w:r>
      <w:r w:rsidRPr="0000724A">
        <w:t>P</w:t>
      </w:r>
      <w:r w:rsidR="003537B0">
        <w:t>ara ver las diferencias entre el Marco de Resultados original y esta versión restructurada</w:t>
      </w:r>
      <w:r w:rsidRPr="0000724A">
        <w:t>,</w:t>
      </w:r>
      <w:r w:rsidR="003537B0">
        <w:t xml:space="preserve"> por favor</w:t>
      </w:r>
      <w:r w:rsidRPr="0000724A">
        <w:t xml:space="preserve"> referirse al documento original de restructuración del Proyecto (en inglés).</w:t>
      </w:r>
    </w:p>
  </w:footnote>
  <w:footnote w:id="2">
    <w:p w14:paraId="74F71385" w14:textId="2657359E" w:rsidR="004705B4" w:rsidRPr="00295191" w:rsidRDefault="004705B4" w:rsidP="004705B4">
      <w:pPr>
        <w:pStyle w:val="FootnoteText"/>
        <w:rPr>
          <w:lang w:val="es-AR"/>
        </w:rPr>
      </w:pPr>
      <w:r w:rsidRPr="00295191">
        <w:rPr>
          <w:rStyle w:val="FootnoteReference"/>
        </w:rPr>
        <w:footnoteRef/>
      </w:r>
      <w:r w:rsidR="0000724A">
        <w:rPr>
          <w:lang w:val="es-AR"/>
        </w:rPr>
        <w:t xml:space="preserve"> </w:t>
      </w:r>
      <w:r w:rsidRPr="00295191">
        <w:rPr>
          <w:lang w:val="es-AR"/>
        </w:rPr>
        <w:t>Se considera “Consultoría Finalizada” cuando se aprueba el informe final estipulado en los Términos de Referencia correspondientes</w:t>
      </w:r>
      <w:r>
        <w:rPr>
          <w:lang w:val="es-AR"/>
        </w:rPr>
        <w:t>.</w:t>
      </w:r>
    </w:p>
  </w:footnote>
  <w:footnote w:id="3">
    <w:p w14:paraId="45B4C93B" w14:textId="77777777" w:rsidR="004705B4" w:rsidRPr="0096135B" w:rsidRDefault="004705B4" w:rsidP="004705B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6135B">
        <w:t>La “Participación” se define como la contribu</w:t>
      </w:r>
      <w:r>
        <w:t>ción con al menos un comentario relevante sobre el documento revisado.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87BDB"/>
    <w:multiLevelType w:val="hybridMultilevel"/>
    <w:tmpl w:val="92E6F34E"/>
    <w:lvl w:ilvl="0" w:tplc="06A4FD62">
      <w:start w:val="1"/>
      <w:numFmt w:val="upperLetter"/>
      <w:pStyle w:val="Heading1"/>
      <w:lvlText w:val="%1."/>
      <w:lvlJc w:val="left"/>
      <w:pPr>
        <w:ind w:left="4140" w:hanging="360"/>
      </w:pPr>
    </w:lvl>
    <w:lvl w:ilvl="1" w:tplc="04090019" w:tentative="1">
      <w:start w:val="1"/>
      <w:numFmt w:val="lowerLetter"/>
      <w:lvlText w:val="%2."/>
      <w:lvlJc w:val="left"/>
      <w:pPr>
        <w:ind w:left="4860" w:hanging="360"/>
      </w:pPr>
    </w:lvl>
    <w:lvl w:ilvl="2" w:tplc="0409001B" w:tentative="1">
      <w:start w:val="1"/>
      <w:numFmt w:val="lowerRoman"/>
      <w:lvlText w:val="%3."/>
      <w:lvlJc w:val="right"/>
      <w:pPr>
        <w:ind w:left="5580" w:hanging="180"/>
      </w:pPr>
    </w:lvl>
    <w:lvl w:ilvl="3" w:tplc="0409000F" w:tentative="1">
      <w:start w:val="1"/>
      <w:numFmt w:val="decimal"/>
      <w:lvlText w:val="%4."/>
      <w:lvlJc w:val="left"/>
      <w:pPr>
        <w:ind w:left="6300" w:hanging="360"/>
      </w:pPr>
    </w:lvl>
    <w:lvl w:ilvl="4" w:tplc="04090019" w:tentative="1">
      <w:start w:val="1"/>
      <w:numFmt w:val="lowerLetter"/>
      <w:lvlText w:val="%5."/>
      <w:lvlJc w:val="left"/>
      <w:pPr>
        <w:ind w:left="7020" w:hanging="360"/>
      </w:pPr>
    </w:lvl>
    <w:lvl w:ilvl="5" w:tplc="0409001B" w:tentative="1">
      <w:start w:val="1"/>
      <w:numFmt w:val="lowerRoman"/>
      <w:lvlText w:val="%6."/>
      <w:lvlJc w:val="right"/>
      <w:pPr>
        <w:ind w:left="7740" w:hanging="180"/>
      </w:pPr>
    </w:lvl>
    <w:lvl w:ilvl="6" w:tplc="0409000F" w:tentative="1">
      <w:start w:val="1"/>
      <w:numFmt w:val="decimal"/>
      <w:lvlText w:val="%7."/>
      <w:lvlJc w:val="left"/>
      <w:pPr>
        <w:ind w:left="8460" w:hanging="360"/>
      </w:pPr>
    </w:lvl>
    <w:lvl w:ilvl="7" w:tplc="04090019" w:tentative="1">
      <w:start w:val="1"/>
      <w:numFmt w:val="lowerLetter"/>
      <w:lvlText w:val="%8."/>
      <w:lvlJc w:val="left"/>
      <w:pPr>
        <w:ind w:left="9180" w:hanging="360"/>
      </w:pPr>
    </w:lvl>
    <w:lvl w:ilvl="8" w:tplc="0409001B" w:tentative="1">
      <w:start w:val="1"/>
      <w:numFmt w:val="lowerRoman"/>
      <w:lvlText w:val="%9."/>
      <w:lvlJc w:val="right"/>
      <w:pPr>
        <w:ind w:left="9900" w:hanging="180"/>
      </w:pPr>
    </w:lvl>
  </w:abstractNum>
  <w:abstractNum w:abstractNumId="1">
    <w:nsid w:val="287F3918"/>
    <w:multiLevelType w:val="hybridMultilevel"/>
    <w:tmpl w:val="1DF82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blo Francisco Herrera">
    <w15:presenceInfo w15:providerId="AD" w15:userId="S-1-5-21-88094858-919529-1617787245-43538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6A9"/>
    <w:rsid w:val="0000724A"/>
    <w:rsid w:val="00022EBC"/>
    <w:rsid w:val="000328C4"/>
    <w:rsid w:val="00042703"/>
    <w:rsid w:val="000448B3"/>
    <w:rsid w:val="000455AD"/>
    <w:rsid w:val="00067A79"/>
    <w:rsid w:val="00075B84"/>
    <w:rsid w:val="000773E2"/>
    <w:rsid w:val="000931B2"/>
    <w:rsid w:val="0009456B"/>
    <w:rsid w:val="00095061"/>
    <w:rsid w:val="0009740A"/>
    <w:rsid w:val="000C5A45"/>
    <w:rsid w:val="000D5B62"/>
    <w:rsid w:val="000D7D86"/>
    <w:rsid w:val="000E11B4"/>
    <w:rsid w:val="00103A2F"/>
    <w:rsid w:val="001050D6"/>
    <w:rsid w:val="001131BC"/>
    <w:rsid w:val="001250A6"/>
    <w:rsid w:val="001328DE"/>
    <w:rsid w:val="00147508"/>
    <w:rsid w:val="00154D94"/>
    <w:rsid w:val="00164C17"/>
    <w:rsid w:val="00170517"/>
    <w:rsid w:val="00177F8F"/>
    <w:rsid w:val="001857CA"/>
    <w:rsid w:val="001934F6"/>
    <w:rsid w:val="001970C0"/>
    <w:rsid w:val="001A2FEF"/>
    <w:rsid w:val="001A4184"/>
    <w:rsid w:val="001B539D"/>
    <w:rsid w:val="001B7872"/>
    <w:rsid w:val="001C7609"/>
    <w:rsid w:val="001E2866"/>
    <w:rsid w:val="001E4EBB"/>
    <w:rsid w:val="001F2FD0"/>
    <w:rsid w:val="0021011C"/>
    <w:rsid w:val="00211AE6"/>
    <w:rsid w:val="002338D3"/>
    <w:rsid w:val="00235AD1"/>
    <w:rsid w:val="00243EFE"/>
    <w:rsid w:val="00247B51"/>
    <w:rsid w:val="00254DC8"/>
    <w:rsid w:val="00272EE2"/>
    <w:rsid w:val="002753C4"/>
    <w:rsid w:val="0027732C"/>
    <w:rsid w:val="002804F9"/>
    <w:rsid w:val="00281FA8"/>
    <w:rsid w:val="00290296"/>
    <w:rsid w:val="00293430"/>
    <w:rsid w:val="002A15F1"/>
    <w:rsid w:val="002A42F2"/>
    <w:rsid w:val="002A62AF"/>
    <w:rsid w:val="002B6BD9"/>
    <w:rsid w:val="002C04E1"/>
    <w:rsid w:val="002C2552"/>
    <w:rsid w:val="002C27C1"/>
    <w:rsid w:val="002E6E22"/>
    <w:rsid w:val="002F2DF3"/>
    <w:rsid w:val="00304C6A"/>
    <w:rsid w:val="00304FA5"/>
    <w:rsid w:val="00326A43"/>
    <w:rsid w:val="0033104B"/>
    <w:rsid w:val="0033503F"/>
    <w:rsid w:val="00340138"/>
    <w:rsid w:val="00345CC5"/>
    <w:rsid w:val="003505E2"/>
    <w:rsid w:val="0035064B"/>
    <w:rsid w:val="003537B0"/>
    <w:rsid w:val="00367560"/>
    <w:rsid w:val="003916B5"/>
    <w:rsid w:val="003A4544"/>
    <w:rsid w:val="003C0076"/>
    <w:rsid w:val="003C3844"/>
    <w:rsid w:val="003E59CA"/>
    <w:rsid w:val="003F1C25"/>
    <w:rsid w:val="00403D9A"/>
    <w:rsid w:val="00406FAB"/>
    <w:rsid w:val="0040789B"/>
    <w:rsid w:val="00412071"/>
    <w:rsid w:val="004246BE"/>
    <w:rsid w:val="004316E1"/>
    <w:rsid w:val="00441E01"/>
    <w:rsid w:val="0045402B"/>
    <w:rsid w:val="0046150C"/>
    <w:rsid w:val="00464466"/>
    <w:rsid w:val="004705B4"/>
    <w:rsid w:val="00473F40"/>
    <w:rsid w:val="004743E1"/>
    <w:rsid w:val="00483574"/>
    <w:rsid w:val="004A0267"/>
    <w:rsid w:val="004A19D8"/>
    <w:rsid w:val="004C22A4"/>
    <w:rsid w:val="004C5789"/>
    <w:rsid w:val="004D52FF"/>
    <w:rsid w:val="004E0BF7"/>
    <w:rsid w:val="004E37F7"/>
    <w:rsid w:val="004F5694"/>
    <w:rsid w:val="004F6790"/>
    <w:rsid w:val="004F740A"/>
    <w:rsid w:val="00510CBB"/>
    <w:rsid w:val="0051174B"/>
    <w:rsid w:val="005203F0"/>
    <w:rsid w:val="00523B1F"/>
    <w:rsid w:val="00527E1E"/>
    <w:rsid w:val="005454F2"/>
    <w:rsid w:val="00545698"/>
    <w:rsid w:val="00552205"/>
    <w:rsid w:val="00554DC6"/>
    <w:rsid w:val="0055548B"/>
    <w:rsid w:val="00565A4C"/>
    <w:rsid w:val="00567109"/>
    <w:rsid w:val="005746F7"/>
    <w:rsid w:val="005749DA"/>
    <w:rsid w:val="00575DFE"/>
    <w:rsid w:val="00581829"/>
    <w:rsid w:val="00587835"/>
    <w:rsid w:val="00587D56"/>
    <w:rsid w:val="00590EE9"/>
    <w:rsid w:val="00592789"/>
    <w:rsid w:val="005939CA"/>
    <w:rsid w:val="0059522E"/>
    <w:rsid w:val="005B45F3"/>
    <w:rsid w:val="005C3A5F"/>
    <w:rsid w:val="005C4859"/>
    <w:rsid w:val="005C63E7"/>
    <w:rsid w:val="005D0489"/>
    <w:rsid w:val="005D304E"/>
    <w:rsid w:val="005F0E78"/>
    <w:rsid w:val="005F792A"/>
    <w:rsid w:val="00600FF7"/>
    <w:rsid w:val="006026E1"/>
    <w:rsid w:val="00603013"/>
    <w:rsid w:val="00605A1F"/>
    <w:rsid w:val="00610EAB"/>
    <w:rsid w:val="00620D62"/>
    <w:rsid w:val="00635679"/>
    <w:rsid w:val="0065220F"/>
    <w:rsid w:val="006721AC"/>
    <w:rsid w:val="006737AB"/>
    <w:rsid w:val="00677729"/>
    <w:rsid w:val="0068141A"/>
    <w:rsid w:val="006823E8"/>
    <w:rsid w:val="006A5961"/>
    <w:rsid w:val="006A6C66"/>
    <w:rsid w:val="006B5F93"/>
    <w:rsid w:val="006C0330"/>
    <w:rsid w:val="006C6908"/>
    <w:rsid w:val="006D797B"/>
    <w:rsid w:val="006F1AAD"/>
    <w:rsid w:val="006F496A"/>
    <w:rsid w:val="006F4FB5"/>
    <w:rsid w:val="00713C73"/>
    <w:rsid w:val="00722BAE"/>
    <w:rsid w:val="00736240"/>
    <w:rsid w:val="00752350"/>
    <w:rsid w:val="00753BDE"/>
    <w:rsid w:val="00755769"/>
    <w:rsid w:val="0076602A"/>
    <w:rsid w:val="00771272"/>
    <w:rsid w:val="007743E3"/>
    <w:rsid w:val="00775F7C"/>
    <w:rsid w:val="0077722D"/>
    <w:rsid w:val="00786887"/>
    <w:rsid w:val="0078727B"/>
    <w:rsid w:val="00791309"/>
    <w:rsid w:val="007952F3"/>
    <w:rsid w:val="007A144E"/>
    <w:rsid w:val="007A1E02"/>
    <w:rsid w:val="007A7ECC"/>
    <w:rsid w:val="007B5814"/>
    <w:rsid w:val="007C64CC"/>
    <w:rsid w:val="007D1003"/>
    <w:rsid w:val="007E13EE"/>
    <w:rsid w:val="007E24A1"/>
    <w:rsid w:val="007E41CD"/>
    <w:rsid w:val="0080354B"/>
    <w:rsid w:val="008042E5"/>
    <w:rsid w:val="008124D9"/>
    <w:rsid w:val="00820A9E"/>
    <w:rsid w:val="00823035"/>
    <w:rsid w:val="00824E81"/>
    <w:rsid w:val="008262E4"/>
    <w:rsid w:val="00843BFF"/>
    <w:rsid w:val="00850C9E"/>
    <w:rsid w:val="008572B0"/>
    <w:rsid w:val="00860001"/>
    <w:rsid w:val="00860E70"/>
    <w:rsid w:val="00870D45"/>
    <w:rsid w:val="00877AD9"/>
    <w:rsid w:val="00891C93"/>
    <w:rsid w:val="008A6F0C"/>
    <w:rsid w:val="008B09D1"/>
    <w:rsid w:val="008C0427"/>
    <w:rsid w:val="008C6C22"/>
    <w:rsid w:val="008D2493"/>
    <w:rsid w:val="008E6816"/>
    <w:rsid w:val="0090220A"/>
    <w:rsid w:val="00930586"/>
    <w:rsid w:val="00943D61"/>
    <w:rsid w:val="0095097A"/>
    <w:rsid w:val="00952E8E"/>
    <w:rsid w:val="00957F94"/>
    <w:rsid w:val="0096578C"/>
    <w:rsid w:val="009657BD"/>
    <w:rsid w:val="00973180"/>
    <w:rsid w:val="00982B38"/>
    <w:rsid w:val="009859DD"/>
    <w:rsid w:val="00986972"/>
    <w:rsid w:val="009920A5"/>
    <w:rsid w:val="009921C3"/>
    <w:rsid w:val="009965C7"/>
    <w:rsid w:val="009A34A3"/>
    <w:rsid w:val="009A75B9"/>
    <w:rsid w:val="009B3AB7"/>
    <w:rsid w:val="009B6434"/>
    <w:rsid w:val="009C1595"/>
    <w:rsid w:val="009C1D93"/>
    <w:rsid w:val="009C5CAE"/>
    <w:rsid w:val="009D7511"/>
    <w:rsid w:val="009E0473"/>
    <w:rsid w:val="009E0D0E"/>
    <w:rsid w:val="00A04626"/>
    <w:rsid w:val="00A04B82"/>
    <w:rsid w:val="00A156CC"/>
    <w:rsid w:val="00A310AC"/>
    <w:rsid w:val="00A44E4A"/>
    <w:rsid w:val="00A540A2"/>
    <w:rsid w:val="00A557E3"/>
    <w:rsid w:val="00A71AAF"/>
    <w:rsid w:val="00A7444A"/>
    <w:rsid w:val="00A81CE7"/>
    <w:rsid w:val="00A82C7C"/>
    <w:rsid w:val="00A87ACE"/>
    <w:rsid w:val="00A90A6D"/>
    <w:rsid w:val="00A9683B"/>
    <w:rsid w:val="00AA450B"/>
    <w:rsid w:val="00AD27E5"/>
    <w:rsid w:val="00AE1185"/>
    <w:rsid w:val="00AE6183"/>
    <w:rsid w:val="00AE62DD"/>
    <w:rsid w:val="00AE717C"/>
    <w:rsid w:val="00AF7F5E"/>
    <w:rsid w:val="00B1513B"/>
    <w:rsid w:val="00B1558D"/>
    <w:rsid w:val="00B2297C"/>
    <w:rsid w:val="00B311DC"/>
    <w:rsid w:val="00B421F2"/>
    <w:rsid w:val="00B47326"/>
    <w:rsid w:val="00B55585"/>
    <w:rsid w:val="00B67F9F"/>
    <w:rsid w:val="00B770B9"/>
    <w:rsid w:val="00B832E8"/>
    <w:rsid w:val="00B96B18"/>
    <w:rsid w:val="00BB0A47"/>
    <w:rsid w:val="00BC0AB6"/>
    <w:rsid w:val="00BC0B0C"/>
    <w:rsid w:val="00BC44EF"/>
    <w:rsid w:val="00BD0448"/>
    <w:rsid w:val="00BD2C37"/>
    <w:rsid w:val="00BD4660"/>
    <w:rsid w:val="00BD721C"/>
    <w:rsid w:val="00BE4DAC"/>
    <w:rsid w:val="00BF0D5D"/>
    <w:rsid w:val="00BF35B8"/>
    <w:rsid w:val="00BF529A"/>
    <w:rsid w:val="00C0093E"/>
    <w:rsid w:val="00C04F2B"/>
    <w:rsid w:val="00C161D5"/>
    <w:rsid w:val="00C234E5"/>
    <w:rsid w:val="00C2498F"/>
    <w:rsid w:val="00C27D54"/>
    <w:rsid w:val="00C375CC"/>
    <w:rsid w:val="00C5271D"/>
    <w:rsid w:val="00C6110E"/>
    <w:rsid w:val="00C6289F"/>
    <w:rsid w:val="00C8207C"/>
    <w:rsid w:val="00C9091A"/>
    <w:rsid w:val="00C965F4"/>
    <w:rsid w:val="00C971D9"/>
    <w:rsid w:val="00CB2ED3"/>
    <w:rsid w:val="00CB3DED"/>
    <w:rsid w:val="00CD092B"/>
    <w:rsid w:val="00CE2774"/>
    <w:rsid w:val="00CF428E"/>
    <w:rsid w:val="00D1710B"/>
    <w:rsid w:val="00D266EF"/>
    <w:rsid w:val="00D30C47"/>
    <w:rsid w:val="00D317E8"/>
    <w:rsid w:val="00D3299C"/>
    <w:rsid w:val="00D35287"/>
    <w:rsid w:val="00D40DA9"/>
    <w:rsid w:val="00D4541F"/>
    <w:rsid w:val="00D45D30"/>
    <w:rsid w:val="00D50851"/>
    <w:rsid w:val="00D66233"/>
    <w:rsid w:val="00D70D0F"/>
    <w:rsid w:val="00D74631"/>
    <w:rsid w:val="00D81504"/>
    <w:rsid w:val="00D94289"/>
    <w:rsid w:val="00D96390"/>
    <w:rsid w:val="00DA66A9"/>
    <w:rsid w:val="00DB43AA"/>
    <w:rsid w:val="00DC3DF2"/>
    <w:rsid w:val="00DD0452"/>
    <w:rsid w:val="00DD7C31"/>
    <w:rsid w:val="00DE08B0"/>
    <w:rsid w:val="00DF4085"/>
    <w:rsid w:val="00DF5A33"/>
    <w:rsid w:val="00E1383E"/>
    <w:rsid w:val="00E22388"/>
    <w:rsid w:val="00E242AC"/>
    <w:rsid w:val="00E30178"/>
    <w:rsid w:val="00E37270"/>
    <w:rsid w:val="00E4333E"/>
    <w:rsid w:val="00E4455C"/>
    <w:rsid w:val="00E4626D"/>
    <w:rsid w:val="00E4789C"/>
    <w:rsid w:val="00E503C3"/>
    <w:rsid w:val="00E5062C"/>
    <w:rsid w:val="00E52203"/>
    <w:rsid w:val="00E529CF"/>
    <w:rsid w:val="00E533AD"/>
    <w:rsid w:val="00E56C16"/>
    <w:rsid w:val="00E574CB"/>
    <w:rsid w:val="00E60D79"/>
    <w:rsid w:val="00E62303"/>
    <w:rsid w:val="00E70001"/>
    <w:rsid w:val="00E71B82"/>
    <w:rsid w:val="00E77D3E"/>
    <w:rsid w:val="00E835B9"/>
    <w:rsid w:val="00E84088"/>
    <w:rsid w:val="00E95397"/>
    <w:rsid w:val="00EA4A2C"/>
    <w:rsid w:val="00EB1042"/>
    <w:rsid w:val="00ED3706"/>
    <w:rsid w:val="00ED48E3"/>
    <w:rsid w:val="00ED72AB"/>
    <w:rsid w:val="00F0587D"/>
    <w:rsid w:val="00F11388"/>
    <w:rsid w:val="00F13E83"/>
    <w:rsid w:val="00F14B32"/>
    <w:rsid w:val="00F31424"/>
    <w:rsid w:val="00F324BB"/>
    <w:rsid w:val="00F415D8"/>
    <w:rsid w:val="00F4208C"/>
    <w:rsid w:val="00F53DC2"/>
    <w:rsid w:val="00F55331"/>
    <w:rsid w:val="00F57A32"/>
    <w:rsid w:val="00F641DA"/>
    <w:rsid w:val="00F65F06"/>
    <w:rsid w:val="00F802D5"/>
    <w:rsid w:val="00F93D54"/>
    <w:rsid w:val="00FA2172"/>
    <w:rsid w:val="00FB0571"/>
    <w:rsid w:val="00FC134A"/>
    <w:rsid w:val="00FD37FC"/>
    <w:rsid w:val="00FD6DA2"/>
    <w:rsid w:val="00FE3E02"/>
    <w:rsid w:val="00FF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415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DA66A9"/>
    <w:pPr>
      <w:keepNext/>
      <w:numPr>
        <w:numId w:val="2"/>
      </w:numPr>
      <w:ind w:left="36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A66A9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DA66A9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8727B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8727B"/>
    <w:rPr>
      <w:rFonts w:ascii="Consolas" w:eastAsia="Times New Roman" w:hAnsi="Consolas" w:cs="Consolas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2D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DF3"/>
    <w:rPr>
      <w:rFonts w:ascii="Tahoma" w:eastAsia="Times New Roman" w:hAnsi="Tahoma" w:cs="Tahoma"/>
      <w:sz w:val="16"/>
      <w:szCs w:val="16"/>
      <w:lang w:val="en-US"/>
    </w:rPr>
  </w:style>
  <w:style w:type="paragraph" w:styleId="FootnoteText">
    <w:name w:val="footnote text"/>
    <w:aliases w:val="fn,footnote,Geneva 9,Font: Geneva 9,Boston 10,f,single space,Texto nota pie Car,Footnote,text,footnote text,ft,Footnote Text Char1,Geneva 91,Font: Geneva 91,Boston 101,f1,single space1,footnote text1,fn1,f2,Geneva 9 Cha"/>
    <w:basedOn w:val="Normal"/>
    <w:link w:val="FootnoteTextChar2"/>
    <w:rsid w:val="004705B4"/>
    <w:rPr>
      <w:sz w:val="20"/>
      <w:szCs w:val="20"/>
      <w:lang w:val="es-ES" w:eastAsia="es-ES"/>
    </w:rPr>
  </w:style>
  <w:style w:type="character" w:customStyle="1" w:styleId="FootnoteTextChar">
    <w:name w:val="Footnote Text Char"/>
    <w:basedOn w:val="DefaultParagraphFont"/>
    <w:uiPriority w:val="99"/>
    <w:semiHidden/>
    <w:rsid w:val="004705B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aliases w:val="16 Point,Superscript 6 Point,ftref"/>
    <w:rsid w:val="004705B4"/>
    <w:rPr>
      <w:vertAlign w:val="superscript"/>
    </w:rPr>
  </w:style>
  <w:style w:type="character" w:customStyle="1" w:styleId="FootnoteTextChar2">
    <w:name w:val="Footnote Text Char2"/>
    <w:aliases w:val="fn Char,footnote Char,Geneva 9 Char,Font: Geneva 9 Char,Boston 10 Char,f Char,single space Char,Texto nota pie Car Char,Footnote Char,text Char,footnote text Char,ft Char,Footnote Text Char1 Char,Geneva 91 Char,Font: Geneva 91 Char"/>
    <w:basedOn w:val="DefaultParagraphFont"/>
    <w:link w:val="FootnoteText"/>
    <w:rsid w:val="004705B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6F49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49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496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49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496A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DA66A9"/>
    <w:pPr>
      <w:keepNext/>
      <w:numPr>
        <w:numId w:val="2"/>
      </w:numPr>
      <w:ind w:left="36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A66A9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DA66A9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8727B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8727B"/>
    <w:rPr>
      <w:rFonts w:ascii="Consolas" w:eastAsia="Times New Roman" w:hAnsi="Consolas" w:cs="Consolas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2D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DF3"/>
    <w:rPr>
      <w:rFonts w:ascii="Tahoma" w:eastAsia="Times New Roman" w:hAnsi="Tahoma" w:cs="Tahoma"/>
      <w:sz w:val="16"/>
      <w:szCs w:val="16"/>
      <w:lang w:val="en-US"/>
    </w:rPr>
  </w:style>
  <w:style w:type="paragraph" w:styleId="FootnoteText">
    <w:name w:val="footnote text"/>
    <w:aliases w:val="fn,footnote,Geneva 9,Font: Geneva 9,Boston 10,f,single space,Texto nota pie Car,Footnote,text,footnote text,ft,Footnote Text Char1,Geneva 91,Font: Geneva 91,Boston 101,f1,single space1,footnote text1,fn1,f2,Geneva 9 Cha"/>
    <w:basedOn w:val="Normal"/>
    <w:link w:val="FootnoteTextChar2"/>
    <w:rsid w:val="004705B4"/>
    <w:rPr>
      <w:sz w:val="20"/>
      <w:szCs w:val="20"/>
      <w:lang w:val="es-ES" w:eastAsia="es-ES"/>
    </w:rPr>
  </w:style>
  <w:style w:type="character" w:customStyle="1" w:styleId="FootnoteTextChar">
    <w:name w:val="Footnote Text Char"/>
    <w:basedOn w:val="DefaultParagraphFont"/>
    <w:uiPriority w:val="99"/>
    <w:semiHidden/>
    <w:rsid w:val="004705B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aliases w:val="16 Point,Superscript 6 Point,ftref"/>
    <w:rsid w:val="004705B4"/>
    <w:rPr>
      <w:vertAlign w:val="superscript"/>
    </w:rPr>
  </w:style>
  <w:style w:type="character" w:customStyle="1" w:styleId="FootnoteTextChar2">
    <w:name w:val="Footnote Text Char2"/>
    <w:aliases w:val="fn Char,footnote Char,Geneva 9 Char,Font: Geneva 9 Char,Boston 10 Char,f Char,single space Char,Texto nota pie Car Char,Footnote Char,text Char,footnote text Char,ft Char,Footnote Text Char1 Char,Geneva 91 Char,Font: Geneva 91 Char"/>
    <w:basedOn w:val="DefaultParagraphFont"/>
    <w:link w:val="FootnoteText"/>
    <w:rsid w:val="004705B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6F49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49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496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49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496A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0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4BD51-8C65-4BCA-8BDE-108B261DE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2781</Words>
  <Characters>15853</Characters>
  <Application>Microsoft Office Word</Application>
  <DocSecurity>0</DocSecurity>
  <Lines>132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The World Bank Group</Company>
  <LinksUpToDate>false</LinksUpToDate>
  <CharactersWithSpaces>18597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Bobbie Sauer</cp:lastModifiedBy>
  <cp:revision>6</cp:revision>
  <cp:lastPrinted>2015-02-24T20:02:00Z</cp:lastPrinted>
  <dcterms:created xsi:type="dcterms:W3CDTF">2015-02-20T21:11:00Z</dcterms:created>
  <dcterms:modified xsi:type="dcterms:W3CDTF">2015-02-24T20:03:00Z</dcterms:modified>
</cp:coreProperties>
</file>