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A12F" w14:textId="306C4BFA" w:rsidR="005B5991" w:rsidRPr="00CE10DE" w:rsidRDefault="005021B4" w:rsidP="005021B4">
      <w:pPr>
        <w:jc w:val="right"/>
        <w:rPr>
          <w:rFonts w:ascii="Calibri" w:hAnsi="Calibri"/>
        </w:rPr>
      </w:pPr>
      <w:bookmarkStart w:id="0" w:name="_GoBack"/>
      <w:bookmarkEnd w:id="0"/>
      <w:r>
        <w:rPr>
          <w:rFonts w:ascii="Calibri" w:hAnsi="Calibri"/>
          <w:b/>
          <w:noProof/>
          <w:color w:val="2E74B5" w:themeColor="accent1" w:themeShade="BF"/>
          <w:u w:val="single"/>
        </w:rPr>
        <w:drawing>
          <wp:anchor distT="0" distB="0" distL="114300" distR="114300" simplePos="0" relativeHeight="251667968" behindDoc="0" locked="0" layoutInCell="1" allowOverlap="1" wp14:anchorId="013655A3" wp14:editId="7D273881">
            <wp:simplePos x="0" y="0"/>
            <wp:positionH relativeFrom="margin">
              <wp:posOffset>5734050</wp:posOffset>
            </wp:positionH>
            <wp:positionV relativeFrom="paragraph">
              <wp:posOffset>-454025</wp:posOffset>
            </wp:positionV>
            <wp:extent cx="1000125" cy="1333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logo_RGB_sml.jpg"/>
                    <pic:cNvPicPr/>
                  </pic:nvPicPr>
                  <pic:blipFill>
                    <a:blip r:embed="rId11">
                      <a:extLst>
                        <a:ext uri="{28A0092B-C50C-407E-A947-70E740481C1C}">
                          <a14:useLocalDpi xmlns:a14="http://schemas.microsoft.com/office/drawing/2010/main" val="0"/>
                        </a:ext>
                      </a:extLst>
                    </a:blip>
                    <a:stretch>
                      <a:fillRect/>
                    </a:stretch>
                  </pic:blipFill>
                  <pic:spPr>
                    <a:xfrm>
                      <a:off x="0" y="0"/>
                      <a:ext cx="1000125" cy="13338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 xml:space="preserve">        </w:t>
      </w:r>
      <w:r w:rsidR="00B241A5" w:rsidRPr="00B206C7">
        <w:rPr>
          <w:rFonts w:ascii="Calibri" w:hAnsi="Calibri"/>
          <w:b/>
          <w:noProof/>
          <w:color w:val="2E74B5" w:themeColor="accent1" w:themeShade="BF"/>
          <w:u w:val="single"/>
        </w:rPr>
        <w:drawing>
          <wp:anchor distT="0" distB="0" distL="114300" distR="114300" simplePos="0" relativeHeight="251664896" behindDoc="0" locked="0" layoutInCell="1" allowOverlap="1" wp14:anchorId="22FF6DDB" wp14:editId="13F5641D">
            <wp:simplePos x="0" y="0"/>
            <wp:positionH relativeFrom="column">
              <wp:posOffset>257175</wp:posOffset>
            </wp:positionH>
            <wp:positionV relativeFrom="paragraph">
              <wp:posOffset>-140970</wp:posOffset>
            </wp:positionV>
            <wp:extent cx="1647825" cy="814070"/>
            <wp:effectExtent l="0" t="0" r="0" b="5080"/>
            <wp:wrapNone/>
            <wp:docPr id="8" name="Picture 8" descr="IP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 Log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814070"/>
                    </a:xfrm>
                    <a:prstGeom prst="rect">
                      <a:avLst/>
                    </a:prstGeom>
                    <a:noFill/>
                    <a:ln>
                      <a:noFill/>
                    </a:ln>
                  </pic:spPr>
                </pic:pic>
              </a:graphicData>
            </a:graphic>
          </wp:anchor>
        </w:drawing>
      </w:r>
      <w:r w:rsidR="00B241A5" w:rsidRPr="00CE10DE">
        <w:rPr>
          <w:rFonts w:ascii="Calibri" w:hAnsi="Calibri"/>
          <w:b/>
          <w:noProof/>
          <w:color w:val="2E74B5" w:themeColor="accent1" w:themeShade="BF"/>
          <w:u w:val="single"/>
        </w:rPr>
        <w:drawing>
          <wp:anchor distT="0" distB="0" distL="114300" distR="114300" simplePos="0" relativeHeight="251656704" behindDoc="0" locked="0" layoutInCell="1" allowOverlap="1" wp14:anchorId="5C9C5216" wp14:editId="158CE7A1">
            <wp:simplePos x="0" y="0"/>
            <wp:positionH relativeFrom="margin">
              <wp:posOffset>2628900</wp:posOffset>
            </wp:positionH>
            <wp:positionV relativeFrom="margin">
              <wp:posOffset>-188595</wp:posOffset>
            </wp:positionV>
            <wp:extent cx="289687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6870" cy="781050"/>
                    </a:xfrm>
                    <a:prstGeom prst="rect">
                      <a:avLst/>
                    </a:prstGeom>
                    <a:noFill/>
                    <a:ln>
                      <a:noFill/>
                    </a:ln>
                  </pic:spPr>
                </pic:pic>
              </a:graphicData>
            </a:graphic>
          </wp:anchor>
        </w:drawing>
      </w:r>
    </w:p>
    <w:p w14:paraId="01F34B97" w14:textId="77777777" w:rsidR="00D15350" w:rsidRPr="00CE10DE" w:rsidRDefault="00D15350" w:rsidP="00744686">
      <w:pPr>
        <w:jc w:val="both"/>
        <w:rPr>
          <w:rFonts w:ascii="Calibri" w:hAnsi="Calibri"/>
          <w:b/>
          <w:color w:val="2E74B5" w:themeColor="accent1" w:themeShade="BF"/>
          <w:u w:val="single"/>
        </w:rPr>
      </w:pPr>
    </w:p>
    <w:p w14:paraId="6DA78637" w14:textId="77777777" w:rsidR="00D15350" w:rsidRPr="00CE10DE" w:rsidRDefault="00D15350" w:rsidP="00744686">
      <w:pPr>
        <w:tabs>
          <w:tab w:val="left" w:pos="6660"/>
        </w:tabs>
        <w:jc w:val="both"/>
        <w:rPr>
          <w:rFonts w:ascii="Calibri" w:hAnsi="Calibri"/>
          <w:b/>
          <w:color w:val="2E74B5" w:themeColor="accent1" w:themeShade="BF"/>
          <w:u w:val="single"/>
        </w:rPr>
      </w:pPr>
    </w:p>
    <w:p w14:paraId="5975AFBF" w14:textId="3CF4DF36" w:rsidR="00744686" w:rsidRPr="00B241A5" w:rsidRDefault="008252E4" w:rsidP="00B241A5">
      <w:pPr>
        <w:pStyle w:val="NoSpacing"/>
        <w:jc w:val="center"/>
        <w:rPr>
          <w:b/>
          <w:sz w:val="32"/>
        </w:rPr>
      </w:pPr>
      <w:r w:rsidRPr="00B241A5">
        <w:rPr>
          <w:b/>
          <w:sz w:val="32"/>
        </w:rPr>
        <w:t>Sisters of Success:</w:t>
      </w:r>
      <w:r w:rsidR="00DD313D" w:rsidRPr="00B241A5">
        <w:rPr>
          <w:b/>
          <w:sz w:val="32"/>
        </w:rPr>
        <w:t xml:space="preserve"> </w:t>
      </w:r>
      <w:r w:rsidRPr="00B241A5">
        <w:rPr>
          <w:b/>
          <w:sz w:val="32"/>
        </w:rPr>
        <w:t xml:space="preserve">Measuring the impact of </w:t>
      </w:r>
      <w:r w:rsidR="00D8544C" w:rsidRPr="00B241A5">
        <w:rPr>
          <w:b/>
          <w:sz w:val="32"/>
        </w:rPr>
        <w:t>mentoring and girls groups</w:t>
      </w:r>
      <w:r w:rsidRPr="00B241A5">
        <w:rPr>
          <w:b/>
          <w:sz w:val="32"/>
        </w:rPr>
        <w:t xml:space="preserve"> in supporting girls’ transition into adolescence and adulthood</w:t>
      </w:r>
      <w:r w:rsidR="00DD313D" w:rsidRPr="00B241A5">
        <w:rPr>
          <w:b/>
          <w:sz w:val="32"/>
        </w:rPr>
        <w:t>, in Liberia</w:t>
      </w:r>
    </w:p>
    <w:p w14:paraId="1FC166CD" w14:textId="6AFBFCF7" w:rsidR="00060BBC" w:rsidRDefault="00B241A5" w:rsidP="00B241A5">
      <w:pPr>
        <w:pStyle w:val="NoSpacing"/>
        <w:jc w:val="center"/>
        <w:rPr>
          <w:b/>
          <w:sz w:val="32"/>
        </w:rPr>
      </w:pPr>
      <w:bookmarkStart w:id="1" w:name="_Toc412410647"/>
      <w:r w:rsidRPr="00B241A5">
        <w:rPr>
          <w:b/>
          <w:sz w:val="32"/>
        </w:rPr>
        <w:t xml:space="preserve">BASELINE SURVEY REPORT </w:t>
      </w:r>
      <w:r w:rsidR="00AB09C1" w:rsidRPr="00B241A5">
        <w:rPr>
          <w:b/>
          <w:sz w:val="32"/>
        </w:rPr>
        <w:t>EXECUTIVE SUMMARY</w:t>
      </w:r>
      <w:r w:rsidR="00316BBD" w:rsidRPr="00316BBD">
        <w:rPr>
          <w:b/>
          <w:sz w:val="32"/>
          <w:vertAlign w:val="superscript"/>
        </w:rPr>
        <w:t>i</w:t>
      </w:r>
    </w:p>
    <w:p w14:paraId="3E7948D4" w14:textId="77777777" w:rsidR="00630CFF" w:rsidRDefault="00630CFF" w:rsidP="00AB09C1">
      <w:pPr>
        <w:rPr>
          <w:b/>
          <w:u w:val="single"/>
        </w:rPr>
      </w:pPr>
    </w:p>
    <w:p w14:paraId="4F2EA525" w14:textId="7D81707C" w:rsidR="00B241A5" w:rsidRPr="006B5108" w:rsidRDefault="00B241A5" w:rsidP="00AB09C1">
      <w:pPr>
        <w:rPr>
          <w:b/>
          <w:u w:val="single"/>
        </w:rPr>
      </w:pPr>
      <w:r w:rsidRPr="006B5108">
        <w:rPr>
          <w:b/>
          <w:u w:val="single"/>
        </w:rPr>
        <w:t>Background</w:t>
      </w:r>
    </w:p>
    <w:p w14:paraId="1B75828F" w14:textId="6AA56AEA" w:rsidR="00665580" w:rsidRDefault="00F2754A" w:rsidP="00F2754A">
      <w:pPr>
        <w:jc w:val="both"/>
        <w:rPr>
          <w:rFonts w:ascii="Calibri" w:hAnsi="Calibri"/>
        </w:rPr>
      </w:pPr>
      <w:r>
        <w:rPr>
          <w:rFonts w:ascii="Calibri" w:hAnsi="Calibri"/>
        </w:rPr>
        <w:t xml:space="preserve">The </w:t>
      </w:r>
      <w:r w:rsidRPr="00CE10DE">
        <w:rPr>
          <w:rFonts w:ascii="Calibri" w:hAnsi="Calibri"/>
          <w:color w:val="222222"/>
        </w:rPr>
        <w:t>Sisters of Success (SOS)</w:t>
      </w:r>
      <w:r>
        <w:rPr>
          <w:rFonts w:ascii="Calibri" w:hAnsi="Calibri"/>
          <w:color w:val="222222"/>
        </w:rPr>
        <w:t xml:space="preserve"> program</w:t>
      </w:r>
      <w:r w:rsidRPr="00CE10DE">
        <w:rPr>
          <w:rFonts w:ascii="Calibri" w:hAnsi="Calibri"/>
          <w:color w:val="222222"/>
        </w:rPr>
        <w:t xml:space="preserve"> </w:t>
      </w:r>
      <w:r>
        <w:rPr>
          <w:rFonts w:ascii="Calibri" w:hAnsi="Calibri"/>
          <w:color w:val="222222"/>
        </w:rPr>
        <w:t xml:space="preserve">supports girls’ transition into adolescence and adulthood. </w:t>
      </w:r>
      <w:r w:rsidRPr="00CE10DE">
        <w:rPr>
          <w:rFonts w:ascii="Calibri" w:hAnsi="Calibri"/>
        </w:rPr>
        <w:t xml:space="preserve">The SOS program’s </w:t>
      </w:r>
      <w:r>
        <w:rPr>
          <w:rFonts w:ascii="Calibri" w:hAnsi="Calibri"/>
        </w:rPr>
        <w:t xml:space="preserve">primary </w:t>
      </w:r>
      <w:r w:rsidRPr="00CE10DE">
        <w:rPr>
          <w:rFonts w:ascii="Calibri" w:hAnsi="Calibri"/>
        </w:rPr>
        <w:t>goals are</w:t>
      </w:r>
      <w:r>
        <w:rPr>
          <w:rFonts w:ascii="Calibri" w:hAnsi="Calibri"/>
        </w:rPr>
        <w:t xml:space="preserve"> to reduce in-school girls’ likelihood of dropping out of school; to increase out-of-school girls’ likelihood of returning to school; and to reduce girls’ risky sexual behavior and likelihood of becoming pregnant as a minor. More broadly, the SOS program aims to help girls</w:t>
      </w:r>
      <w:r w:rsidRPr="00CE10DE">
        <w:rPr>
          <w:rFonts w:ascii="Calibri" w:hAnsi="Calibri"/>
        </w:rPr>
        <w:t xml:space="preserve"> adopt healthy behaviors</w:t>
      </w:r>
      <w:r>
        <w:rPr>
          <w:rFonts w:ascii="Calibri" w:hAnsi="Calibri"/>
        </w:rPr>
        <w:t>;</w:t>
      </w:r>
      <w:r w:rsidRPr="00CE10DE">
        <w:rPr>
          <w:rFonts w:ascii="Calibri" w:hAnsi="Calibri"/>
        </w:rPr>
        <w:t xml:space="preserve"> build confidence and self-esteem; learn and practice their rights; begin to develop savings and financial literacy habits; increase their community participation and involvement; and work towards </w:t>
      </w:r>
      <w:r w:rsidRPr="00DE56FA">
        <w:rPr>
          <w:rFonts w:ascii="Calibri" w:hAnsi="Calibri"/>
        </w:rPr>
        <w:t xml:space="preserve">their own personal development goals. </w:t>
      </w:r>
    </w:p>
    <w:p w14:paraId="36DD20AA" w14:textId="1D439C8F" w:rsidR="00F2754A" w:rsidRPr="00CE10DE" w:rsidRDefault="00F2754A" w:rsidP="00AE53E9">
      <w:pPr>
        <w:jc w:val="both"/>
        <w:rPr>
          <w:rFonts w:ascii="Calibri" w:hAnsi="Calibri"/>
        </w:rPr>
      </w:pPr>
      <w:r>
        <w:rPr>
          <w:rFonts w:ascii="Calibri" w:hAnsi="Calibri"/>
          <w:color w:val="222222"/>
        </w:rPr>
        <w:t xml:space="preserve">The SOS program was implemented in Monrovia, Liberia, by </w:t>
      </w:r>
      <w:r w:rsidR="001F301C">
        <w:rPr>
          <w:rFonts w:ascii="Calibri" w:hAnsi="Calibri"/>
          <w:color w:val="222222"/>
        </w:rPr>
        <w:t>IRC</w:t>
      </w:r>
      <w:r>
        <w:rPr>
          <w:rFonts w:ascii="Calibri" w:hAnsi="Calibri"/>
          <w:color w:val="222222"/>
        </w:rPr>
        <w:t xml:space="preserve"> and two local organizations – EDUCARE and Planned Parenthood Association of Liberia (PPAL) – during 2014 and 2015. </w:t>
      </w:r>
      <w:r w:rsidR="00AE53E9">
        <w:rPr>
          <w:rFonts w:ascii="Calibri" w:hAnsi="Calibri"/>
          <w:color w:val="222222"/>
        </w:rPr>
        <w:t xml:space="preserve">The program matched girls to mentors </w:t>
      </w:r>
      <w:r w:rsidR="00665580">
        <w:rPr>
          <w:rFonts w:ascii="Calibri" w:hAnsi="Calibri"/>
        </w:rPr>
        <w:t>– approximately ten girls per mentor</w:t>
      </w:r>
      <w:r w:rsidR="00AE53E9">
        <w:rPr>
          <w:rFonts w:ascii="Calibri" w:hAnsi="Calibri"/>
        </w:rPr>
        <w:t xml:space="preserve">, and involved </w:t>
      </w:r>
      <w:r w:rsidR="006E6EEA">
        <w:rPr>
          <w:rFonts w:ascii="Calibri" w:hAnsi="Calibri"/>
        </w:rPr>
        <w:t xml:space="preserve">“Sisterhood Meetings” of two mentors and their respective mentees, </w:t>
      </w:r>
      <w:r w:rsidRPr="00DE56FA">
        <w:rPr>
          <w:rFonts w:ascii="Calibri" w:hAnsi="Calibri"/>
        </w:rPr>
        <w:t>twice a mon</w:t>
      </w:r>
      <w:r w:rsidR="006E6EEA">
        <w:rPr>
          <w:rFonts w:ascii="Calibri" w:hAnsi="Calibri"/>
        </w:rPr>
        <w:t>th over the course of 15 months</w:t>
      </w:r>
      <w:r w:rsidR="00AE53E9">
        <w:rPr>
          <w:rFonts w:ascii="Calibri" w:hAnsi="Calibri"/>
        </w:rPr>
        <w:t>, as well as some</w:t>
      </w:r>
      <w:r w:rsidRPr="00DE56FA">
        <w:rPr>
          <w:rFonts w:ascii="Calibri" w:hAnsi="Calibri"/>
        </w:rPr>
        <w:t xml:space="preserve"> </w:t>
      </w:r>
      <w:r w:rsidR="00AE53E9">
        <w:rPr>
          <w:rFonts w:ascii="Calibri" w:hAnsi="Calibri"/>
        </w:rPr>
        <w:t xml:space="preserve">larger group </w:t>
      </w:r>
      <w:r w:rsidRPr="00DE56FA">
        <w:rPr>
          <w:rFonts w:ascii="Calibri" w:hAnsi="Calibri"/>
        </w:rPr>
        <w:t xml:space="preserve">extracurricular activities. </w:t>
      </w:r>
      <w:r w:rsidR="006E6EEA">
        <w:rPr>
          <w:rFonts w:ascii="Calibri" w:hAnsi="Calibri"/>
        </w:rPr>
        <w:t>Mentors are women from the community that are 18 or older, secondary school graduates, who volunteered to become mentors</w:t>
      </w:r>
      <w:r w:rsidR="00AE53E9">
        <w:rPr>
          <w:rFonts w:ascii="Calibri" w:hAnsi="Calibri"/>
        </w:rPr>
        <w:t>.</w:t>
      </w:r>
    </w:p>
    <w:p w14:paraId="20F4DCA3" w14:textId="7F1EBFAB" w:rsidR="00AE53E9" w:rsidRDefault="006E6EEA" w:rsidP="00B241A5">
      <w:pPr>
        <w:jc w:val="both"/>
        <w:rPr>
          <w:rFonts w:ascii="Calibri" w:hAnsi="Calibri"/>
        </w:rPr>
      </w:pPr>
      <w:r>
        <w:rPr>
          <w:rFonts w:ascii="Calibri" w:hAnsi="Calibri"/>
        </w:rPr>
        <w:t>A</w:t>
      </w:r>
      <w:r w:rsidR="00AE53E9">
        <w:rPr>
          <w:rFonts w:ascii="Calibri" w:hAnsi="Calibri"/>
        </w:rPr>
        <w:t xml:space="preserve"> randomized controlled trial</w:t>
      </w:r>
      <w:r>
        <w:rPr>
          <w:rFonts w:ascii="Calibri" w:hAnsi="Calibri"/>
        </w:rPr>
        <w:t xml:space="preserve"> impact evaluation of the SOS program is being run by the World Bank’s </w:t>
      </w:r>
      <w:r w:rsidR="001F301C">
        <w:rPr>
          <w:rFonts w:ascii="Calibri" w:hAnsi="Calibri"/>
        </w:rPr>
        <w:t xml:space="preserve">Africa Region </w:t>
      </w:r>
      <w:r>
        <w:rPr>
          <w:rFonts w:ascii="Calibri" w:hAnsi="Calibri"/>
        </w:rPr>
        <w:t>Gender Innovation Lab</w:t>
      </w:r>
      <w:r w:rsidR="001F301C">
        <w:rPr>
          <w:rFonts w:ascii="Calibri" w:hAnsi="Calibri"/>
        </w:rPr>
        <w:t>, IRC</w:t>
      </w:r>
      <w:r>
        <w:rPr>
          <w:rFonts w:ascii="Calibri" w:hAnsi="Calibri"/>
        </w:rPr>
        <w:t>, and Innovations for</w:t>
      </w:r>
      <w:r w:rsidR="00AE53E9">
        <w:rPr>
          <w:rFonts w:ascii="Calibri" w:hAnsi="Calibri"/>
        </w:rPr>
        <w:t xml:space="preserve"> Poverty Action. </w:t>
      </w:r>
      <w:r w:rsidR="001F301C">
        <w:rPr>
          <w:rFonts w:ascii="Calibri" w:hAnsi="Calibri"/>
        </w:rPr>
        <w:t>The SOS program and impact evaluation build upon the World Bank’s existing portfolio on adolescent girls in Liberia, specifically the Government of Liberia’s Economic Empowerment of Adolescent Girls and Young Women (EPAG) project. In contrast with EPAG, SOS targets younger girls.</w:t>
      </w:r>
    </w:p>
    <w:p w14:paraId="12F72DCB" w14:textId="5E6A03EA" w:rsidR="00EB3360" w:rsidRDefault="006E6EEA" w:rsidP="00B241A5">
      <w:pPr>
        <w:jc w:val="both"/>
      </w:pPr>
      <w:r>
        <w:rPr>
          <w:rFonts w:ascii="Calibri" w:hAnsi="Calibri"/>
        </w:rPr>
        <w:t>T</w:t>
      </w:r>
      <w:r w:rsidR="00B241A5" w:rsidRPr="00CE10DE">
        <w:rPr>
          <w:rFonts w:ascii="Calibri" w:hAnsi="Calibri"/>
        </w:rPr>
        <w:t xml:space="preserve">his </w:t>
      </w:r>
      <w:r w:rsidR="00EB3360">
        <w:rPr>
          <w:rFonts w:ascii="Calibri" w:hAnsi="Calibri"/>
        </w:rPr>
        <w:t>note</w:t>
      </w:r>
      <w:r w:rsidR="00AE53E9">
        <w:rPr>
          <w:rFonts w:ascii="Calibri" w:hAnsi="Calibri"/>
        </w:rPr>
        <w:t xml:space="preserve"> summarizes the findings from the</w:t>
      </w:r>
      <w:r w:rsidR="00B241A5">
        <w:rPr>
          <w:rFonts w:ascii="Calibri" w:hAnsi="Calibri"/>
        </w:rPr>
        <w:t xml:space="preserve"> baseline survey </w:t>
      </w:r>
      <w:r w:rsidR="00AE53E9">
        <w:rPr>
          <w:rFonts w:ascii="Calibri" w:hAnsi="Calibri"/>
        </w:rPr>
        <w:t xml:space="preserve">for this impact evaluation, which was </w:t>
      </w:r>
      <w:r w:rsidR="00B241A5">
        <w:rPr>
          <w:rFonts w:ascii="Calibri" w:hAnsi="Calibri"/>
        </w:rPr>
        <w:t>conducted between October 2013 and January 2014</w:t>
      </w:r>
      <w:r w:rsidR="00AE53E9">
        <w:rPr>
          <w:rFonts w:ascii="Calibri" w:hAnsi="Calibri"/>
        </w:rPr>
        <w:t xml:space="preserve">. </w:t>
      </w:r>
      <w:r w:rsidR="00081520">
        <w:rPr>
          <w:rFonts w:ascii="Calibri" w:hAnsi="Calibri"/>
        </w:rPr>
        <w:t xml:space="preserve">The baseline survey was conducted with girls interested in SOS, </w:t>
      </w:r>
      <w:r w:rsidR="00081520">
        <w:rPr>
          <w:rFonts w:ascii="Calibri" w:hAnsi="Calibri"/>
          <w:color w:val="222222"/>
        </w:rPr>
        <w:t>aged 12-15, who resided in the target communities</w:t>
      </w:r>
      <w:r w:rsidR="00EB3360" w:rsidRPr="00EB3360">
        <w:rPr>
          <w:vertAlign w:val="superscript"/>
        </w:rPr>
        <w:t xml:space="preserve"> </w:t>
      </w:r>
      <w:r w:rsidR="00EB3360" w:rsidRPr="00B241A5">
        <w:rPr>
          <w:vertAlign w:val="superscript"/>
        </w:rPr>
        <w:t>i</w:t>
      </w:r>
      <w:r w:rsidR="00316BBD">
        <w:rPr>
          <w:vertAlign w:val="superscript"/>
        </w:rPr>
        <w:t>ii</w:t>
      </w:r>
      <w:r w:rsidR="00081520">
        <w:rPr>
          <w:rFonts w:ascii="Calibri" w:hAnsi="Calibri"/>
          <w:color w:val="222222"/>
        </w:rPr>
        <w:t xml:space="preserve">, and whose guardians consented to the girl’s participation in SOS and the survey. </w:t>
      </w:r>
      <w:r w:rsidR="00EB3360">
        <w:rPr>
          <w:rFonts w:ascii="Calibri" w:hAnsi="Calibri"/>
          <w:color w:val="222222"/>
        </w:rPr>
        <w:t>In total, b</w:t>
      </w:r>
      <w:r w:rsidR="00B241A5">
        <w:rPr>
          <w:rFonts w:ascii="Calibri" w:hAnsi="Calibri"/>
        </w:rPr>
        <w:t>aseline data was collected from 2,884 girls and one guardian for each girl.</w:t>
      </w:r>
      <w:r w:rsidR="00AB09C1">
        <w:t xml:space="preserve"> </w:t>
      </w:r>
      <w:r w:rsidR="00EB3360">
        <w:t xml:space="preserve"> These 2,884 girls form the “study sample.” </w:t>
      </w:r>
      <w:r w:rsidR="00081520">
        <w:t xml:space="preserve"> </w:t>
      </w:r>
      <w:r w:rsidR="00EB3360">
        <w:t xml:space="preserve">Half of these girls were then randomly selected to participate in the SOS program and became the “treatment group”, and the other half were kept as the “control group”. </w:t>
      </w:r>
      <w:r w:rsidR="00630CFF">
        <w:t xml:space="preserve">The extent to which our study results can reasonably represent the results one would expect for other girls in Greater Monrovia depends on how similar girls and households in the study sample are to a representative sample of Greater Monrovia. Analysis suggests that they are in fact quite similar. </w:t>
      </w:r>
    </w:p>
    <w:p w14:paraId="6B15F98F" w14:textId="24251A93" w:rsidR="006B5108" w:rsidRDefault="00EB3360" w:rsidP="00B241A5">
      <w:pPr>
        <w:jc w:val="both"/>
        <w:rPr>
          <w:b/>
          <w:u w:val="single"/>
        </w:rPr>
      </w:pPr>
      <w:r>
        <w:t xml:space="preserve">A full length report on findings from the baseline survey is also available. </w:t>
      </w:r>
    </w:p>
    <w:p w14:paraId="6A9C978B" w14:textId="7A5A53AC" w:rsidR="00AE53E9" w:rsidRPr="006B5108" w:rsidRDefault="00AE53E9" w:rsidP="00B241A5">
      <w:pPr>
        <w:jc w:val="both"/>
        <w:rPr>
          <w:b/>
          <w:u w:val="single"/>
        </w:rPr>
      </w:pPr>
      <w:r w:rsidRPr="006B5108">
        <w:rPr>
          <w:b/>
          <w:u w:val="single"/>
        </w:rPr>
        <w:t>Baseline Survey Results</w:t>
      </w:r>
    </w:p>
    <w:p w14:paraId="22EFCFB9" w14:textId="64344BA8" w:rsidR="00AB09C1" w:rsidRDefault="00AB09C1" w:rsidP="00AB09C1">
      <w:pPr>
        <w:rPr>
          <w:i/>
        </w:rPr>
      </w:pPr>
      <w:r>
        <w:rPr>
          <w:i/>
        </w:rPr>
        <w:t>Demographics</w:t>
      </w:r>
    </w:p>
    <w:p w14:paraId="6494648C" w14:textId="4DEBB52C" w:rsidR="00EB3360" w:rsidRDefault="00EB3360">
      <w:pPr>
        <w:rPr>
          <w:i/>
        </w:rPr>
      </w:pPr>
      <w:r>
        <w:t xml:space="preserve">In the study sample, 13% of </w:t>
      </w:r>
      <w:r w:rsidR="00AB09C1">
        <w:t>girls live without any financial support</w:t>
      </w:r>
      <w:r w:rsidR="00316BBD">
        <w:t xml:space="preserve"> from biological parents</w:t>
      </w:r>
      <w:r w:rsidR="00AB09C1">
        <w:t xml:space="preserve">; 28% live apart from both </w:t>
      </w:r>
      <w:r w:rsidR="00316BBD">
        <w:t xml:space="preserve">biological </w:t>
      </w:r>
      <w:r w:rsidR="00AB09C1">
        <w:t xml:space="preserve">parents; and 39% of girls live with both </w:t>
      </w:r>
      <w:r w:rsidR="00316BBD">
        <w:t xml:space="preserve">biological </w:t>
      </w:r>
      <w:r w:rsidR="00AB09C1">
        <w:t>parents. 95% of girls live with a relative (parents or other). The median household has seven people, four of whom are aged 17 or below. The median household is supported by two adults; has a median annual income of 1,500 US dollars; spends 8% of its income on expenses associated with the girls’ schooling (126 US dollars per year)</w:t>
      </w:r>
      <w:r w:rsidR="00B241A5" w:rsidRPr="00B241A5">
        <w:rPr>
          <w:vertAlign w:val="superscript"/>
        </w:rPr>
        <w:t>i</w:t>
      </w:r>
      <w:r w:rsidR="00081520">
        <w:rPr>
          <w:vertAlign w:val="superscript"/>
        </w:rPr>
        <w:t>i</w:t>
      </w:r>
      <w:r w:rsidR="00AB09C1">
        <w:t xml:space="preserve">, and 32% of household income on schooling for all members aged 17 or below.  </w:t>
      </w:r>
      <w:r>
        <w:rPr>
          <w:i/>
        </w:rPr>
        <w:br w:type="page"/>
      </w:r>
    </w:p>
    <w:p w14:paraId="7206D49A" w14:textId="7648DEB3" w:rsidR="00AB09C1" w:rsidRPr="00AB09C1" w:rsidRDefault="00AB09C1" w:rsidP="00AB09C1">
      <w:pPr>
        <w:rPr>
          <w:i/>
        </w:rPr>
      </w:pPr>
      <w:r>
        <w:rPr>
          <w:i/>
        </w:rPr>
        <w:lastRenderedPageBreak/>
        <w:t>Schooling</w:t>
      </w:r>
    </w:p>
    <w:p w14:paraId="38B63C52" w14:textId="3E25DC82" w:rsidR="00B241A5" w:rsidRDefault="00EB3360" w:rsidP="00B241A5">
      <w:r>
        <w:t>In the study sample, s</w:t>
      </w:r>
      <w:r w:rsidR="00AB09C1">
        <w:t>chool enrollment is very high: 95%</w:t>
      </w:r>
      <w:r w:rsidR="00672CE5">
        <w:t xml:space="preserve"> of study sample girls are enrolled in school</w:t>
      </w:r>
      <w:r w:rsidR="00AB09C1">
        <w:t>. Girls started school on time (between 6 and 7 years old), but we think they started kindergarten at this time, rather than year 1 of primary – thus by the time they started year 1 of primary, they were already behind, or “over-age”. Of the girls in this study, 93% of girls are over-age for their grade level, and the median girl is over-age by four years</w:t>
      </w:r>
      <w:r w:rsidR="00316BBD">
        <w:rPr>
          <w:vertAlign w:val="superscript"/>
        </w:rPr>
        <w:t>iv</w:t>
      </w:r>
      <w:r w:rsidR="00AB09C1">
        <w:t>. Median levels of schooling in our sample is 2 years of primary for 12 year olds, 3 years for 13 year olds; 4 years for 14 year olds; and 5 years of primary for 15 year olds.</w:t>
      </w:r>
      <w:r w:rsidR="00B241A5">
        <w:t xml:space="preserve"> </w:t>
      </w:r>
    </w:p>
    <w:p w14:paraId="389BFC34" w14:textId="7C71C073" w:rsidR="00AB09C1" w:rsidRDefault="00AB09C1" w:rsidP="00B241A5">
      <w:r>
        <w:t xml:space="preserve">Lack of money for school fees is the main reason why girls have dropped out in the past (73% of those who dropped out), missed school at some point (34% of all girls), and the main reason they think they might drop out in the future (50% of all girls). </w:t>
      </w:r>
      <w:r w:rsidR="006038E3">
        <w:t>75% of girls named a</w:t>
      </w:r>
      <w:r w:rsidR="00B241A5">
        <w:t xml:space="preserve"> parent as the person who puts the most towards their education, and 23% cited another family member.</w:t>
      </w:r>
      <w:r w:rsidR="006038E3">
        <w:t xml:space="preserve"> Also notable is that even those girls who work are not </w:t>
      </w:r>
      <w:r w:rsidR="00672CE5">
        <w:t>working very many hours, and are not contributing significantly to household income</w:t>
      </w:r>
      <w:r w:rsidR="006038E3">
        <w:t xml:space="preserve">. </w:t>
      </w:r>
    </w:p>
    <w:p w14:paraId="7A21E5B2" w14:textId="4D894F27" w:rsidR="00AB09C1" w:rsidRDefault="00B241A5" w:rsidP="00B241A5">
      <w:r>
        <w:t xml:space="preserve">Universally, </w:t>
      </w:r>
      <w:r w:rsidR="00EB3360">
        <w:t xml:space="preserve">study sample </w:t>
      </w:r>
      <w:r>
        <w:t>g</w:t>
      </w:r>
      <w:r w:rsidR="00AB09C1">
        <w:t>irls (and their guardians) have high educational aspirations which exceed educational achievements in the household</w:t>
      </w:r>
      <w:r w:rsidR="00081520">
        <w:rPr>
          <w:vertAlign w:val="superscript"/>
        </w:rPr>
        <w:t>v</w:t>
      </w:r>
      <w:r w:rsidR="00AB09C1">
        <w:t xml:space="preserve">. </w:t>
      </w:r>
      <w:r>
        <w:t>And g</w:t>
      </w:r>
      <w:r w:rsidR="00AB09C1">
        <w:t>irls’ households are generally supportive of schooling: Amongst all people aged 17 or less in girls’ households, 82% are currently enrolled in school, and 11% are not enrolled but planning to start again.</w:t>
      </w:r>
      <w:r w:rsidR="00AB09C1" w:rsidRPr="00465F51">
        <w:t xml:space="preserve"> </w:t>
      </w:r>
      <w:r w:rsidR="00AB09C1">
        <w:t xml:space="preserve"> 97% of girls reported that somebody attends parent meetings at school on their behalf, and 53% of girls said that somebody in their household helps them with school work. </w:t>
      </w:r>
      <w:r>
        <w:t xml:space="preserve"> Furthermore, g</w:t>
      </w:r>
      <w:r w:rsidR="00AB09C1">
        <w:t>irls and guardians views are very gender egalitarian regarding schooling for girls and boys.</w:t>
      </w:r>
      <w:r>
        <w:t xml:space="preserve"> And g</w:t>
      </w:r>
      <w:r w:rsidR="00AB09C1">
        <w:t xml:space="preserve">irls and guardians correctly believe that more schooling translates to higher wages.  </w:t>
      </w:r>
    </w:p>
    <w:p w14:paraId="64A45CDD" w14:textId="77777777" w:rsidR="00B241A5" w:rsidRPr="00B241A5" w:rsidRDefault="00B241A5" w:rsidP="00B241A5">
      <w:pPr>
        <w:rPr>
          <w:i/>
        </w:rPr>
      </w:pPr>
      <w:r w:rsidRPr="00B241A5">
        <w:rPr>
          <w:i/>
        </w:rPr>
        <w:t>SEXUALITY</w:t>
      </w:r>
    </w:p>
    <w:p w14:paraId="52641256" w14:textId="6806F3AA" w:rsidR="006B5108" w:rsidRDefault="00B241A5" w:rsidP="00B241A5">
      <w:r>
        <w:t xml:space="preserve">Few of the </w:t>
      </w:r>
      <w:r w:rsidR="00EB3360">
        <w:t xml:space="preserve">study sample </w:t>
      </w:r>
      <w:r>
        <w:t>girls have ever had a boyfriend (10%) or had sex (8%)</w:t>
      </w:r>
      <w:r w:rsidR="006038E3" w:rsidRPr="006038E3">
        <w:rPr>
          <w:vertAlign w:val="superscript"/>
        </w:rPr>
        <w:t>v</w:t>
      </w:r>
      <w:r w:rsidR="00316BBD">
        <w:rPr>
          <w:vertAlign w:val="superscript"/>
        </w:rPr>
        <w:t>i</w:t>
      </w:r>
      <w:r>
        <w:t>. However, there are substantial increases in the percent of girls that had ever had sex over this four</w:t>
      </w:r>
      <w:r w:rsidR="00E16F48">
        <w:t>-</w:t>
      </w:r>
      <w:r>
        <w:t xml:space="preserve">year </w:t>
      </w:r>
      <w:r w:rsidR="00E16F48">
        <w:t>age range</w:t>
      </w:r>
      <w:r w:rsidR="00E16F48" w:rsidRPr="006038E3">
        <w:rPr>
          <w:vertAlign w:val="superscript"/>
        </w:rPr>
        <w:t>v</w:t>
      </w:r>
      <w:r w:rsidR="00081520">
        <w:rPr>
          <w:vertAlign w:val="superscript"/>
        </w:rPr>
        <w:t>i</w:t>
      </w:r>
      <w:r w:rsidR="00316BBD">
        <w:rPr>
          <w:vertAlign w:val="superscript"/>
        </w:rPr>
        <w:t>i</w:t>
      </w:r>
      <w:r>
        <w:t>. Among girls who had ever had sex, 15% received gifts, and 11%</w:t>
      </w:r>
      <w:r w:rsidR="00EB3360">
        <w:t xml:space="preserve"> report that finances played a role in them continuing this relationship</w:t>
      </w:r>
      <w:r>
        <w:t xml:space="preserve">. Most girls anticipate their 20s to be the time when they would have their first boyfriend; to live with a man; and to have their first child. </w:t>
      </w:r>
    </w:p>
    <w:p w14:paraId="71BC97BC" w14:textId="77777777" w:rsidR="006B5108" w:rsidRDefault="006B5108" w:rsidP="00B241A5">
      <w:pPr>
        <w:rPr>
          <w:b/>
          <w:u w:val="single"/>
        </w:rPr>
      </w:pPr>
    </w:p>
    <w:p w14:paraId="47284D38" w14:textId="4916D5CC" w:rsidR="006B5108" w:rsidRPr="006B5108" w:rsidRDefault="006B5108" w:rsidP="00B241A5">
      <w:pPr>
        <w:rPr>
          <w:b/>
          <w:u w:val="single"/>
        </w:rPr>
      </w:pPr>
      <w:r>
        <w:rPr>
          <w:b/>
          <w:u w:val="single"/>
        </w:rPr>
        <w:t>Foot</w:t>
      </w:r>
      <w:r w:rsidRPr="006B5108">
        <w:rPr>
          <w:b/>
          <w:u w:val="single"/>
        </w:rPr>
        <w:t>notes</w:t>
      </w:r>
    </w:p>
    <w:p w14:paraId="19FE8B07" w14:textId="57F968CC" w:rsidR="00316BBD" w:rsidRDefault="00316BBD" w:rsidP="00081520">
      <w:pPr>
        <w:pStyle w:val="EndnoteText"/>
      </w:pPr>
      <w:r>
        <w:t xml:space="preserve">i For more information on this project, contact Tricia Koroknay-Palicz, at </w:t>
      </w:r>
      <w:hyperlink r:id="rId14" w:history="1">
        <w:r w:rsidRPr="00007015">
          <w:rPr>
            <w:rStyle w:val="Hyperlink"/>
          </w:rPr>
          <w:t>tgonwa@worldbank.org</w:t>
        </w:r>
      </w:hyperlink>
      <w:r>
        <w:t>.</w:t>
      </w:r>
    </w:p>
    <w:p w14:paraId="400BE22D" w14:textId="77777777" w:rsidR="00316BBD" w:rsidRPr="00316BBD" w:rsidRDefault="00316BBD" w:rsidP="00081520">
      <w:pPr>
        <w:pStyle w:val="EndnoteText"/>
        <w:rPr>
          <w:sz w:val="8"/>
          <w:szCs w:val="8"/>
        </w:rPr>
      </w:pPr>
    </w:p>
    <w:p w14:paraId="0467B804" w14:textId="6DBEAF0D" w:rsidR="00081520" w:rsidRDefault="00081520" w:rsidP="00081520">
      <w:pPr>
        <w:pStyle w:val="EndnoteText"/>
      </w:pPr>
      <w:r>
        <w:t>i</w:t>
      </w:r>
      <w:r w:rsidR="00316BBD">
        <w:t>i</w:t>
      </w:r>
      <w:r>
        <w:t xml:space="preserve"> These included 16 urban and 2 peri-urban communities, all within the greater Monrovia area. Specifically: Bassa Community; Battery Factory; Bentol; Brewerville; </w:t>
      </w:r>
      <w:r w:rsidR="00EB3360">
        <w:t xml:space="preserve">Chicken Soup Factory; Clara Town; Congo Town (Peace Island); Doe Community (Freeport); Duport Road (Voka Mission, and Zubah Town); LoganTown; Morris Farm; New Kru Town; Old Road (Gaye Town); Pipeline; Redlight (Soul Clinic, and Wood Camp); and West Point. </w:t>
      </w:r>
    </w:p>
    <w:p w14:paraId="7FB2AB6F" w14:textId="77777777" w:rsidR="00081520" w:rsidRPr="006B5108" w:rsidRDefault="00081520" w:rsidP="00B241A5">
      <w:pPr>
        <w:pStyle w:val="EndnoteText"/>
        <w:rPr>
          <w:sz w:val="8"/>
          <w:szCs w:val="8"/>
        </w:rPr>
      </w:pPr>
    </w:p>
    <w:p w14:paraId="746E9CA7" w14:textId="474E6DF3" w:rsidR="00B241A5" w:rsidRDefault="00081520" w:rsidP="00B241A5">
      <w:pPr>
        <w:pStyle w:val="EndnoteText"/>
      </w:pPr>
      <w:r>
        <w:t>i</w:t>
      </w:r>
      <w:r w:rsidR="006038E3">
        <w:t>i</w:t>
      </w:r>
      <w:r w:rsidR="00316BBD">
        <w:t>i</w:t>
      </w:r>
      <w:r w:rsidR="006038E3">
        <w:t xml:space="preserve"> I</w:t>
      </w:r>
      <w:r w:rsidR="00B241A5">
        <w:t>ncluding tuition, fees, uniforms, books, supplies, transport, and feeding and lodging at school.</w:t>
      </w:r>
    </w:p>
    <w:p w14:paraId="6A9016E5" w14:textId="77777777" w:rsidR="006038E3" w:rsidRPr="006B5108" w:rsidRDefault="006038E3" w:rsidP="00B241A5">
      <w:pPr>
        <w:pStyle w:val="EndnoteText"/>
        <w:rPr>
          <w:sz w:val="8"/>
          <w:szCs w:val="8"/>
        </w:rPr>
      </w:pPr>
    </w:p>
    <w:p w14:paraId="527C9DD1" w14:textId="60902A3C" w:rsidR="00B241A5" w:rsidRDefault="006038E3" w:rsidP="00B241A5">
      <w:pPr>
        <w:pStyle w:val="EndnoteText"/>
      </w:pPr>
      <w:r>
        <w:t>i</w:t>
      </w:r>
      <w:r w:rsidR="00316BBD">
        <w:t>v</w:t>
      </w:r>
      <w:r>
        <w:t xml:space="preserve"> </w:t>
      </w:r>
      <w:r w:rsidR="00B241A5" w:rsidRPr="005803A7">
        <w:t>An “at-age” student is one whose age is the official age for her grade level. Per Liberia’s Ministry of Education, an at-age six year old should be in grade 1, and an at-age twelve year old in grade 7.  Causes of a student may be “over-age” may include starting school late; missing or failing to complete years of schooling; or failing to pass a grade. In Montserrado</w:t>
      </w:r>
      <w:r w:rsidR="00B241A5">
        <w:t xml:space="preserve"> County</w:t>
      </w:r>
      <w:r w:rsidR="00B241A5" w:rsidRPr="005803A7">
        <w:t>, 86% of girls in primary and 90% in secondary schools are over-age.</w:t>
      </w:r>
    </w:p>
    <w:p w14:paraId="34CB2DC0" w14:textId="77777777" w:rsidR="006038E3" w:rsidRPr="006B5108" w:rsidRDefault="006038E3" w:rsidP="00B241A5">
      <w:pPr>
        <w:pStyle w:val="EndnoteText"/>
        <w:rPr>
          <w:sz w:val="8"/>
          <w:szCs w:val="8"/>
        </w:rPr>
      </w:pPr>
    </w:p>
    <w:p w14:paraId="11BF2B2D" w14:textId="15B11A51" w:rsidR="00B241A5" w:rsidRDefault="00081520" w:rsidP="00B241A5">
      <w:pPr>
        <w:pStyle w:val="EndnoteText"/>
      </w:pPr>
      <w:r>
        <w:t>v</w:t>
      </w:r>
      <w:r w:rsidR="006038E3">
        <w:t xml:space="preserve"> </w:t>
      </w:r>
      <w:r w:rsidR="00B241A5">
        <w:t>95% of girls and guardians would like the girl to complete university whereas only 8% of mothers and 28% of fathers have completed any post-secondary schooling – and only 33% of mothers completed junior secondary or higher.  As for actual plans, they are lower: 64% of girls plan to complete university, and 32% senior secondary.</w:t>
      </w:r>
    </w:p>
    <w:p w14:paraId="71A7016E" w14:textId="77777777" w:rsidR="006038E3" w:rsidRPr="006B5108" w:rsidRDefault="006038E3" w:rsidP="00B241A5">
      <w:pPr>
        <w:pStyle w:val="EndnoteText"/>
        <w:rPr>
          <w:sz w:val="8"/>
          <w:szCs w:val="8"/>
        </w:rPr>
      </w:pPr>
    </w:p>
    <w:p w14:paraId="6DE8256D" w14:textId="464B411C" w:rsidR="00B241A5" w:rsidRDefault="006038E3" w:rsidP="00B241A5">
      <w:pPr>
        <w:pStyle w:val="EndnoteText"/>
      </w:pPr>
      <w:r>
        <w:t>v</w:t>
      </w:r>
      <w:r w:rsidR="00316BBD">
        <w:t>i</w:t>
      </w:r>
      <w:r>
        <w:t xml:space="preserve"> </w:t>
      </w:r>
      <w:r w:rsidR="00B241A5">
        <w:t>Out of 2,884 girls in the study sample: only 1 had ever been married; only 7 had ever cohabitated with a man; only 24 had ever been pregnant; and only 10 had given birth.</w:t>
      </w:r>
    </w:p>
    <w:p w14:paraId="7E480679" w14:textId="77777777" w:rsidR="006038E3" w:rsidRPr="006B5108" w:rsidRDefault="006038E3" w:rsidP="00B241A5">
      <w:pPr>
        <w:pStyle w:val="EndnoteText"/>
        <w:rPr>
          <w:sz w:val="8"/>
          <w:szCs w:val="8"/>
        </w:rPr>
      </w:pPr>
    </w:p>
    <w:p w14:paraId="6500A12E" w14:textId="7D8851BC" w:rsidR="00AB09C1" w:rsidRPr="006038E3" w:rsidRDefault="006038E3" w:rsidP="00B241A5">
      <w:pPr>
        <w:rPr>
          <w:sz w:val="20"/>
          <w:szCs w:val="20"/>
        </w:rPr>
      </w:pPr>
      <w:r w:rsidRPr="006038E3">
        <w:rPr>
          <w:sz w:val="20"/>
          <w:szCs w:val="20"/>
        </w:rPr>
        <w:t>v</w:t>
      </w:r>
      <w:r w:rsidR="00081520">
        <w:rPr>
          <w:sz w:val="20"/>
          <w:szCs w:val="20"/>
        </w:rPr>
        <w:t>i</w:t>
      </w:r>
      <w:r w:rsidR="00316BBD">
        <w:rPr>
          <w:sz w:val="20"/>
          <w:szCs w:val="20"/>
        </w:rPr>
        <w:t>i</w:t>
      </w:r>
      <w:r w:rsidRPr="006038E3">
        <w:rPr>
          <w:sz w:val="20"/>
          <w:szCs w:val="20"/>
        </w:rPr>
        <w:t xml:space="preserve"> T</w:t>
      </w:r>
      <w:r w:rsidR="00B241A5" w:rsidRPr="006038E3">
        <w:rPr>
          <w:sz w:val="20"/>
          <w:szCs w:val="20"/>
        </w:rPr>
        <w:t>he percent of girls that have ever had sex is 1% for 12-13 year olds; 7% for 14 year olds; and 26% for 15 year olds.</w:t>
      </w:r>
      <w:bookmarkEnd w:id="1"/>
    </w:p>
    <w:sectPr w:rsidR="00AB09C1" w:rsidRPr="006038E3" w:rsidSect="00A27FF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32FD" w14:textId="77777777" w:rsidR="00354D1B" w:rsidRDefault="00354D1B" w:rsidP="00A21411">
      <w:pPr>
        <w:spacing w:after="0" w:line="240" w:lineRule="auto"/>
      </w:pPr>
      <w:r>
        <w:separator/>
      </w:r>
    </w:p>
  </w:endnote>
  <w:endnote w:type="continuationSeparator" w:id="0">
    <w:p w14:paraId="77EAB157" w14:textId="77777777" w:rsidR="00354D1B" w:rsidRDefault="00354D1B" w:rsidP="00A2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6806" w14:textId="2FA0ABDC" w:rsidR="00DC41AD" w:rsidRDefault="00DC41AD">
    <w:pPr>
      <w:pStyle w:val="Footer"/>
      <w:jc w:val="right"/>
    </w:pPr>
  </w:p>
  <w:p w14:paraId="4F0685D8" w14:textId="755D2B76" w:rsidR="00DC41AD" w:rsidRDefault="00630CFF" w:rsidP="006B5108">
    <w:pPr>
      <w:pStyle w:val="Footer"/>
      <w:jc w:val="right"/>
    </w:pPr>
    <w:r>
      <w:t>August 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8E65" w14:textId="77777777" w:rsidR="00354D1B" w:rsidRDefault="00354D1B" w:rsidP="00A21411">
      <w:pPr>
        <w:spacing w:after="0" w:line="240" w:lineRule="auto"/>
      </w:pPr>
      <w:r>
        <w:separator/>
      </w:r>
    </w:p>
  </w:footnote>
  <w:footnote w:type="continuationSeparator" w:id="0">
    <w:p w14:paraId="68B58070" w14:textId="77777777" w:rsidR="00354D1B" w:rsidRDefault="00354D1B" w:rsidP="00A21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9C5"/>
    <w:multiLevelType w:val="hybridMultilevel"/>
    <w:tmpl w:val="2482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5D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F5813"/>
    <w:multiLevelType w:val="multilevel"/>
    <w:tmpl w:val="714CD4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0482B"/>
    <w:multiLevelType w:val="hybridMultilevel"/>
    <w:tmpl w:val="F292639C"/>
    <w:lvl w:ilvl="0" w:tplc="736ED2D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605BA"/>
    <w:multiLevelType w:val="multilevel"/>
    <w:tmpl w:val="32541A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542467"/>
    <w:multiLevelType w:val="hybridMultilevel"/>
    <w:tmpl w:val="80DE253A"/>
    <w:lvl w:ilvl="0" w:tplc="5890EFC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B459B2"/>
    <w:multiLevelType w:val="hybridMultilevel"/>
    <w:tmpl w:val="AB2C5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161109"/>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86DB1"/>
    <w:multiLevelType w:val="hybridMultilevel"/>
    <w:tmpl w:val="E3B2DC9A"/>
    <w:lvl w:ilvl="0" w:tplc="16C4A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D19A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F425E0"/>
    <w:multiLevelType w:val="hybridMultilevel"/>
    <w:tmpl w:val="E78470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F1FE0"/>
    <w:multiLevelType w:val="hybridMultilevel"/>
    <w:tmpl w:val="A6AEF03E"/>
    <w:lvl w:ilvl="0" w:tplc="9246FD8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DE3"/>
    <w:multiLevelType w:val="hybridMultilevel"/>
    <w:tmpl w:val="4CDE6A3A"/>
    <w:lvl w:ilvl="0" w:tplc="59EC21C8">
      <w:start w:val="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30F0B"/>
    <w:multiLevelType w:val="hybridMultilevel"/>
    <w:tmpl w:val="7A242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44144F"/>
    <w:multiLevelType w:val="multilevel"/>
    <w:tmpl w:val="504E24FE"/>
    <w:lvl w:ilvl="0">
      <w:start w:val="1"/>
      <w:numFmt w:val="decimal"/>
      <w:lvlText w:val="%1."/>
      <w:lvlJc w:val="left"/>
      <w:pPr>
        <w:ind w:left="644" w:hanging="360"/>
      </w:pPr>
    </w:lvl>
    <w:lvl w:ilvl="1">
      <w:start w:val="1"/>
      <w:numFmt w:val="lowerLetter"/>
      <w:lvlText w:val="%2."/>
      <w:lvlJc w:val="left"/>
      <w:pPr>
        <w:ind w:left="1364" w:hanging="360"/>
      </w:pPr>
    </w:lvl>
    <w:lvl w:ilvl="2">
      <w:start w:val="1"/>
      <w:numFmt w:val="decimal"/>
      <w:lvlText w:val="b%3."/>
      <w:lvlJc w:val="right"/>
      <w:pPr>
        <w:ind w:left="2022" w:hanging="180"/>
      </w:pPr>
      <w:rPr>
        <w:rFonts w:hint="default"/>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4A893401"/>
    <w:multiLevelType w:val="multilevel"/>
    <w:tmpl w:val="C4BE4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8039CE"/>
    <w:multiLevelType w:val="hybridMultilevel"/>
    <w:tmpl w:val="727ECDB2"/>
    <w:lvl w:ilvl="0" w:tplc="98F0A0C0">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005F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E00470"/>
    <w:multiLevelType w:val="hybridMultilevel"/>
    <w:tmpl w:val="D732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B7AA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092C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3D354D"/>
    <w:multiLevelType w:val="hybridMultilevel"/>
    <w:tmpl w:val="E67C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B5883"/>
    <w:multiLevelType w:val="hybridMultilevel"/>
    <w:tmpl w:val="FD985030"/>
    <w:lvl w:ilvl="0" w:tplc="086A415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03D76"/>
    <w:multiLevelType w:val="hybridMultilevel"/>
    <w:tmpl w:val="1D40926C"/>
    <w:lvl w:ilvl="0" w:tplc="31E0E5D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27C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2D3431"/>
    <w:multiLevelType w:val="hybridMultilevel"/>
    <w:tmpl w:val="EE84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930EC"/>
    <w:multiLevelType w:val="hybridMultilevel"/>
    <w:tmpl w:val="3244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21CF5"/>
    <w:multiLevelType w:val="hybridMultilevel"/>
    <w:tmpl w:val="19868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7A366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712C86"/>
    <w:multiLevelType w:val="hybridMultilevel"/>
    <w:tmpl w:val="FEC8F972"/>
    <w:lvl w:ilvl="0" w:tplc="CEAC3662">
      <w:start w:val="1"/>
      <w:numFmt w:val="decimal"/>
      <w:lvlText w:val="d%1."/>
      <w:lvlJc w:val="right"/>
      <w:pPr>
        <w:ind w:left="2562" w:hanging="360"/>
      </w:pPr>
      <w:rPr>
        <w:rFonts w:hint="default"/>
      </w:rPr>
    </w:lvl>
    <w:lvl w:ilvl="1" w:tplc="040C0019" w:tentative="1">
      <w:start w:val="1"/>
      <w:numFmt w:val="lowerLetter"/>
      <w:lvlText w:val="%2."/>
      <w:lvlJc w:val="left"/>
      <w:pPr>
        <w:ind w:left="3282" w:hanging="360"/>
      </w:pPr>
    </w:lvl>
    <w:lvl w:ilvl="2" w:tplc="040C001B" w:tentative="1">
      <w:start w:val="1"/>
      <w:numFmt w:val="lowerRoman"/>
      <w:lvlText w:val="%3."/>
      <w:lvlJc w:val="right"/>
      <w:pPr>
        <w:ind w:left="4002" w:hanging="180"/>
      </w:pPr>
    </w:lvl>
    <w:lvl w:ilvl="3" w:tplc="040C000F" w:tentative="1">
      <w:start w:val="1"/>
      <w:numFmt w:val="decimal"/>
      <w:lvlText w:val="%4."/>
      <w:lvlJc w:val="left"/>
      <w:pPr>
        <w:ind w:left="4722" w:hanging="360"/>
      </w:pPr>
    </w:lvl>
    <w:lvl w:ilvl="4" w:tplc="040C0019" w:tentative="1">
      <w:start w:val="1"/>
      <w:numFmt w:val="lowerLetter"/>
      <w:lvlText w:val="%5."/>
      <w:lvlJc w:val="left"/>
      <w:pPr>
        <w:ind w:left="5442" w:hanging="360"/>
      </w:pPr>
    </w:lvl>
    <w:lvl w:ilvl="5" w:tplc="040C001B" w:tentative="1">
      <w:start w:val="1"/>
      <w:numFmt w:val="lowerRoman"/>
      <w:lvlText w:val="%6."/>
      <w:lvlJc w:val="right"/>
      <w:pPr>
        <w:ind w:left="6162" w:hanging="180"/>
      </w:pPr>
    </w:lvl>
    <w:lvl w:ilvl="6" w:tplc="040C000F" w:tentative="1">
      <w:start w:val="1"/>
      <w:numFmt w:val="decimal"/>
      <w:lvlText w:val="%7."/>
      <w:lvlJc w:val="left"/>
      <w:pPr>
        <w:ind w:left="6882" w:hanging="360"/>
      </w:pPr>
    </w:lvl>
    <w:lvl w:ilvl="7" w:tplc="040C0019" w:tentative="1">
      <w:start w:val="1"/>
      <w:numFmt w:val="lowerLetter"/>
      <w:lvlText w:val="%8."/>
      <w:lvlJc w:val="left"/>
      <w:pPr>
        <w:ind w:left="7602" w:hanging="360"/>
      </w:pPr>
    </w:lvl>
    <w:lvl w:ilvl="8" w:tplc="040C001B" w:tentative="1">
      <w:start w:val="1"/>
      <w:numFmt w:val="lowerRoman"/>
      <w:lvlText w:val="%9."/>
      <w:lvlJc w:val="right"/>
      <w:pPr>
        <w:ind w:left="8322" w:hanging="180"/>
      </w:pPr>
    </w:lvl>
  </w:abstractNum>
  <w:abstractNum w:abstractNumId="30" w15:restartNumberingAfterBreak="0">
    <w:nsid w:val="732805B4"/>
    <w:multiLevelType w:val="hybridMultilevel"/>
    <w:tmpl w:val="59FEC258"/>
    <w:lvl w:ilvl="0" w:tplc="A7865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CB7864"/>
    <w:multiLevelType w:val="hybridMultilevel"/>
    <w:tmpl w:val="B9C2B548"/>
    <w:lvl w:ilvl="0" w:tplc="7C96E70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951D4"/>
    <w:multiLevelType w:val="hybridMultilevel"/>
    <w:tmpl w:val="AE14DDDA"/>
    <w:lvl w:ilvl="0" w:tplc="232CB490">
      <w:start w:val="92"/>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648FB"/>
    <w:multiLevelType w:val="hybridMultilevel"/>
    <w:tmpl w:val="D228E98C"/>
    <w:lvl w:ilvl="0" w:tplc="04C0A3A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35A2E"/>
    <w:multiLevelType w:val="hybridMultilevel"/>
    <w:tmpl w:val="7BF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9"/>
  </w:num>
  <w:num w:numId="4">
    <w:abstractNumId w:val="31"/>
  </w:num>
  <w:num w:numId="5">
    <w:abstractNumId w:val="23"/>
  </w:num>
  <w:num w:numId="6">
    <w:abstractNumId w:val="28"/>
  </w:num>
  <w:num w:numId="7">
    <w:abstractNumId w:val="9"/>
  </w:num>
  <w:num w:numId="8">
    <w:abstractNumId w:val="20"/>
  </w:num>
  <w:num w:numId="9">
    <w:abstractNumId w:val="8"/>
  </w:num>
  <w:num w:numId="10">
    <w:abstractNumId w:val="30"/>
  </w:num>
  <w:num w:numId="11">
    <w:abstractNumId w:val="27"/>
  </w:num>
  <w:num w:numId="12">
    <w:abstractNumId w:val="15"/>
  </w:num>
  <w:num w:numId="13">
    <w:abstractNumId w:val="1"/>
  </w:num>
  <w:num w:numId="14">
    <w:abstractNumId w:val="19"/>
  </w:num>
  <w:num w:numId="15">
    <w:abstractNumId w:val="17"/>
  </w:num>
  <w:num w:numId="16">
    <w:abstractNumId w:val="4"/>
  </w:num>
  <w:num w:numId="17">
    <w:abstractNumId w:val="24"/>
  </w:num>
  <w:num w:numId="18">
    <w:abstractNumId w:val="7"/>
  </w:num>
  <w:num w:numId="19">
    <w:abstractNumId w:val="13"/>
  </w:num>
  <w:num w:numId="20">
    <w:abstractNumId w:val="5"/>
  </w:num>
  <w:num w:numId="21">
    <w:abstractNumId w:val="6"/>
  </w:num>
  <w:num w:numId="22">
    <w:abstractNumId w:val="18"/>
  </w:num>
  <w:num w:numId="23">
    <w:abstractNumId w:val="3"/>
  </w:num>
  <w:num w:numId="24">
    <w:abstractNumId w:val="33"/>
  </w:num>
  <w:num w:numId="25">
    <w:abstractNumId w:val="22"/>
  </w:num>
  <w:num w:numId="26">
    <w:abstractNumId w:val="0"/>
  </w:num>
  <w:num w:numId="27">
    <w:abstractNumId w:val="7"/>
  </w:num>
  <w:num w:numId="28">
    <w:abstractNumId w:val="7"/>
  </w:num>
  <w:num w:numId="29">
    <w:abstractNumId w:val="12"/>
  </w:num>
  <w:num w:numId="30">
    <w:abstractNumId w:val="32"/>
  </w:num>
  <w:num w:numId="31">
    <w:abstractNumId w:val="34"/>
  </w:num>
  <w:num w:numId="32">
    <w:abstractNumId w:val="16"/>
  </w:num>
  <w:num w:numId="33">
    <w:abstractNumId w:val="11"/>
  </w:num>
  <w:num w:numId="34">
    <w:abstractNumId w:val="26"/>
  </w:num>
  <w:num w:numId="35">
    <w:abstractNumId w:val="10"/>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1"/>
    <w:rsid w:val="00004CFA"/>
    <w:rsid w:val="00023C87"/>
    <w:rsid w:val="0002603E"/>
    <w:rsid w:val="00026979"/>
    <w:rsid w:val="000327BC"/>
    <w:rsid w:val="00034EA7"/>
    <w:rsid w:val="00035E2C"/>
    <w:rsid w:val="00040277"/>
    <w:rsid w:val="000501FD"/>
    <w:rsid w:val="00053DC8"/>
    <w:rsid w:val="00054941"/>
    <w:rsid w:val="000562BC"/>
    <w:rsid w:val="00060BBC"/>
    <w:rsid w:val="00072A68"/>
    <w:rsid w:val="000737D2"/>
    <w:rsid w:val="000748DF"/>
    <w:rsid w:val="000764E0"/>
    <w:rsid w:val="00081520"/>
    <w:rsid w:val="00091252"/>
    <w:rsid w:val="000964E1"/>
    <w:rsid w:val="000A3E4B"/>
    <w:rsid w:val="000B1B81"/>
    <w:rsid w:val="000B2DBB"/>
    <w:rsid w:val="000B3EA3"/>
    <w:rsid w:val="000C194D"/>
    <w:rsid w:val="000C530F"/>
    <w:rsid w:val="000D1300"/>
    <w:rsid w:val="000D2B7A"/>
    <w:rsid w:val="000D2FA2"/>
    <w:rsid w:val="000D64B3"/>
    <w:rsid w:val="000E070E"/>
    <w:rsid w:val="000E22F4"/>
    <w:rsid w:val="000E5B07"/>
    <w:rsid w:val="000F05D0"/>
    <w:rsid w:val="00101436"/>
    <w:rsid w:val="00106264"/>
    <w:rsid w:val="001074DF"/>
    <w:rsid w:val="0011672B"/>
    <w:rsid w:val="001220A0"/>
    <w:rsid w:val="001263AB"/>
    <w:rsid w:val="00126A5B"/>
    <w:rsid w:val="00127B71"/>
    <w:rsid w:val="00133019"/>
    <w:rsid w:val="0013612E"/>
    <w:rsid w:val="00137350"/>
    <w:rsid w:val="00144B05"/>
    <w:rsid w:val="00146BD0"/>
    <w:rsid w:val="001471EB"/>
    <w:rsid w:val="001630CE"/>
    <w:rsid w:val="00163D9B"/>
    <w:rsid w:val="001806FC"/>
    <w:rsid w:val="0018184F"/>
    <w:rsid w:val="00187CFA"/>
    <w:rsid w:val="001941E1"/>
    <w:rsid w:val="00194C2D"/>
    <w:rsid w:val="001B0EA9"/>
    <w:rsid w:val="001B4C56"/>
    <w:rsid w:val="001B5CE9"/>
    <w:rsid w:val="001C0736"/>
    <w:rsid w:val="001C2A2C"/>
    <w:rsid w:val="001D3A99"/>
    <w:rsid w:val="001E010D"/>
    <w:rsid w:val="001E1E27"/>
    <w:rsid w:val="001E6633"/>
    <w:rsid w:val="001F301C"/>
    <w:rsid w:val="001F4A4D"/>
    <w:rsid w:val="001F613B"/>
    <w:rsid w:val="00200190"/>
    <w:rsid w:val="0020129D"/>
    <w:rsid w:val="00207DB7"/>
    <w:rsid w:val="0022671B"/>
    <w:rsid w:val="002302A1"/>
    <w:rsid w:val="0023426A"/>
    <w:rsid w:val="002415CC"/>
    <w:rsid w:val="00246AC8"/>
    <w:rsid w:val="002626A7"/>
    <w:rsid w:val="002766ED"/>
    <w:rsid w:val="00277E85"/>
    <w:rsid w:val="00294400"/>
    <w:rsid w:val="002B6E2C"/>
    <w:rsid w:val="002C14BC"/>
    <w:rsid w:val="002C1CA9"/>
    <w:rsid w:val="002D0499"/>
    <w:rsid w:val="002D2AD4"/>
    <w:rsid w:val="002D2B96"/>
    <w:rsid w:val="002E38DD"/>
    <w:rsid w:val="002E3B0C"/>
    <w:rsid w:val="002E7B17"/>
    <w:rsid w:val="0030180B"/>
    <w:rsid w:val="00301824"/>
    <w:rsid w:val="003150E3"/>
    <w:rsid w:val="003159E4"/>
    <w:rsid w:val="00316BBD"/>
    <w:rsid w:val="00330E75"/>
    <w:rsid w:val="00344EEB"/>
    <w:rsid w:val="00351F24"/>
    <w:rsid w:val="00354D1B"/>
    <w:rsid w:val="00355454"/>
    <w:rsid w:val="003607D1"/>
    <w:rsid w:val="00363092"/>
    <w:rsid w:val="003748A3"/>
    <w:rsid w:val="003819A9"/>
    <w:rsid w:val="00382950"/>
    <w:rsid w:val="00386112"/>
    <w:rsid w:val="00394E12"/>
    <w:rsid w:val="00397EB9"/>
    <w:rsid w:val="003A2B68"/>
    <w:rsid w:val="003A5319"/>
    <w:rsid w:val="003A7005"/>
    <w:rsid w:val="003A72A8"/>
    <w:rsid w:val="003B15DB"/>
    <w:rsid w:val="003C036A"/>
    <w:rsid w:val="003C6B82"/>
    <w:rsid w:val="003D174E"/>
    <w:rsid w:val="003D4045"/>
    <w:rsid w:val="003F36FB"/>
    <w:rsid w:val="003F5091"/>
    <w:rsid w:val="00407FE5"/>
    <w:rsid w:val="00413CFB"/>
    <w:rsid w:val="004207BA"/>
    <w:rsid w:val="00421CF4"/>
    <w:rsid w:val="004230AF"/>
    <w:rsid w:val="00424CAB"/>
    <w:rsid w:val="004253A0"/>
    <w:rsid w:val="00430E1C"/>
    <w:rsid w:val="00431B15"/>
    <w:rsid w:val="00432033"/>
    <w:rsid w:val="00434D87"/>
    <w:rsid w:val="004359B8"/>
    <w:rsid w:val="00436F76"/>
    <w:rsid w:val="004468C7"/>
    <w:rsid w:val="00456407"/>
    <w:rsid w:val="00460B73"/>
    <w:rsid w:val="00463299"/>
    <w:rsid w:val="0046380F"/>
    <w:rsid w:val="00475543"/>
    <w:rsid w:val="004970DF"/>
    <w:rsid w:val="004A2108"/>
    <w:rsid w:val="004A382B"/>
    <w:rsid w:val="004A6CF2"/>
    <w:rsid w:val="004B3B92"/>
    <w:rsid w:val="004B3FA6"/>
    <w:rsid w:val="004B6DD0"/>
    <w:rsid w:val="004C3D9F"/>
    <w:rsid w:val="004C558F"/>
    <w:rsid w:val="004E13BC"/>
    <w:rsid w:val="004E6F53"/>
    <w:rsid w:val="00500C69"/>
    <w:rsid w:val="005021B4"/>
    <w:rsid w:val="00511EC9"/>
    <w:rsid w:val="00520961"/>
    <w:rsid w:val="00526343"/>
    <w:rsid w:val="00551A09"/>
    <w:rsid w:val="005522FD"/>
    <w:rsid w:val="00565634"/>
    <w:rsid w:val="005757DE"/>
    <w:rsid w:val="00577AE1"/>
    <w:rsid w:val="00580F2B"/>
    <w:rsid w:val="00595234"/>
    <w:rsid w:val="005A3338"/>
    <w:rsid w:val="005B2989"/>
    <w:rsid w:val="005B4A02"/>
    <w:rsid w:val="005B5991"/>
    <w:rsid w:val="005C1877"/>
    <w:rsid w:val="005C522B"/>
    <w:rsid w:val="005E3132"/>
    <w:rsid w:val="005E4AF9"/>
    <w:rsid w:val="005E63BD"/>
    <w:rsid w:val="005E7F9E"/>
    <w:rsid w:val="005F47AD"/>
    <w:rsid w:val="005F486E"/>
    <w:rsid w:val="005F5130"/>
    <w:rsid w:val="006038E3"/>
    <w:rsid w:val="00623B11"/>
    <w:rsid w:val="00630CFF"/>
    <w:rsid w:val="0063366D"/>
    <w:rsid w:val="00640FBF"/>
    <w:rsid w:val="006542B8"/>
    <w:rsid w:val="00660893"/>
    <w:rsid w:val="00665580"/>
    <w:rsid w:val="00666303"/>
    <w:rsid w:val="00672CE5"/>
    <w:rsid w:val="00673B1F"/>
    <w:rsid w:val="0068284A"/>
    <w:rsid w:val="00686C77"/>
    <w:rsid w:val="00690A68"/>
    <w:rsid w:val="0069163C"/>
    <w:rsid w:val="0069299D"/>
    <w:rsid w:val="006A559F"/>
    <w:rsid w:val="006B1D6E"/>
    <w:rsid w:val="006B5108"/>
    <w:rsid w:val="006D03A6"/>
    <w:rsid w:val="006E6EEA"/>
    <w:rsid w:val="006F0105"/>
    <w:rsid w:val="006F0769"/>
    <w:rsid w:val="006F74B3"/>
    <w:rsid w:val="00712A16"/>
    <w:rsid w:val="007132F8"/>
    <w:rsid w:val="00716849"/>
    <w:rsid w:val="007216AA"/>
    <w:rsid w:val="007232A3"/>
    <w:rsid w:val="00727EC5"/>
    <w:rsid w:val="00732C7B"/>
    <w:rsid w:val="007401E9"/>
    <w:rsid w:val="00740C41"/>
    <w:rsid w:val="00744686"/>
    <w:rsid w:val="00747461"/>
    <w:rsid w:val="007478C0"/>
    <w:rsid w:val="00757E65"/>
    <w:rsid w:val="00760AFB"/>
    <w:rsid w:val="007843D2"/>
    <w:rsid w:val="0079125C"/>
    <w:rsid w:val="007A4A26"/>
    <w:rsid w:val="007B3B1A"/>
    <w:rsid w:val="007B78F4"/>
    <w:rsid w:val="007D013F"/>
    <w:rsid w:val="007D37AE"/>
    <w:rsid w:val="007D38D8"/>
    <w:rsid w:val="007D398B"/>
    <w:rsid w:val="007E0FA4"/>
    <w:rsid w:val="007E2F7C"/>
    <w:rsid w:val="007E73B4"/>
    <w:rsid w:val="007F4544"/>
    <w:rsid w:val="007F4CCD"/>
    <w:rsid w:val="00814A51"/>
    <w:rsid w:val="00824EFD"/>
    <w:rsid w:val="008252E4"/>
    <w:rsid w:val="00825E19"/>
    <w:rsid w:val="00826CD2"/>
    <w:rsid w:val="00830B79"/>
    <w:rsid w:val="008335D1"/>
    <w:rsid w:val="008456A4"/>
    <w:rsid w:val="0085190B"/>
    <w:rsid w:val="00860CEB"/>
    <w:rsid w:val="0086105A"/>
    <w:rsid w:val="00861089"/>
    <w:rsid w:val="00866CF4"/>
    <w:rsid w:val="00891DD3"/>
    <w:rsid w:val="00893859"/>
    <w:rsid w:val="008B37B1"/>
    <w:rsid w:val="008B5B05"/>
    <w:rsid w:val="008B6818"/>
    <w:rsid w:val="008C2C0E"/>
    <w:rsid w:val="008D4141"/>
    <w:rsid w:val="008D6009"/>
    <w:rsid w:val="008D69EE"/>
    <w:rsid w:val="008D7F37"/>
    <w:rsid w:val="008E0751"/>
    <w:rsid w:val="00904A5B"/>
    <w:rsid w:val="009065E1"/>
    <w:rsid w:val="00915C65"/>
    <w:rsid w:val="0092349F"/>
    <w:rsid w:val="00924114"/>
    <w:rsid w:val="00947165"/>
    <w:rsid w:val="009571E2"/>
    <w:rsid w:val="0096487C"/>
    <w:rsid w:val="00965130"/>
    <w:rsid w:val="00971165"/>
    <w:rsid w:val="00977C0E"/>
    <w:rsid w:val="009817A9"/>
    <w:rsid w:val="0098373E"/>
    <w:rsid w:val="0098395E"/>
    <w:rsid w:val="0099020E"/>
    <w:rsid w:val="009A3234"/>
    <w:rsid w:val="009A35D1"/>
    <w:rsid w:val="009B0A05"/>
    <w:rsid w:val="009B0EBF"/>
    <w:rsid w:val="009C6407"/>
    <w:rsid w:val="009D2158"/>
    <w:rsid w:val="009D35EA"/>
    <w:rsid w:val="009D47BD"/>
    <w:rsid w:val="009D6D29"/>
    <w:rsid w:val="009E06BA"/>
    <w:rsid w:val="009F6156"/>
    <w:rsid w:val="00A07ED8"/>
    <w:rsid w:val="00A10F3E"/>
    <w:rsid w:val="00A14EA1"/>
    <w:rsid w:val="00A15B1B"/>
    <w:rsid w:val="00A21411"/>
    <w:rsid w:val="00A23502"/>
    <w:rsid w:val="00A238FA"/>
    <w:rsid w:val="00A279BF"/>
    <w:rsid w:val="00A27E05"/>
    <w:rsid w:val="00A27FF0"/>
    <w:rsid w:val="00A4185F"/>
    <w:rsid w:val="00A46C76"/>
    <w:rsid w:val="00A604F3"/>
    <w:rsid w:val="00A659F8"/>
    <w:rsid w:val="00A75C85"/>
    <w:rsid w:val="00A76A39"/>
    <w:rsid w:val="00A80C2C"/>
    <w:rsid w:val="00A8680D"/>
    <w:rsid w:val="00A86BB7"/>
    <w:rsid w:val="00A86C93"/>
    <w:rsid w:val="00A92B6E"/>
    <w:rsid w:val="00AB09C1"/>
    <w:rsid w:val="00AB46E6"/>
    <w:rsid w:val="00AC0B4F"/>
    <w:rsid w:val="00AC0B70"/>
    <w:rsid w:val="00AD25D2"/>
    <w:rsid w:val="00AD2A90"/>
    <w:rsid w:val="00AE4035"/>
    <w:rsid w:val="00AE40DA"/>
    <w:rsid w:val="00AE53E9"/>
    <w:rsid w:val="00AE7911"/>
    <w:rsid w:val="00AF4F90"/>
    <w:rsid w:val="00AF73A4"/>
    <w:rsid w:val="00AF75AC"/>
    <w:rsid w:val="00B032DB"/>
    <w:rsid w:val="00B05874"/>
    <w:rsid w:val="00B06FE9"/>
    <w:rsid w:val="00B1369F"/>
    <w:rsid w:val="00B14627"/>
    <w:rsid w:val="00B17D84"/>
    <w:rsid w:val="00B206C7"/>
    <w:rsid w:val="00B23723"/>
    <w:rsid w:val="00B241A5"/>
    <w:rsid w:val="00B37F2E"/>
    <w:rsid w:val="00B576CC"/>
    <w:rsid w:val="00B725B0"/>
    <w:rsid w:val="00B736C2"/>
    <w:rsid w:val="00B81B12"/>
    <w:rsid w:val="00B91C96"/>
    <w:rsid w:val="00B97003"/>
    <w:rsid w:val="00B97DEF"/>
    <w:rsid w:val="00BA08A4"/>
    <w:rsid w:val="00BA3BA1"/>
    <w:rsid w:val="00BA6EF1"/>
    <w:rsid w:val="00BB00C2"/>
    <w:rsid w:val="00BC102B"/>
    <w:rsid w:val="00BC16EA"/>
    <w:rsid w:val="00BC380B"/>
    <w:rsid w:val="00BC52CA"/>
    <w:rsid w:val="00BD21BD"/>
    <w:rsid w:val="00BD760C"/>
    <w:rsid w:val="00BF14C0"/>
    <w:rsid w:val="00BF4BA4"/>
    <w:rsid w:val="00C014C3"/>
    <w:rsid w:val="00C01674"/>
    <w:rsid w:val="00C020BC"/>
    <w:rsid w:val="00C02111"/>
    <w:rsid w:val="00C10F59"/>
    <w:rsid w:val="00C13E40"/>
    <w:rsid w:val="00C23D31"/>
    <w:rsid w:val="00C33D32"/>
    <w:rsid w:val="00C42FFD"/>
    <w:rsid w:val="00C44A45"/>
    <w:rsid w:val="00C4615F"/>
    <w:rsid w:val="00C472D8"/>
    <w:rsid w:val="00C54EAA"/>
    <w:rsid w:val="00C65CFD"/>
    <w:rsid w:val="00C73932"/>
    <w:rsid w:val="00C749FB"/>
    <w:rsid w:val="00C76EBD"/>
    <w:rsid w:val="00C84E9A"/>
    <w:rsid w:val="00C911BA"/>
    <w:rsid w:val="00C91837"/>
    <w:rsid w:val="00CA1393"/>
    <w:rsid w:val="00CA7EED"/>
    <w:rsid w:val="00CB7EBC"/>
    <w:rsid w:val="00CC072B"/>
    <w:rsid w:val="00CD2557"/>
    <w:rsid w:val="00CE10DE"/>
    <w:rsid w:val="00CE2826"/>
    <w:rsid w:val="00CE637B"/>
    <w:rsid w:val="00D00669"/>
    <w:rsid w:val="00D0687B"/>
    <w:rsid w:val="00D15350"/>
    <w:rsid w:val="00D22AE0"/>
    <w:rsid w:val="00D419D1"/>
    <w:rsid w:val="00D45535"/>
    <w:rsid w:val="00D50514"/>
    <w:rsid w:val="00D51981"/>
    <w:rsid w:val="00D55BF8"/>
    <w:rsid w:val="00D55C7B"/>
    <w:rsid w:val="00D56BCB"/>
    <w:rsid w:val="00D662EC"/>
    <w:rsid w:val="00D72D79"/>
    <w:rsid w:val="00D7491B"/>
    <w:rsid w:val="00D75349"/>
    <w:rsid w:val="00D8544C"/>
    <w:rsid w:val="00D87716"/>
    <w:rsid w:val="00D97CD6"/>
    <w:rsid w:val="00D97F75"/>
    <w:rsid w:val="00DA0546"/>
    <w:rsid w:val="00DB2E08"/>
    <w:rsid w:val="00DB429A"/>
    <w:rsid w:val="00DC41AD"/>
    <w:rsid w:val="00DC47EF"/>
    <w:rsid w:val="00DC55AF"/>
    <w:rsid w:val="00DC6A40"/>
    <w:rsid w:val="00DD2C69"/>
    <w:rsid w:val="00DD313D"/>
    <w:rsid w:val="00DE4FD4"/>
    <w:rsid w:val="00DE56FA"/>
    <w:rsid w:val="00E000C5"/>
    <w:rsid w:val="00E02BC6"/>
    <w:rsid w:val="00E0490D"/>
    <w:rsid w:val="00E04990"/>
    <w:rsid w:val="00E15B47"/>
    <w:rsid w:val="00E16F48"/>
    <w:rsid w:val="00E312CC"/>
    <w:rsid w:val="00E3324F"/>
    <w:rsid w:val="00E37D06"/>
    <w:rsid w:val="00E50681"/>
    <w:rsid w:val="00E631E7"/>
    <w:rsid w:val="00E70AF8"/>
    <w:rsid w:val="00E741D7"/>
    <w:rsid w:val="00E77512"/>
    <w:rsid w:val="00E917CF"/>
    <w:rsid w:val="00EA230C"/>
    <w:rsid w:val="00EB027B"/>
    <w:rsid w:val="00EB1DC2"/>
    <w:rsid w:val="00EB30A3"/>
    <w:rsid w:val="00EB3360"/>
    <w:rsid w:val="00EB5C45"/>
    <w:rsid w:val="00EB632D"/>
    <w:rsid w:val="00EC0CBD"/>
    <w:rsid w:val="00ED0278"/>
    <w:rsid w:val="00ED0C3C"/>
    <w:rsid w:val="00ED2AA0"/>
    <w:rsid w:val="00EE074D"/>
    <w:rsid w:val="00EE2386"/>
    <w:rsid w:val="00EE3B48"/>
    <w:rsid w:val="00EF1C9E"/>
    <w:rsid w:val="00EF2903"/>
    <w:rsid w:val="00F0794B"/>
    <w:rsid w:val="00F148C2"/>
    <w:rsid w:val="00F2258A"/>
    <w:rsid w:val="00F2754A"/>
    <w:rsid w:val="00F323B6"/>
    <w:rsid w:val="00F42C45"/>
    <w:rsid w:val="00F50928"/>
    <w:rsid w:val="00F569D1"/>
    <w:rsid w:val="00F6249B"/>
    <w:rsid w:val="00F70419"/>
    <w:rsid w:val="00F71731"/>
    <w:rsid w:val="00F833F0"/>
    <w:rsid w:val="00F844CA"/>
    <w:rsid w:val="00F84E86"/>
    <w:rsid w:val="00F91236"/>
    <w:rsid w:val="00F963FA"/>
    <w:rsid w:val="00FA60B2"/>
    <w:rsid w:val="00FB23A6"/>
    <w:rsid w:val="00FC1D52"/>
    <w:rsid w:val="00FC4C16"/>
    <w:rsid w:val="00FD1915"/>
    <w:rsid w:val="00FD2D33"/>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AF1023"/>
  <w15:docId w15:val="{095361DD-9CC6-4807-B0DB-97D8C3D0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D7"/>
  </w:style>
  <w:style w:type="paragraph" w:styleId="Heading1">
    <w:name w:val="heading 1"/>
    <w:basedOn w:val="Normal"/>
    <w:next w:val="Normal"/>
    <w:link w:val="Heading1Char"/>
    <w:uiPriority w:val="9"/>
    <w:qFormat/>
    <w:rsid w:val="00C749FB"/>
    <w:pPr>
      <w:keepNext/>
      <w:keepLines/>
      <w:numPr>
        <w:numId w:val="1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5991"/>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5991"/>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5991"/>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E63BD"/>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63BD"/>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E63BD"/>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E63BD"/>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63BD"/>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11"/>
    <w:pPr>
      <w:ind w:left="720"/>
      <w:contextualSpacing/>
    </w:pPr>
  </w:style>
  <w:style w:type="character" w:styleId="CommentReference">
    <w:name w:val="annotation reference"/>
    <w:basedOn w:val="DefaultParagraphFont"/>
    <w:uiPriority w:val="99"/>
    <w:rsid w:val="00A21411"/>
    <w:rPr>
      <w:sz w:val="16"/>
      <w:szCs w:val="16"/>
    </w:rPr>
  </w:style>
  <w:style w:type="paragraph" w:styleId="CommentText">
    <w:name w:val="annotation text"/>
    <w:basedOn w:val="Normal"/>
    <w:link w:val="CommentTextChar"/>
    <w:uiPriority w:val="99"/>
    <w:rsid w:val="00A21411"/>
    <w:pPr>
      <w:suppressAutoHyphens/>
      <w:autoSpaceDN w:val="0"/>
      <w:spacing w:line="240" w:lineRule="auto"/>
      <w:textAlignment w:val="baseline"/>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rsid w:val="00A21411"/>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A2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11"/>
    <w:rPr>
      <w:rFonts w:ascii="Segoe UI" w:hAnsi="Segoe UI" w:cs="Segoe UI"/>
      <w:sz w:val="18"/>
      <w:szCs w:val="18"/>
    </w:rPr>
  </w:style>
  <w:style w:type="paragraph" w:styleId="FootnoteText">
    <w:name w:val="footnote text"/>
    <w:basedOn w:val="Normal"/>
    <w:link w:val="FootnoteTextChar"/>
    <w:uiPriority w:val="99"/>
    <w:semiHidden/>
    <w:unhideWhenUsed/>
    <w:rsid w:val="00A21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411"/>
    <w:rPr>
      <w:sz w:val="20"/>
      <w:szCs w:val="20"/>
    </w:rPr>
  </w:style>
  <w:style w:type="character" w:styleId="FootnoteReference">
    <w:name w:val="footnote reference"/>
    <w:aliases w:val="BVI fnr Char Char Char Char,BVI fnr Car Car Char Char Char Char,BVI fnr Car Char Char Char Char,BVI fnr Car Car Car Car Char1 Char Char Char,BVI fnr Car Car Car Car Char Car Char Char Char Char,BVI fnr Carácter Char Char Char Char"/>
    <w:basedOn w:val="DefaultParagraphFont"/>
    <w:uiPriority w:val="99"/>
    <w:unhideWhenUsed/>
    <w:rsid w:val="00A21411"/>
    <w:rPr>
      <w:vertAlign w:val="superscript"/>
    </w:rPr>
  </w:style>
  <w:style w:type="paragraph" w:styleId="CommentSubject">
    <w:name w:val="annotation subject"/>
    <w:basedOn w:val="CommentText"/>
    <w:next w:val="CommentText"/>
    <w:link w:val="CommentSubjectChar"/>
    <w:uiPriority w:val="99"/>
    <w:semiHidden/>
    <w:unhideWhenUsed/>
    <w:rsid w:val="00712A16"/>
    <w:pPr>
      <w:suppressAutoHyphens w:val="0"/>
      <w:autoSpaceDN/>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12A16"/>
    <w:rPr>
      <w:rFonts w:ascii="Calibri" w:eastAsia="Calibri" w:hAnsi="Calibri" w:cs="Times New Roman"/>
      <w:b/>
      <w:bCs/>
      <w:sz w:val="20"/>
      <w:szCs w:val="20"/>
      <w:lang w:val="fr-FR"/>
    </w:rPr>
  </w:style>
  <w:style w:type="table" w:styleId="TableGrid">
    <w:name w:val="Table Grid"/>
    <w:basedOn w:val="TableNormal"/>
    <w:uiPriority w:val="39"/>
    <w:rsid w:val="007A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49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349F"/>
    <w:pPr>
      <w:outlineLvl w:val="9"/>
    </w:pPr>
  </w:style>
  <w:style w:type="paragraph" w:styleId="TOC2">
    <w:name w:val="toc 2"/>
    <w:basedOn w:val="Normal"/>
    <w:next w:val="Normal"/>
    <w:autoRedefine/>
    <w:uiPriority w:val="39"/>
    <w:unhideWhenUsed/>
    <w:rsid w:val="0092349F"/>
    <w:pPr>
      <w:spacing w:before="120" w:after="0"/>
      <w:ind w:left="220"/>
    </w:pPr>
    <w:rPr>
      <w:b/>
      <w:bCs/>
    </w:rPr>
  </w:style>
  <w:style w:type="paragraph" w:styleId="TOC1">
    <w:name w:val="toc 1"/>
    <w:basedOn w:val="Normal"/>
    <w:next w:val="Normal"/>
    <w:autoRedefine/>
    <w:uiPriority w:val="39"/>
    <w:unhideWhenUsed/>
    <w:rsid w:val="0092349F"/>
    <w:pPr>
      <w:spacing w:before="120" w:after="0"/>
    </w:pPr>
    <w:rPr>
      <w:b/>
      <w:bCs/>
      <w:i/>
      <w:iCs/>
      <w:sz w:val="24"/>
      <w:szCs w:val="24"/>
    </w:rPr>
  </w:style>
  <w:style w:type="paragraph" w:styleId="TOC3">
    <w:name w:val="toc 3"/>
    <w:basedOn w:val="Normal"/>
    <w:next w:val="Normal"/>
    <w:autoRedefine/>
    <w:uiPriority w:val="39"/>
    <w:unhideWhenUsed/>
    <w:rsid w:val="0092349F"/>
    <w:pPr>
      <w:spacing w:after="0"/>
      <w:ind w:left="440"/>
    </w:pPr>
    <w:rPr>
      <w:sz w:val="20"/>
      <w:szCs w:val="20"/>
    </w:rPr>
  </w:style>
  <w:style w:type="paragraph" w:styleId="Header">
    <w:name w:val="header"/>
    <w:basedOn w:val="Normal"/>
    <w:link w:val="HeaderChar"/>
    <w:uiPriority w:val="99"/>
    <w:unhideWhenUsed/>
    <w:rsid w:val="000D13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300"/>
  </w:style>
  <w:style w:type="paragraph" w:styleId="Footer">
    <w:name w:val="footer"/>
    <w:basedOn w:val="Normal"/>
    <w:link w:val="FooterChar"/>
    <w:uiPriority w:val="99"/>
    <w:unhideWhenUsed/>
    <w:rsid w:val="000D13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300"/>
  </w:style>
  <w:style w:type="character" w:customStyle="1" w:styleId="Heading2Char">
    <w:name w:val="Heading 2 Char"/>
    <w:basedOn w:val="DefaultParagraphFont"/>
    <w:link w:val="Heading2"/>
    <w:uiPriority w:val="9"/>
    <w:rsid w:val="005B59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59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599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B5991"/>
    <w:rPr>
      <w:color w:val="0563C1" w:themeColor="hyperlink"/>
      <w:u w:val="single"/>
    </w:rPr>
  </w:style>
  <w:style w:type="paragraph" w:styleId="TOC4">
    <w:name w:val="toc 4"/>
    <w:basedOn w:val="Normal"/>
    <w:next w:val="Normal"/>
    <w:autoRedefine/>
    <w:uiPriority w:val="39"/>
    <w:unhideWhenUsed/>
    <w:rsid w:val="005E63BD"/>
    <w:pPr>
      <w:spacing w:after="0"/>
      <w:ind w:left="660"/>
    </w:pPr>
    <w:rPr>
      <w:sz w:val="20"/>
      <w:szCs w:val="20"/>
    </w:rPr>
  </w:style>
  <w:style w:type="paragraph" w:styleId="TOC5">
    <w:name w:val="toc 5"/>
    <w:basedOn w:val="Normal"/>
    <w:next w:val="Normal"/>
    <w:autoRedefine/>
    <w:uiPriority w:val="39"/>
    <w:unhideWhenUsed/>
    <w:rsid w:val="005E63BD"/>
    <w:pPr>
      <w:spacing w:after="0"/>
      <w:ind w:left="880"/>
    </w:pPr>
    <w:rPr>
      <w:sz w:val="20"/>
      <w:szCs w:val="20"/>
    </w:rPr>
  </w:style>
  <w:style w:type="paragraph" w:styleId="TOC6">
    <w:name w:val="toc 6"/>
    <w:basedOn w:val="Normal"/>
    <w:next w:val="Normal"/>
    <w:autoRedefine/>
    <w:uiPriority w:val="39"/>
    <w:unhideWhenUsed/>
    <w:rsid w:val="005E63BD"/>
    <w:pPr>
      <w:spacing w:after="0"/>
      <w:ind w:left="1100"/>
    </w:pPr>
    <w:rPr>
      <w:sz w:val="20"/>
      <w:szCs w:val="20"/>
    </w:rPr>
  </w:style>
  <w:style w:type="paragraph" w:styleId="TOC7">
    <w:name w:val="toc 7"/>
    <w:basedOn w:val="Normal"/>
    <w:next w:val="Normal"/>
    <w:autoRedefine/>
    <w:uiPriority w:val="39"/>
    <w:unhideWhenUsed/>
    <w:rsid w:val="005E63BD"/>
    <w:pPr>
      <w:spacing w:after="0"/>
      <w:ind w:left="1320"/>
    </w:pPr>
    <w:rPr>
      <w:sz w:val="20"/>
      <w:szCs w:val="20"/>
    </w:rPr>
  </w:style>
  <w:style w:type="paragraph" w:styleId="TOC8">
    <w:name w:val="toc 8"/>
    <w:basedOn w:val="Normal"/>
    <w:next w:val="Normal"/>
    <w:autoRedefine/>
    <w:uiPriority w:val="39"/>
    <w:unhideWhenUsed/>
    <w:rsid w:val="005E63BD"/>
    <w:pPr>
      <w:spacing w:after="0"/>
      <w:ind w:left="1540"/>
    </w:pPr>
    <w:rPr>
      <w:sz w:val="20"/>
      <w:szCs w:val="20"/>
    </w:rPr>
  </w:style>
  <w:style w:type="paragraph" w:styleId="TOC9">
    <w:name w:val="toc 9"/>
    <w:basedOn w:val="Normal"/>
    <w:next w:val="Normal"/>
    <w:autoRedefine/>
    <w:uiPriority w:val="39"/>
    <w:unhideWhenUsed/>
    <w:rsid w:val="005E63BD"/>
    <w:pPr>
      <w:spacing w:after="0"/>
      <w:ind w:left="1760"/>
    </w:pPr>
    <w:rPr>
      <w:sz w:val="20"/>
      <w:szCs w:val="20"/>
    </w:rPr>
  </w:style>
  <w:style w:type="character" w:customStyle="1" w:styleId="Heading5Char">
    <w:name w:val="Heading 5 Char"/>
    <w:basedOn w:val="DefaultParagraphFont"/>
    <w:link w:val="Heading5"/>
    <w:uiPriority w:val="9"/>
    <w:semiHidden/>
    <w:rsid w:val="005E63B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E63B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E63B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E63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63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D56BCB"/>
    <w:pPr>
      <w:spacing w:after="200" w:line="240" w:lineRule="auto"/>
    </w:pPr>
    <w:rPr>
      <w:i/>
      <w:iCs/>
      <w:color w:val="44546A" w:themeColor="text2"/>
      <w:sz w:val="18"/>
      <w:szCs w:val="18"/>
    </w:rPr>
  </w:style>
  <w:style w:type="paragraph" w:styleId="Revision">
    <w:name w:val="Revision"/>
    <w:hidden/>
    <w:uiPriority w:val="99"/>
    <w:semiHidden/>
    <w:rsid w:val="004359B8"/>
    <w:pPr>
      <w:spacing w:after="0" w:line="240" w:lineRule="auto"/>
    </w:pPr>
  </w:style>
  <w:style w:type="paragraph" w:styleId="NoSpacing">
    <w:name w:val="No Spacing"/>
    <w:uiPriority w:val="1"/>
    <w:qFormat/>
    <w:rsid w:val="004359B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44EEB"/>
    <w:rPr>
      <w:color w:val="954F72" w:themeColor="followedHyperlink"/>
      <w:u w:val="single"/>
    </w:rPr>
  </w:style>
  <w:style w:type="paragraph" w:styleId="TableofFigures">
    <w:name w:val="table of figures"/>
    <w:basedOn w:val="Normal"/>
    <w:next w:val="Normal"/>
    <w:uiPriority w:val="99"/>
    <w:unhideWhenUsed/>
    <w:rsid w:val="00A80C2C"/>
    <w:pPr>
      <w:spacing w:after="0"/>
    </w:pPr>
  </w:style>
  <w:style w:type="character" w:customStyle="1" w:styleId="apple-converted-space">
    <w:name w:val="apple-converted-space"/>
    <w:basedOn w:val="DefaultParagraphFont"/>
    <w:rsid w:val="00386112"/>
  </w:style>
  <w:style w:type="paragraph" w:styleId="EndnoteText">
    <w:name w:val="endnote text"/>
    <w:basedOn w:val="Normal"/>
    <w:link w:val="EndnoteTextChar"/>
    <w:uiPriority w:val="99"/>
    <w:semiHidden/>
    <w:unhideWhenUsed/>
    <w:rsid w:val="00AB09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09C1"/>
    <w:rPr>
      <w:sz w:val="20"/>
      <w:szCs w:val="20"/>
    </w:rPr>
  </w:style>
  <w:style w:type="character" w:styleId="EndnoteReference">
    <w:name w:val="endnote reference"/>
    <w:basedOn w:val="DefaultParagraphFont"/>
    <w:uiPriority w:val="99"/>
    <w:semiHidden/>
    <w:unhideWhenUsed/>
    <w:rsid w:val="00AB0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77">
      <w:bodyDiv w:val="1"/>
      <w:marLeft w:val="0"/>
      <w:marRight w:val="0"/>
      <w:marTop w:val="0"/>
      <w:marBottom w:val="0"/>
      <w:divBdr>
        <w:top w:val="none" w:sz="0" w:space="0" w:color="auto"/>
        <w:left w:val="none" w:sz="0" w:space="0" w:color="auto"/>
        <w:bottom w:val="none" w:sz="0" w:space="0" w:color="auto"/>
        <w:right w:val="none" w:sz="0" w:space="0" w:color="auto"/>
      </w:divBdr>
    </w:div>
    <w:div w:id="285887748">
      <w:bodyDiv w:val="1"/>
      <w:marLeft w:val="0"/>
      <w:marRight w:val="0"/>
      <w:marTop w:val="0"/>
      <w:marBottom w:val="0"/>
      <w:divBdr>
        <w:top w:val="none" w:sz="0" w:space="0" w:color="auto"/>
        <w:left w:val="none" w:sz="0" w:space="0" w:color="auto"/>
        <w:bottom w:val="none" w:sz="0" w:space="0" w:color="auto"/>
        <w:right w:val="none" w:sz="0" w:space="0" w:color="auto"/>
      </w:divBdr>
    </w:div>
    <w:div w:id="617222962">
      <w:bodyDiv w:val="1"/>
      <w:marLeft w:val="0"/>
      <w:marRight w:val="0"/>
      <w:marTop w:val="0"/>
      <w:marBottom w:val="0"/>
      <w:divBdr>
        <w:top w:val="none" w:sz="0" w:space="0" w:color="auto"/>
        <w:left w:val="none" w:sz="0" w:space="0" w:color="auto"/>
        <w:bottom w:val="none" w:sz="0" w:space="0" w:color="auto"/>
        <w:right w:val="none" w:sz="0" w:space="0" w:color="auto"/>
      </w:divBdr>
    </w:div>
    <w:div w:id="699819826">
      <w:bodyDiv w:val="1"/>
      <w:marLeft w:val="0"/>
      <w:marRight w:val="0"/>
      <w:marTop w:val="0"/>
      <w:marBottom w:val="0"/>
      <w:divBdr>
        <w:top w:val="none" w:sz="0" w:space="0" w:color="auto"/>
        <w:left w:val="none" w:sz="0" w:space="0" w:color="auto"/>
        <w:bottom w:val="none" w:sz="0" w:space="0" w:color="auto"/>
        <w:right w:val="none" w:sz="0" w:space="0" w:color="auto"/>
      </w:divBdr>
      <w:divsChild>
        <w:div w:id="1444350103">
          <w:marLeft w:val="0"/>
          <w:marRight w:val="0"/>
          <w:marTop w:val="0"/>
          <w:marBottom w:val="0"/>
          <w:divBdr>
            <w:top w:val="none" w:sz="0" w:space="0" w:color="auto"/>
            <w:left w:val="none" w:sz="0" w:space="0" w:color="auto"/>
            <w:bottom w:val="none" w:sz="0" w:space="0" w:color="auto"/>
            <w:right w:val="none" w:sz="0" w:space="0" w:color="auto"/>
          </w:divBdr>
          <w:divsChild>
            <w:div w:id="533689831">
              <w:marLeft w:val="0"/>
              <w:marRight w:val="0"/>
              <w:marTop w:val="0"/>
              <w:marBottom w:val="0"/>
              <w:divBdr>
                <w:top w:val="none" w:sz="0" w:space="0" w:color="auto"/>
                <w:left w:val="none" w:sz="0" w:space="0" w:color="auto"/>
                <w:bottom w:val="none" w:sz="0" w:space="0" w:color="auto"/>
                <w:right w:val="none" w:sz="0" w:space="0" w:color="auto"/>
              </w:divBdr>
            </w:div>
          </w:divsChild>
        </w:div>
        <w:div w:id="1359308531">
          <w:marLeft w:val="0"/>
          <w:marRight w:val="0"/>
          <w:marTop w:val="0"/>
          <w:marBottom w:val="0"/>
          <w:divBdr>
            <w:top w:val="none" w:sz="0" w:space="0" w:color="auto"/>
            <w:left w:val="none" w:sz="0" w:space="0" w:color="auto"/>
            <w:bottom w:val="none" w:sz="0" w:space="0" w:color="auto"/>
            <w:right w:val="none" w:sz="0" w:space="0" w:color="auto"/>
          </w:divBdr>
          <w:divsChild>
            <w:div w:id="229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9733">
      <w:bodyDiv w:val="1"/>
      <w:marLeft w:val="0"/>
      <w:marRight w:val="0"/>
      <w:marTop w:val="0"/>
      <w:marBottom w:val="0"/>
      <w:divBdr>
        <w:top w:val="none" w:sz="0" w:space="0" w:color="auto"/>
        <w:left w:val="none" w:sz="0" w:space="0" w:color="auto"/>
        <w:bottom w:val="none" w:sz="0" w:space="0" w:color="auto"/>
        <w:right w:val="none" w:sz="0" w:space="0" w:color="auto"/>
      </w:divBdr>
    </w:div>
    <w:div w:id="737047480">
      <w:bodyDiv w:val="1"/>
      <w:marLeft w:val="0"/>
      <w:marRight w:val="0"/>
      <w:marTop w:val="0"/>
      <w:marBottom w:val="0"/>
      <w:divBdr>
        <w:top w:val="none" w:sz="0" w:space="0" w:color="auto"/>
        <w:left w:val="none" w:sz="0" w:space="0" w:color="auto"/>
        <w:bottom w:val="none" w:sz="0" w:space="0" w:color="auto"/>
        <w:right w:val="none" w:sz="0" w:space="0" w:color="auto"/>
      </w:divBdr>
    </w:div>
    <w:div w:id="779682062">
      <w:bodyDiv w:val="1"/>
      <w:marLeft w:val="0"/>
      <w:marRight w:val="0"/>
      <w:marTop w:val="0"/>
      <w:marBottom w:val="0"/>
      <w:divBdr>
        <w:top w:val="none" w:sz="0" w:space="0" w:color="auto"/>
        <w:left w:val="none" w:sz="0" w:space="0" w:color="auto"/>
        <w:bottom w:val="none" w:sz="0" w:space="0" w:color="auto"/>
        <w:right w:val="none" w:sz="0" w:space="0" w:color="auto"/>
      </w:divBdr>
    </w:div>
    <w:div w:id="841117563">
      <w:bodyDiv w:val="1"/>
      <w:marLeft w:val="0"/>
      <w:marRight w:val="0"/>
      <w:marTop w:val="0"/>
      <w:marBottom w:val="0"/>
      <w:divBdr>
        <w:top w:val="none" w:sz="0" w:space="0" w:color="auto"/>
        <w:left w:val="none" w:sz="0" w:space="0" w:color="auto"/>
        <w:bottom w:val="none" w:sz="0" w:space="0" w:color="auto"/>
        <w:right w:val="none" w:sz="0" w:space="0" w:color="auto"/>
      </w:divBdr>
    </w:div>
    <w:div w:id="1304919724">
      <w:bodyDiv w:val="1"/>
      <w:marLeft w:val="0"/>
      <w:marRight w:val="0"/>
      <w:marTop w:val="0"/>
      <w:marBottom w:val="0"/>
      <w:divBdr>
        <w:top w:val="none" w:sz="0" w:space="0" w:color="auto"/>
        <w:left w:val="none" w:sz="0" w:space="0" w:color="auto"/>
        <w:bottom w:val="none" w:sz="0" w:space="0" w:color="auto"/>
        <w:right w:val="none" w:sz="0" w:space="0" w:color="auto"/>
      </w:divBdr>
    </w:div>
    <w:div w:id="1419982506">
      <w:bodyDiv w:val="1"/>
      <w:marLeft w:val="0"/>
      <w:marRight w:val="0"/>
      <w:marTop w:val="0"/>
      <w:marBottom w:val="0"/>
      <w:divBdr>
        <w:top w:val="none" w:sz="0" w:space="0" w:color="auto"/>
        <w:left w:val="none" w:sz="0" w:space="0" w:color="auto"/>
        <w:bottom w:val="none" w:sz="0" w:space="0" w:color="auto"/>
        <w:right w:val="none" w:sz="0" w:space="0" w:color="auto"/>
      </w:divBdr>
    </w:div>
    <w:div w:id="1505435015">
      <w:bodyDiv w:val="1"/>
      <w:marLeft w:val="0"/>
      <w:marRight w:val="0"/>
      <w:marTop w:val="0"/>
      <w:marBottom w:val="0"/>
      <w:divBdr>
        <w:top w:val="none" w:sz="0" w:space="0" w:color="auto"/>
        <w:left w:val="none" w:sz="0" w:space="0" w:color="auto"/>
        <w:bottom w:val="none" w:sz="0" w:space="0" w:color="auto"/>
        <w:right w:val="none" w:sz="0" w:space="0" w:color="auto"/>
      </w:divBdr>
    </w:div>
    <w:div w:id="1521549679">
      <w:bodyDiv w:val="1"/>
      <w:marLeft w:val="0"/>
      <w:marRight w:val="0"/>
      <w:marTop w:val="0"/>
      <w:marBottom w:val="0"/>
      <w:divBdr>
        <w:top w:val="none" w:sz="0" w:space="0" w:color="auto"/>
        <w:left w:val="none" w:sz="0" w:space="0" w:color="auto"/>
        <w:bottom w:val="none" w:sz="0" w:space="0" w:color="auto"/>
        <w:right w:val="none" w:sz="0" w:space="0" w:color="auto"/>
      </w:divBdr>
    </w:div>
    <w:div w:id="1720670113">
      <w:bodyDiv w:val="1"/>
      <w:marLeft w:val="0"/>
      <w:marRight w:val="0"/>
      <w:marTop w:val="0"/>
      <w:marBottom w:val="0"/>
      <w:divBdr>
        <w:top w:val="none" w:sz="0" w:space="0" w:color="auto"/>
        <w:left w:val="none" w:sz="0" w:space="0" w:color="auto"/>
        <w:bottom w:val="none" w:sz="0" w:space="0" w:color="auto"/>
        <w:right w:val="none" w:sz="0" w:space="0" w:color="auto"/>
      </w:divBdr>
    </w:div>
    <w:div w:id="1860194251">
      <w:bodyDiv w:val="1"/>
      <w:marLeft w:val="0"/>
      <w:marRight w:val="0"/>
      <w:marTop w:val="0"/>
      <w:marBottom w:val="0"/>
      <w:divBdr>
        <w:top w:val="none" w:sz="0" w:space="0" w:color="auto"/>
        <w:left w:val="none" w:sz="0" w:space="0" w:color="auto"/>
        <w:bottom w:val="none" w:sz="0" w:space="0" w:color="auto"/>
        <w:right w:val="none" w:sz="0" w:space="0" w:color="auto"/>
      </w:divBdr>
    </w:div>
    <w:div w:id="1867212647">
      <w:bodyDiv w:val="1"/>
      <w:marLeft w:val="0"/>
      <w:marRight w:val="0"/>
      <w:marTop w:val="0"/>
      <w:marBottom w:val="0"/>
      <w:divBdr>
        <w:top w:val="none" w:sz="0" w:space="0" w:color="auto"/>
        <w:left w:val="none" w:sz="0" w:space="0" w:color="auto"/>
        <w:bottom w:val="none" w:sz="0" w:space="0" w:color="auto"/>
        <w:right w:val="none" w:sz="0" w:space="0" w:color="auto"/>
      </w:divBdr>
    </w:div>
    <w:div w:id="1989554741">
      <w:bodyDiv w:val="1"/>
      <w:marLeft w:val="0"/>
      <w:marRight w:val="0"/>
      <w:marTop w:val="0"/>
      <w:marBottom w:val="0"/>
      <w:divBdr>
        <w:top w:val="none" w:sz="0" w:space="0" w:color="auto"/>
        <w:left w:val="none" w:sz="0" w:space="0" w:color="auto"/>
        <w:bottom w:val="none" w:sz="0" w:space="0" w:color="auto"/>
        <w:right w:val="none" w:sz="0" w:space="0" w:color="auto"/>
      </w:divBdr>
    </w:div>
    <w:div w:id="2027363990">
      <w:bodyDiv w:val="1"/>
      <w:marLeft w:val="0"/>
      <w:marRight w:val="0"/>
      <w:marTop w:val="0"/>
      <w:marBottom w:val="0"/>
      <w:divBdr>
        <w:top w:val="none" w:sz="0" w:space="0" w:color="auto"/>
        <w:left w:val="none" w:sz="0" w:space="0" w:color="auto"/>
        <w:bottom w:val="none" w:sz="0" w:space="0" w:color="auto"/>
        <w:right w:val="none" w:sz="0" w:space="0" w:color="auto"/>
      </w:divBdr>
      <w:divsChild>
        <w:div w:id="2048219380">
          <w:marLeft w:val="0"/>
          <w:marRight w:val="0"/>
          <w:marTop w:val="0"/>
          <w:marBottom w:val="0"/>
          <w:divBdr>
            <w:top w:val="none" w:sz="0" w:space="0" w:color="auto"/>
            <w:left w:val="none" w:sz="0" w:space="0" w:color="auto"/>
            <w:bottom w:val="none" w:sz="0" w:space="0" w:color="auto"/>
            <w:right w:val="none" w:sz="0" w:space="0" w:color="auto"/>
          </w:divBdr>
          <w:divsChild>
            <w:div w:id="1732458022">
              <w:marLeft w:val="0"/>
              <w:marRight w:val="0"/>
              <w:marTop w:val="0"/>
              <w:marBottom w:val="0"/>
              <w:divBdr>
                <w:top w:val="none" w:sz="0" w:space="0" w:color="auto"/>
                <w:left w:val="none" w:sz="0" w:space="0" w:color="auto"/>
                <w:bottom w:val="none" w:sz="0" w:space="0" w:color="auto"/>
                <w:right w:val="none" w:sz="0" w:space="0" w:color="auto"/>
              </w:divBdr>
            </w:div>
          </w:divsChild>
        </w:div>
        <w:div w:id="747531668">
          <w:marLeft w:val="0"/>
          <w:marRight w:val="0"/>
          <w:marTop w:val="0"/>
          <w:marBottom w:val="0"/>
          <w:divBdr>
            <w:top w:val="none" w:sz="0" w:space="0" w:color="auto"/>
            <w:left w:val="none" w:sz="0" w:space="0" w:color="auto"/>
            <w:bottom w:val="none" w:sz="0" w:space="0" w:color="auto"/>
            <w:right w:val="none" w:sz="0" w:space="0" w:color="auto"/>
          </w:divBdr>
          <w:divsChild>
            <w:div w:id="612595905">
              <w:marLeft w:val="0"/>
              <w:marRight w:val="0"/>
              <w:marTop w:val="0"/>
              <w:marBottom w:val="0"/>
              <w:divBdr>
                <w:top w:val="none" w:sz="0" w:space="0" w:color="auto"/>
                <w:left w:val="none" w:sz="0" w:space="0" w:color="auto"/>
                <w:bottom w:val="none" w:sz="0" w:space="0" w:color="auto"/>
                <w:right w:val="none" w:sz="0" w:space="0" w:color="auto"/>
              </w:divBdr>
            </w:div>
          </w:divsChild>
        </w:div>
        <w:div w:id="893465370">
          <w:marLeft w:val="0"/>
          <w:marRight w:val="0"/>
          <w:marTop w:val="0"/>
          <w:marBottom w:val="0"/>
          <w:divBdr>
            <w:top w:val="none" w:sz="0" w:space="0" w:color="auto"/>
            <w:left w:val="none" w:sz="0" w:space="0" w:color="auto"/>
            <w:bottom w:val="none" w:sz="0" w:space="0" w:color="auto"/>
            <w:right w:val="none" w:sz="0" w:space="0" w:color="auto"/>
          </w:divBdr>
          <w:divsChild>
            <w:div w:id="16275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gonw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9" ma:contentTypeDescription="Document Submission Content Type" ma:contentTypeScope="" ma:versionID="7dfdafbe875c7dd473d1d0ef9d530909">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e3f65101fc90e834a85ca790b1fdcaf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Rachel Dawn Coleman</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8/29/2016</DateSubmission>
    <ReportNumber xmlns="d6267e6a-bf3f-4308-983a-8e32ad3cd070" xsi:nil="true"/>
    <Comment1 xmlns="d6267e6a-bf3f-4308-983a-8e32ad3cd070">Liberia Sisters of Success Baseline Report 2-pager </Comment1>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SOSbaselinereportpagerAug.docx</DocumentName>
    <SendMail xmlns="d6267e6a-bf3f-4308-983a-8e32ad3cd070">rcoleman1@worldbank.org</SendMail>
    <ProjectIDNumber xmlns="d6267e6a-bf3f-4308-983a-8e32ad3cd070" xsi:nil="true"/>
    <UserSubmittedAbstract xmlns="d6267e6a-bf3f-4308-983a-8e32ad3c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EBFB-9DFC-4844-83EB-4F0718077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0A97C-31CC-4912-8841-ACF633FE92F2}">
  <ds:schemaRefs>
    <ds:schemaRef ds:uri="http://schemas.microsoft.com/sharepoint/v3/contenttype/forms"/>
  </ds:schemaRefs>
</ds:datastoreItem>
</file>

<file path=customXml/itemProps3.xml><?xml version="1.0" encoding="utf-8"?>
<ds:datastoreItem xmlns:ds="http://schemas.openxmlformats.org/officeDocument/2006/customXml" ds:itemID="{B9568ACE-A2C6-4F2D-8CAB-DC8610103560}">
  <ds:schemaRef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e363e03-ffe3-4ea8-891f-7c22e1e48952"/>
    <ds:schemaRef ds:uri="d6267e6a-bf3f-4308-983a-8e32ad3cd070"/>
  </ds:schemaRefs>
</ds:datastoreItem>
</file>

<file path=customXml/itemProps4.xml><?xml version="1.0" encoding="utf-8"?>
<ds:datastoreItem xmlns:ds="http://schemas.openxmlformats.org/officeDocument/2006/customXml" ds:itemID="{46CF017A-D317-4FE0-9A47-26AD8165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29_8_2016_15_5_55_SOSbaselinereportpagerAug.docx</vt:lpstr>
    </vt:vector>
  </TitlesOfParts>
  <Company>International Rescue Committee</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29_8_2016_15_5_55_SOSbaselinereportpagerAug.docx</dc:title>
  <dc:creator>Tricia Koroknay-Palicz</dc:creator>
  <cp:lastModifiedBy>Andre E. Russo</cp:lastModifiedBy>
  <cp:revision>2</cp:revision>
  <cp:lastPrinted>2015-06-17T20:06:00Z</cp:lastPrinted>
  <dcterms:created xsi:type="dcterms:W3CDTF">2016-08-29T19:13:00Z</dcterms:created>
  <dcterms:modified xsi:type="dcterms:W3CDTF">2016-08-29T19:13:00Z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