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8A" w:rsidRPr="007426F1" w:rsidRDefault="00C52C8A" w:rsidP="00634CC4">
      <w:pPr>
        <w:bidi/>
        <w:jc w:val="center"/>
        <w:rPr>
          <w:bCs/>
          <w:rtl/>
          <w:lang w:bidi="fa-IR"/>
        </w:rPr>
      </w:pPr>
      <w:r w:rsidRPr="007426F1">
        <w:rPr>
          <w:rFonts w:hint="cs"/>
          <w:bCs/>
          <w:rtl/>
          <w:lang w:bidi="fa-IR"/>
        </w:rPr>
        <w:t>رشد سکتور خصوصی</w:t>
      </w:r>
      <w:bookmarkStart w:id="0" w:name="_GoBack"/>
      <w:bookmarkEnd w:id="0"/>
    </w:p>
    <w:p w:rsidR="00C52C8A" w:rsidRDefault="00CB29A7" w:rsidP="00D35CF7">
      <w:pPr>
        <w:bidi/>
        <w:jc w:val="both"/>
        <w:rPr>
          <w:b/>
          <w:rtl/>
          <w:lang w:bidi="fa-IR"/>
        </w:rPr>
      </w:pPr>
      <w:r w:rsidRPr="007426F1">
        <w:rPr>
          <w:rFonts w:hint="cs"/>
          <w:bCs/>
          <w:rtl/>
          <w:lang w:bidi="fa-IR"/>
        </w:rPr>
        <w:t>خلاصه اجرائی</w:t>
      </w:r>
      <w:r w:rsidR="00634CC4">
        <w:rPr>
          <w:rFonts w:hint="cs"/>
          <w:bCs/>
          <w:rtl/>
          <w:lang w:bidi="fa-IR"/>
        </w:rPr>
        <w:t>وی</w:t>
      </w:r>
    </w:p>
    <w:p w:rsidR="00C52C8A" w:rsidRDefault="00C52C8A" w:rsidP="00D35CF7">
      <w:pPr>
        <w:bidi/>
        <w:jc w:val="both"/>
        <w:rPr>
          <w:rtl/>
        </w:rPr>
      </w:pPr>
    </w:p>
    <w:p w:rsidR="00C52C8A" w:rsidRDefault="00C52C8A" w:rsidP="00C14C8B">
      <w:pPr>
        <w:bidi/>
        <w:jc w:val="both"/>
        <w:rPr>
          <w:rtl/>
        </w:rPr>
      </w:pPr>
      <w:r>
        <w:rPr>
          <w:rFonts w:hint="cs"/>
          <w:rtl/>
        </w:rPr>
        <w:t xml:space="preserve">به ارزش بیشتر از </w:t>
      </w:r>
      <w:r w:rsidR="00C14C8B">
        <w:rPr>
          <w:rFonts w:hint="cs"/>
          <w:rtl/>
          <w:lang w:bidi="ps-AF"/>
        </w:rPr>
        <w:t>۸۰۰</w:t>
      </w:r>
      <w:r>
        <w:rPr>
          <w:rFonts w:hint="cs"/>
          <w:rtl/>
        </w:rPr>
        <w:t xml:space="preserve"> ملیون دالر اجناس و خدمات دارای اولویت </w:t>
      </w:r>
      <w:r w:rsidR="0090697D">
        <w:rPr>
          <w:rFonts w:hint="cs"/>
          <w:rtl/>
        </w:rPr>
        <w:t xml:space="preserve">که بمنظور توسعه </w:t>
      </w:r>
      <w:r>
        <w:rPr>
          <w:rFonts w:hint="cs"/>
          <w:rtl/>
        </w:rPr>
        <w:t xml:space="preserve">معدن مس عینک و بلاک های نفت آمو دریا (حدود </w:t>
      </w:r>
      <w:r w:rsidR="00C14C8B">
        <w:rPr>
          <w:rFonts w:hint="cs"/>
          <w:rtl/>
          <w:lang w:bidi="ps-AF"/>
        </w:rPr>
        <w:t>۲۷</w:t>
      </w:r>
      <w:r>
        <w:rPr>
          <w:rFonts w:hint="cs"/>
          <w:rtl/>
        </w:rPr>
        <w:t xml:space="preserve"> فیصد مجموع هزینه توسعه ای) </w:t>
      </w:r>
      <w:r w:rsidR="0090697D">
        <w:rPr>
          <w:rFonts w:hint="cs"/>
          <w:rtl/>
        </w:rPr>
        <w:t xml:space="preserve">نیاز است می تواند از تدارک کننده های افغان که در جریان این مطالعه ارزیابی شده اند، خریداری شود. علاوه بر آن، این فابریکه های محلی می توانند به ارزش </w:t>
      </w:r>
      <w:r w:rsidR="00C14C8B">
        <w:rPr>
          <w:rFonts w:hint="cs"/>
          <w:rtl/>
          <w:lang w:bidi="ps-AF"/>
        </w:rPr>
        <w:t>۱۵۱</w:t>
      </w:r>
      <w:r w:rsidR="0090697D">
        <w:rPr>
          <w:rFonts w:hint="cs"/>
          <w:rtl/>
        </w:rPr>
        <w:t xml:space="preserve"> ملیون دالر (حدود </w:t>
      </w:r>
      <w:r w:rsidR="00C14C8B">
        <w:rPr>
          <w:rFonts w:hint="cs"/>
          <w:rtl/>
          <w:lang w:bidi="ps-AF"/>
        </w:rPr>
        <w:t>۲۲</w:t>
      </w:r>
      <w:r w:rsidR="0090697D">
        <w:rPr>
          <w:rFonts w:hint="cs"/>
          <w:rtl/>
        </w:rPr>
        <w:t xml:space="preserve"> فیصد مجموع) اجناس و خدمات عملیاتی را </w:t>
      </w:r>
      <w:r w:rsidR="00CB29A7">
        <w:rPr>
          <w:rFonts w:hint="cs"/>
          <w:rtl/>
        </w:rPr>
        <w:t xml:space="preserve">نیز </w:t>
      </w:r>
      <w:r w:rsidR="0090697D">
        <w:rPr>
          <w:rFonts w:hint="cs"/>
          <w:rtl/>
        </w:rPr>
        <w:t>فراهم نمایند.</w:t>
      </w:r>
    </w:p>
    <w:p w:rsidR="00B41A83" w:rsidRDefault="00D5564D" w:rsidP="00D35CF7">
      <w:pPr>
        <w:jc w:val="both"/>
      </w:pPr>
    </w:p>
    <w:tbl>
      <w:tblPr>
        <w:bidiVisual/>
        <w:tblW w:w="7060" w:type="dxa"/>
        <w:tblInd w:w="98" w:type="dxa"/>
        <w:tblLook w:val="0000" w:firstRow="0" w:lastRow="0" w:firstColumn="0" w:lastColumn="0" w:noHBand="0" w:noVBand="0"/>
      </w:tblPr>
      <w:tblGrid>
        <w:gridCol w:w="2560"/>
        <w:gridCol w:w="1500"/>
        <w:gridCol w:w="1500"/>
        <w:gridCol w:w="1500"/>
      </w:tblGrid>
      <w:tr w:rsidR="00ED2911" w:rsidRPr="00ED2911" w:rsidTr="0090697D">
        <w:trPr>
          <w:trHeight w:val="260"/>
        </w:trPr>
        <w:tc>
          <w:tcPr>
            <w:tcW w:w="2560" w:type="dxa"/>
            <w:tcBorders>
              <w:top w:val="nil"/>
              <w:left w:val="nil"/>
              <w:bottom w:val="nil"/>
              <w:right w:val="nil"/>
            </w:tcBorders>
            <w:shd w:val="clear" w:color="auto" w:fill="auto"/>
            <w:noWrap/>
            <w:vAlign w:val="bottom"/>
          </w:tcPr>
          <w:p w:rsidR="00ED2911" w:rsidRPr="00ED2911" w:rsidRDefault="00D5564D" w:rsidP="00D35CF7">
            <w:pPr>
              <w:bidi/>
              <w:jc w:val="both"/>
              <w:rPr>
                <w:rFonts w:ascii="Verdana" w:hAnsi="Verdana"/>
                <w:b/>
                <w:bCs/>
                <w:sz w:val="20"/>
                <w:szCs w:val="20"/>
              </w:rPr>
            </w:pPr>
          </w:p>
        </w:tc>
        <w:tc>
          <w:tcPr>
            <w:tcW w:w="1500" w:type="dxa"/>
            <w:tcBorders>
              <w:top w:val="nil"/>
              <w:left w:val="nil"/>
              <w:bottom w:val="nil"/>
              <w:right w:val="nil"/>
            </w:tcBorders>
            <w:shd w:val="clear" w:color="auto" w:fill="auto"/>
            <w:noWrap/>
            <w:vAlign w:val="bottom"/>
          </w:tcPr>
          <w:p w:rsidR="00ED2911" w:rsidRPr="00ED2911" w:rsidRDefault="0090697D" w:rsidP="00D35CF7">
            <w:pPr>
              <w:bidi/>
              <w:jc w:val="both"/>
              <w:rPr>
                <w:rFonts w:ascii="Verdana" w:hAnsi="Verdana"/>
                <w:b/>
                <w:bCs/>
                <w:sz w:val="20"/>
                <w:szCs w:val="20"/>
              </w:rPr>
            </w:pPr>
            <w:r>
              <w:rPr>
                <w:rFonts w:ascii="Verdana" w:hAnsi="Verdana" w:hint="cs"/>
                <w:b/>
                <w:bCs/>
                <w:sz w:val="20"/>
                <w:szCs w:val="20"/>
                <w:rtl/>
              </w:rPr>
              <w:t>عینک</w:t>
            </w:r>
          </w:p>
        </w:tc>
        <w:tc>
          <w:tcPr>
            <w:tcW w:w="1500" w:type="dxa"/>
            <w:tcBorders>
              <w:top w:val="nil"/>
              <w:left w:val="nil"/>
              <w:bottom w:val="nil"/>
              <w:right w:val="nil"/>
            </w:tcBorders>
            <w:shd w:val="clear" w:color="auto" w:fill="auto"/>
            <w:noWrap/>
            <w:vAlign w:val="bottom"/>
          </w:tcPr>
          <w:p w:rsidR="00ED2911" w:rsidRPr="00ED2911" w:rsidRDefault="0090697D" w:rsidP="00D35CF7">
            <w:pPr>
              <w:bidi/>
              <w:jc w:val="both"/>
              <w:rPr>
                <w:rFonts w:ascii="Verdana" w:hAnsi="Verdana"/>
                <w:b/>
                <w:bCs/>
                <w:sz w:val="20"/>
                <w:szCs w:val="20"/>
              </w:rPr>
            </w:pPr>
            <w:r>
              <w:rPr>
                <w:rFonts w:ascii="Verdana" w:hAnsi="Verdana" w:hint="cs"/>
                <w:b/>
                <w:bCs/>
                <w:sz w:val="20"/>
                <w:szCs w:val="20"/>
                <w:rtl/>
              </w:rPr>
              <w:t>آمو دریا</w:t>
            </w:r>
          </w:p>
        </w:tc>
        <w:tc>
          <w:tcPr>
            <w:tcW w:w="1500" w:type="dxa"/>
            <w:tcBorders>
              <w:top w:val="nil"/>
              <w:left w:val="nil"/>
              <w:bottom w:val="nil"/>
              <w:right w:val="nil"/>
            </w:tcBorders>
            <w:shd w:val="clear" w:color="auto" w:fill="auto"/>
            <w:noWrap/>
            <w:vAlign w:val="bottom"/>
          </w:tcPr>
          <w:p w:rsidR="00ED2911" w:rsidRPr="00ED2911" w:rsidRDefault="0090697D" w:rsidP="00D35CF7">
            <w:pPr>
              <w:bidi/>
              <w:jc w:val="both"/>
              <w:rPr>
                <w:rFonts w:ascii="Verdana" w:hAnsi="Verdana"/>
                <w:b/>
                <w:bCs/>
                <w:sz w:val="20"/>
                <w:szCs w:val="20"/>
              </w:rPr>
            </w:pPr>
            <w:r>
              <w:rPr>
                <w:rFonts w:ascii="Verdana" w:hAnsi="Verdana" w:hint="cs"/>
                <w:b/>
                <w:bCs/>
                <w:sz w:val="20"/>
                <w:szCs w:val="20"/>
                <w:rtl/>
              </w:rPr>
              <w:t>مجموع</w:t>
            </w:r>
          </w:p>
        </w:tc>
      </w:tr>
      <w:tr w:rsidR="00ED2911" w:rsidRPr="00ED2911" w:rsidTr="0090697D">
        <w:trPr>
          <w:trHeight w:val="260"/>
        </w:trPr>
        <w:tc>
          <w:tcPr>
            <w:tcW w:w="2560" w:type="dxa"/>
            <w:tcBorders>
              <w:top w:val="nil"/>
              <w:left w:val="nil"/>
              <w:bottom w:val="nil"/>
              <w:right w:val="nil"/>
            </w:tcBorders>
            <w:shd w:val="clear" w:color="auto" w:fill="auto"/>
            <w:noWrap/>
            <w:vAlign w:val="bottom"/>
          </w:tcPr>
          <w:p w:rsidR="00ED2911" w:rsidRPr="00ED2911" w:rsidRDefault="0090697D" w:rsidP="00CB29A7">
            <w:pPr>
              <w:bidi/>
              <w:jc w:val="both"/>
              <w:rPr>
                <w:rFonts w:ascii="Verdana" w:hAnsi="Verdana"/>
                <w:i/>
                <w:iCs/>
                <w:sz w:val="20"/>
                <w:szCs w:val="20"/>
              </w:rPr>
            </w:pPr>
            <w:r>
              <w:rPr>
                <w:rFonts w:ascii="Verdana" w:hAnsi="Verdana" w:hint="cs"/>
                <w:i/>
                <w:iCs/>
                <w:sz w:val="20"/>
                <w:szCs w:val="20"/>
                <w:rtl/>
              </w:rPr>
              <w:t xml:space="preserve">مجموع </w:t>
            </w:r>
            <w:r w:rsidR="002121C3">
              <w:rPr>
                <w:rFonts w:ascii="Verdana" w:hAnsi="Verdana" w:hint="cs"/>
                <w:i/>
                <w:iCs/>
                <w:sz w:val="20"/>
                <w:szCs w:val="20"/>
                <w:rtl/>
              </w:rPr>
              <w:t xml:space="preserve">مصارف </w:t>
            </w:r>
            <w:r w:rsidR="00CB29A7">
              <w:rPr>
                <w:rFonts w:ascii="Verdana" w:hAnsi="Verdana" w:hint="cs"/>
                <w:i/>
                <w:iCs/>
                <w:sz w:val="20"/>
                <w:szCs w:val="20"/>
                <w:rtl/>
              </w:rPr>
              <w:t>سرمایه ای</w:t>
            </w:r>
          </w:p>
        </w:tc>
        <w:tc>
          <w:tcPr>
            <w:tcW w:w="1500" w:type="dxa"/>
            <w:tcBorders>
              <w:top w:val="nil"/>
              <w:left w:val="nil"/>
              <w:bottom w:val="nil"/>
              <w:right w:val="nil"/>
            </w:tcBorders>
            <w:shd w:val="clear" w:color="auto" w:fill="auto"/>
            <w:noWrap/>
            <w:vAlign w:val="bottom"/>
          </w:tcPr>
          <w:p w:rsidR="00ED2911" w:rsidRPr="00ED2911" w:rsidRDefault="00C14C8B" w:rsidP="00C14C8B">
            <w:pPr>
              <w:bidi/>
              <w:jc w:val="both"/>
              <w:rPr>
                <w:rFonts w:ascii="Verdana" w:hAnsi="Verdana"/>
                <w:i/>
                <w:iCs/>
                <w:sz w:val="20"/>
                <w:szCs w:val="20"/>
              </w:rPr>
            </w:pPr>
            <w:r>
              <w:rPr>
                <w:rFonts w:ascii="Verdana" w:hAnsi="Verdana"/>
                <w:i/>
                <w:iCs/>
                <w:sz w:val="20"/>
                <w:szCs w:val="20"/>
              </w:rPr>
              <w:t xml:space="preserve"> </w:t>
            </w:r>
            <w:r>
              <w:rPr>
                <w:rFonts w:ascii="Verdana" w:hAnsi="Verdana" w:hint="cs"/>
                <w:i/>
                <w:iCs/>
                <w:sz w:val="20"/>
                <w:szCs w:val="20"/>
                <w:rtl/>
                <w:lang w:bidi="ps-AF"/>
              </w:rPr>
              <w:t>۲،۴۵۰</w:t>
            </w:r>
            <w:r w:rsidR="00EA41B2" w:rsidRPr="00ED2911">
              <w:rPr>
                <w:rFonts w:ascii="Verdana" w:hAnsi="Verdana"/>
                <w:i/>
                <w:iCs/>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C14C8B" w:rsidP="00C14C8B">
            <w:pPr>
              <w:bidi/>
              <w:jc w:val="both"/>
              <w:rPr>
                <w:rFonts w:ascii="Verdana" w:hAnsi="Verdana"/>
                <w:i/>
                <w:iCs/>
                <w:sz w:val="20"/>
                <w:szCs w:val="20"/>
              </w:rPr>
            </w:pPr>
            <w:r>
              <w:rPr>
                <w:rFonts w:ascii="Verdana" w:hAnsi="Verdana" w:hint="cs"/>
                <w:i/>
                <w:iCs/>
                <w:sz w:val="20"/>
                <w:szCs w:val="20"/>
                <w:rtl/>
                <w:lang w:bidi="ps-AF"/>
              </w:rPr>
              <w:t>۶۷۵</w:t>
            </w:r>
            <w:r w:rsidR="00EA41B2" w:rsidRPr="00ED2911">
              <w:rPr>
                <w:rFonts w:ascii="Verdana" w:hAnsi="Verdana"/>
                <w:i/>
                <w:iCs/>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EA41B2" w:rsidP="00C14C8B">
            <w:pPr>
              <w:bidi/>
              <w:jc w:val="both"/>
              <w:rPr>
                <w:rFonts w:ascii="Verdana" w:hAnsi="Verdana"/>
                <w:i/>
                <w:iCs/>
                <w:sz w:val="20"/>
                <w:szCs w:val="20"/>
              </w:rPr>
            </w:pPr>
            <w:r w:rsidRPr="00ED2911">
              <w:rPr>
                <w:rFonts w:ascii="Verdana" w:hAnsi="Verdana"/>
                <w:i/>
                <w:iCs/>
                <w:sz w:val="20"/>
                <w:szCs w:val="20"/>
              </w:rPr>
              <w:t xml:space="preserve"> </w:t>
            </w:r>
            <w:r w:rsidR="00C14C8B">
              <w:rPr>
                <w:rFonts w:ascii="Verdana" w:hAnsi="Verdana" w:hint="cs"/>
                <w:i/>
                <w:iCs/>
                <w:sz w:val="20"/>
                <w:szCs w:val="20"/>
                <w:rtl/>
                <w:lang w:bidi="ps-AF"/>
              </w:rPr>
              <w:t>۳،۱۲۵</w:t>
            </w:r>
            <w:r w:rsidRPr="00ED2911">
              <w:rPr>
                <w:rFonts w:ascii="Verdana" w:hAnsi="Verdana"/>
                <w:i/>
                <w:iCs/>
                <w:sz w:val="20"/>
                <w:szCs w:val="20"/>
              </w:rPr>
              <w:t xml:space="preserve"> </w:t>
            </w:r>
          </w:p>
        </w:tc>
      </w:tr>
      <w:tr w:rsidR="00ED2911" w:rsidRPr="00ED2911" w:rsidTr="0090697D">
        <w:trPr>
          <w:trHeight w:val="260"/>
        </w:trPr>
        <w:tc>
          <w:tcPr>
            <w:tcW w:w="2560" w:type="dxa"/>
            <w:tcBorders>
              <w:top w:val="nil"/>
              <w:left w:val="nil"/>
              <w:bottom w:val="nil"/>
              <w:right w:val="nil"/>
            </w:tcBorders>
            <w:shd w:val="clear" w:color="auto" w:fill="auto"/>
            <w:noWrap/>
            <w:vAlign w:val="bottom"/>
          </w:tcPr>
          <w:p w:rsidR="00ED2911" w:rsidRPr="00ED2911" w:rsidRDefault="0090697D" w:rsidP="001F5409">
            <w:pPr>
              <w:bidi/>
              <w:jc w:val="both"/>
              <w:rPr>
                <w:rFonts w:ascii="Verdana" w:hAnsi="Verdana"/>
                <w:sz w:val="20"/>
                <w:szCs w:val="20"/>
                <w:lang w:bidi="ps-AF"/>
              </w:rPr>
            </w:pPr>
            <w:r>
              <w:rPr>
                <w:rFonts w:ascii="Verdana" w:hAnsi="Verdana" w:hint="cs"/>
                <w:sz w:val="20"/>
                <w:szCs w:val="20"/>
                <w:rtl/>
              </w:rPr>
              <w:t xml:space="preserve">کتگوری </w:t>
            </w:r>
            <w:r w:rsidR="001F5409">
              <w:rPr>
                <w:rFonts w:ascii="Verdana" w:hAnsi="Verdana" w:hint="cs"/>
                <w:sz w:val="20"/>
                <w:szCs w:val="20"/>
                <w:rtl/>
                <w:lang w:bidi="ps-AF"/>
              </w:rPr>
              <w:t>۱</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۳۹۰</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۱۳۰</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۵۲۰</w:t>
            </w:r>
            <w:r w:rsidRPr="00ED2911">
              <w:rPr>
                <w:rFonts w:ascii="Verdana" w:hAnsi="Verdana"/>
                <w:sz w:val="20"/>
                <w:szCs w:val="20"/>
              </w:rPr>
              <w:t xml:space="preserve"> </w:t>
            </w:r>
          </w:p>
        </w:tc>
      </w:tr>
      <w:tr w:rsidR="00ED2911" w:rsidRPr="00ED2911" w:rsidTr="0090697D">
        <w:trPr>
          <w:trHeight w:val="280"/>
        </w:trPr>
        <w:tc>
          <w:tcPr>
            <w:tcW w:w="2560" w:type="dxa"/>
            <w:tcBorders>
              <w:top w:val="nil"/>
              <w:left w:val="nil"/>
              <w:bottom w:val="nil"/>
              <w:right w:val="nil"/>
            </w:tcBorders>
            <w:shd w:val="clear" w:color="auto" w:fill="auto"/>
            <w:noWrap/>
            <w:vAlign w:val="bottom"/>
          </w:tcPr>
          <w:p w:rsidR="00ED2911" w:rsidRPr="00ED2911" w:rsidRDefault="0090697D" w:rsidP="001F5409">
            <w:pPr>
              <w:bidi/>
              <w:jc w:val="both"/>
              <w:rPr>
                <w:rFonts w:ascii="Verdana" w:hAnsi="Verdana"/>
                <w:sz w:val="20"/>
                <w:szCs w:val="20"/>
                <w:lang w:bidi="ps-AF"/>
              </w:rPr>
            </w:pPr>
            <w:r>
              <w:rPr>
                <w:rFonts w:ascii="Verdana" w:hAnsi="Verdana" w:hint="cs"/>
                <w:sz w:val="20"/>
                <w:szCs w:val="20"/>
                <w:rtl/>
              </w:rPr>
              <w:t xml:space="preserve">کتگوری </w:t>
            </w:r>
            <w:r w:rsidR="001F5409">
              <w:rPr>
                <w:rFonts w:ascii="Verdana" w:hAnsi="Verdana" w:hint="cs"/>
                <w:sz w:val="20"/>
                <w:szCs w:val="20"/>
                <w:rtl/>
                <w:lang w:bidi="ps-AF"/>
              </w:rPr>
              <w:t>۲</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۱۸۰</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۱۳۰</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۳۱۰</w:t>
            </w:r>
            <w:r w:rsidRPr="00ED2911">
              <w:rPr>
                <w:rFonts w:ascii="Verdana" w:hAnsi="Verdana"/>
                <w:sz w:val="20"/>
                <w:szCs w:val="20"/>
              </w:rPr>
              <w:t xml:space="preserve"> </w:t>
            </w:r>
          </w:p>
        </w:tc>
      </w:tr>
      <w:tr w:rsidR="00ED2911" w:rsidRPr="00ED2911" w:rsidTr="0090697D">
        <w:trPr>
          <w:trHeight w:val="280"/>
        </w:trPr>
        <w:tc>
          <w:tcPr>
            <w:tcW w:w="2560" w:type="dxa"/>
            <w:tcBorders>
              <w:top w:val="single" w:sz="8" w:space="0" w:color="auto"/>
              <w:left w:val="single" w:sz="8" w:space="0" w:color="auto"/>
              <w:bottom w:val="single" w:sz="8" w:space="0" w:color="auto"/>
              <w:right w:val="nil"/>
            </w:tcBorders>
            <w:shd w:val="clear" w:color="auto" w:fill="auto"/>
            <w:noWrap/>
            <w:vAlign w:val="bottom"/>
          </w:tcPr>
          <w:p w:rsidR="00ED2911" w:rsidRPr="00ED2911" w:rsidRDefault="002121C3" w:rsidP="00CB29A7">
            <w:pPr>
              <w:bidi/>
              <w:jc w:val="both"/>
              <w:rPr>
                <w:rFonts w:ascii="Verdana" w:hAnsi="Verdana"/>
                <w:b/>
                <w:bCs/>
                <w:sz w:val="20"/>
                <w:szCs w:val="20"/>
              </w:rPr>
            </w:pPr>
            <w:r>
              <w:rPr>
                <w:rFonts w:ascii="Verdana" w:hAnsi="Verdana" w:hint="cs"/>
                <w:b/>
                <w:bCs/>
                <w:sz w:val="20"/>
                <w:szCs w:val="20"/>
                <w:rtl/>
              </w:rPr>
              <w:t xml:space="preserve">مصارف </w:t>
            </w:r>
            <w:r w:rsidR="00CB29A7">
              <w:rPr>
                <w:rFonts w:ascii="Verdana" w:hAnsi="Verdana" w:hint="cs"/>
                <w:b/>
                <w:bCs/>
                <w:sz w:val="20"/>
                <w:szCs w:val="20"/>
                <w:rtl/>
              </w:rPr>
              <w:t>سرمایه ای</w:t>
            </w:r>
            <w:r w:rsidR="0090697D">
              <w:rPr>
                <w:rFonts w:ascii="Verdana" w:hAnsi="Verdana" w:hint="cs"/>
                <w:b/>
                <w:bCs/>
                <w:sz w:val="20"/>
                <w:szCs w:val="20"/>
                <w:rtl/>
              </w:rPr>
              <w:t xml:space="preserve"> محلی</w:t>
            </w:r>
          </w:p>
        </w:tc>
        <w:tc>
          <w:tcPr>
            <w:tcW w:w="1500" w:type="dxa"/>
            <w:tcBorders>
              <w:top w:val="single" w:sz="8" w:space="0" w:color="auto"/>
              <w:left w:val="nil"/>
              <w:bottom w:val="single" w:sz="8" w:space="0" w:color="auto"/>
              <w:right w:val="nil"/>
            </w:tcBorders>
            <w:shd w:val="clear" w:color="auto" w:fill="auto"/>
            <w:noWrap/>
            <w:vAlign w:val="bottom"/>
          </w:tcPr>
          <w:p w:rsidR="00ED2911" w:rsidRPr="00ED2911" w:rsidRDefault="00EA41B2" w:rsidP="00D35CF7">
            <w:pPr>
              <w:bidi/>
              <w:jc w:val="both"/>
              <w:rPr>
                <w:rFonts w:ascii="Verdana" w:hAnsi="Verdana"/>
                <w:b/>
                <w:bCs/>
                <w:sz w:val="20"/>
                <w:szCs w:val="20"/>
              </w:rPr>
            </w:pPr>
            <w:r w:rsidRPr="00ED2911">
              <w:rPr>
                <w:rFonts w:ascii="Verdana" w:hAnsi="Verdana"/>
                <w:b/>
                <w:bCs/>
                <w:sz w:val="20"/>
                <w:szCs w:val="20"/>
              </w:rPr>
              <w:t xml:space="preserve"> 570 </w:t>
            </w:r>
          </w:p>
        </w:tc>
        <w:tc>
          <w:tcPr>
            <w:tcW w:w="1500" w:type="dxa"/>
            <w:tcBorders>
              <w:top w:val="single" w:sz="8" w:space="0" w:color="auto"/>
              <w:left w:val="nil"/>
              <w:bottom w:val="single" w:sz="8" w:space="0" w:color="auto"/>
              <w:right w:val="nil"/>
            </w:tcBorders>
            <w:shd w:val="clear" w:color="auto" w:fill="auto"/>
            <w:noWrap/>
            <w:vAlign w:val="bottom"/>
          </w:tcPr>
          <w:p w:rsidR="00ED2911" w:rsidRPr="00ED2911" w:rsidRDefault="00EA41B2" w:rsidP="00D35CF7">
            <w:pPr>
              <w:bidi/>
              <w:jc w:val="both"/>
              <w:rPr>
                <w:rFonts w:ascii="Verdana" w:hAnsi="Verdana"/>
                <w:b/>
                <w:bCs/>
                <w:sz w:val="20"/>
                <w:szCs w:val="20"/>
              </w:rPr>
            </w:pPr>
            <w:r w:rsidRPr="00ED2911">
              <w:rPr>
                <w:rFonts w:ascii="Verdana" w:hAnsi="Verdana"/>
                <w:b/>
                <w:bCs/>
                <w:sz w:val="20"/>
                <w:szCs w:val="20"/>
              </w:rPr>
              <w:t xml:space="preserve"> 260 </w:t>
            </w:r>
          </w:p>
        </w:tc>
        <w:tc>
          <w:tcPr>
            <w:tcW w:w="1500" w:type="dxa"/>
            <w:tcBorders>
              <w:top w:val="single" w:sz="8" w:space="0" w:color="auto"/>
              <w:left w:val="nil"/>
              <w:bottom w:val="single" w:sz="8" w:space="0" w:color="auto"/>
              <w:right w:val="single" w:sz="8" w:space="0" w:color="auto"/>
            </w:tcBorders>
            <w:shd w:val="clear" w:color="auto" w:fill="auto"/>
            <w:noWrap/>
            <w:vAlign w:val="bottom"/>
          </w:tcPr>
          <w:p w:rsidR="00ED2911" w:rsidRPr="00ED2911" w:rsidRDefault="00EA41B2" w:rsidP="00D35CF7">
            <w:pPr>
              <w:bidi/>
              <w:jc w:val="both"/>
              <w:rPr>
                <w:rFonts w:ascii="Verdana" w:hAnsi="Verdana"/>
                <w:b/>
                <w:bCs/>
                <w:sz w:val="20"/>
                <w:szCs w:val="20"/>
              </w:rPr>
            </w:pPr>
            <w:r w:rsidRPr="00ED2911">
              <w:rPr>
                <w:rFonts w:ascii="Verdana" w:hAnsi="Verdana"/>
                <w:b/>
                <w:bCs/>
                <w:sz w:val="20"/>
                <w:szCs w:val="20"/>
              </w:rPr>
              <w:t xml:space="preserve"> 830 </w:t>
            </w:r>
          </w:p>
        </w:tc>
      </w:tr>
      <w:tr w:rsidR="00ED2911" w:rsidRPr="00ED2911" w:rsidTr="0090697D">
        <w:trPr>
          <w:trHeight w:val="260"/>
        </w:trPr>
        <w:tc>
          <w:tcPr>
            <w:tcW w:w="2560" w:type="dxa"/>
            <w:tcBorders>
              <w:top w:val="nil"/>
              <w:left w:val="nil"/>
              <w:bottom w:val="nil"/>
              <w:right w:val="nil"/>
            </w:tcBorders>
            <w:shd w:val="clear" w:color="auto" w:fill="auto"/>
            <w:noWrap/>
            <w:vAlign w:val="bottom"/>
          </w:tcPr>
          <w:p w:rsidR="00ED2911" w:rsidRPr="00ED2911" w:rsidRDefault="0090697D" w:rsidP="00D35CF7">
            <w:pPr>
              <w:bidi/>
              <w:jc w:val="both"/>
              <w:rPr>
                <w:rFonts w:ascii="Verdana" w:hAnsi="Verdana"/>
                <w:i/>
                <w:iCs/>
                <w:sz w:val="20"/>
                <w:szCs w:val="20"/>
              </w:rPr>
            </w:pPr>
            <w:r>
              <w:rPr>
                <w:rFonts w:ascii="Verdana" w:hAnsi="Verdana" w:hint="cs"/>
                <w:i/>
                <w:iCs/>
                <w:sz w:val="20"/>
                <w:szCs w:val="20"/>
                <w:rtl/>
              </w:rPr>
              <w:t xml:space="preserve">مجموع </w:t>
            </w:r>
            <w:r w:rsidR="002121C3">
              <w:rPr>
                <w:rFonts w:ascii="Verdana" w:hAnsi="Verdana" w:hint="cs"/>
                <w:i/>
                <w:iCs/>
                <w:sz w:val="20"/>
                <w:szCs w:val="20"/>
                <w:rtl/>
              </w:rPr>
              <w:t>مصارف عملیاتی</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i/>
                <w:iCs/>
                <w:sz w:val="20"/>
                <w:szCs w:val="20"/>
              </w:rPr>
            </w:pPr>
            <w:r w:rsidRPr="00ED2911">
              <w:rPr>
                <w:rFonts w:ascii="Verdana" w:hAnsi="Verdana"/>
                <w:i/>
                <w:iCs/>
                <w:sz w:val="20"/>
                <w:szCs w:val="20"/>
              </w:rPr>
              <w:t xml:space="preserve"> </w:t>
            </w:r>
            <w:r w:rsidR="001F5409">
              <w:rPr>
                <w:rFonts w:ascii="Verdana" w:hAnsi="Verdana" w:hint="cs"/>
                <w:i/>
                <w:iCs/>
                <w:sz w:val="20"/>
                <w:szCs w:val="20"/>
                <w:rtl/>
                <w:lang w:bidi="ps-AF"/>
              </w:rPr>
              <w:t>۵۵۰</w:t>
            </w:r>
            <w:r w:rsidRPr="00ED2911">
              <w:rPr>
                <w:rFonts w:ascii="Verdana" w:hAnsi="Verdana"/>
                <w:i/>
                <w:iCs/>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i/>
                <w:iCs/>
                <w:sz w:val="20"/>
                <w:szCs w:val="20"/>
              </w:rPr>
            </w:pPr>
            <w:r w:rsidRPr="00ED2911">
              <w:rPr>
                <w:rFonts w:ascii="Verdana" w:hAnsi="Verdana"/>
                <w:i/>
                <w:iCs/>
                <w:sz w:val="20"/>
                <w:szCs w:val="20"/>
              </w:rPr>
              <w:t xml:space="preserve"> </w:t>
            </w:r>
            <w:r w:rsidR="001F5409">
              <w:rPr>
                <w:rFonts w:ascii="Verdana" w:hAnsi="Verdana" w:hint="cs"/>
                <w:i/>
                <w:iCs/>
                <w:sz w:val="20"/>
                <w:szCs w:val="20"/>
                <w:rtl/>
                <w:lang w:bidi="ps-AF"/>
              </w:rPr>
              <w:t>۱۵۰</w:t>
            </w:r>
            <w:r w:rsidRPr="00ED2911">
              <w:rPr>
                <w:rFonts w:ascii="Verdana" w:hAnsi="Verdana"/>
                <w:i/>
                <w:iCs/>
                <w:sz w:val="20"/>
                <w:szCs w:val="20"/>
              </w:rPr>
              <w:t xml:space="preserve"> </w:t>
            </w:r>
          </w:p>
        </w:tc>
        <w:tc>
          <w:tcPr>
            <w:tcW w:w="1500" w:type="dxa"/>
            <w:tcBorders>
              <w:top w:val="nil"/>
              <w:left w:val="nil"/>
              <w:bottom w:val="nil"/>
              <w:right w:val="nil"/>
            </w:tcBorders>
            <w:shd w:val="clear" w:color="auto" w:fill="auto"/>
            <w:noWrap/>
            <w:vAlign w:val="bottom"/>
          </w:tcPr>
          <w:p w:rsidR="00ED2911" w:rsidRPr="00ED2911" w:rsidRDefault="00EA41B2" w:rsidP="001F5409">
            <w:pPr>
              <w:bidi/>
              <w:jc w:val="both"/>
              <w:rPr>
                <w:rFonts w:ascii="Verdana" w:hAnsi="Verdana"/>
                <w:i/>
                <w:iCs/>
                <w:sz w:val="20"/>
                <w:szCs w:val="20"/>
              </w:rPr>
            </w:pPr>
            <w:r w:rsidRPr="00ED2911">
              <w:rPr>
                <w:rFonts w:ascii="Verdana" w:hAnsi="Verdana"/>
                <w:i/>
                <w:iCs/>
                <w:sz w:val="20"/>
                <w:szCs w:val="20"/>
              </w:rPr>
              <w:t xml:space="preserve"> </w:t>
            </w:r>
            <w:r w:rsidR="001F5409">
              <w:rPr>
                <w:rFonts w:ascii="Verdana" w:hAnsi="Verdana" w:hint="cs"/>
                <w:i/>
                <w:iCs/>
                <w:sz w:val="20"/>
                <w:szCs w:val="20"/>
                <w:rtl/>
                <w:lang w:bidi="ps-AF"/>
              </w:rPr>
              <w:t>۷۰۰</w:t>
            </w:r>
            <w:r w:rsidRPr="00ED2911">
              <w:rPr>
                <w:rFonts w:ascii="Verdana" w:hAnsi="Verdana"/>
                <w:i/>
                <w:iCs/>
                <w:sz w:val="20"/>
                <w:szCs w:val="20"/>
              </w:rPr>
              <w:t xml:space="preserve"> </w:t>
            </w:r>
          </w:p>
        </w:tc>
      </w:tr>
      <w:tr w:rsidR="0090697D" w:rsidRPr="00ED2911" w:rsidTr="0090697D">
        <w:trPr>
          <w:trHeight w:val="260"/>
        </w:trPr>
        <w:tc>
          <w:tcPr>
            <w:tcW w:w="256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lang w:bidi="ps-AF"/>
              </w:rPr>
            </w:pPr>
            <w:r>
              <w:rPr>
                <w:rFonts w:ascii="Verdana" w:hAnsi="Verdana" w:hint="cs"/>
                <w:sz w:val="20"/>
                <w:szCs w:val="20"/>
                <w:rtl/>
              </w:rPr>
              <w:t xml:space="preserve">کتگوری </w:t>
            </w:r>
            <w:r w:rsidR="001F5409">
              <w:rPr>
                <w:rFonts w:ascii="Verdana" w:hAnsi="Verdana" w:hint="cs"/>
                <w:sz w:val="20"/>
                <w:szCs w:val="20"/>
                <w:rtl/>
                <w:lang w:bidi="ps-AF"/>
              </w:rPr>
              <w:t>۱</w:t>
            </w:r>
          </w:p>
        </w:tc>
        <w:tc>
          <w:tcPr>
            <w:tcW w:w="150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۶۰</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۵۰</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۱۱۰</w:t>
            </w:r>
            <w:r w:rsidRPr="00ED2911">
              <w:rPr>
                <w:rFonts w:ascii="Verdana" w:hAnsi="Verdana"/>
                <w:sz w:val="20"/>
                <w:szCs w:val="20"/>
              </w:rPr>
              <w:t xml:space="preserve"> </w:t>
            </w:r>
          </w:p>
        </w:tc>
      </w:tr>
      <w:tr w:rsidR="0090697D" w:rsidRPr="00ED2911" w:rsidTr="0090697D">
        <w:trPr>
          <w:trHeight w:val="280"/>
        </w:trPr>
        <w:tc>
          <w:tcPr>
            <w:tcW w:w="256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lang w:bidi="ps-AF"/>
              </w:rPr>
            </w:pPr>
            <w:r>
              <w:rPr>
                <w:rFonts w:ascii="Verdana" w:hAnsi="Verdana" w:hint="cs"/>
                <w:sz w:val="20"/>
                <w:szCs w:val="20"/>
                <w:rtl/>
              </w:rPr>
              <w:t xml:space="preserve">کتگوری </w:t>
            </w:r>
            <w:r w:rsidR="001F5409">
              <w:rPr>
                <w:rFonts w:ascii="Verdana" w:hAnsi="Verdana" w:hint="cs"/>
                <w:sz w:val="20"/>
                <w:szCs w:val="20"/>
                <w:rtl/>
                <w:lang w:bidi="ps-AF"/>
              </w:rPr>
              <w:t>۲</w:t>
            </w:r>
          </w:p>
        </w:tc>
        <w:tc>
          <w:tcPr>
            <w:tcW w:w="150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۳۵</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۶</w:t>
            </w:r>
            <w:r w:rsidRPr="00ED2911">
              <w:rPr>
                <w:rFonts w:ascii="Verdana" w:hAnsi="Verdana"/>
                <w:sz w:val="20"/>
                <w:szCs w:val="20"/>
              </w:rPr>
              <w:t xml:space="preserve"> </w:t>
            </w:r>
          </w:p>
        </w:tc>
        <w:tc>
          <w:tcPr>
            <w:tcW w:w="1500" w:type="dxa"/>
            <w:tcBorders>
              <w:top w:val="nil"/>
              <w:left w:val="nil"/>
              <w:bottom w:val="nil"/>
              <w:right w:val="nil"/>
            </w:tcBorders>
            <w:shd w:val="clear" w:color="auto" w:fill="auto"/>
            <w:noWrap/>
            <w:vAlign w:val="bottom"/>
          </w:tcPr>
          <w:p w:rsidR="0090697D" w:rsidRPr="00ED2911" w:rsidRDefault="0090697D" w:rsidP="001F5409">
            <w:pPr>
              <w:bidi/>
              <w:jc w:val="both"/>
              <w:rPr>
                <w:rFonts w:ascii="Verdana" w:hAnsi="Verdana"/>
                <w:sz w:val="20"/>
                <w:szCs w:val="20"/>
              </w:rPr>
            </w:pPr>
            <w:r w:rsidRPr="00ED2911">
              <w:rPr>
                <w:rFonts w:ascii="Verdana" w:hAnsi="Verdana"/>
                <w:sz w:val="20"/>
                <w:szCs w:val="20"/>
              </w:rPr>
              <w:t xml:space="preserve"> </w:t>
            </w:r>
            <w:r w:rsidR="001F5409">
              <w:rPr>
                <w:rFonts w:ascii="Verdana" w:hAnsi="Verdana" w:hint="cs"/>
                <w:sz w:val="20"/>
                <w:szCs w:val="20"/>
                <w:rtl/>
                <w:lang w:bidi="ps-AF"/>
              </w:rPr>
              <w:t>۴۱</w:t>
            </w:r>
            <w:r w:rsidRPr="00ED2911">
              <w:rPr>
                <w:rFonts w:ascii="Verdana" w:hAnsi="Verdana"/>
                <w:sz w:val="20"/>
                <w:szCs w:val="20"/>
              </w:rPr>
              <w:t xml:space="preserve"> </w:t>
            </w:r>
          </w:p>
        </w:tc>
      </w:tr>
      <w:tr w:rsidR="00ED2911" w:rsidRPr="00ED2911" w:rsidTr="0090697D">
        <w:trPr>
          <w:trHeight w:val="280"/>
        </w:trPr>
        <w:tc>
          <w:tcPr>
            <w:tcW w:w="2560" w:type="dxa"/>
            <w:tcBorders>
              <w:top w:val="single" w:sz="8" w:space="0" w:color="auto"/>
              <w:left w:val="single" w:sz="8" w:space="0" w:color="auto"/>
              <w:bottom w:val="single" w:sz="8" w:space="0" w:color="auto"/>
              <w:right w:val="nil"/>
            </w:tcBorders>
            <w:shd w:val="clear" w:color="auto" w:fill="auto"/>
            <w:noWrap/>
            <w:vAlign w:val="bottom"/>
          </w:tcPr>
          <w:p w:rsidR="00ED2911" w:rsidRPr="00ED2911" w:rsidRDefault="002121C3" w:rsidP="00D35CF7">
            <w:pPr>
              <w:bidi/>
              <w:jc w:val="both"/>
              <w:rPr>
                <w:rFonts w:ascii="Verdana" w:hAnsi="Verdana"/>
                <w:b/>
                <w:bCs/>
                <w:sz w:val="20"/>
                <w:szCs w:val="20"/>
              </w:rPr>
            </w:pPr>
            <w:r>
              <w:rPr>
                <w:rFonts w:ascii="Verdana" w:hAnsi="Verdana" w:hint="cs"/>
                <w:b/>
                <w:bCs/>
                <w:sz w:val="20"/>
                <w:szCs w:val="20"/>
                <w:rtl/>
              </w:rPr>
              <w:t>مصارف عملیاتی</w:t>
            </w:r>
            <w:r w:rsidR="0090697D">
              <w:rPr>
                <w:rFonts w:ascii="Verdana" w:hAnsi="Verdana" w:hint="cs"/>
                <w:b/>
                <w:bCs/>
                <w:sz w:val="20"/>
                <w:szCs w:val="20"/>
                <w:rtl/>
              </w:rPr>
              <w:t xml:space="preserve"> محلی</w:t>
            </w:r>
          </w:p>
        </w:tc>
        <w:tc>
          <w:tcPr>
            <w:tcW w:w="1500" w:type="dxa"/>
            <w:tcBorders>
              <w:top w:val="single" w:sz="8" w:space="0" w:color="auto"/>
              <w:left w:val="nil"/>
              <w:bottom w:val="single" w:sz="8" w:space="0" w:color="auto"/>
              <w:right w:val="nil"/>
            </w:tcBorders>
            <w:shd w:val="clear" w:color="auto" w:fill="auto"/>
            <w:noWrap/>
            <w:vAlign w:val="bottom"/>
          </w:tcPr>
          <w:p w:rsidR="00ED2911" w:rsidRPr="00ED2911" w:rsidRDefault="00EA41B2" w:rsidP="001F5409">
            <w:pPr>
              <w:bidi/>
              <w:jc w:val="both"/>
              <w:rPr>
                <w:rFonts w:ascii="Verdana" w:hAnsi="Verdana"/>
                <w:b/>
                <w:bCs/>
                <w:sz w:val="20"/>
                <w:szCs w:val="20"/>
              </w:rPr>
            </w:pPr>
            <w:r w:rsidRPr="00ED2911">
              <w:rPr>
                <w:rFonts w:ascii="Verdana" w:hAnsi="Verdana"/>
                <w:b/>
                <w:bCs/>
                <w:sz w:val="20"/>
                <w:szCs w:val="20"/>
              </w:rPr>
              <w:t xml:space="preserve"> </w:t>
            </w:r>
            <w:r w:rsidR="001F5409">
              <w:rPr>
                <w:rFonts w:ascii="Verdana" w:hAnsi="Verdana" w:hint="cs"/>
                <w:b/>
                <w:bCs/>
                <w:sz w:val="20"/>
                <w:szCs w:val="20"/>
                <w:rtl/>
                <w:lang w:bidi="ps-AF"/>
              </w:rPr>
              <w:t>۹۵</w:t>
            </w:r>
            <w:r w:rsidRPr="00ED2911">
              <w:rPr>
                <w:rFonts w:ascii="Verdana" w:hAnsi="Verdana"/>
                <w:b/>
                <w:bCs/>
                <w:sz w:val="20"/>
                <w:szCs w:val="20"/>
              </w:rPr>
              <w:t xml:space="preserve"> </w:t>
            </w:r>
          </w:p>
        </w:tc>
        <w:tc>
          <w:tcPr>
            <w:tcW w:w="1500" w:type="dxa"/>
            <w:tcBorders>
              <w:top w:val="single" w:sz="8" w:space="0" w:color="auto"/>
              <w:left w:val="nil"/>
              <w:bottom w:val="single" w:sz="8" w:space="0" w:color="auto"/>
              <w:right w:val="nil"/>
            </w:tcBorders>
            <w:shd w:val="clear" w:color="auto" w:fill="auto"/>
            <w:noWrap/>
            <w:vAlign w:val="bottom"/>
          </w:tcPr>
          <w:p w:rsidR="00ED2911" w:rsidRPr="00ED2911" w:rsidRDefault="00EA41B2" w:rsidP="001F5409">
            <w:pPr>
              <w:bidi/>
              <w:jc w:val="both"/>
              <w:rPr>
                <w:rFonts w:ascii="Verdana" w:hAnsi="Verdana"/>
                <w:b/>
                <w:bCs/>
                <w:sz w:val="20"/>
                <w:szCs w:val="20"/>
              </w:rPr>
            </w:pPr>
            <w:r w:rsidRPr="00ED2911">
              <w:rPr>
                <w:rFonts w:ascii="Verdana" w:hAnsi="Verdana"/>
                <w:b/>
                <w:bCs/>
                <w:sz w:val="20"/>
                <w:szCs w:val="20"/>
              </w:rPr>
              <w:t xml:space="preserve"> </w:t>
            </w:r>
            <w:r w:rsidR="001F5409">
              <w:rPr>
                <w:rFonts w:ascii="Verdana" w:hAnsi="Verdana" w:hint="cs"/>
                <w:b/>
                <w:bCs/>
                <w:sz w:val="20"/>
                <w:szCs w:val="20"/>
                <w:rtl/>
                <w:lang w:bidi="ps-AF"/>
              </w:rPr>
              <w:t>۵۶</w:t>
            </w:r>
            <w:r w:rsidRPr="00ED2911">
              <w:rPr>
                <w:rFonts w:ascii="Verdana" w:hAnsi="Verdana"/>
                <w:b/>
                <w:bCs/>
                <w:sz w:val="20"/>
                <w:szCs w:val="20"/>
              </w:rPr>
              <w:t xml:space="preserve"> </w:t>
            </w:r>
          </w:p>
        </w:tc>
        <w:tc>
          <w:tcPr>
            <w:tcW w:w="1500" w:type="dxa"/>
            <w:tcBorders>
              <w:top w:val="single" w:sz="8" w:space="0" w:color="auto"/>
              <w:left w:val="nil"/>
              <w:bottom w:val="single" w:sz="8" w:space="0" w:color="auto"/>
              <w:right w:val="single" w:sz="8" w:space="0" w:color="auto"/>
            </w:tcBorders>
            <w:shd w:val="clear" w:color="auto" w:fill="auto"/>
            <w:noWrap/>
            <w:vAlign w:val="bottom"/>
          </w:tcPr>
          <w:p w:rsidR="00ED2911" w:rsidRPr="00ED2911" w:rsidRDefault="001F5409" w:rsidP="00D35CF7">
            <w:pPr>
              <w:bidi/>
              <w:jc w:val="both"/>
              <w:rPr>
                <w:rFonts w:ascii="Verdana" w:hAnsi="Verdana"/>
                <w:b/>
                <w:bCs/>
                <w:sz w:val="20"/>
                <w:szCs w:val="20"/>
              </w:rPr>
            </w:pPr>
            <w:r>
              <w:rPr>
                <w:rFonts w:ascii="Verdana" w:hAnsi="Verdana" w:hint="cs"/>
                <w:b/>
                <w:bCs/>
                <w:sz w:val="20"/>
                <w:szCs w:val="20"/>
                <w:rtl/>
                <w:lang w:bidi="ps-AF"/>
              </w:rPr>
              <w:t>۱۵۱</w:t>
            </w:r>
            <w:r w:rsidR="00EA41B2" w:rsidRPr="00ED2911">
              <w:rPr>
                <w:rFonts w:ascii="Verdana" w:hAnsi="Verdana"/>
                <w:b/>
                <w:bCs/>
                <w:sz w:val="20"/>
                <w:szCs w:val="20"/>
              </w:rPr>
              <w:t xml:space="preserve"> </w:t>
            </w:r>
          </w:p>
        </w:tc>
      </w:tr>
    </w:tbl>
    <w:p w:rsidR="00B41A83" w:rsidRDefault="00D5564D" w:rsidP="00D35CF7">
      <w:pPr>
        <w:jc w:val="both"/>
      </w:pPr>
    </w:p>
    <w:p w:rsidR="0090697D" w:rsidRDefault="0090697D" w:rsidP="001F5409">
      <w:pPr>
        <w:bidi/>
        <w:jc w:val="both"/>
        <w:rPr>
          <w:rtl/>
          <w:lang w:bidi="fa-IR"/>
        </w:rPr>
      </w:pPr>
      <w:r>
        <w:rPr>
          <w:rFonts w:hint="cs"/>
          <w:rtl/>
          <w:lang w:bidi="fa-IR"/>
        </w:rPr>
        <w:t xml:space="preserve">در میان اجناس و خدمات که </w:t>
      </w:r>
      <w:r w:rsidR="002121C3">
        <w:rPr>
          <w:rFonts w:hint="cs"/>
          <w:rtl/>
          <w:lang w:bidi="fa-IR"/>
        </w:rPr>
        <w:t>منحیث کتگوری با</w:t>
      </w:r>
      <w:r>
        <w:rPr>
          <w:rFonts w:hint="cs"/>
          <w:rtl/>
          <w:lang w:bidi="fa-IR"/>
        </w:rPr>
        <w:t xml:space="preserve"> اولویت تشخیص داده </w:t>
      </w:r>
      <w:r w:rsidR="002121C3">
        <w:rPr>
          <w:rFonts w:hint="cs"/>
          <w:rtl/>
          <w:lang w:bidi="fa-IR"/>
        </w:rPr>
        <w:t xml:space="preserve">شده اند، حدود </w:t>
      </w:r>
      <w:r w:rsidR="001F5409">
        <w:rPr>
          <w:rFonts w:hint="cs"/>
          <w:rtl/>
          <w:lang w:bidi="ps-AF"/>
        </w:rPr>
        <w:t>۵۲۰</w:t>
      </w:r>
      <w:r w:rsidR="002121C3">
        <w:rPr>
          <w:rFonts w:hint="cs"/>
          <w:rtl/>
          <w:lang w:bidi="fa-IR"/>
        </w:rPr>
        <w:t xml:space="preserve"> ملیون دالر مصارف </w:t>
      </w:r>
      <w:r w:rsidR="00CB29A7">
        <w:rPr>
          <w:rFonts w:hint="cs"/>
          <w:rtl/>
          <w:lang w:bidi="fa-IR"/>
        </w:rPr>
        <w:t>سرمایه ای</w:t>
      </w:r>
      <w:r w:rsidR="002121C3">
        <w:rPr>
          <w:rFonts w:hint="cs"/>
          <w:rtl/>
          <w:lang w:bidi="fa-IR"/>
        </w:rPr>
        <w:t xml:space="preserve"> و حدود </w:t>
      </w:r>
      <w:r w:rsidR="001F5409">
        <w:rPr>
          <w:rFonts w:hint="cs"/>
          <w:rtl/>
          <w:lang w:bidi="ps-AF"/>
        </w:rPr>
        <w:t>۱۱۰</w:t>
      </w:r>
      <w:r w:rsidR="002121C3">
        <w:rPr>
          <w:rFonts w:hint="cs"/>
          <w:rtl/>
          <w:lang w:bidi="fa-IR"/>
        </w:rPr>
        <w:t xml:space="preserve"> ملیون دالر اقلام عملیاتی شامل یا نزدیک به توانمندی های موجوده سکتور خصوصی افغانستان (کتگوری </w:t>
      </w:r>
      <w:r w:rsidR="001F5409">
        <w:rPr>
          <w:rFonts w:hint="cs"/>
          <w:rtl/>
          <w:lang w:bidi="ps-AF"/>
        </w:rPr>
        <w:t>۱</w:t>
      </w:r>
      <w:r w:rsidR="002121C3">
        <w:rPr>
          <w:rFonts w:hint="cs"/>
          <w:rtl/>
          <w:lang w:bidi="fa-IR"/>
        </w:rPr>
        <w:t xml:space="preserve">) می باشد. توانمند ترین فابریکه ها ممکن بتوانند به ارزش </w:t>
      </w:r>
      <w:r w:rsidR="001F5409">
        <w:rPr>
          <w:rFonts w:hint="cs"/>
          <w:rtl/>
          <w:lang w:bidi="ps-AF"/>
        </w:rPr>
        <w:t>۳۱۰</w:t>
      </w:r>
      <w:r w:rsidR="002121C3">
        <w:rPr>
          <w:rFonts w:hint="cs"/>
          <w:rtl/>
          <w:lang w:bidi="fa-IR"/>
        </w:rPr>
        <w:t xml:space="preserve"> ملیون دالر مصارف </w:t>
      </w:r>
      <w:r w:rsidR="00CB29A7">
        <w:rPr>
          <w:rFonts w:hint="cs"/>
          <w:rtl/>
          <w:lang w:bidi="fa-IR"/>
        </w:rPr>
        <w:t>سرمایه ای</w:t>
      </w:r>
      <w:r w:rsidR="002121C3">
        <w:rPr>
          <w:rFonts w:hint="cs"/>
          <w:rtl/>
          <w:lang w:bidi="fa-IR"/>
        </w:rPr>
        <w:t xml:space="preserve"> و </w:t>
      </w:r>
      <w:r w:rsidR="001F5409">
        <w:rPr>
          <w:rFonts w:hint="cs"/>
          <w:rtl/>
          <w:lang w:bidi="ps-AF"/>
        </w:rPr>
        <w:t>۴۱</w:t>
      </w:r>
      <w:r w:rsidR="002121C3">
        <w:rPr>
          <w:rFonts w:hint="cs"/>
          <w:rtl/>
          <w:lang w:bidi="fa-IR"/>
        </w:rPr>
        <w:t xml:space="preserve"> ملیون دالر مصارف عملیاتی را در مدت </w:t>
      </w:r>
      <w:r w:rsidR="001F5409">
        <w:rPr>
          <w:rFonts w:hint="cs"/>
          <w:rtl/>
          <w:lang w:bidi="ps-AF"/>
        </w:rPr>
        <w:t>۱</w:t>
      </w:r>
      <w:r w:rsidR="002121C3">
        <w:rPr>
          <w:rFonts w:hint="cs"/>
          <w:rtl/>
          <w:lang w:bidi="fa-IR"/>
        </w:rPr>
        <w:t xml:space="preserve"> تا </w:t>
      </w:r>
      <w:r w:rsidR="001F5409">
        <w:rPr>
          <w:rFonts w:hint="cs"/>
          <w:rtl/>
          <w:lang w:bidi="ps-AF"/>
        </w:rPr>
        <w:t>۲</w:t>
      </w:r>
      <w:r w:rsidR="002121C3">
        <w:rPr>
          <w:rFonts w:hint="cs"/>
          <w:rtl/>
          <w:lang w:bidi="fa-IR"/>
        </w:rPr>
        <w:t xml:space="preserve"> سال (کتگوری </w:t>
      </w:r>
      <w:r w:rsidR="001F5409">
        <w:rPr>
          <w:rFonts w:hint="cs"/>
          <w:rtl/>
          <w:lang w:bidi="ps-AF"/>
        </w:rPr>
        <w:t>۲</w:t>
      </w:r>
      <w:r w:rsidR="002121C3">
        <w:rPr>
          <w:rFonts w:hint="cs"/>
          <w:rtl/>
          <w:lang w:bidi="fa-IR"/>
        </w:rPr>
        <w:t>) تدارک نمایند.</w:t>
      </w:r>
    </w:p>
    <w:p w:rsidR="002121C3" w:rsidRDefault="002121C3" w:rsidP="00D35CF7">
      <w:pPr>
        <w:bidi/>
        <w:jc w:val="both"/>
        <w:rPr>
          <w:rtl/>
          <w:lang w:bidi="fa-IR"/>
        </w:rPr>
      </w:pPr>
    </w:p>
    <w:p w:rsidR="007D08FF" w:rsidRDefault="007D08FF" w:rsidP="00D35CF7">
      <w:pPr>
        <w:bidi/>
        <w:jc w:val="both"/>
        <w:rPr>
          <w:rtl/>
          <w:lang w:bidi="fa-IR"/>
        </w:rPr>
      </w:pPr>
      <w:r>
        <w:rPr>
          <w:rFonts w:hint="cs"/>
          <w:rtl/>
          <w:lang w:bidi="fa-IR"/>
        </w:rPr>
        <w:t xml:space="preserve">بیشتر شرکت های محلی تمایل دارند تا در سکتور معدنکاری کار نمایند، اما تشبث های بزرگتر و مرتبط بیشتر تمایل به سرمایه گذاری در خریداری امور معدنکاری دارند. </w:t>
      </w:r>
      <w:r w:rsidR="00B14516">
        <w:rPr>
          <w:rFonts w:hint="cs"/>
          <w:rtl/>
          <w:lang w:bidi="fa-IR"/>
        </w:rPr>
        <w:t xml:space="preserve">شرکت های که در این مطالعه ارزیابی شدند شامل تهیه کننده های مواد خام ساختمانی، </w:t>
      </w:r>
      <w:r w:rsidR="00110276">
        <w:rPr>
          <w:rFonts w:hint="cs"/>
          <w:rtl/>
          <w:lang w:bidi="fa-IR"/>
        </w:rPr>
        <w:t>صنعتی</w:t>
      </w:r>
      <w:r w:rsidR="00B14516">
        <w:rPr>
          <w:rFonts w:hint="cs"/>
          <w:rtl/>
          <w:lang w:bidi="fa-IR"/>
        </w:rPr>
        <w:t xml:space="preserve"> و فراهم کننده های خدمات می باشند. خریداری های محلی با چالش های متعدد مواجه می شوند، از جمله:</w:t>
      </w:r>
    </w:p>
    <w:p w:rsidR="00637246" w:rsidRDefault="00637246" w:rsidP="00D35CF7">
      <w:pPr>
        <w:bidi/>
        <w:jc w:val="both"/>
        <w:rPr>
          <w:rtl/>
          <w:lang w:bidi="fa-IR"/>
        </w:rPr>
      </w:pPr>
    </w:p>
    <w:p w:rsidR="00637246" w:rsidRDefault="00637246" w:rsidP="00CB29A7">
      <w:pPr>
        <w:bidi/>
        <w:jc w:val="both"/>
        <w:rPr>
          <w:rtl/>
          <w:lang w:bidi="fa-IR"/>
        </w:rPr>
      </w:pPr>
      <w:r w:rsidRPr="00EA41B2">
        <w:rPr>
          <w:rFonts w:hint="cs"/>
          <w:b/>
          <w:bCs/>
          <w:u w:val="single"/>
          <w:rtl/>
          <w:lang w:bidi="fa-IR"/>
        </w:rPr>
        <w:t>کیفیت و موجودیت اجناس و خدمات</w:t>
      </w:r>
      <w:r>
        <w:rPr>
          <w:rFonts w:hint="cs"/>
          <w:rtl/>
          <w:lang w:bidi="fa-IR"/>
        </w:rPr>
        <w:t xml:space="preserve">. </w:t>
      </w:r>
      <w:r w:rsidR="00110276">
        <w:rPr>
          <w:rFonts w:hint="cs"/>
          <w:rtl/>
          <w:lang w:bidi="fa-IR"/>
        </w:rPr>
        <w:t xml:space="preserve">صنعت در افغانستان یک پدیده در حال ظهور می باشد، و بیشتر مواد مصرفی، مواد و تجهیزات ساختمانی در این کشور تورید می شوند. مواد که در افغانستان تولید یا بسته بندی می شوند، بصورت گسترده وابسته به واردات اند که سوال های را در مورد </w:t>
      </w:r>
      <w:r w:rsidR="00951723">
        <w:rPr>
          <w:rFonts w:hint="cs"/>
          <w:rtl/>
          <w:lang w:bidi="fa-IR"/>
        </w:rPr>
        <w:t xml:space="preserve">رضایتمندی محلی به میان می آورد. </w:t>
      </w:r>
      <w:r w:rsidR="00860557">
        <w:rPr>
          <w:rFonts w:hint="cs"/>
          <w:rtl/>
          <w:lang w:bidi="prs-AF"/>
        </w:rPr>
        <w:t>بیشتر اجناس و خدمات که فعلاْ از شرکت های افغانی می تواند به دست آید</w:t>
      </w:r>
      <w:r w:rsidR="00860557">
        <w:rPr>
          <w:rFonts w:hint="cs"/>
          <w:rtl/>
          <w:lang w:bidi="fa-IR"/>
        </w:rPr>
        <w:t>، از نظر کمی و کیفی برای پروژه های عینک و آمو دریا کافی نمی باشند. علاوه بر آن، تهیه کننده گان محلی طوری تجهیز نیستند که بتوانند چالش های ناشی از توسعه صنایع استخراجی که در نتیجه کمبود معلومات عملیاتی و تخنیکی، ضعف مهارت های مدیریتی، و کمبود متخصصین استخراجی می باشد، را رفع نمایند. موقعیت داشتن پروژه های عینک و آمو دریا در ساحات دور دست و دهات، جائیکه صنعت و توانمندی های مردم بسیار محدود می باشد، موانع فرا راه خریداری ها را بیشتر می سازد.</w:t>
      </w:r>
    </w:p>
    <w:p w:rsidR="00860557" w:rsidRDefault="00860557" w:rsidP="00D35CF7">
      <w:pPr>
        <w:bidi/>
        <w:jc w:val="both"/>
        <w:rPr>
          <w:rtl/>
          <w:lang w:bidi="fa-IR"/>
        </w:rPr>
      </w:pPr>
    </w:p>
    <w:p w:rsidR="00860557" w:rsidRDefault="00860557" w:rsidP="00CB29A7">
      <w:pPr>
        <w:bidi/>
        <w:jc w:val="both"/>
        <w:rPr>
          <w:rtl/>
          <w:lang w:bidi="fa-IR"/>
        </w:rPr>
      </w:pPr>
      <w:r w:rsidRPr="00610F93">
        <w:rPr>
          <w:rFonts w:hint="cs"/>
          <w:b/>
          <w:bCs/>
          <w:u w:val="single"/>
          <w:rtl/>
          <w:lang w:bidi="fa-IR"/>
        </w:rPr>
        <w:t>عواید نا مشخص</w:t>
      </w:r>
      <w:r>
        <w:rPr>
          <w:rFonts w:hint="cs"/>
          <w:rtl/>
          <w:lang w:bidi="fa-IR"/>
        </w:rPr>
        <w:t xml:space="preserve">. معلومات نا کافی و بعضی ابهامات در مورد این دو پروژه برای شرکت های محلی سنجش عواید احتمالی ناشی از آن را دشوار ساخته است. </w:t>
      </w:r>
      <w:r w:rsidR="00610F93">
        <w:rPr>
          <w:rFonts w:hint="cs"/>
          <w:rtl/>
          <w:lang w:bidi="fa-IR"/>
        </w:rPr>
        <w:t xml:space="preserve">در حالتی که دسترسی به وجوه، بنابر نیازمندی های  ایمنی، محدودیت در ابزار مدیریت خطر و سطح بلند هزینه </w:t>
      </w:r>
      <w:r w:rsidR="00CB29A7">
        <w:rPr>
          <w:rFonts w:hint="cs"/>
          <w:rtl/>
          <w:lang w:bidi="fa-IR"/>
        </w:rPr>
        <w:t>سرمایه ای</w:t>
      </w:r>
      <w:r w:rsidR="00610F93">
        <w:rPr>
          <w:rFonts w:hint="cs"/>
          <w:rtl/>
          <w:lang w:bidi="fa-IR"/>
        </w:rPr>
        <w:t>، خود یک مشکل می باشد، این امر نیز یک معضل اضافی پنداشته می شود. بیشتر شرکت ها قادر به قرضه گیری نبوده و نمی خواهند خطر بگیرند، و از طرفی هم دید کوتاه مدت دارند.</w:t>
      </w:r>
    </w:p>
    <w:p w:rsidR="004A3E4D" w:rsidRDefault="00D5564D" w:rsidP="00D35CF7">
      <w:pPr>
        <w:jc w:val="both"/>
      </w:pPr>
    </w:p>
    <w:p w:rsidR="00B71E15" w:rsidRDefault="00D5564D" w:rsidP="00D35CF7">
      <w:pPr>
        <w:jc w:val="both"/>
      </w:pPr>
    </w:p>
    <w:p w:rsidR="00610F93" w:rsidRDefault="00610F93" w:rsidP="00D35CF7">
      <w:pPr>
        <w:jc w:val="both"/>
        <w:rPr>
          <w:b/>
          <w:u w:val="single"/>
          <w:rtl/>
        </w:rPr>
      </w:pPr>
    </w:p>
    <w:p w:rsidR="00610F93" w:rsidRDefault="003A7722" w:rsidP="00D35CF7">
      <w:pPr>
        <w:bidi/>
        <w:jc w:val="both"/>
        <w:rPr>
          <w:b/>
          <w:rtl/>
        </w:rPr>
      </w:pPr>
      <w:r w:rsidRPr="00512DE4">
        <w:rPr>
          <w:rFonts w:hint="cs"/>
          <w:bCs/>
          <w:u w:val="single"/>
          <w:rtl/>
        </w:rPr>
        <w:lastRenderedPageBreak/>
        <w:t>معلومات</w:t>
      </w:r>
      <w:r w:rsidRPr="00512DE4">
        <w:rPr>
          <w:rFonts w:hint="cs"/>
          <w:b/>
          <w:rtl/>
        </w:rPr>
        <w:t xml:space="preserve"> بصورت مستقیم از طرف تمویل کنندگان پروژه های عینک و آمو دریا به سکتور خصوصی افغانی ارسا</w:t>
      </w:r>
      <w:r w:rsidR="00512DE4" w:rsidRPr="00512DE4">
        <w:rPr>
          <w:rFonts w:hint="cs"/>
          <w:b/>
          <w:rtl/>
        </w:rPr>
        <w:t>ل نمی شود که این امر برای شرکت های افغانی ارزیابی فرصت ها را دشوار می سازد.</w:t>
      </w:r>
      <w:r w:rsidR="00CD425F">
        <w:rPr>
          <w:rFonts w:hint="cs"/>
          <w:b/>
          <w:rtl/>
        </w:rPr>
        <w:t xml:space="preserve"> مشکلات لسانی و عدم اعتماد</w:t>
      </w:r>
      <w:r w:rsidR="00CB29A7">
        <w:rPr>
          <w:rFonts w:hint="cs"/>
          <w:b/>
          <w:rtl/>
        </w:rPr>
        <w:t>،</w:t>
      </w:r>
      <w:r w:rsidR="00CD425F">
        <w:rPr>
          <w:rFonts w:hint="cs"/>
          <w:b/>
          <w:rtl/>
        </w:rPr>
        <w:t xml:space="preserve"> به موانع جریان معلومات می افزاید. </w:t>
      </w:r>
    </w:p>
    <w:p w:rsidR="00CD425F" w:rsidRDefault="00CD425F" w:rsidP="00D35CF7">
      <w:pPr>
        <w:bidi/>
        <w:jc w:val="both"/>
        <w:rPr>
          <w:b/>
          <w:rtl/>
        </w:rPr>
      </w:pPr>
    </w:p>
    <w:p w:rsidR="00CD425F" w:rsidRDefault="00CD425F" w:rsidP="00D35CF7">
      <w:pPr>
        <w:bidi/>
        <w:jc w:val="both"/>
        <w:rPr>
          <w:b/>
          <w:rtl/>
        </w:rPr>
      </w:pPr>
      <w:r w:rsidRPr="00A97497">
        <w:rPr>
          <w:rFonts w:hint="cs"/>
          <w:bCs/>
          <w:u w:val="single"/>
          <w:rtl/>
        </w:rPr>
        <w:t>تنظیمات موجوده خریداری</w:t>
      </w:r>
      <w:r>
        <w:rPr>
          <w:rFonts w:hint="cs"/>
          <w:b/>
          <w:rtl/>
        </w:rPr>
        <w:t xml:space="preserve"> شرکت های افغانی را از دخیل شدن در این پروژه ها بی تمایل می سازد. </w:t>
      </w:r>
      <w:r w:rsidR="002B4E23">
        <w:rPr>
          <w:rFonts w:hint="cs"/>
          <w:b/>
          <w:rtl/>
        </w:rPr>
        <w:t xml:space="preserve">دولت عمده ترین ارگان بخاطر اخذ قرارداد ها در صنایع استخراجی محسوب می شود، و شرکت های خصوصی که وابسته به مسولین نیستند بنابر فساد اداری و قوم گرایی بی اعتماد اند. علاوه بر آن، ارتباط وطن گروپ با سرمایه گذار خارجی تمویل کننده پروژه آمو دریا و با حکومت، می تواند سایر شرکت ها را از دخیل شدن در این پروژه مانع شود. </w:t>
      </w:r>
      <w:r w:rsidR="00A97497">
        <w:rPr>
          <w:rFonts w:hint="cs"/>
          <w:b/>
          <w:rtl/>
        </w:rPr>
        <w:t>این گروپ قادر به تدارک یک مقدار اجناس و خدمات به این پروژه می باشد. بلاخره، فعالیت ها متمرکز بالای توسعه خریداری محلی هماهنگ شده نیستند.</w:t>
      </w:r>
    </w:p>
    <w:p w:rsidR="00A97497" w:rsidRDefault="00A97497" w:rsidP="00D35CF7">
      <w:pPr>
        <w:bidi/>
        <w:jc w:val="both"/>
        <w:rPr>
          <w:b/>
          <w:rtl/>
        </w:rPr>
      </w:pPr>
    </w:p>
    <w:p w:rsidR="00A97497" w:rsidRDefault="00A97497" w:rsidP="004A4F8C">
      <w:pPr>
        <w:bidi/>
        <w:jc w:val="both"/>
        <w:rPr>
          <w:b/>
          <w:rtl/>
          <w:lang w:bidi="fa-IR"/>
        </w:rPr>
      </w:pPr>
      <w:r w:rsidRPr="00AB1863">
        <w:rPr>
          <w:rFonts w:hint="cs"/>
          <w:bCs/>
          <w:u w:val="single"/>
          <w:rtl/>
        </w:rPr>
        <w:t>خطرات سیاسی و اقتصادی</w:t>
      </w:r>
      <w:r>
        <w:rPr>
          <w:rFonts w:hint="cs"/>
          <w:b/>
          <w:rtl/>
        </w:rPr>
        <w:t xml:space="preserve">، بنابر خروج نیرو های خارجی در سال </w:t>
      </w:r>
      <w:r w:rsidR="004A4F8C">
        <w:rPr>
          <w:rFonts w:hint="cs"/>
          <w:b/>
          <w:rtl/>
          <w:lang w:bidi="ps-AF"/>
        </w:rPr>
        <w:t>۲۰۱۴</w:t>
      </w:r>
      <w:r>
        <w:rPr>
          <w:rFonts w:hint="cs"/>
          <w:b/>
          <w:rtl/>
        </w:rPr>
        <w:t xml:space="preserve">، امنیت ضعیف، </w:t>
      </w:r>
      <w:r w:rsidR="00E41BA9">
        <w:rPr>
          <w:rFonts w:hint="cs"/>
          <w:b/>
          <w:rtl/>
        </w:rPr>
        <w:t xml:space="preserve">کار های باستان شناسی نزدیک عینک، همچنان واضح نبودن آینده قرارداد های موجود معدنکاری و نیازمندی های </w:t>
      </w:r>
      <w:r w:rsidR="00E41BA9">
        <w:rPr>
          <w:b/>
        </w:rPr>
        <w:t>CSR</w:t>
      </w:r>
      <w:r w:rsidR="00E41BA9">
        <w:rPr>
          <w:rFonts w:hint="cs"/>
          <w:b/>
          <w:rtl/>
          <w:lang w:bidi="fa-IR"/>
        </w:rPr>
        <w:t xml:space="preserve"> از سرمایه گذاران خارجی، از جمله چالش ها بحساب می آیند.</w:t>
      </w:r>
    </w:p>
    <w:p w:rsidR="00E41BA9" w:rsidRDefault="00E41BA9" w:rsidP="00D35CF7">
      <w:pPr>
        <w:bidi/>
        <w:jc w:val="both"/>
        <w:rPr>
          <w:b/>
          <w:rtl/>
          <w:lang w:bidi="fa-IR"/>
        </w:rPr>
      </w:pPr>
    </w:p>
    <w:p w:rsidR="00AB1863" w:rsidRDefault="009513AF" w:rsidP="00D35CF7">
      <w:pPr>
        <w:bidi/>
        <w:jc w:val="both"/>
        <w:rPr>
          <w:b/>
          <w:rtl/>
          <w:lang w:bidi="fa-IR"/>
        </w:rPr>
      </w:pPr>
      <w:r>
        <w:rPr>
          <w:rFonts w:hint="cs"/>
          <w:b/>
          <w:rtl/>
          <w:lang w:bidi="fa-IR"/>
        </w:rPr>
        <w:t>بناءً، در صورت که شرکت های داخلی تمام فرصت های فراهم شده پروژه های عینک و آمو دریا را میگیرند، نیاز به حمایت مالی و تخنیکی می باشد. برنامه پیشنهادی همکاری</w:t>
      </w:r>
      <w:r w:rsidR="00011326">
        <w:rPr>
          <w:rFonts w:hint="cs"/>
          <w:b/>
          <w:rtl/>
          <w:lang w:bidi="fa-IR"/>
        </w:rPr>
        <w:t xml:space="preserve"> بالای آنعده تشبث های داخلی متمرکز خواهد بود که با اعتماد، مجهز و با مدیریت قوی باشند. این امر مستلزم سهم گیری فعال تمویل کنندگان متعدد، </w:t>
      </w:r>
      <w:r w:rsidR="00B27589">
        <w:rPr>
          <w:rFonts w:hint="cs"/>
          <w:b/>
          <w:rtl/>
          <w:lang w:bidi="fa-IR"/>
        </w:rPr>
        <w:t>تمویل کنندگان عینک و آمو دریا (</w:t>
      </w:r>
      <w:r w:rsidR="00B27589">
        <w:rPr>
          <w:b/>
          <w:lang w:bidi="fa-IR"/>
        </w:rPr>
        <w:t>MCC</w:t>
      </w:r>
      <w:r w:rsidR="00B27589">
        <w:rPr>
          <w:rFonts w:hint="cs"/>
          <w:b/>
          <w:rtl/>
          <w:lang w:bidi="fa-IR"/>
        </w:rPr>
        <w:t xml:space="preserve"> و </w:t>
      </w:r>
      <w:r w:rsidR="00B27589">
        <w:rPr>
          <w:b/>
          <w:lang w:bidi="fa-IR"/>
        </w:rPr>
        <w:t>CNPCI-W</w:t>
      </w:r>
      <w:r w:rsidR="00B27589">
        <w:rPr>
          <w:rFonts w:hint="cs"/>
          <w:b/>
          <w:rtl/>
          <w:lang w:bidi="fa-IR"/>
        </w:rPr>
        <w:t>)، وزارت معادن، اطاق تجارت و صنایع افغانستان، سرمایه گذاران و تشبثات داخلی، می باشد.</w:t>
      </w:r>
    </w:p>
    <w:p w:rsidR="00B27589" w:rsidRDefault="00B27589" w:rsidP="00D35CF7">
      <w:pPr>
        <w:bidi/>
        <w:jc w:val="both"/>
        <w:rPr>
          <w:b/>
          <w:rtl/>
          <w:lang w:bidi="fa-IR"/>
        </w:rPr>
      </w:pPr>
    </w:p>
    <w:p w:rsidR="00B27589" w:rsidRDefault="00E64B51" w:rsidP="00D35CF7">
      <w:pPr>
        <w:bidi/>
        <w:jc w:val="both"/>
        <w:rPr>
          <w:b/>
          <w:rtl/>
          <w:lang w:bidi="fa-IR"/>
        </w:rPr>
      </w:pPr>
      <w:r>
        <w:rPr>
          <w:rFonts w:hint="cs"/>
          <w:b/>
          <w:rtl/>
          <w:lang w:bidi="fa-IR"/>
        </w:rPr>
        <w:t xml:space="preserve">ساختار پیشنهادی شامل ایجاد یک تیم جدید مسول تطبیق برنامه خواهد بود. تیم نظارت و هماهنگ کننده تمام نیازمندی های خریداری </w:t>
      </w:r>
      <w:r>
        <w:rPr>
          <w:b/>
          <w:lang w:bidi="fa-IR"/>
        </w:rPr>
        <w:t>MCC</w:t>
      </w:r>
      <w:r>
        <w:rPr>
          <w:rFonts w:hint="cs"/>
          <w:b/>
          <w:rtl/>
          <w:lang w:bidi="fa-IR"/>
        </w:rPr>
        <w:t xml:space="preserve"> و </w:t>
      </w:r>
      <w:r>
        <w:rPr>
          <w:b/>
          <w:lang w:bidi="fa-IR"/>
        </w:rPr>
        <w:t>CNPCI-W</w:t>
      </w:r>
      <w:r>
        <w:rPr>
          <w:rFonts w:hint="cs"/>
          <w:b/>
          <w:rtl/>
          <w:lang w:bidi="fa-IR"/>
        </w:rPr>
        <w:t xml:space="preserve"> را مرکزی ساخته و معلومات را به تهیه کنندگان توانمند از طریق ترتیب یک بازار سنتی و موثر، ارسال می نماید. این تیم همچنان تشبثات داخلی و سرمایه گذاران احتمالی را از طریق کنفرانس ها و کمپاین های ارتباطی، با هم وصل می نماید. علاوه بر آن، این تیم برنامه رشد مهارت ها را که از طرف مربیون تخنیکی </w:t>
      </w:r>
      <w:r>
        <w:rPr>
          <w:b/>
          <w:lang w:bidi="fa-IR"/>
        </w:rPr>
        <w:t>MCC</w:t>
      </w:r>
      <w:r>
        <w:rPr>
          <w:rFonts w:hint="cs"/>
          <w:b/>
          <w:rtl/>
          <w:lang w:bidi="fa-IR"/>
        </w:rPr>
        <w:t xml:space="preserve"> و </w:t>
      </w:r>
      <w:r>
        <w:rPr>
          <w:b/>
          <w:lang w:bidi="fa-IR"/>
        </w:rPr>
        <w:t>CNPCI-W</w:t>
      </w:r>
      <w:r>
        <w:rPr>
          <w:rFonts w:hint="cs"/>
          <w:b/>
          <w:rtl/>
          <w:lang w:bidi="fa-IR"/>
        </w:rPr>
        <w:t xml:space="preserve"> و مربیون تشبث ارایه می شود، تنظیم و اداره می نماید. بلاخره، این تیم در بسیج پلان های سرمایه گذاری </w:t>
      </w:r>
      <w:r w:rsidR="00DA1222">
        <w:rPr>
          <w:rFonts w:hint="cs"/>
          <w:b/>
          <w:rtl/>
          <w:lang w:bidi="fa-IR"/>
        </w:rPr>
        <w:t>بمنظور هماهنگ نمودن تدارکات داخلی با پلان های کاری ای که برای هر شرکت انتخاب شده برای سهم گیری در پلان خریداری طرح شده است، همکاری خواهد نمود. یکجا نمودن رهنمایی و سرمایه گذاری وجوه، کمک های بلاعوض یا شرکای سرمایه خصوصی منتج به بهبود تولیدات داخلی از طریق افزایش ظرفیت و کیفیت بهتر، خواهد شد. در عین حال، جریان بهتر معلومات روند سرمایه گذاری و خریداری را تسهیل خواهد نمود. این برنامه بمنظور سنجش موثریت آن، نظارت و ارزیابی خواهد شد.</w:t>
      </w:r>
    </w:p>
    <w:p w:rsidR="00DA1222" w:rsidRDefault="00DA1222" w:rsidP="00D35CF7">
      <w:pPr>
        <w:bidi/>
        <w:jc w:val="both"/>
        <w:rPr>
          <w:b/>
          <w:rtl/>
          <w:lang w:bidi="fa-IR"/>
        </w:rPr>
      </w:pPr>
    </w:p>
    <w:p w:rsidR="00DA1222" w:rsidRDefault="00DA1222" w:rsidP="00CB29A7">
      <w:pPr>
        <w:bidi/>
        <w:jc w:val="both"/>
        <w:rPr>
          <w:b/>
          <w:rtl/>
          <w:lang w:bidi="fa-IR"/>
        </w:rPr>
      </w:pPr>
      <w:r>
        <w:rPr>
          <w:rFonts w:hint="cs"/>
          <w:b/>
          <w:rtl/>
          <w:lang w:bidi="fa-IR"/>
        </w:rPr>
        <w:t xml:space="preserve">برنامه تطبیق اقدامات زیر را تعقیب خواهد </w:t>
      </w:r>
      <w:r w:rsidR="00CB29A7">
        <w:rPr>
          <w:rFonts w:hint="cs"/>
          <w:b/>
          <w:rtl/>
          <w:lang w:bidi="fa-IR"/>
        </w:rPr>
        <w:t>کرد</w:t>
      </w:r>
      <w:r>
        <w:rPr>
          <w:rFonts w:hint="cs"/>
          <w:b/>
          <w:rtl/>
          <w:lang w:bidi="fa-IR"/>
        </w:rPr>
        <w:t>:</w:t>
      </w:r>
    </w:p>
    <w:p w:rsidR="00DA1222" w:rsidRDefault="00DA1222" w:rsidP="00D35CF7">
      <w:pPr>
        <w:pStyle w:val="ListParagraph"/>
        <w:numPr>
          <w:ilvl w:val="0"/>
          <w:numId w:val="7"/>
        </w:numPr>
        <w:bidi/>
        <w:jc w:val="both"/>
        <w:rPr>
          <w:b/>
          <w:lang w:bidi="fa-IR"/>
        </w:rPr>
      </w:pPr>
      <w:r>
        <w:rPr>
          <w:rFonts w:hint="cs"/>
          <w:b/>
          <w:rtl/>
          <w:lang w:bidi="fa-IR"/>
        </w:rPr>
        <w:t>آماده کردن برنامه هماهنگی و گرفتن تعهد تمام مراجع ذیربط</w:t>
      </w:r>
    </w:p>
    <w:p w:rsidR="00DA1222" w:rsidRDefault="00DA1222" w:rsidP="00D35CF7">
      <w:pPr>
        <w:pStyle w:val="ListParagraph"/>
        <w:numPr>
          <w:ilvl w:val="0"/>
          <w:numId w:val="7"/>
        </w:numPr>
        <w:bidi/>
        <w:jc w:val="both"/>
        <w:rPr>
          <w:b/>
          <w:lang w:bidi="fa-IR"/>
        </w:rPr>
      </w:pPr>
      <w:r>
        <w:rPr>
          <w:rFonts w:hint="cs"/>
          <w:b/>
          <w:rtl/>
          <w:lang w:bidi="fa-IR"/>
        </w:rPr>
        <w:t>ایجاد ارتباط میان تمام اشتراک کنندگان</w:t>
      </w:r>
    </w:p>
    <w:p w:rsidR="00DA1222" w:rsidRDefault="00DA1222" w:rsidP="00D35CF7">
      <w:pPr>
        <w:pStyle w:val="ListParagraph"/>
        <w:numPr>
          <w:ilvl w:val="0"/>
          <w:numId w:val="7"/>
        </w:numPr>
        <w:bidi/>
        <w:jc w:val="both"/>
        <w:rPr>
          <w:b/>
          <w:lang w:bidi="fa-IR"/>
        </w:rPr>
      </w:pPr>
      <w:r>
        <w:rPr>
          <w:rFonts w:hint="cs"/>
          <w:b/>
          <w:rtl/>
          <w:lang w:bidi="fa-IR"/>
        </w:rPr>
        <w:t xml:space="preserve">رفع خلاء های معلوماتی </w:t>
      </w:r>
      <w:r w:rsidR="00425E13">
        <w:rPr>
          <w:rFonts w:hint="cs"/>
          <w:b/>
          <w:rtl/>
          <w:lang w:bidi="fa-IR"/>
        </w:rPr>
        <w:t>مرتبط به نیازمندی های خریداری و توانمندی های داخلی</w:t>
      </w:r>
    </w:p>
    <w:p w:rsidR="00425E13" w:rsidRDefault="00425E13" w:rsidP="00D35CF7">
      <w:pPr>
        <w:pStyle w:val="ListParagraph"/>
        <w:numPr>
          <w:ilvl w:val="0"/>
          <w:numId w:val="7"/>
        </w:numPr>
        <w:bidi/>
        <w:jc w:val="both"/>
        <w:rPr>
          <w:b/>
          <w:lang w:bidi="fa-IR"/>
        </w:rPr>
      </w:pPr>
      <w:r>
        <w:rPr>
          <w:rFonts w:hint="cs"/>
          <w:b/>
          <w:rtl/>
          <w:lang w:bidi="fa-IR"/>
        </w:rPr>
        <w:t>رشد توانمندی های داخلی از طریق سرمایه گذاری و رهنمایی</w:t>
      </w:r>
    </w:p>
    <w:p w:rsidR="00425E13" w:rsidRPr="00DA1222" w:rsidRDefault="00425E13" w:rsidP="00D35CF7">
      <w:pPr>
        <w:pStyle w:val="ListParagraph"/>
        <w:numPr>
          <w:ilvl w:val="0"/>
          <w:numId w:val="7"/>
        </w:numPr>
        <w:bidi/>
        <w:jc w:val="both"/>
        <w:rPr>
          <w:b/>
          <w:rtl/>
          <w:lang w:bidi="fa-IR"/>
        </w:rPr>
      </w:pPr>
      <w:r>
        <w:rPr>
          <w:rFonts w:hint="cs"/>
          <w:b/>
          <w:rtl/>
          <w:lang w:bidi="fa-IR"/>
        </w:rPr>
        <w:t>حصول اطمینان از ثبات و دوام از طریق نظارت و ارزیابی، تعدیل و تکرار.</w:t>
      </w:r>
    </w:p>
    <w:p w:rsidR="00455E0C" w:rsidRDefault="00D5564D" w:rsidP="00D35CF7">
      <w:pPr>
        <w:jc w:val="both"/>
      </w:pPr>
    </w:p>
    <w:p w:rsidR="002377EA" w:rsidRDefault="00D5564D" w:rsidP="00D35CF7">
      <w:pPr>
        <w:jc w:val="both"/>
      </w:pPr>
    </w:p>
    <w:p w:rsidR="004C2B1F" w:rsidRDefault="00D5564D" w:rsidP="00D35CF7">
      <w:pPr>
        <w:jc w:val="both"/>
      </w:pPr>
    </w:p>
    <w:p w:rsidR="00185BC8" w:rsidRPr="004C2B1F" w:rsidRDefault="00D5564D" w:rsidP="00D35CF7">
      <w:pPr>
        <w:jc w:val="both"/>
      </w:pPr>
    </w:p>
    <w:p w:rsidR="003C3624" w:rsidRDefault="003C3624" w:rsidP="00D35CF7">
      <w:pPr>
        <w:jc w:val="both"/>
      </w:pPr>
    </w:p>
    <w:sectPr w:rsidR="003C3624" w:rsidSect="00D5564D">
      <w:footerReference w:type="default" r:id="rId8"/>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8B" w:rsidRDefault="00C14C8B" w:rsidP="00C14C8B">
      <w:r>
        <w:separator/>
      </w:r>
    </w:p>
  </w:endnote>
  <w:endnote w:type="continuationSeparator" w:id="0">
    <w:p w:rsidR="00C14C8B" w:rsidRDefault="00C14C8B" w:rsidP="00C1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8B" w:rsidRDefault="00C14C8B" w:rsidP="00C14C8B">
    <w:pPr>
      <w:pStyle w:val="Footer"/>
      <w:rPr>
        <w:lang w:bidi="ps-AF"/>
      </w:rPr>
    </w:pPr>
    <w:r>
      <w:rPr>
        <w:rFonts w:asciiTheme="majorBidi" w:hAnsiTheme="majorBidi" w:cstheme="majorBidi" w:hint="cs"/>
        <w:color w:val="000000"/>
        <w:rtl/>
        <w:lang w:bidi="ps-AF"/>
      </w:rPr>
      <w:t xml:space="preserve"> </w:t>
    </w:r>
    <w:r>
      <w:rPr>
        <w:rFonts w:asciiTheme="minorBidi" w:hAnsiTheme="minorBidi" w:hint="cs"/>
        <w:rtl/>
        <w:lang w:bidi="ps-AF"/>
      </w:rPr>
      <w:t>م</w:t>
    </w:r>
    <w:r w:rsidRPr="00935E1E">
      <w:rPr>
        <w:rFonts w:asciiTheme="minorBidi" w:hAnsiTheme="minorBidi" w:hint="cs"/>
        <w:rtl/>
        <w:lang w:bidi="fa-IR"/>
      </w:rPr>
      <w:t>یباشد</w:t>
    </w:r>
    <w:r>
      <w:rPr>
        <w:rFonts w:asciiTheme="minorBidi" w:hAnsiTheme="minorBidi" w:hint="cs"/>
        <w:rtl/>
        <w:lang w:bidi="ps-AF"/>
      </w:rPr>
      <w:t xml:space="preserve"> </w:t>
    </w:r>
    <w:r w:rsidRPr="00935E1E">
      <w:rPr>
        <w:rFonts w:asciiTheme="minorBidi" w:hAnsiTheme="minorBidi"/>
        <w:rtl/>
        <w:lang w:bidi="fa-IR"/>
      </w:rPr>
      <w:t>و به عنوان خدمت به</w:t>
    </w:r>
    <w:r w:rsidRPr="002E1BBB">
      <w:rPr>
        <w:rFonts w:asciiTheme="majorBidi" w:hAnsiTheme="majorBidi" w:cstheme="majorBidi"/>
        <w:color w:val="000000"/>
      </w:rPr>
      <w:t xml:space="preserve"> Executive Summary</w:t>
    </w:r>
    <w:r w:rsidRPr="002E1BBB">
      <w:rPr>
        <w:rFonts w:asciiTheme="majorBidi" w:hAnsiTheme="majorBidi" w:cstheme="majorBidi"/>
      </w:rPr>
      <w:t>–</w:t>
    </w:r>
    <w:r w:rsidRPr="002E1BBB">
      <w:rPr>
        <w:rFonts w:asciiTheme="majorBidi" w:hAnsiTheme="majorBidi" w:cstheme="majorBidi"/>
        <w:color w:val="000000"/>
      </w:rPr>
      <w:t xml:space="preserve"> Private Sector Development </w:t>
    </w:r>
    <w:r w:rsidRPr="00F721CC">
      <w:rPr>
        <w:rFonts w:asciiTheme="majorBidi" w:hAnsiTheme="majorBidi" w:cstheme="majorBidi"/>
        <w:rtl/>
        <w:lang w:bidi="fa-IR"/>
      </w:rPr>
      <w:t>سند هذا ترج</w:t>
    </w:r>
    <w:r>
      <w:rPr>
        <w:rFonts w:asciiTheme="majorBidi" w:hAnsiTheme="majorBidi" w:cstheme="majorBidi"/>
        <w:rtl/>
        <w:lang w:bidi="ps-AF"/>
      </w:rPr>
      <w:t>مه</w:t>
    </w:r>
    <w:r w:rsidRPr="00935E1E">
      <w:rPr>
        <w:rFonts w:asciiTheme="minorBidi" w:hAnsiTheme="minorBidi"/>
        <w:lang w:bidi="fa-IR"/>
      </w:rPr>
      <w:t xml:space="preserve"> </w:t>
    </w:r>
    <w:r w:rsidRPr="00935E1E">
      <w:rPr>
        <w:rFonts w:asciiTheme="minorBidi" w:hAnsiTheme="minorBidi"/>
        <w:rtl/>
        <w:lang w:bidi="fa-IR"/>
      </w:rPr>
      <w:t>اشخاص علاقه مند پیشکش</w:t>
    </w:r>
    <w:r w:rsidRPr="00F60F7C">
      <w:rPr>
        <w:rFonts w:asciiTheme="minorBidi" w:hAnsiTheme="minorBidi"/>
        <w:rtl/>
        <w:lang w:bidi="fa-IR"/>
      </w:rPr>
      <w:t xml:space="preserve"> میگردد. درصورت اختلاف، به متن انگلیسی این سند ترجیح داده میشود</w:t>
    </w:r>
    <w:r>
      <w:rPr>
        <w:rFonts w:asciiTheme="minorBidi" w:hAnsiTheme="minorBidi" w:hint="cs"/>
        <w:rtl/>
        <w:lang w:bidi="ps-A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8B" w:rsidRDefault="00C14C8B" w:rsidP="00C14C8B">
      <w:r>
        <w:separator/>
      </w:r>
    </w:p>
  </w:footnote>
  <w:footnote w:type="continuationSeparator" w:id="0">
    <w:p w:rsidR="00C14C8B" w:rsidRDefault="00C14C8B" w:rsidP="00C1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4D" w:rsidRDefault="00D5564D">
    <w:pPr>
      <w:pStyle w:val="Header"/>
    </w:pPr>
    <w:r>
      <w:rPr>
        <w:noProof/>
      </w:rPr>
      <mc:AlternateContent>
        <mc:Choice Requires="wps">
          <w:drawing>
            <wp:anchor distT="0" distB="0" distL="114300" distR="114300" simplePos="0" relativeHeight="251659264" behindDoc="0" locked="0" layoutInCell="1" allowOverlap="1" wp14:anchorId="502743C7" wp14:editId="0D5FF9FF">
              <wp:simplePos x="0" y="0"/>
              <wp:positionH relativeFrom="column">
                <wp:posOffset>4874260</wp:posOffset>
              </wp:positionH>
              <wp:positionV relativeFrom="paragraph">
                <wp:posOffset>-65405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5564D" w:rsidRPr="00D5564D" w:rsidRDefault="00D5564D" w:rsidP="00D5564D">
                          <w:pPr>
                            <w:pStyle w:val="Header"/>
                            <w:jc w:val="center"/>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D5564D">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79733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8pt;margin-top:-5.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" filled="f" stroked="f">
              <v:fill o:detectmouseclick="t"/>
              <v:textbox style="mso-fit-shape-to-text:t">
                <w:txbxContent>
                  <w:p w:rsidR="00D5564D" w:rsidRPr="00D5564D" w:rsidRDefault="00D5564D" w:rsidP="00D5564D">
                    <w:pPr>
                      <w:pStyle w:val="Header"/>
                      <w:jc w:val="center"/>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D5564D">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79733</w:t>
                    </w:r>
                  </w:p>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1FE"/>
    <w:multiLevelType w:val="hybridMultilevel"/>
    <w:tmpl w:val="8A5EAE28"/>
    <w:lvl w:ilvl="0" w:tplc="C86A444A">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010C4"/>
    <w:multiLevelType w:val="hybridMultilevel"/>
    <w:tmpl w:val="B4D84E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BE46E8"/>
    <w:multiLevelType w:val="hybridMultilevel"/>
    <w:tmpl w:val="2D24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421E6"/>
    <w:multiLevelType w:val="multilevel"/>
    <w:tmpl w:val="8A5EAE28"/>
    <w:lvl w:ilvl="0">
      <w:numFmt w:val="bullet"/>
      <w:lvlText w:val="-"/>
      <w:lvlJc w:val="left"/>
      <w:pPr>
        <w:ind w:left="360" w:hanging="360"/>
      </w:pPr>
      <w:rPr>
        <w:rFonts w:ascii="Cambria" w:eastAsiaTheme="minorHAnsi" w:hAnsi="Cambria"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FE902AF"/>
    <w:multiLevelType w:val="hybridMultilevel"/>
    <w:tmpl w:val="59824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836CCE"/>
    <w:multiLevelType w:val="hybridMultilevel"/>
    <w:tmpl w:val="42D2CD44"/>
    <w:lvl w:ilvl="0" w:tplc="C86A444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452EA"/>
    <w:multiLevelType w:val="hybridMultilevel"/>
    <w:tmpl w:val="510CA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24"/>
    <w:rsid w:val="00011326"/>
    <w:rsid w:val="00110276"/>
    <w:rsid w:val="001F5409"/>
    <w:rsid w:val="002121C3"/>
    <w:rsid w:val="002B4E23"/>
    <w:rsid w:val="003A7722"/>
    <w:rsid w:val="003C3624"/>
    <w:rsid w:val="00425E13"/>
    <w:rsid w:val="004A4F8C"/>
    <w:rsid w:val="004F7032"/>
    <w:rsid w:val="00512DE4"/>
    <w:rsid w:val="00610F93"/>
    <w:rsid w:val="00634CC4"/>
    <w:rsid w:val="00637246"/>
    <w:rsid w:val="006518AA"/>
    <w:rsid w:val="007426F1"/>
    <w:rsid w:val="007D08FF"/>
    <w:rsid w:val="00860557"/>
    <w:rsid w:val="0090697D"/>
    <w:rsid w:val="009513AF"/>
    <w:rsid w:val="00951723"/>
    <w:rsid w:val="00A97497"/>
    <w:rsid w:val="00AB1863"/>
    <w:rsid w:val="00AF1188"/>
    <w:rsid w:val="00B14516"/>
    <w:rsid w:val="00B27589"/>
    <w:rsid w:val="00C14C8B"/>
    <w:rsid w:val="00C52C8A"/>
    <w:rsid w:val="00CB29A7"/>
    <w:rsid w:val="00CD425F"/>
    <w:rsid w:val="00D35CF7"/>
    <w:rsid w:val="00D5564D"/>
    <w:rsid w:val="00DA1222"/>
    <w:rsid w:val="00E41BA9"/>
    <w:rsid w:val="00E64B51"/>
    <w:rsid w:val="00EA41B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1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9D"/>
    <w:pPr>
      <w:ind w:left="720"/>
      <w:contextualSpacing/>
    </w:pPr>
  </w:style>
  <w:style w:type="paragraph" w:styleId="NormalWeb">
    <w:name w:val="Normal (Web)"/>
    <w:basedOn w:val="Normal"/>
    <w:uiPriority w:val="99"/>
    <w:rsid w:val="00185BC8"/>
    <w:pPr>
      <w:spacing w:beforeLines="1" w:afterLines="1"/>
    </w:pPr>
    <w:rPr>
      <w:rFonts w:ascii="Times" w:hAnsi="Times" w:cs="Times New Roman"/>
      <w:sz w:val="20"/>
      <w:szCs w:val="20"/>
    </w:rPr>
  </w:style>
  <w:style w:type="table" w:styleId="TableGrid">
    <w:name w:val="Table Grid"/>
    <w:basedOn w:val="TableNormal"/>
    <w:uiPriority w:val="59"/>
    <w:rsid w:val="00BD30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14C8B"/>
    <w:pPr>
      <w:tabs>
        <w:tab w:val="center" w:pos="4680"/>
        <w:tab w:val="right" w:pos="9360"/>
      </w:tabs>
    </w:pPr>
  </w:style>
  <w:style w:type="character" w:customStyle="1" w:styleId="HeaderChar">
    <w:name w:val="Header Char"/>
    <w:basedOn w:val="DefaultParagraphFont"/>
    <w:link w:val="Header"/>
    <w:rsid w:val="00C14C8B"/>
  </w:style>
  <w:style w:type="paragraph" w:styleId="Footer">
    <w:name w:val="footer"/>
    <w:basedOn w:val="Normal"/>
    <w:link w:val="FooterChar"/>
    <w:rsid w:val="00C14C8B"/>
    <w:pPr>
      <w:tabs>
        <w:tab w:val="center" w:pos="4680"/>
        <w:tab w:val="right" w:pos="9360"/>
      </w:tabs>
    </w:pPr>
  </w:style>
  <w:style w:type="character" w:customStyle="1" w:styleId="FooterChar">
    <w:name w:val="Footer Char"/>
    <w:basedOn w:val="DefaultParagraphFont"/>
    <w:link w:val="Footer"/>
    <w:rsid w:val="00C14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1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9D"/>
    <w:pPr>
      <w:ind w:left="720"/>
      <w:contextualSpacing/>
    </w:pPr>
  </w:style>
  <w:style w:type="paragraph" w:styleId="NormalWeb">
    <w:name w:val="Normal (Web)"/>
    <w:basedOn w:val="Normal"/>
    <w:uiPriority w:val="99"/>
    <w:rsid w:val="00185BC8"/>
    <w:pPr>
      <w:spacing w:beforeLines="1" w:afterLines="1"/>
    </w:pPr>
    <w:rPr>
      <w:rFonts w:ascii="Times" w:hAnsi="Times" w:cs="Times New Roman"/>
      <w:sz w:val="20"/>
      <w:szCs w:val="20"/>
    </w:rPr>
  </w:style>
  <w:style w:type="table" w:styleId="TableGrid">
    <w:name w:val="Table Grid"/>
    <w:basedOn w:val="TableNormal"/>
    <w:uiPriority w:val="59"/>
    <w:rsid w:val="00BD30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14C8B"/>
    <w:pPr>
      <w:tabs>
        <w:tab w:val="center" w:pos="4680"/>
        <w:tab w:val="right" w:pos="9360"/>
      </w:tabs>
    </w:pPr>
  </w:style>
  <w:style w:type="character" w:customStyle="1" w:styleId="HeaderChar">
    <w:name w:val="Header Char"/>
    <w:basedOn w:val="DefaultParagraphFont"/>
    <w:link w:val="Header"/>
    <w:rsid w:val="00C14C8B"/>
  </w:style>
  <w:style w:type="paragraph" w:styleId="Footer">
    <w:name w:val="footer"/>
    <w:basedOn w:val="Normal"/>
    <w:link w:val="FooterChar"/>
    <w:rsid w:val="00C14C8B"/>
    <w:pPr>
      <w:tabs>
        <w:tab w:val="center" w:pos="4680"/>
        <w:tab w:val="right" w:pos="9360"/>
      </w:tabs>
    </w:pPr>
  </w:style>
  <w:style w:type="character" w:customStyle="1" w:styleId="FooterChar">
    <w:name w:val="Footer Char"/>
    <w:basedOn w:val="DefaultParagraphFont"/>
    <w:link w:val="Footer"/>
    <w:rsid w:val="00C1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0368">
      <w:bodyDiv w:val="1"/>
      <w:marLeft w:val="0"/>
      <w:marRight w:val="0"/>
      <w:marTop w:val="0"/>
      <w:marBottom w:val="0"/>
      <w:divBdr>
        <w:top w:val="none" w:sz="0" w:space="0" w:color="auto"/>
        <w:left w:val="none" w:sz="0" w:space="0" w:color="auto"/>
        <w:bottom w:val="none" w:sz="0" w:space="0" w:color="auto"/>
        <w:right w:val="none" w:sz="0" w:space="0" w:color="auto"/>
      </w:divBdr>
    </w:div>
    <w:div w:id="333997823">
      <w:bodyDiv w:val="1"/>
      <w:marLeft w:val="0"/>
      <w:marRight w:val="0"/>
      <w:marTop w:val="0"/>
      <w:marBottom w:val="0"/>
      <w:divBdr>
        <w:top w:val="none" w:sz="0" w:space="0" w:color="auto"/>
        <w:left w:val="none" w:sz="0" w:space="0" w:color="auto"/>
        <w:bottom w:val="none" w:sz="0" w:space="0" w:color="auto"/>
        <w:right w:val="none" w:sz="0" w:space="0" w:color="auto"/>
      </w:divBdr>
    </w:div>
    <w:div w:id="381641290">
      <w:bodyDiv w:val="1"/>
      <w:marLeft w:val="0"/>
      <w:marRight w:val="0"/>
      <w:marTop w:val="0"/>
      <w:marBottom w:val="0"/>
      <w:divBdr>
        <w:top w:val="none" w:sz="0" w:space="0" w:color="auto"/>
        <w:left w:val="none" w:sz="0" w:space="0" w:color="auto"/>
        <w:bottom w:val="none" w:sz="0" w:space="0" w:color="auto"/>
        <w:right w:val="none" w:sz="0" w:space="0" w:color="auto"/>
      </w:divBdr>
      <w:divsChild>
        <w:div w:id="1896309357">
          <w:marLeft w:val="0"/>
          <w:marRight w:val="0"/>
          <w:marTop w:val="0"/>
          <w:marBottom w:val="0"/>
          <w:divBdr>
            <w:top w:val="none" w:sz="0" w:space="0" w:color="auto"/>
            <w:left w:val="none" w:sz="0" w:space="0" w:color="auto"/>
            <w:bottom w:val="none" w:sz="0" w:space="0" w:color="auto"/>
            <w:right w:val="none" w:sz="0" w:space="0" w:color="auto"/>
          </w:divBdr>
          <w:divsChild>
            <w:div w:id="881670971">
              <w:marLeft w:val="0"/>
              <w:marRight w:val="0"/>
              <w:marTop w:val="0"/>
              <w:marBottom w:val="0"/>
              <w:divBdr>
                <w:top w:val="none" w:sz="0" w:space="0" w:color="auto"/>
                <w:left w:val="none" w:sz="0" w:space="0" w:color="auto"/>
                <w:bottom w:val="none" w:sz="0" w:space="0" w:color="auto"/>
                <w:right w:val="none" w:sz="0" w:space="0" w:color="auto"/>
              </w:divBdr>
              <w:divsChild>
                <w:div w:id="1645693488">
                  <w:marLeft w:val="0"/>
                  <w:marRight w:val="0"/>
                  <w:marTop w:val="0"/>
                  <w:marBottom w:val="0"/>
                  <w:divBdr>
                    <w:top w:val="none" w:sz="0" w:space="0" w:color="auto"/>
                    <w:left w:val="none" w:sz="0" w:space="0" w:color="auto"/>
                    <w:bottom w:val="none" w:sz="0" w:space="0" w:color="auto"/>
                    <w:right w:val="none" w:sz="0" w:space="0" w:color="auto"/>
                  </w:divBdr>
                  <w:divsChild>
                    <w:div w:id="9122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11500">
      <w:bodyDiv w:val="1"/>
      <w:marLeft w:val="0"/>
      <w:marRight w:val="0"/>
      <w:marTop w:val="0"/>
      <w:marBottom w:val="0"/>
      <w:divBdr>
        <w:top w:val="none" w:sz="0" w:space="0" w:color="auto"/>
        <w:left w:val="none" w:sz="0" w:space="0" w:color="auto"/>
        <w:bottom w:val="none" w:sz="0" w:space="0" w:color="auto"/>
        <w:right w:val="none" w:sz="0" w:space="0" w:color="auto"/>
      </w:divBdr>
      <w:divsChild>
        <w:div w:id="740442595">
          <w:marLeft w:val="0"/>
          <w:marRight w:val="0"/>
          <w:marTop w:val="0"/>
          <w:marBottom w:val="0"/>
          <w:divBdr>
            <w:top w:val="none" w:sz="0" w:space="0" w:color="auto"/>
            <w:left w:val="none" w:sz="0" w:space="0" w:color="auto"/>
            <w:bottom w:val="none" w:sz="0" w:space="0" w:color="auto"/>
            <w:right w:val="none" w:sz="0" w:space="0" w:color="auto"/>
          </w:divBdr>
          <w:divsChild>
            <w:div w:id="844907382">
              <w:marLeft w:val="0"/>
              <w:marRight w:val="0"/>
              <w:marTop w:val="0"/>
              <w:marBottom w:val="0"/>
              <w:divBdr>
                <w:top w:val="none" w:sz="0" w:space="0" w:color="auto"/>
                <w:left w:val="none" w:sz="0" w:space="0" w:color="auto"/>
                <w:bottom w:val="none" w:sz="0" w:space="0" w:color="auto"/>
                <w:right w:val="none" w:sz="0" w:space="0" w:color="auto"/>
              </w:divBdr>
              <w:divsChild>
                <w:div w:id="2046787165">
                  <w:marLeft w:val="0"/>
                  <w:marRight w:val="0"/>
                  <w:marTop w:val="0"/>
                  <w:marBottom w:val="0"/>
                  <w:divBdr>
                    <w:top w:val="none" w:sz="0" w:space="0" w:color="auto"/>
                    <w:left w:val="none" w:sz="0" w:space="0" w:color="auto"/>
                    <w:bottom w:val="none" w:sz="0" w:space="0" w:color="auto"/>
                    <w:right w:val="none" w:sz="0" w:space="0" w:color="auto"/>
                  </w:divBdr>
                  <w:divsChild>
                    <w:div w:id="177501826">
                      <w:marLeft w:val="0"/>
                      <w:marRight w:val="0"/>
                      <w:marTop w:val="0"/>
                      <w:marBottom w:val="0"/>
                      <w:divBdr>
                        <w:top w:val="none" w:sz="0" w:space="0" w:color="auto"/>
                        <w:left w:val="none" w:sz="0" w:space="0" w:color="auto"/>
                        <w:bottom w:val="none" w:sz="0" w:space="0" w:color="auto"/>
                        <w:right w:val="none" w:sz="0" w:space="0" w:color="auto"/>
                      </w:divBdr>
                    </w:div>
                  </w:divsChild>
                </w:div>
                <w:div w:id="1669674334">
                  <w:marLeft w:val="0"/>
                  <w:marRight w:val="0"/>
                  <w:marTop w:val="0"/>
                  <w:marBottom w:val="0"/>
                  <w:divBdr>
                    <w:top w:val="none" w:sz="0" w:space="0" w:color="auto"/>
                    <w:left w:val="none" w:sz="0" w:space="0" w:color="auto"/>
                    <w:bottom w:val="none" w:sz="0" w:space="0" w:color="auto"/>
                    <w:right w:val="none" w:sz="0" w:space="0" w:color="auto"/>
                  </w:divBdr>
                  <w:divsChild>
                    <w:div w:id="1920165577">
                      <w:marLeft w:val="0"/>
                      <w:marRight w:val="0"/>
                      <w:marTop w:val="0"/>
                      <w:marBottom w:val="0"/>
                      <w:divBdr>
                        <w:top w:val="none" w:sz="0" w:space="0" w:color="auto"/>
                        <w:left w:val="none" w:sz="0" w:space="0" w:color="auto"/>
                        <w:bottom w:val="none" w:sz="0" w:space="0" w:color="auto"/>
                        <w:right w:val="none" w:sz="0" w:space="0" w:color="auto"/>
                      </w:divBdr>
                    </w:div>
                  </w:divsChild>
                </w:div>
                <w:div w:id="2103143284">
                  <w:marLeft w:val="0"/>
                  <w:marRight w:val="0"/>
                  <w:marTop w:val="0"/>
                  <w:marBottom w:val="0"/>
                  <w:divBdr>
                    <w:top w:val="none" w:sz="0" w:space="0" w:color="auto"/>
                    <w:left w:val="none" w:sz="0" w:space="0" w:color="auto"/>
                    <w:bottom w:val="none" w:sz="0" w:space="0" w:color="auto"/>
                    <w:right w:val="none" w:sz="0" w:space="0" w:color="auto"/>
                  </w:divBdr>
                  <w:divsChild>
                    <w:div w:id="1696616971">
                      <w:marLeft w:val="0"/>
                      <w:marRight w:val="0"/>
                      <w:marTop w:val="0"/>
                      <w:marBottom w:val="0"/>
                      <w:divBdr>
                        <w:top w:val="none" w:sz="0" w:space="0" w:color="auto"/>
                        <w:left w:val="none" w:sz="0" w:space="0" w:color="auto"/>
                        <w:bottom w:val="none" w:sz="0" w:space="0" w:color="auto"/>
                        <w:right w:val="none" w:sz="0" w:space="0" w:color="auto"/>
                      </w:divBdr>
                    </w:div>
                  </w:divsChild>
                </w:div>
                <w:div w:id="2031250988">
                  <w:marLeft w:val="0"/>
                  <w:marRight w:val="0"/>
                  <w:marTop w:val="0"/>
                  <w:marBottom w:val="0"/>
                  <w:divBdr>
                    <w:top w:val="none" w:sz="0" w:space="0" w:color="auto"/>
                    <w:left w:val="none" w:sz="0" w:space="0" w:color="auto"/>
                    <w:bottom w:val="none" w:sz="0" w:space="0" w:color="auto"/>
                    <w:right w:val="none" w:sz="0" w:space="0" w:color="auto"/>
                  </w:divBdr>
                  <w:divsChild>
                    <w:div w:id="1965964836">
                      <w:marLeft w:val="0"/>
                      <w:marRight w:val="0"/>
                      <w:marTop w:val="0"/>
                      <w:marBottom w:val="0"/>
                      <w:divBdr>
                        <w:top w:val="none" w:sz="0" w:space="0" w:color="auto"/>
                        <w:left w:val="none" w:sz="0" w:space="0" w:color="auto"/>
                        <w:bottom w:val="none" w:sz="0" w:space="0" w:color="auto"/>
                        <w:right w:val="none" w:sz="0" w:space="0" w:color="auto"/>
                      </w:divBdr>
                    </w:div>
                  </w:divsChild>
                </w:div>
                <w:div w:id="476193699">
                  <w:marLeft w:val="0"/>
                  <w:marRight w:val="0"/>
                  <w:marTop w:val="0"/>
                  <w:marBottom w:val="0"/>
                  <w:divBdr>
                    <w:top w:val="none" w:sz="0" w:space="0" w:color="auto"/>
                    <w:left w:val="none" w:sz="0" w:space="0" w:color="auto"/>
                    <w:bottom w:val="none" w:sz="0" w:space="0" w:color="auto"/>
                    <w:right w:val="none" w:sz="0" w:space="0" w:color="auto"/>
                  </w:divBdr>
                  <w:divsChild>
                    <w:div w:id="11095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Lambert</dc:creator>
  <cp:lastModifiedBy>WB456288</cp:lastModifiedBy>
  <cp:revision>4</cp:revision>
  <cp:lastPrinted>2013-08-26T20:42:00Z</cp:lastPrinted>
  <dcterms:created xsi:type="dcterms:W3CDTF">2013-08-18T03:48:00Z</dcterms:created>
  <dcterms:modified xsi:type="dcterms:W3CDTF">2013-08-26T20:42:00Z</dcterms:modified>
</cp:coreProperties>
</file>