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
      </w:tblPr>
      <w:tblGrid>
        <w:gridCol w:w="9360"/>
      </w:tblGrid>
      <w:tr w:rsidR="00731CBC" w:rsidRPr="00731CBC">
        <w:trPr>
          <w:tblCellSpacing w:w="0" w:type="dxa"/>
          <w:jc w:val="right"/>
        </w:trPr>
        <w:tc>
          <w:tcPr>
            <w:tcW w:w="0" w:type="auto"/>
            <w:hideMark/>
          </w:tcPr>
          <w:tbl>
            <w:tblPr>
              <w:bidiVisual/>
              <w:tblW w:w="5000" w:type="pct"/>
              <w:jc w:val="right"/>
              <w:tblCellSpacing w:w="0" w:type="dxa"/>
              <w:tblCellMar>
                <w:left w:w="0" w:type="dxa"/>
                <w:right w:w="0" w:type="dxa"/>
              </w:tblCellMar>
              <w:tblLook w:val="04A0" w:firstRow="1" w:lastRow="0" w:firstColumn="1" w:lastColumn="0" w:noHBand="0" w:noVBand="1"/>
              <w:tblDescription w:val="The Details about تركيا تتجه نحو الطاقة المستدامة displayed below"/>
            </w:tblPr>
            <w:tblGrid>
              <w:gridCol w:w="1870"/>
              <w:gridCol w:w="7484"/>
              <w:gridCol w:w="6"/>
            </w:tblGrid>
            <w:tr w:rsidR="00731CBC" w:rsidRPr="00731CBC">
              <w:trPr>
                <w:tblCellSpacing w:w="0" w:type="dxa"/>
                <w:jc w:val="right"/>
              </w:trPr>
              <w:tc>
                <w:tcPr>
                  <w:tcW w:w="0" w:type="auto"/>
                  <w:gridSpan w:val="3"/>
                  <w:hideMark/>
                </w:tcPr>
                <w:p w:rsidR="00731CBC" w:rsidRDefault="00E06015" w:rsidP="00E06015">
                  <w:pPr>
                    <w:pStyle w:val="Heading1"/>
                  </w:pPr>
                  <w:r>
                    <w:t>95247</w:t>
                  </w:r>
                </w:p>
                <w:p w:rsidR="00E06015" w:rsidRPr="00731CBC" w:rsidRDefault="00E06015" w:rsidP="00E06015">
                  <w:pPr>
                    <w:pStyle w:val="Heading1"/>
                  </w:pPr>
                  <w:r>
                    <w:t>March 4, 2010</w:t>
                  </w:r>
                  <w:bookmarkStart w:id="0" w:name="_GoBack"/>
                  <w:bookmarkEnd w:id="0"/>
                </w:p>
              </w:tc>
            </w:tr>
            <w:tr w:rsidR="00731CBC" w:rsidRPr="00731CBC">
              <w:trPr>
                <w:tblCellSpacing w:w="0" w:type="dxa"/>
                <w:jc w:val="right"/>
              </w:trPr>
              <w:tc>
                <w:tcPr>
                  <w:tcW w:w="0" w:type="auto"/>
                  <w:gridSpan w:val="3"/>
                  <w:shd w:val="clear" w:color="auto" w:fill="6699CC"/>
                  <w:hideMark/>
                </w:tcPr>
                <w:p w:rsidR="00731CBC" w:rsidRPr="00731CBC" w:rsidRDefault="00731CBC" w:rsidP="00731CBC">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4615" cy="8890"/>
                        <wp:effectExtent l="0" t="0" r="0" b="0"/>
                        <wp:docPr id="9" name="Picture 9"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r>
            <w:tr w:rsidR="00731CBC" w:rsidRPr="00731CBC">
              <w:trPr>
                <w:tblCellSpacing w:w="0" w:type="dxa"/>
                <w:jc w:val="right"/>
              </w:trPr>
              <w:tc>
                <w:tcPr>
                  <w:tcW w:w="0" w:type="auto"/>
                  <w:hideMark/>
                </w:tcPr>
                <w:p w:rsidR="00731CBC" w:rsidRPr="00731CBC" w:rsidRDefault="00731CBC" w:rsidP="00731CBC">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4615" cy="69215"/>
                        <wp:effectExtent l="0" t="0" r="0" b="0"/>
                        <wp:docPr id="8" name="Picture 8"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69215"/>
                                </a:xfrm>
                                <a:prstGeom prst="rect">
                                  <a:avLst/>
                                </a:prstGeom>
                                <a:noFill/>
                                <a:ln>
                                  <a:noFill/>
                                </a:ln>
                              </pic:spPr>
                            </pic:pic>
                          </a:graphicData>
                        </a:graphic>
                      </wp:inline>
                    </w:drawing>
                  </w:r>
                </w:p>
              </w:tc>
              <w:tc>
                <w:tcPr>
                  <w:tcW w:w="0" w:type="auto"/>
                  <w:vAlign w:val="center"/>
                  <w:hideMark/>
                </w:tcPr>
                <w:p w:rsidR="00731CBC" w:rsidRPr="00731CBC" w:rsidRDefault="00731CBC" w:rsidP="00731CBC">
                  <w:pPr>
                    <w:spacing w:after="0" w:line="240" w:lineRule="auto"/>
                    <w:rPr>
                      <w:rFonts w:ascii="Times New Roman" w:eastAsia="Times New Roman" w:hAnsi="Times New Roman" w:cs="Times New Roman"/>
                      <w:sz w:val="20"/>
                      <w:szCs w:val="20"/>
                    </w:rPr>
                  </w:pPr>
                </w:p>
              </w:tc>
              <w:tc>
                <w:tcPr>
                  <w:tcW w:w="0" w:type="auto"/>
                  <w:vAlign w:val="center"/>
                  <w:hideMark/>
                </w:tcPr>
                <w:p w:rsidR="00731CBC" w:rsidRPr="00731CBC" w:rsidRDefault="00731CBC" w:rsidP="00731CBC">
                  <w:pPr>
                    <w:spacing w:after="0" w:line="240" w:lineRule="auto"/>
                    <w:rPr>
                      <w:rFonts w:ascii="Times New Roman" w:eastAsia="Times New Roman" w:hAnsi="Times New Roman" w:cs="Times New Roman"/>
                      <w:sz w:val="20"/>
                      <w:szCs w:val="20"/>
                    </w:rPr>
                  </w:pPr>
                </w:p>
              </w:tc>
            </w:tr>
            <w:tr w:rsidR="00731CBC" w:rsidRPr="00731CBC" w:rsidTr="00731CBC">
              <w:trPr>
                <w:tblCellSpacing w:w="0" w:type="dxa"/>
                <w:jc w:val="right"/>
              </w:trPr>
              <w:tc>
                <w:tcPr>
                  <w:tcW w:w="1000" w:type="pct"/>
                </w:tcPr>
                <w:p w:rsidR="00731CBC" w:rsidRPr="00731CBC" w:rsidRDefault="00731CBC" w:rsidP="00731CBC">
                  <w:pPr>
                    <w:bidi/>
                    <w:spacing w:after="0" w:line="240" w:lineRule="auto"/>
                    <w:rPr>
                      <w:rFonts w:ascii="Arial" w:eastAsia="Times New Roman" w:hAnsi="Arial" w:cs="Arial"/>
                      <w:color w:val="000000"/>
                      <w:sz w:val="18"/>
                      <w:szCs w:val="18"/>
                    </w:rPr>
                  </w:pPr>
                </w:p>
              </w:tc>
              <w:tc>
                <w:tcPr>
                  <w:tcW w:w="4000" w:type="pct"/>
                </w:tcPr>
                <w:p w:rsidR="00731CBC" w:rsidRPr="00731CBC" w:rsidRDefault="00731CBC" w:rsidP="00731CBC">
                  <w:pPr>
                    <w:bidi/>
                    <w:spacing w:after="0" w:line="240" w:lineRule="auto"/>
                    <w:rPr>
                      <w:rFonts w:ascii="Arial" w:eastAsia="Times New Roman" w:hAnsi="Arial" w:cs="Arial"/>
                      <w:color w:val="000000"/>
                      <w:sz w:val="18"/>
                      <w:szCs w:val="18"/>
                    </w:rPr>
                  </w:pPr>
                </w:p>
              </w:tc>
              <w:tc>
                <w:tcPr>
                  <w:tcW w:w="0" w:type="auto"/>
                  <w:vAlign w:val="center"/>
                  <w:hideMark/>
                </w:tcPr>
                <w:p w:rsidR="00731CBC" w:rsidRPr="00731CBC" w:rsidRDefault="00731CBC" w:rsidP="00731CBC">
                  <w:pPr>
                    <w:spacing w:after="0" w:line="240" w:lineRule="auto"/>
                    <w:rPr>
                      <w:rFonts w:ascii="Times New Roman" w:eastAsia="Times New Roman" w:hAnsi="Times New Roman" w:cs="Times New Roman"/>
                      <w:sz w:val="20"/>
                      <w:szCs w:val="20"/>
                    </w:rPr>
                  </w:pPr>
                </w:p>
              </w:tc>
            </w:tr>
            <w:tr w:rsidR="00731CBC" w:rsidRPr="00731CBC">
              <w:trPr>
                <w:tblCellSpacing w:w="0" w:type="dxa"/>
                <w:jc w:val="right"/>
              </w:trPr>
              <w:tc>
                <w:tcPr>
                  <w:tcW w:w="0" w:type="auto"/>
                  <w:gridSpan w:val="3"/>
                  <w:hideMark/>
                </w:tcPr>
                <w:p w:rsidR="00731CBC" w:rsidRPr="00731CBC" w:rsidRDefault="00731CBC" w:rsidP="00731CBC">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4615" cy="43180"/>
                        <wp:effectExtent l="0" t="0" r="0" b="0"/>
                        <wp:docPr id="7" name="Picture 7"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43180"/>
                                </a:xfrm>
                                <a:prstGeom prst="rect">
                                  <a:avLst/>
                                </a:prstGeom>
                                <a:noFill/>
                                <a:ln>
                                  <a:noFill/>
                                </a:ln>
                              </pic:spPr>
                            </pic:pic>
                          </a:graphicData>
                        </a:graphic>
                      </wp:inline>
                    </w:drawing>
                  </w:r>
                </w:p>
              </w:tc>
            </w:tr>
            <w:tr w:rsidR="00731CBC" w:rsidRPr="00731CBC">
              <w:trPr>
                <w:tblCellSpacing w:w="0" w:type="dxa"/>
                <w:jc w:val="right"/>
              </w:trPr>
              <w:tc>
                <w:tcPr>
                  <w:tcW w:w="0" w:type="auto"/>
                  <w:gridSpan w:val="3"/>
                  <w:hideMark/>
                </w:tcPr>
                <w:p w:rsidR="00731CBC" w:rsidRPr="00731CBC" w:rsidRDefault="00731CBC" w:rsidP="00731CBC">
                  <w:pPr>
                    <w:bidi/>
                    <w:spacing w:after="0" w:line="240" w:lineRule="auto"/>
                    <w:textAlignment w:val="bottom"/>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extent cx="5330825" cy="1906270"/>
                        <wp:effectExtent l="0" t="0" r="3175" b="0"/>
                        <wp:docPr id="6" name="Picture 6" descr="http://digitalmedia.worldbank.org/results/istanbul_wid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italmedia.worldbank.org/results/istanbul_wide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0825" cy="1906270"/>
                                </a:xfrm>
                                <a:prstGeom prst="rect">
                                  <a:avLst/>
                                </a:prstGeom>
                                <a:noFill/>
                                <a:ln>
                                  <a:noFill/>
                                </a:ln>
                              </pic:spPr>
                            </pic:pic>
                          </a:graphicData>
                        </a:graphic>
                      </wp:inline>
                    </w:drawing>
                  </w:r>
                </w:p>
                <w:p w:rsidR="00731CBC" w:rsidRPr="00731CBC" w:rsidRDefault="00731CBC" w:rsidP="00731CBC">
                  <w:pPr>
                    <w:bidi/>
                    <w:spacing w:after="0" w:line="240" w:lineRule="auto"/>
                    <w:rPr>
                      <w:rFonts w:ascii="Arial" w:eastAsia="Times New Roman" w:hAnsi="Arial" w:cs="Arial"/>
                      <w:color w:val="FFFFFF"/>
                      <w:sz w:val="17"/>
                      <w:szCs w:val="17"/>
                    </w:rPr>
                  </w:pPr>
                  <w:r w:rsidRPr="00731CBC">
                    <w:rPr>
                      <w:rFonts w:ascii="Arial" w:eastAsia="Times New Roman" w:hAnsi="Arial" w:cs="Arial"/>
                      <w:b/>
                      <w:bCs/>
                      <w:caps/>
                      <w:color w:val="FFFFFF"/>
                      <w:shd w:val="clear" w:color="auto" w:fill="9D0909"/>
                    </w:rPr>
                    <w:t>فتح الأسواق</w:t>
                  </w:r>
                  <w:r w:rsidRPr="00731CBC">
                    <w:rPr>
                      <w:rFonts w:ascii="Arial" w:eastAsia="Times New Roman" w:hAnsi="Arial" w:cs="Arial"/>
                      <w:color w:val="FFFFFF"/>
                      <w:sz w:val="17"/>
                      <w:szCs w:val="17"/>
                    </w:rPr>
                    <w:t xml:space="preserve"> </w:t>
                  </w:r>
                </w:p>
                <w:p w:rsidR="00731CBC" w:rsidRPr="00731CBC" w:rsidRDefault="00731CBC" w:rsidP="00731CBC">
                  <w:pPr>
                    <w:bidi/>
                    <w:spacing w:after="0" w:line="240" w:lineRule="auto"/>
                    <w:rPr>
                      <w:rFonts w:ascii="Georgia" w:eastAsia="Times New Roman" w:hAnsi="Georgia" w:cs="Arial"/>
                      <w:color w:val="000000"/>
                      <w:sz w:val="26"/>
                      <w:szCs w:val="26"/>
                    </w:rPr>
                  </w:pPr>
                  <w:r w:rsidRPr="00731CBC">
                    <w:rPr>
                      <w:rFonts w:ascii="Times New Roman" w:eastAsia="Times New Roman" w:hAnsi="Times New Roman" w:cs="Times New Roman"/>
                      <w:b/>
                      <w:bCs/>
                      <w:color w:val="000000"/>
                      <w:sz w:val="26"/>
                      <w:szCs w:val="26"/>
                    </w:rPr>
                    <w:t>الإصلاحات</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التي</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تطبقها</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تركيا</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من</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أجل</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مستقبل</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الطاقة</w:t>
                  </w:r>
                  <w:r w:rsidRPr="00731CBC">
                    <w:rPr>
                      <w:rFonts w:ascii="Georgia" w:eastAsia="Times New Roman" w:hAnsi="Georgia" w:cs="Arial"/>
                      <w:b/>
                      <w:bCs/>
                      <w:color w:val="000000"/>
                      <w:sz w:val="26"/>
                      <w:szCs w:val="26"/>
                    </w:rPr>
                    <w:t xml:space="preserve"> </w:t>
                  </w:r>
                  <w:r w:rsidRPr="00731CBC">
                    <w:rPr>
                      <w:rFonts w:ascii="Times New Roman" w:eastAsia="Times New Roman" w:hAnsi="Times New Roman" w:cs="Times New Roman"/>
                      <w:b/>
                      <w:bCs/>
                      <w:color w:val="000000"/>
                      <w:sz w:val="26"/>
                      <w:szCs w:val="26"/>
                    </w:rPr>
                    <w:t>المستدامة</w:t>
                  </w:r>
                </w:p>
                <w:p w:rsidR="00731CBC" w:rsidRPr="00731CBC" w:rsidRDefault="00731CBC" w:rsidP="00731CBC">
                  <w:pPr>
                    <w:bidi/>
                    <w:spacing w:after="0" w:line="240" w:lineRule="auto"/>
                    <w:rPr>
                      <w:rFonts w:ascii="Arial" w:eastAsia="Times New Roman" w:hAnsi="Arial" w:cs="Arial"/>
                      <w:color w:val="272727"/>
                      <w:sz w:val="17"/>
                      <w:szCs w:val="17"/>
                    </w:rPr>
                  </w:pPr>
                </w:p>
                <w:p w:rsidR="00731CBC" w:rsidRPr="00731CBC" w:rsidRDefault="00731CBC" w:rsidP="00731CBC">
                  <w:pPr>
                    <w:bidi/>
                    <w:spacing w:after="0" w:line="240" w:lineRule="auto"/>
                    <w:outlineLvl w:val="1"/>
                    <w:rPr>
                      <w:rFonts w:ascii="Arial" w:eastAsia="Times New Roman" w:hAnsi="Arial" w:cs="Arial"/>
                      <w:color w:val="272727"/>
                      <w:sz w:val="26"/>
                      <w:szCs w:val="26"/>
                    </w:rPr>
                  </w:pPr>
                  <w:r w:rsidRPr="00731CBC">
                    <w:rPr>
                      <w:rFonts w:ascii="Arial" w:eastAsia="Times New Roman" w:hAnsi="Arial" w:cs="Arial"/>
                      <w:b/>
                      <w:bCs/>
                      <w:color w:val="272727"/>
                      <w:sz w:val="26"/>
                      <w:szCs w:val="26"/>
                    </w:rPr>
                    <w:t>عرض عام</w:t>
                  </w:r>
                </w:p>
                <w:p w:rsidR="00731CBC" w:rsidRPr="00731CBC" w:rsidRDefault="00731CBC" w:rsidP="00731CBC">
                  <w:pPr>
                    <w:bidi/>
                    <w:spacing w:before="75" w:after="75" w:line="240" w:lineRule="auto"/>
                    <w:rPr>
                      <w:rFonts w:ascii="Arial" w:eastAsia="Times New Roman" w:hAnsi="Arial" w:cs="Arial"/>
                      <w:color w:val="272727"/>
                      <w:sz w:val="20"/>
                      <w:szCs w:val="20"/>
                    </w:rPr>
                  </w:pPr>
                  <w:r w:rsidRPr="00731CBC">
                    <w:rPr>
                      <w:rFonts w:ascii="Arial" w:eastAsia="Times New Roman" w:hAnsi="Arial" w:cs="Arial"/>
                      <w:color w:val="272727"/>
                      <w:sz w:val="24"/>
                      <w:szCs w:val="24"/>
                    </w:rPr>
                    <w:t>ساعدت الإصلاحات في قطاع الطاقة بتركيا الحكومة على تحويل قطاع الطاقة من قطاع منفرد تديره الدولة إلى سوق تنافسية ربطت 4,6 مليون أسرة معيشية إضافية بشبكة كهرباء أكثر استقراراً.</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r>
                  <w:r>
                    <w:rPr>
                      <w:rFonts w:ascii="Arial" w:eastAsia="Times New Roman" w:hAnsi="Arial" w:cs="Arial"/>
                      <w:b/>
                      <w:bCs/>
                      <w:noProof/>
                      <w:color w:val="336699"/>
                      <w:sz w:val="24"/>
                      <w:szCs w:val="24"/>
                    </w:rPr>
                    <w:drawing>
                      <wp:inline distT="0" distB="0" distL="0" distR="0">
                        <wp:extent cx="137795" cy="137795"/>
                        <wp:effectExtent l="0" t="0" r="0" b="0"/>
                        <wp:docPr id="5" name="Picture 5" descr="http://siteresources.worldbank.org/NEWS/Images/down-blue.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resources.worldbank.org/NEWS/Images/down-blue.gif">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731CBC">
                    <w:rPr>
                      <w:rFonts w:ascii="Arial" w:eastAsia="Times New Roman" w:hAnsi="Arial" w:cs="Arial"/>
                      <w:b/>
                      <w:bCs/>
                      <w:color w:val="272727"/>
                      <w:sz w:val="24"/>
                      <w:szCs w:val="24"/>
                    </w:rPr>
                    <w:t>موجز كامل PDF</w:t>
                  </w:r>
                  <w:hyperlink r:id="rId9" w:tgtFrame="_blank" w:history="1">
                    <w:r w:rsidRPr="00731CBC">
                      <w:rPr>
                        <w:rFonts w:ascii="Arial" w:eastAsia="Times New Roman" w:hAnsi="Arial" w:cs="Arial"/>
                        <w:color w:val="336699"/>
                        <w:sz w:val="24"/>
                        <w:szCs w:val="24"/>
                      </w:rPr>
                      <w:t xml:space="preserve"> البرنامج الشامل لإصلاح قطاع الطاقة في تركیا یضع التنمیة على درب الاستدامة</w:t>
                    </w:r>
                  </w:hyperlink>
                  <w:r w:rsidRPr="00731CBC">
                    <w:rPr>
                      <w:rFonts w:ascii="Arial" w:eastAsia="Times New Roman" w:hAnsi="Arial" w:cs="Arial"/>
                      <w:color w:val="272727"/>
                      <w:sz w:val="24"/>
                      <w:szCs w:val="24"/>
                    </w:rPr>
                    <w:br/>
                    <w:t>أبريل/نيسان 2010</w:t>
                  </w:r>
                </w:p>
                <w:p w:rsidR="00731CBC" w:rsidRPr="00731CBC" w:rsidRDefault="00731CBC" w:rsidP="00731CBC">
                  <w:pPr>
                    <w:shd w:val="clear" w:color="auto" w:fill="FFFFFF"/>
                    <w:bidi/>
                    <w:spacing w:after="0" w:line="240" w:lineRule="auto"/>
                    <w:ind w:right="300"/>
                    <w:outlineLvl w:val="1"/>
                    <w:rPr>
                      <w:rFonts w:ascii="Arial" w:eastAsia="Times New Roman" w:hAnsi="Arial" w:cs="Arial"/>
                      <w:color w:val="272727"/>
                      <w:sz w:val="26"/>
                      <w:szCs w:val="26"/>
                    </w:rPr>
                  </w:pPr>
                  <w:r w:rsidRPr="00731CBC">
                    <w:rPr>
                      <w:rFonts w:ascii="Arial" w:eastAsia="Times New Roman" w:hAnsi="Arial" w:cs="Arial"/>
                      <w:b/>
                      <w:bCs/>
                      <w:color w:val="272727"/>
                      <w:sz w:val="26"/>
                      <w:szCs w:val="26"/>
                    </w:rPr>
                    <w:t>وسائط متعددة</w:t>
                  </w:r>
                </w:p>
                <w:p w:rsidR="00731CBC" w:rsidRPr="00731CBC" w:rsidRDefault="00E06015" w:rsidP="00731CBC">
                  <w:pPr>
                    <w:shd w:val="clear" w:color="auto" w:fill="FFFFFF"/>
                    <w:bidi/>
                    <w:spacing w:before="75" w:after="75" w:line="240" w:lineRule="auto"/>
                    <w:ind w:right="300"/>
                    <w:rPr>
                      <w:rFonts w:ascii="Arial" w:eastAsia="Times New Roman" w:hAnsi="Arial" w:cs="Arial"/>
                      <w:color w:val="272727"/>
                      <w:sz w:val="20"/>
                      <w:szCs w:val="20"/>
                    </w:rPr>
                  </w:pPr>
                  <w:hyperlink r:id="rId10" w:tgtFrame="_blank" w:history="1">
                    <w:r w:rsidR="00731CBC" w:rsidRPr="00731CBC">
                      <w:rPr>
                        <w:rFonts w:ascii="Arial" w:eastAsia="Times New Roman" w:hAnsi="Arial" w:cs="Arial"/>
                        <w:b/>
                        <w:bCs/>
                        <w:color w:val="336699"/>
                        <w:sz w:val="24"/>
                        <w:szCs w:val="24"/>
                      </w:rPr>
                      <w:t>عرض تقديمي بالشرائح: تكنولوجيا الطاقة النظيفة في تركيا</w:t>
                    </w:r>
                  </w:hyperlink>
                </w:p>
                <w:p w:rsidR="00731CBC" w:rsidRPr="00731CBC" w:rsidRDefault="00731CBC" w:rsidP="00731CBC">
                  <w:pPr>
                    <w:shd w:val="clear" w:color="auto" w:fill="FFFFFF"/>
                    <w:bidi/>
                    <w:spacing w:after="0" w:line="240" w:lineRule="auto"/>
                    <w:ind w:right="300"/>
                    <w:rPr>
                      <w:rFonts w:ascii="Arial" w:eastAsia="Times New Roman" w:hAnsi="Arial" w:cs="Arial"/>
                      <w:color w:val="272727"/>
                      <w:sz w:val="17"/>
                      <w:szCs w:val="17"/>
                    </w:rPr>
                  </w:pPr>
                  <w:r>
                    <w:rPr>
                      <w:rFonts w:ascii="Arial" w:eastAsia="Times New Roman" w:hAnsi="Arial" w:cs="Arial"/>
                      <w:noProof/>
                      <w:color w:val="336699"/>
                      <w:sz w:val="17"/>
                      <w:szCs w:val="17"/>
                    </w:rPr>
                    <w:drawing>
                      <wp:inline distT="0" distB="0" distL="0" distR="0">
                        <wp:extent cx="2380615" cy="1794510"/>
                        <wp:effectExtent l="0" t="0" r="635" b="0"/>
                        <wp:docPr id="4" name="Picture 4" descr="http://digitalmedia.worldbank.org/results/slideshow_play.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gitalmedia.worldbank.org/results/slideshow_play.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1794510"/>
                                </a:xfrm>
                                <a:prstGeom prst="rect">
                                  <a:avLst/>
                                </a:prstGeom>
                                <a:noFill/>
                                <a:ln>
                                  <a:noFill/>
                                </a:ln>
                              </pic:spPr>
                            </pic:pic>
                          </a:graphicData>
                        </a:graphic>
                      </wp:inline>
                    </w:drawing>
                  </w:r>
                </w:p>
                <w:p w:rsidR="00731CBC" w:rsidRPr="00731CBC" w:rsidRDefault="00731CBC" w:rsidP="00731CBC">
                  <w:pPr>
                    <w:shd w:val="clear" w:color="auto" w:fill="FFFFFF"/>
                    <w:bidi/>
                    <w:spacing w:before="75" w:after="75" w:line="240" w:lineRule="auto"/>
                    <w:ind w:right="300"/>
                    <w:rPr>
                      <w:rFonts w:ascii="Arial" w:eastAsia="Times New Roman" w:hAnsi="Arial" w:cs="Arial"/>
                      <w:b/>
                      <w:bCs/>
                      <w:caps/>
                      <w:color w:val="272727"/>
                      <w:sz w:val="17"/>
                      <w:szCs w:val="17"/>
                    </w:rPr>
                  </w:pPr>
                  <w:r w:rsidRPr="00731CBC">
                    <w:rPr>
                      <w:rFonts w:ascii="Arial" w:eastAsia="Times New Roman" w:hAnsi="Arial" w:cs="Arial"/>
                      <w:b/>
                      <w:bCs/>
                      <w:caps/>
                      <w:color w:val="272727"/>
                      <w:sz w:val="24"/>
                      <w:szCs w:val="24"/>
                    </w:rPr>
                    <w:t>المزيد</w:t>
                  </w:r>
                </w:p>
                <w:p w:rsidR="00731CBC" w:rsidRPr="00731CBC" w:rsidRDefault="00E06015" w:rsidP="00731CBC">
                  <w:pPr>
                    <w:numPr>
                      <w:ilvl w:val="0"/>
                      <w:numId w:val="1"/>
                    </w:numPr>
                    <w:shd w:val="clear" w:color="auto" w:fill="FFFFFF"/>
                    <w:bidi/>
                    <w:spacing w:before="75" w:line="240" w:lineRule="auto"/>
                    <w:ind w:left="15" w:right="300"/>
                    <w:rPr>
                      <w:rFonts w:ascii="Arial" w:eastAsia="Times New Roman" w:hAnsi="Arial" w:cs="Arial"/>
                      <w:color w:val="272727"/>
                      <w:sz w:val="17"/>
                      <w:szCs w:val="17"/>
                    </w:rPr>
                  </w:pPr>
                  <w:hyperlink r:id="rId12" w:history="1">
                    <w:r w:rsidR="00731CBC" w:rsidRPr="00731CBC">
                      <w:rPr>
                        <w:rFonts w:ascii="Arial" w:eastAsia="Times New Roman" w:hAnsi="Arial" w:cs="Arial"/>
                        <w:color w:val="336699"/>
                        <w:sz w:val="24"/>
                        <w:szCs w:val="24"/>
                      </w:rPr>
                      <w:t>تركيا: الاستفادة من النفايات</w:t>
                    </w:r>
                  </w:hyperlink>
                  <w:r w:rsidR="00731CBC" w:rsidRPr="00731CBC">
                    <w:rPr>
                      <w:rFonts w:ascii="Arial" w:eastAsia="Times New Roman" w:hAnsi="Arial" w:cs="Arial"/>
                      <w:color w:val="272727"/>
                      <w:sz w:val="17"/>
                      <w:szCs w:val="17"/>
                    </w:rPr>
                    <w:t xml:space="preserve"> </w:t>
                  </w:r>
                  <w:r w:rsidR="00731CBC">
                    <w:rPr>
                      <w:rFonts w:ascii="Arial" w:eastAsia="Times New Roman" w:hAnsi="Arial" w:cs="Arial"/>
                      <w:noProof/>
                      <w:color w:val="272727"/>
                      <w:sz w:val="17"/>
                      <w:szCs w:val="17"/>
                    </w:rPr>
                    <w:drawing>
                      <wp:inline distT="0" distB="0" distL="0" distR="0">
                        <wp:extent cx="155575" cy="94615"/>
                        <wp:effectExtent l="0" t="0" r="0" b="635"/>
                        <wp:docPr id="3" name="Picture 3" descr="http://siteresources.worldbank.org/NEWS/Images/video-ic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resources.worldbank.org/NEWS/Images/video-icon-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94615"/>
                                </a:xfrm>
                                <a:prstGeom prst="rect">
                                  <a:avLst/>
                                </a:prstGeom>
                                <a:noFill/>
                                <a:ln>
                                  <a:noFill/>
                                </a:ln>
                              </pic:spPr>
                            </pic:pic>
                          </a:graphicData>
                        </a:graphic>
                      </wp:inline>
                    </w:drawing>
                  </w:r>
                </w:p>
                <w:p w:rsidR="00731CBC" w:rsidRPr="00731CBC" w:rsidRDefault="00731CBC" w:rsidP="00731CBC">
                  <w:pPr>
                    <w:bidi/>
                    <w:spacing w:after="0" w:line="240" w:lineRule="auto"/>
                    <w:ind w:right="300"/>
                    <w:rPr>
                      <w:rFonts w:ascii="Arial" w:eastAsia="Times New Roman" w:hAnsi="Arial" w:cs="Arial"/>
                      <w:color w:val="000000"/>
                      <w:sz w:val="17"/>
                      <w:szCs w:val="17"/>
                    </w:rPr>
                  </w:pPr>
                  <w:r w:rsidRPr="00731CBC">
                    <w:rPr>
                      <w:rFonts w:ascii="Arial" w:eastAsia="Times New Roman" w:hAnsi="Arial" w:cs="Arial"/>
                      <w:color w:val="272727"/>
                      <w:sz w:val="17"/>
                      <w:szCs w:val="17"/>
                    </w:rPr>
                    <w:fldChar w:fldCharType="begin"/>
                  </w:r>
                  <w:r w:rsidRPr="00731CBC">
                    <w:rPr>
                      <w:rFonts w:ascii="Arial" w:eastAsia="Times New Roman" w:hAnsi="Arial" w:cs="Arial"/>
                      <w:color w:val="272727"/>
                      <w:sz w:val="17"/>
                      <w:szCs w:val="17"/>
                    </w:rPr>
                    <w:instrText xml:space="preserve"> HYPERLINK "http://www.albankaldawli.org/results/" </w:instrText>
                  </w:r>
                  <w:r w:rsidRPr="00731CBC">
                    <w:rPr>
                      <w:rFonts w:ascii="Arial" w:eastAsia="Times New Roman" w:hAnsi="Arial" w:cs="Arial"/>
                      <w:color w:val="272727"/>
                      <w:sz w:val="17"/>
                      <w:szCs w:val="17"/>
                    </w:rPr>
                    <w:fldChar w:fldCharType="separate"/>
                  </w:r>
                </w:p>
                <w:p w:rsidR="00731CBC" w:rsidRPr="00731CBC" w:rsidRDefault="00731CBC" w:rsidP="00731CBC">
                  <w:pPr>
                    <w:bidi/>
                    <w:spacing w:after="0" w:line="240" w:lineRule="auto"/>
                    <w:ind w:right="300"/>
                    <w:rPr>
                      <w:rFonts w:ascii="Arial" w:eastAsia="Times New Roman" w:hAnsi="Arial" w:cs="Arial"/>
                      <w:color w:val="000000"/>
                      <w:sz w:val="26"/>
                      <w:szCs w:val="26"/>
                    </w:rPr>
                  </w:pPr>
                  <w:r w:rsidRPr="00731CBC">
                    <w:rPr>
                      <w:rFonts w:ascii="Arial" w:eastAsia="Times New Roman" w:hAnsi="Arial" w:cs="Arial"/>
                      <w:color w:val="000000"/>
                      <w:sz w:val="26"/>
                      <w:szCs w:val="26"/>
                    </w:rPr>
                    <w:t>مزيد من النتائج</w:t>
                  </w:r>
                </w:p>
                <w:p w:rsidR="00731CBC" w:rsidRPr="00731CBC" w:rsidRDefault="00731CBC" w:rsidP="00731CBC">
                  <w:pPr>
                    <w:bidi/>
                    <w:spacing w:line="240" w:lineRule="auto"/>
                    <w:ind w:right="300"/>
                    <w:rPr>
                      <w:rFonts w:ascii="Arial" w:eastAsia="Times New Roman" w:hAnsi="Arial" w:cs="Arial"/>
                      <w:color w:val="272727"/>
                      <w:sz w:val="17"/>
                      <w:szCs w:val="17"/>
                    </w:rPr>
                  </w:pPr>
                  <w:r w:rsidRPr="00731CBC">
                    <w:rPr>
                      <w:rFonts w:ascii="Arial" w:eastAsia="Times New Roman" w:hAnsi="Arial" w:cs="Arial"/>
                      <w:color w:val="272727"/>
                      <w:sz w:val="17"/>
                      <w:szCs w:val="17"/>
                    </w:rPr>
                    <w:fldChar w:fldCharType="end"/>
                  </w:r>
                </w:p>
                <w:p w:rsidR="00731CBC" w:rsidRPr="00731CBC" w:rsidRDefault="00731CBC" w:rsidP="00731CBC">
                  <w:pPr>
                    <w:shd w:val="clear" w:color="auto" w:fill="4A7CB1"/>
                    <w:bidi/>
                    <w:spacing w:after="0" w:line="240" w:lineRule="auto"/>
                    <w:ind w:right="300"/>
                    <w:rPr>
                      <w:rFonts w:ascii="Georgia" w:eastAsia="Times New Roman" w:hAnsi="Georgia" w:cs="Arial"/>
                      <w:b/>
                      <w:bCs/>
                      <w:color w:val="FFFFFF"/>
                      <w:sz w:val="56"/>
                      <w:szCs w:val="56"/>
                    </w:rPr>
                  </w:pPr>
                  <w:r w:rsidRPr="00731CBC">
                    <w:rPr>
                      <w:rFonts w:ascii="Georgia" w:eastAsia="Times New Roman" w:hAnsi="Georgia" w:cs="Arial"/>
                      <w:b/>
                      <w:bCs/>
                      <w:color w:val="FFFFFF"/>
                      <w:sz w:val="56"/>
                      <w:szCs w:val="56"/>
                    </w:rPr>
                    <w:t xml:space="preserve">4.6 </w:t>
                  </w:r>
                  <w:r w:rsidRPr="00731CBC">
                    <w:rPr>
                      <w:rFonts w:ascii="Times New Roman" w:eastAsia="Times New Roman" w:hAnsi="Times New Roman" w:cs="Times New Roman"/>
                      <w:b/>
                      <w:bCs/>
                      <w:color w:val="FFFFFF"/>
                      <w:sz w:val="56"/>
                      <w:szCs w:val="56"/>
                    </w:rPr>
                    <w:t>مليون</w:t>
                  </w:r>
                </w:p>
                <w:p w:rsidR="00731CBC" w:rsidRPr="00731CBC" w:rsidRDefault="00731CBC" w:rsidP="00731CBC">
                  <w:pPr>
                    <w:shd w:val="clear" w:color="auto" w:fill="4A7CB1"/>
                    <w:bidi/>
                    <w:spacing w:after="0" w:line="240" w:lineRule="auto"/>
                    <w:ind w:right="300"/>
                    <w:rPr>
                      <w:rFonts w:ascii="Arial" w:eastAsia="Times New Roman" w:hAnsi="Arial" w:cs="Arial"/>
                      <w:b/>
                      <w:bCs/>
                      <w:color w:val="FFFFFF"/>
                      <w:sz w:val="16"/>
                      <w:szCs w:val="16"/>
                    </w:rPr>
                  </w:pPr>
                  <w:r w:rsidRPr="00731CBC">
                    <w:rPr>
                      <w:rFonts w:ascii="Arial" w:eastAsia="Times New Roman" w:hAnsi="Arial" w:cs="Arial"/>
                      <w:b/>
                      <w:bCs/>
                      <w:color w:val="FFFFFF"/>
                      <w:sz w:val="16"/>
                      <w:szCs w:val="16"/>
                    </w:rPr>
                    <w:lastRenderedPageBreak/>
                    <w:t>أسرة معيشية في تركيا حصلت على إمدادات كهرباء محسنة</w:t>
                  </w:r>
                </w:p>
                <w:p w:rsidR="00731CBC" w:rsidRPr="00731CBC" w:rsidRDefault="00731CBC" w:rsidP="00731CBC">
                  <w:pPr>
                    <w:bidi/>
                    <w:spacing w:after="0" w:line="240" w:lineRule="auto"/>
                    <w:ind w:right="300"/>
                    <w:outlineLvl w:val="1"/>
                    <w:rPr>
                      <w:rFonts w:ascii="Arial" w:eastAsia="Times New Roman" w:hAnsi="Arial" w:cs="Arial"/>
                      <w:color w:val="272727"/>
                      <w:sz w:val="26"/>
                      <w:szCs w:val="26"/>
                    </w:rPr>
                  </w:pPr>
                  <w:r w:rsidRPr="00731CBC">
                    <w:rPr>
                      <w:rFonts w:ascii="Arial" w:eastAsia="Times New Roman" w:hAnsi="Arial" w:cs="Arial"/>
                      <w:b/>
                      <w:bCs/>
                      <w:color w:val="272727"/>
                      <w:sz w:val="26"/>
                      <w:szCs w:val="26"/>
                    </w:rPr>
                    <w:t>المزيد من المعلومات</w:t>
                  </w:r>
                </w:p>
                <w:p w:rsidR="00731CBC" w:rsidRPr="00731CBC" w:rsidRDefault="00E06015" w:rsidP="00731CBC">
                  <w:pPr>
                    <w:numPr>
                      <w:ilvl w:val="0"/>
                      <w:numId w:val="2"/>
                    </w:numPr>
                    <w:bidi/>
                    <w:spacing w:before="120" w:after="30" w:line="240" w:lineRule="auto"/>
                    <w:ind w:left="15" w:right="300"/>
                    <w:rPr>
                      <w:rFonts w:ascii="Arial" w:eastAsia="Times New Roman" w:hAnsi="Arial" w:cs="Arial"/>
                      <w:color w:val="272727"/>
                      <w:sz w:val="17"/>
                      <w:szCs w:val="17"/>
                    </w:rPr>
                  </w:pPr>
                  <w:hyperlink r:id="rId14" w:history="1">
                    <w:r w:rsidR="00731CBC" w:rsidRPr="00731CBC">
                      <w:rPr>
                        <w:rFonts w:ascii="Arial" w:eastAsia="Times New Roman" w:hAnsi="Arial" w:cs="Arial"/>
                        <w:color w:val="000000"/>
                        <w:sz w:val="24"/>
                        <w:szCs w:val="24"/>
                      </w:rPr>
                      <w:t>المكتب القطري بتركيا</w:t>
                    </w:r>
                  </w:hyperlink>
                </w:p>
                <w:p w:rsidR="00731CBC" w:rsidRPr="00731CBC" w:rsidRDefault="00731CBC" w:rsidP="00731CBC">
                  <w:pPr>
                    <w:bidi/>
                    <w:spacing w:after="0" w:line="240" w:lineRule="auto"/>
                    <w:ind w:right="300"/>
                    <w:rPr>
                      <w:rFonts w:ascii="Arial" w:eastAsia="Times New Roman" w:hAnsi="Arial" w:cs="Arial"/>
                      <w:color w:val="272727"/>
                      <w:sz w:val="17"/>
                      <w:szCs w:val="17"/>
                    </w:rPr>
                  </w:pPr>
                </w:p>
                <w:p w:rsidR="00731CBC" w:rsidRPr="00731CBC" w:rsidRDefault="00731CBC" w:rsidP="00731CBC">
                  <w:pPr>
                    <w:bidi/>
                    <w:spacing w:after="0" w:line="240" w:lineRule="auto"/>
                    <w:ind w:right="300"/>
                    <w:outlineLvl w:val="1"/>
                    <w:rPr>
                      <w:rFonts w:ascii="Arial" w:eastAsia="Times New Roman" w:hAnsi="Arial" w:cs="Arial"/>
                      <w:color w:val="272727"/>
                      <w:sz w:val="26"/>
                      <w:szCs w:val="26"/>
                    </w:rPr>
                  </w:pPr>
                  <w:r w:rsidRPr="00731CBC">
                    <w:rPr>
                      <w:rFonts w:ascii="Arial" w:eastAsia="Times New Roman" w:hAnsi="Arial" w:cs="Arial"/>
                      <w:b/>
                      <w:bCs/>
                      <w:color w:val="272727"/>
                      <w:sz w:val="26"/>
                      <w:szCs w:val="26"/>
                    </w:rPr>
                    <w:t>الشركاء</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15" w:history="1">
                    <w:r w:rsidR="00731CBC" w:rsidRPr="00731CBC">
                      <w:rPr>
                        <w:rFonts w:ascii="Arial" w:eastAsia="Times New Roman" w:hAnsi="Arial" w:cs="Arial"/>
                        <w:color w:val="000000"/>
                        <w:sz w:val="24"/>
                        <w:szCs w:val="24"/>
                      </w:rPr>
                      <w:t>وزارة الطاقة التركية:</w:t>
                    </w:r>
                  </w:hyperlink>
                  <w:r w:rsidR="00731CBC" w:rsidRPr="00731CBC">
                    <w:rPr>
                      <w:rFonts w:ascii="Arial" w:eastAsia="Times New Roman" w:hAnsi="Arial" w:cs="Arial"/>
                      <w:color w:val="272727"/>
                      <w:sz w:val="17"/>
                      <w:szCs w:val="17"/>
                    </w:rPr>
                    <w:t xml:space="preserve"> </w:t>
                  </w:r>
                </w:p>
                <w:p w:rsidR="00731CBC" w:rsidRPr="00731CBC" w:rsidRDefault="00731CBC" w:rsidP="00731CBC">
                  <w:pPr>
                    <w:numPr>
                      <w:ilvl w:val="0"/>
                      <w:numId w:val="3"/>
                    </w:numPr>
                    <w:bidi/>
                    <w:spacing w:before="120" w:after="30" w:line="240" w:lineRule="auto"/>
                    <w:ind w:left="15" w:right="300"/>
                    <w:rPr>
                      <w:rFonts w:ascii="Arial" w:eastAsia="Times New Roman" w:hAnsi="Arial" w:cs="Arial"/>
                      <w:color w:val="272727"/>
                      <w:sz w:val="17"/>
                      <w:szCs w:val="17"/>
                    </w:rPr>
                  </w:pPr>
                  <w:r w:rsidRPr="00731CBC">
                    <w:rPr>
                      <w:rFonts w:ascii="Arial" w:eastAsia="Times New Roman" w:hAnsi="Arial" w:cs="Arial"/>
                      <w:color w:val="272727"/>
                      <w:sz w:val="24"/>
                      <w:szCs w:val="24"/>
                    </w:rPr>
                    <w:t>الشركة التركية لنقل الكهرباء</w:t>
                  </w:r>
                  <w:r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16" w:history="1">
                    <w:r w:rsidR="00731CBC" w:rsidRPr="00731CBC">
                      <w:rPr>
                        <w:rFonts w:ascii="Arial" w:eastAsia="Times New Roman" w:hAnsi="Arial" w:cs="Arial"/>
                        <w:color w:val="000000"/>
                        <w:sz w:val="24"/>
                        <w:szCs w:val="24"/>
                      </w:rPr>
                      <w:t>مؤسسة خطوط أنابيب البترول</w:t>
                    </w:r>
                  </w:hyperlink>
                  <w:r w:rsidR="00731CBC"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17" w:history="1">
                    <w:r w:rsidR="00731CBC" w:rsidRPr="00731CBC">
                      <w:rPr>
                        <w:rFonts w:ascii="Arial" w:eastAsia="Times New Roman" w:hAnsi="Arial" w:cs="Arial"/>
                        <w:color w:val="000000"/>
                        <w:sz w:val="24"/>
                        <w:szCs w:val="24"/>
                      </w:rPr>
                      <w:t>إدارة مسح وتطوير موارد الطاقة الكهربية</w:t>
                    </w:r>
                  </w:hyperlink>
                  <w:r w:rsidR="00731CBC"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18" w:history="1">
                    <w:r w:rsidR="00731CBC" w:rsidRPr="00731CBC">
                      <w:rPr>
                        <w:rFonts w:ascii="Arial" w:eastAsia="Times New Roman" w:hAnsi="Arial" w:cs="Arial"/>
                        <w:color w:val="000000"/>
                        <w:sz w:val="24"/>
                        <w:szCs w:val="24"/>
                      </w:rPr>
                      <w:t>الشركة التركية لتوزيع الكهرباء</w:t>
                    </w:r>
                  </w:hyperlink>
                  <w:r w:rsidR="00731CBC"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19" w:history="1">
                    <w:r w:rsidR="00731CBC" w:rsidRPr="00731CBC">
                      <w:rPr>
                        <w:rFonts w:ascii="Arial" w:eastAsia="Times New Roman" w:hAnsi="Arial" w:cs="Arial"/>
                        <w:color w:val="000000"/>
                        <w:sz w:val="24"/>
                        <w:szCs w:val="24"/>
                      </w:rPr>
                      <w:t>مجلس تنظيم سوق الطاقة</w:t>
                    </w:r>
                  </w:hyperlink>
                  <w:r w:rsidR="00731CBC"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20" w:history="1">
                    <w:r w:rsidR="00731CBC" w:rsidRPr="00731CBC">
                      <w:rPr>
                        <w:rFonts w:ascii="Arial" w:eastAsia="Times New Roman" w:hAnsi="Arial" w:cs="Arial"/>
                        <w:color w:val="000000"/>
                        <w:sz w:val="24"/>
                        <w:szCs w:val="24"/>
                      </w:rPr>
                      <w:t>وكالة وزارة المالية</w:t>
                    </w:r>
                  </w:hyperlink>
                  <w:r w:rsidR="00731CBC"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21" w:history="1">
                    <w:r w:rsidR="00731CBC" w:rsidRPr="00731CBC">
                      <w:rPr>
                        <w:rFonts w:ascii="Arial" w:eastAsia="Times New Roman" w:hAnsi="Arial" w:cs="Arial"/>
                        <w:color w:val="000000"/>
                        <w:sz w:val="24"/>
                        <w:szCs w:val="24"/>
                      </w:rPr>
                      <w:t>وكالة هيئة التخطيط الحكومي</w:t>
                    </w:r>
                  </w:hyperlink>
                  <w:r w:rsidR="00731CBC" w:rsidRPr="00731CBC">
                    <w:rPr>
                      <w:rFonts w:ascii="Arial" w:eastAsia="Times New Roman" w:hAnsi="Arial" w:cs="Arial"/>
                      <w:color w:val="272727"/>
                      <w:sz w:val="17"/>
                      <w:szCs w:val="17"/>
                    </w:rPr>
                    <w:t xml:space="preserve"> </w:t>
                  </w:r>
                </w:p>
                <w:p w:rsidR="00731CBC" w:rsidRPr="00731CBC" w:rsidRDefault="00E06015" w:rsidP="00731CBC">
                  <w:pPr>
                    <w:numPr>
                      <w:ilvl w:val="0"/>
                      <w:numId w:val="3"/>
                    </w:numPr>
                    <w:bidi/>
                    <w:spacing w:before="120" w:after="30" w:line="240" w:lineRule="auto"/>
                    <w:ind w:left="15" w:right="300"/>
                    <w:rPr>
                      <w:rFonts w:ascii="Arial" w:eastAsia="Times New Roman" w:hAnsi="Arial" w:cs="Arial"/>
                      <w:color w:val="272727"/>
                      <w:sz w:val="17"/>
                      <w:szCs w:val="17"/>
                    </w:rPr>
                  </w:pPr>
                  <w:hyperlink r:id="rId22" w:history="1">
                    <w:r w:rsidR="00731CBC" w:rsidRPr="00731CBC">
                      <w:rPr>
                        <w:rFonts w:ascii="Arial" w:eastAsia="Times New Roman" w:hAnsi="Arial" w:cs="Arial"/>
                        <w:color w:val="000000"/>
                        <w:sz w:val="24"/>
                        <w:szCs w:val="24"/>
                      </w:rPr>
                      <w:t xml:space="preserve">مركز الأبحاث الإستراتيجية والتقنية والاقتصادية </w:t>
                    </w:r>
                  </w:hyperlink>
                </w:p>
                <w:p w:rsidR="00731CBC" w:rsidRPr="00731CBC" w:rsidRDefault="00731CBC" w:rsidP="00731CBC">
                  <w:pPr>
                    <w:bidi/>
                    <w:spacing w:line="240" w:lineRule="auto"/>
                    <w:ind w:right="300"/>
                    <w:rPr>
                      <w:rFonts w:ascii="Arial" w:eastAsia="Times New Roman" w:hAnsi="Arial" w:cs="Arial"/>
                      <w:color w:val="272727"/>
                      <w:sz w:val="17"/>
                      <w:szCs w:val="17"/>
                    </w:rPr>
                  </w:pPr>
                </w:p>
                <w:p w:rsidR="00731CBC" w:rsidRPr="00731CBC" w:rsidRDefault="00731CBC" w:rsidP="00731CBC">
                  <w:pPr>
                    <w:bidi/>
                    <w:spacing w:after="0" w:line="240" w:lineRule="auto"/>
                    <w:outlineLvl w:val="1"/>
                    <w:rPr>
                      <w:rFonts w:ascii="Arial" w:eastAsia="Times New Roman" w:hAnsi="Arial" w:cs="Arial"/>
                      <w:color w:val="272727"/>
                      <w:sz w:val="26"/>
                      <w:szCs w:val="26"/>
                    </w:rPr>
                  </w:pPr>
                  <w:r w:rsidRPr="00731CBC">
                    <w:rPr>
                      <w:rFonts w:ascii="Arial" w:eastAsia="Times New Roman" w:hAnsi="Arial" w:cs="Arial"/>
                      <w:b/>
                      <w:bCs/>
                      <w:color w:val="272727"/>
                      <w:sz w:val="26"/>
                      <w:szCs w:val="26"/>
                    </w:rPr>
                    <w:t>التحدي</w:t>
                  </w:r>
                </w:p>
                <w:p w:rsidR="00731CBC" w:rsidRPr="00731CBC" w:rsidRDefault="00731CBC" w:rsidP="00731CBC">
                  <w:pPr>
                    <w:bidi/>
                    <w:spacing w:before="75" w:after="75" w:line="240" w:lineRule="auto"/>
                    <w:rPr>
                      <w:rFonts w:ascii="Arial" w:eastAsia="Times New Roman" w:hAnsi="Arial" w:cs="Arial"/>
                      <w:color w:val="272727"/>
                      <w:sz w:val="20"/>
                      <w:szCs w:val="20"/>
                    </w:rPr>
                  </w:pPr>
                  <w:r w:rsidRPr="00731CBC">
                    <w:rPr>
                      <w:rFonts w:ascii="Arial" w:eastAsia="Times New Roman" w:hAnsi="Arial" w:cs="Arial"/>
                      <w:color w:val="272727"/>
                      <w:sz w:val="24"/>
                      <w:szCs w:val="24"/>
                    </w:rPr>
                    <w:t>تعد الطاقة مسألة حاسمة لتحقيق نمو اقتصادي والمحافظة عليه. وتواجه تركيا طلبا محليا متزايدا على الطاقة، ونموا سريعا في معدل انبعاثات الغازات المسببة لظاهرة الاحتباس الحراري، ويأتي جزء كبير منها من إنتاج واستهلاك الطاقة. ولتلبية الطلب على الطاقة بأقل تأثير سلبي على البيئة، تسعى تركيا إلى زيادة اعتمادها على الطاقة المتجددة وفي الوقت نفسه تشجع على الاستخدام الكفء للطاقة الكهربائية بين المستهلكين.</w:t>
                  </w:r>
                </w:p>
                <w:p w:rsidR="00731CBC" w:rsidRPr="00731CBC" w:rsidRDefault="00731CBC" w:rsidP="00731CBC">
                  <w:pPr>
                    <w:bidi/>
                    <w:spacing w:after="0" w:line="240" w:lineRule="auto"/>
                    <w:outlineLvl w:val="1"/>
                    <w:rPr>
                      <w:rFonts w:ascii="Arial" w:eastAsia="Times New Roman" w:hAnsi="Arial" w:cs="Arial"/>
                      <w:color w:val="272727"/>
                      <w:sz w:val="26"/>
                      <w:szCs w:val="26"/>
                    </w:rPr>
                  </w:pPr>
                  <w:r w:rsidRPr="00731CBC">
                    <w:rPr>
                      <w:rFonts w:ascii="Arial" w:eastAsia="Times New Roman" w:hAnsi="Arial" w:cs="Arial"/>
                      <w:color w:val="272727"/>
                      <w:sz w:val="26"/>
                      <w:szCs w:val="26"/>
                    </w:rPr>
                    <w:br/>
                  </w:r>
                  <w:r w:rsidRPr="00731CBC">
                    <w:rPr>
                      <w:rFonts w:ascii="Arial" w:eastAsia="Times New Roman" w:hAnsi="Arial" w:cs="Arial"/>
                      <w:b/>
                      <w:bCs/>
                      <w:color w:val="272727"/>
                      <w:sz w:val="26"/>
                      <w:szCs w:val="26"/>
                    </w:rPr>
                    <w:t>النهج</w:t>
                  </w:r>
                </w:p>
                <w:p w:rsidR="00731CBC" w:rsidRPr="00731CBC" w:rsidRDefault="00731CBC" w:rsidP="00731CBC">
                  <w:pPr>
                    <w:bidi/>
                    <w:spacing w:before="75" w:after="75" w:line="240" w:lineRule="auto"/>
                    <w:rPr>
                      <w:rFonts w:ascii="Arial" w:eastAsia="Times New Roman" w:hAnsi="Arial" w:cs="Arial"/>
                      <w:color w:val="272727"/>
                      <w:sz w:val="20"/>
                      <w:szCs w:val="20"/>
                    </w:rPr>
                  </w:pPr>
                  <w:r w:rsidRPr="00731CBC">
                    <w:rPr>
                      <w:rFonts w:ascii="Arial" w:eastAsia="Times New Roman" w:hAnsi="Arial" w:cs="Arial"/>
                      <w:color w:val="272727"/>
                      <w:sz w:val="24"/>
                      <w:szCs w:val="24"/>
                    </w:rPr>
                    <w:t>تعمل الحكومة التركية، بمساندة من البنك الدولي للإنشاء والتعمير، على تحويل قطاع الطاقة لديها بغية زيادة المنافسة وتوسيع الاستثمارات الخاصة، والتشجيع على الاستخدام المستدام لموارد الطاقة المتجددة.</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t>وتأخذ وزارة الطاقة والمالية زمام المبادرة في تحديد الاتجاه الإستراتيجي الشامل للتحرك قدما، وبالتعاون مع البنك تحدد الاستخدام الأمثل لأدوات البنك في الحفاظ على هذا الاتجاه.</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t xml:space="preserve">وفي الوقت الراهن، يحظي برنامج تركيا في مجال الطاقة بمساندة من عدد من قروض الاستثمار وقروض سياسات التنمية التي يقدمها البنك الدولي للإنشاء والتعمير، وكذلك العمل الاستشاري المعني بالسياسات، بما في ذلك </w:t>
                  </w:r>
                  <w:hyperlink r:id="rId23" w:tgtFrame="_self" w:history="1">
                    <w:r w:rsidRPr="00731CBC">
                      <w:rPr>
                        <w:rFonts w:ascii="Arial" w:eastAsia="Times New Roman" w:hAnsi="Arial" w:cs="Arial"/>
                        <w:color w:val="336699"/>
                        <w:sz w:val="24"/>
                        <w:szCs w:val="24"/>
                      </w:rPr>
                      <w:t>المشروع الوطني لشبكة النقل،</w:t>
                    </w:r>
                  </w:hyperlink>
                  <w:r w:rsidRPr="00731CBC">
                    <w:rPr>
                      <w:rFonts w:ascii="Arial" w:eastAsia="Times New Roman" w:hAnsi="Arial" w:cs="Arial"/>
                      <w:color w:val="272727"/>
                      <w:sz w:val="24"/>
                      <w:szCs w:val="24"/>
                    </w:rPr>
                    <w:t xml:space="preserve"> في إطار الجماعة المعنية بالطاقة في جنوب شرق أوروبا في تركيا (</w:t>
                  </w:r>
                  <w:hyperlink r:id="rId24" w:history="1">
                    <w:r w:rsidRPr="00731CBC">
                      <w:rPr>
                        <w:rFonts w:ascii="Arial" w:eastAsia="Times New Roman" w:hAnsi="Arial" w:cs="Arial"/>
                        <w:color w:val="336699"/>
                        <w:sz w:val="24"/>
                        <w:szCs w:val="24"/>
                      </w:rPr>
                      <w:t>القرضين الثاني والثالث لبرنامج قابل للتعديل)،</w:t>
                    </w:r>
                  </w:hyperlink>
                  <w:r w:rsidRPr="00731CBC">
                    <w:rPr>
                      <w:rFonts w:ascii="Arial" w:eastAsia="Times New Roman" w:hAnsi="Arial" w:cs="Arial"/>
                      <w:color w:val="272727"/>
                      <w:sz w:val="24"/>
                      <w:szCs w:val="24"/>
                    </w:rPr>
                    <w:t xml:space="preserve"> </w:t>
                  </w:r>
                  <w:hyperlink r:id="rId25" w:tgtFrame="_self" w:history="1">
                    <w:r w:rsidRPr="00731CBC">
                      <w:rPr>
                        <w:rFonts w:ascii="Arial" w:eastAsia="Times New Roman" w:hAnsi="Arial" w:cs="Arial"/>
                        <w:color w:val="336699"/>
                        <w:sz w:val="24"/>
                        <w:szCs w:val="24"/>
                      </w:rPr>
                      <w:t>وقرض استثمار للطاقة المتجددة والاستخدام الكفء للطاقة</w:t>
                    </w:r>
                  </w:hyperlink>
                  <w:r w:rsidRPr="00731CBC">
                    <w:rPr>
                      <w:rFonts w:ascii="Arial" w:eastAsia="Times New Roman" w:hAnsi="Arial" w:cs="Arial"/>
                      <w:color w:val="272727"/>
                      <w:sz w:val="24"/>
                      <w:szCs w:val="24"/>
                    </w:rPr>
                    <w:t>، فضلا عن العمل الاستشاري البرامجي لقطاع الطاقة (مذكرات سياسة قطاع الطاقة، وإستراتيجية الطاقة التركية وغيرهما).</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t xml:space="preserve">وقد ساند البنك الدولي للإنشاء والتعمير الإصلاحات التي نفذتها تركيا في قطاع الطاقة بصورة كبيرة خلال العقد الماضي عن طريق الانتفاع بمجموعة كاملة من أدوات البنك الدولي، شاملة القروض والمساندة الفنية، على نحو يكمل ويعزز بعضها البعض. ويشتمل البرنامج على عناصر خاصة بإعادة الهيكلة، والتحرير، والخصخصة؛ وخلق أسواق تنافسية؛ وتمويل أشغال إعادة </w:t>
                  </w:r>
                  <w:r w:rsidRPr="00731CBC">
                    <w:rPr>
                      <w:rFonts w:ascii="Arial" w:eastAsia="Times New Roman" w:hAnsi="Arial" w:cs="Arial"/>
                      <w:color w:val="272727"/>
                      <w:sz w:val="24"/>
                      <w:szCs w:val="24"/>
                    </w:rPr>
                    <w:lastRenderedPageBreak/>
                    <w:t>التأهيل والتوسع الرئيسية؛ وما ينجم عن ذلك كله من زيادة في حجم استثمارات القطاع الخاص.</w:t>
                  </w:r>
                </w:p>
                <w:p w:rsidR="00731CBC" w:rsidRPr="00731CBC" w:rsidRDefault="00731CBC" w:rsidP="00731CBC">
                  <w:pPr>
                    <w:bidi/>
                    <w:spacing w:after="0" w:line="240" w:lineRule="auto"/>
                    <w:outlineLvl w:val="1"/>
                    <w:rPr>
                      <w:rFonts w:ascii="Arial" w:eastAsia="Times New Roman" w:hAnsi="Arial" w:cs="Arial"/>
                      <w:color w:val="272727"/>
                      <w:sz w:val="26"/>
                      <w:szCs w:val="26"/>
                    </w:rPr>
                  </w:pPr>
                  <w:r w:rsidRPr="00731CBC">
                    <w:rPr>
                      <w:rFonts w:ascii="Arial" w:eastAsia="Times New Roman" w:hAnsi="Arial" w:cs="Arial"/>
                      <w:color w:val="272727"/>
                      <w:sz w:val="26"/>
                      <w:szCs w:val="26"/>
                    </w:rPr>
                    <w:br/>
                  </w:r>
                  <w:r w:rsidRPr="00731CBC">
                    <w:rPr>
                      <w:rFonts w:ascii="Arial" w:eastAsia="Times New Roman" w:hAnsi="Arial" w:cs="Arial"/>
                      <w:b/>
                      <w:bCs/>
                      <w:color w:val="272727"/>
                      <w:sz w:val="26"/>
                      <w:szCs w:val="26"/>
                    </w:rPr>
                    <w:t>النتائج</w:t>
                  </w:r>
                </w:p>
                <w:p w:rsidR="00731CBC" w:rsidRPr="00731CBC" w:rsidRDefault="00731CBC" w:rsidP="00731CBC">
                  <w:pPr>
                    <w:bidi/>
                    <w:spacing w:before="75" w:after="75" w:line="240" w:lineRule="auto"/>
                    <w:rPr>
                      <w:rFonts w:ascii="Arial" w:eastAsia="Times New Roman" w:hAnsi="Arial" w:cs="Arial"/>
                      <w:color w:val="272727"/>
                      <w:sz w:val="20"/>
                      <w:szCs w:val="20"/>
                    </w:rPr>
                  </w:pPr>
                  <w:r w:rsidRPr="00731CBC">
                    <w:rPr>
                      <w:rFonts w:ascii="Arial" w:eastAsia="Times New Roman" w:hAnsi="Arial" w:cs="Arial"/>
                      <w:color w:val="272727"/>
                      <w:sz w:val="24"/>
                      <w:szCs w:val="24"/>
                    </w:rPr>
                    <w:t>يمكن الآن التعويل على إمدادات الطاقة الكهربية بصورة أكبر، حيث انخفضت مدة الأعطال في شبكة النقل بأكثر من النصف من 26675 ساعة في 2004 إلى 10280 ساعة في 2007. وأصبح بمقدور عدد أكبر من السكان الحصول على طاقة آمنة. وأتاح التوسع في نقل الكهرباء وتحديث الشبكات لما يقدر بنحو 4,6 مليون أسرة معيشية إضافية الحصول على إمدادات كهرباء محسنة. وأتاح إنشاء خط ربط دولي مع اليونان تبادل الكهرباء.</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t>عملت تركيا على تحسين كفاءة سوقها للكهرباء وفي الوقت نفسه زيادة مشاركة القطاع الخاص في توزيع وتوليد الطاقة الكهربية. وكان لإصلاحات قطاع الطاقة التي ساندها البنك الدولي للإنشاء والتعمير من خلال العمل الاستشاري بشأن السياسات الفضل في إدخال المنافسة إلى قطاع التجزئة. وفي سوق الجملة، تم تسجيل ما يزيد عن 100 شركة خاصة لتوليد الكهرباء. وتمت خصخصة أربع شركات للتوزيع حتى الآن، من بين 20. وحاليا، أصبح بمقدور حوالي 40 في المائة من المستهلكين أن يختاروا من يقدم لهم الخدمة، وهو الشيء الذي كان يندر توافره عام 2002.</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t>وأظهر عمل البنك الدولي في مجال الطاقة المتجددة جدوى تمويل مشروعات خاصة لتوليد الكهرباء من المصادر المتجددة، وهو ما ارتفع من مستويات لا تستحق الذكر عام 2004 إلى نحو 1500 ميجاوات في الوقت الراهن. وتمكنت تركيا، بفضل إسهام القطاع الخاص في توليد الكهرباء والاستعانة بالمصادر المتجددة، من تفادي انبعاث غاز ثاني أكسيد الكربون بنحو 1,01 مليون طن سنوياً.</w:t>
                  </w:r>
                </w:p>
                <w:p w:rsidR="00731CBC" w:rsidRPr="00731CBC" w:rsidRDefault="00731CBC" w:rsidP="00731CBC">
                  <w:pPr>
                    <w:bidi/>
                    <w:spacing w:after="240" w:line="240" w:lineRule="auto"/>
                    <w:rPr>
                      <w:rFonts w:ascii="Arial" w:eastAsia="Times New Roman" w:hAnsi="Arial" w:cs="Arial"/>
                      <w:color w:val="272727"/>
                      <w:sz w:val="17"/>
                      <w:szCs w:val="17"/>
                    </w:rPr>
                  </w:pPr>
                </w:p>
                <w:p w:rsidR="00731CBC" w:rsidRPr="00731CBC" w:rsidRDefault="00731CBC" w:rsidP="00731CBC">
                  <w:pPr>
                    <w:pBdr>
                      <w:top w:val="single" w:sz="12" w:space="0" w:color="125186"/>
                      <w:bottom w:val="single" w:sz="6" w:space="0" w:color="CCCCCC"/>
                    </w:pBdr>
                    <w:bidi/>
                    <w:spacing w:before="75" w:after="75" w:line="240" w:lineRule="auto"/>
                    <w:rPr>
                      <w:rFonts w:ascii="Georgia" w:eastAsia="Times New Roman" w:hAnsi="Georgia" w:cs="Arial"/>
                      <w:color w:val="666666"/>
                      <w:sz w:val="24"/>
                      <w:szCs w:val="24"/>
                    </w:rPr>
                  </w:pPr>
                  <w:r>
                    <w:rPr>
                      <w:rFonts w:ascii="Georgia" w:eastAsia="Times New Roman" w:hAnsi="Georgia" w:cs="Arial"/>
                      <w:noProof/>
                      <w:color w:val="666666"/>
                      <w:sz w:val="24"/>
                      <w:szCs w:val="24"/>
                    </w:rPr>
                    <w:drawing>
                      <wp:inline distT="0" distB="0" distL="0" distR="0">
                        <wp:extent cx="146685" cy="120650"/>
                        <wp:effectExtent l="0" t="0" r="5715" b="0"/>
                        <wp:docPr id="2" name="Picture 2" descr="http://www.worldbank.org/results/images/quote-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orldbank.org/results/images/quote-lef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noFill/>
                                </a:ln>
                              </pic:spPr>
                            </pic:pic>
                          </a:graphicData>
                        </a:graphic>
                      </wp:inline>
                    </w:drawing>
                  </w:r>
                  <w:r w:rsidRPr="00731CBC">
                    <w:rPr>
                      <w:rFonts w:ascii="Times New Roman" w:eastAsia="Times New Roman" w:hAnsi="Times New Roman" w:cs="Times New Roman"/>
                      <w:b/>
                      <w:bCs/>
                      <w:color w:val="666666"/>
                      <w:sz w:val="24"/>
                      <w:szCs w:val="24"/>
                    </w:rPr>
                    <w:t>خلال</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السنوات</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القليلة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الماضية،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حققنا</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نتائج</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ملموسة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فيما</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يتعلق</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بإصلاح</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القطاع</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فقد</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تم</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إنشاء</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سوق</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للكهرباء؛</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وتمت</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خصخصة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شركات</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التوزيع؛</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وصدرت</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عدة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تشريعات</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هامة</w:t>
                  </w:r>
                  <w:r w:rsidRPr="00731CBC">
                    <w:rPr>
                      <w:rFonts w:ascii="Georgia" w:eastAsia="Times New Roman" w:hAnsi="Georgia" w:cs="Arial"/>
                      <w:b/>
                      <w:bCs/>
                      <w:color w:val="666666"/>
                      <w:sz w:val="24"/>
                      <w:szCs w:val="24"/>
                    </w:rPr>
                    <w:t xml:space="preserve"> </w:t>
                  </w:r>
                  <w:r w:rsidRPr="00731CBC">
                    <w:rPr>
                      <w:rFonts w:ascii="Georgia" w:eastAsia="Times New Roman" w:hAnsi="Georgia" w:cs="Georgia"/>
                      <w:b/>
                      <w:bCs/>
                      <w:color w:val="666666"/>
                      <w:sz w:val="24"/>
                      <w:szCs w:val="24"/>
                    </w:rPr>
                    <w:t>–</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بشأن</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سوق</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الكهرباء،</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والطاقة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المتجددة،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وكفاءة</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استخدام</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الطاقة</w:t>
                  </w:r>
                  <w:r w:rsidRPr="00731CBC">
                    <w:rPr>
                      <w:rFonts w:ascii="Georgia" w:eastAsia="Times New Roman" w:hAnsi="Georgia" w:cs="Arial"/>
                      <w:b/>
                      <w:bCs/>
                      <w:color w:val="666666"/>
                      <w:sz w:val="24"/>
                      <w:szCs w:val="24"/>
                    </w:rPr>
                    <w:t xml:space="preserve"> </w:t>
                  </w:r>
                  <w:r w:rsidRPr="00731CBC">
                    <w:rPr>
                      <w:rFonts w:ascii="Georgia" w:eastAsia="Times New Roman" w:hAnsi="Georgia" w:cs="Georgia"/>
                      <w:b/>
                      <w:bCs/>
                      <w:color w:val="666666"/>
                      <w:sz w:val="24"/>
                      <w:szCs w:val="24"/>
                    </w:rPr>
                    <w:t>–</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ويجري</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تنفيذها</w:t>
                  </w:r>
                  <w:r w:rsidRPr="00731CBC">
                    <w:rPr>
                      <w:rFonts w:ascii="Georgia" w:eastAsia="Times New Roman" w:hAnsi="Georgia" w:cs="Arial"/>
                      <w:b/>
                      <w:bCs/>
                      <w:color w:val="666666"/>
                      <w:sz w:val="24"/>
                      <w:szCs w:val="24"/>
                    </w:rPr>
                    <w:t xml:space="preserve"> </w:t>
                  </w:r>
                  <w:r w:rsidRPr="00731CBC">
                    <w:rPr>
                      <w:rFonts w:ascii="Times New Roman" w:eastAsia="Times New Roman" w:hAnsi="Times New Roman" w:cs="Times New Roman"/>
                      <w:b/>
                      <w:bCs/>
                      <w:color w:val="666666"/>
                      <w:sz w:val="24"/>
                      <w:szCs w:val="24"/>
                    </w:rPr>
                    <w:t>حاليا</w:t>
                  </w:r>
                  <w:r w:rsidRPr="00731CBC">
                    <w:rPr>
                      <w:rFonts w:ascii="Georgia" w:eastAsia="Times New Roman" w:hAnsi="Georgia" w:cs="Arial"/>
                      <w:b/>
                      <w:bCs/>
                      <w:color w:val="666666"/>
                      <w:sz w:val="24"/>
                      <w:szCs w:val="24"/>
                    </w:rPr>
                    <w:t xml:space="preserve">. </w:t>
                  </w:r>
                  <w:r>
                    <w:rPr>
                      <w:rFonts w:ascii="Georgia" w:eastAsia="Times New Roman" w:hAnsi="Georgia" w:cs="Arial"/>
                      <w:b/>
                      <w:bCs/>
                      <w:noProof/>
                      <w:color w:val="666666"/>
                      <w:sz w:val="24"/>
                      <w:szCs w:val="24"/>
                    </w:rPr>
                    <w:drawing>
                      <wp:inline distT="0" distB="0" distL="0" distR="0">
                        <wp:extent cx="146685" cy="120650"/>
                        <wp:effectExtent l="0" t="0" r="5715" b="0"/>
                        <wp:docPr id="1" name="Picture 1" descr="http://www.worldbank.org/results/images/quot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bank.org/results/images/quote-righ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noFill/>
                                </a:ln>
                              </pic:spPr>
                            </pic:pic>
                          </a:graphicData>
                        </a:graphic>
                      </wp:inline>
                    </w:drawing>
                  </w:r>
                  <w:r w:rsidRPr="00731CBC">
                    <w:rPr>
                      <w:rFonts w:ascii="Georgia" w:eastAsia="Times New Roman" w:hAnsi="Georgia" w:cs="Arial"/>
                      <w:b/>
                      <w:bCs/>
                      <w:i/>
                      <w:iCs/>
                      <w:color w:val="666666"/>
                      <w:sz w:val="24"/>
                      <w:szCs w:val="24"/>
                    </w:rPr>
                    <w:br/>
                  </w:r>
                  <w:r w:rsidRPr="00731CBC">
                    <w:rPr>
                      <w:rFonts w:ascii="Georgia" w:eastAsia="Times New Roman" w:hAnsi="Georgia" w:cs="Arial"/>
                      <w:b/>
                      <w:bCs/>
                      <w:i/>
                      <w:iCs/>
                      <w:color w:val="666666"/>
                      <w:sz w:val="24"/>
                      <w:szCs w:val="24"/>
                    </w:rPr>
                    <w:br/>
                    <w:t xml:space="preserve">- </w:t>
                  </w:r>
                  <w:r w:rsidRPr="00731CBC">
                    <w:rPr>
                      <w:rFonts w:ascii="Times New Roman" w:eastAsia="Times New Roman" w:hAnsi="Times New Roman" w:cs="Times New Roman"/>
                      <w:b/>
                      <w:bCs/>
                      <w:i/>
                      <w:iCs/>
                      <w:color w:val="666666"/>
                      <w:sz w:val="24"/>
                      <w:szCs w:val="24"/>
                    </w:rPr>
                    <w:t>بوداك</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ديلي،</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المدير</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العام</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لشؤون</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الطاقة</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في</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وزارة</w:t>
                  </w:r>
                  <w:r w:rsidRPr="00731CBC">
                    <w:rPr>
                      <w:rFonts w:ascii="Georgia" w:eastAsia="Times New Roman" w:hAnsi="Georgia" w:cs="Arial"/>
                      <w:b/>
                      <w:bCs/>
                      <w:i/>
                      <w:iCs/>
                      <w:color w:val="666666"/>
                      <w:sz w:val="24"/>
                      <w:szCs w:val="24"/>
                    </w:rPr>
                    <w:t xml:space="preserve"> </w:t>
                  </w:r>
                  <w:r w:rsidRPr="00731CBC">
                    <w:rPr>
                      <w:rFonts w:ascii="Times New Roman" w:eastAsia="Times New Roman" w:hAnsi="Times New Roman" w:cs="Times New Roman"/>
                      <w:b/>
                      <w:bCs/>
                      <w:i/>
                      <w:iCs/>
                      <w:color w:val="666666"/>
                      <w:sz w:val="24"/>
                      <w:szCs w:val="24"/>
                    </w:rPr>
                    <w:t>الطاقة</w:t>
                  </w:r>
                </w:p>
                <w:p w:rsidR="00731CBC" w:rsidRPr="00731CBC" w:rsidRDefault="00731CBC" w:rsidP="00731CBC">
                  <w:pPr>
                    <w:bidi/>
                    <w:spacing w:after="0" w:line="240" w:lineRule="auto"/>
                    <w:outlineLvl w:val="1"/>
                    <w:rPr>
                      <w:rFonts w:ascii="Arial" w:eastAsia="Times New Roman" w:hAnsi="Arial" w:cs="Arial"/>
                      <w:color w:val="272727"/>
                      <w:sz w:val="26"/>
                      <w:szCs w:val="26"/>
                    </w:rPr>
                  </w:pPr>
                  <w:r w:rsidRPr="00731CBC">
                    <w:rPr>
                      <w:rFonts w:ascii="Arial" w:eastAsia="Times New Roman" w:hAnsi="Arial" w:cs="Arial"/>
                      <w:color w:val="272727"/>
                      <w:sz w:val="26"/>
                      <w:szCs w:val="26"/>
                    </w:rPr>
                    <w:br/>
                  </w:r>
                  <w:r w:rsidRPr="00731CBC">
                    <w:rPr>
                      <w:rFonts w:ascii="Arial" w:eastAsia="Times New Roman" w:hAnsi="Arial" w:cs="Arial"/>
                      <w:b/>
                      <w:bCs/>
                      <w:color w:val="272727"/>
                      <w:sz w:val="26"/>
                      <w:szCs w:val="26"/>
                    </w:rPr>
                    <w:t>التحرك صوب المستقبل</w:t>
                  </w:r>
                </w:p>
                <w:p w:rsidR="00731CBC" w:rsidRPr="00731CBC" w:rsidRDefault="00731CBC" w:rsidP="00731CBC">
                  <w:pPr>
                    <w:bidi/>
                    <w:spacing w:before="75" w:line="240" w:lineRule="auto"/>
                    <w:rPr>
                      <w:rFonts w:ascii="Arial" w:eastAsia="Times New Roman" w:hAnsi="Arial" w:cs="Arial"/>
                      <w:color w:val="272727"/>
                      <w:sz w:val="20"/>
                      <w:szCs w:val="20"/>
                    </w:rPr>
                  </w:pPr>
                  <w:r w:rsidRPr="00731CBC">
                    <w:rPr>
                      <w:rFonts w:ascii="Arial" w:eastAsia="Times New Roman" w:hAnsi="Arial" w:cs="Arial"/>
                      <w:color w:val="272727"/>
                      <w:sz w:val="24"/>
                      <w:szCs w:val="24"/>
                    </w:rPr>
                    <w:t>يتطور برنامج الطاقة التركي باستمرار، وكذلك ستستمر جهود البنك الدولي للإنشاء والتعمير وتتوسع وفق احتياجات تركيا. فعلى مدى العقد المنصرم تحول قطاع الطاقة التركي، بمساندة من البنك، من قطاع مملوك للدولة إلى سوق متحررة من النظم تدار على أسس تجارية، مع مشاركة القطاع الخاص بالاستثمار والملكية في العديد من أجزائه. ومن المتوقع أن تشهد السوق المزيد من التوسع، مع زيادة الملكية والاستثمارات الخاصة، ومن المنتظر أن تعتمد السوق أكثر وأكثر على الموارد النظيفة والمتجددة.</w:t>
                  </w:r>
                  <w:r w:rsidRPr="00731CBC">
                    <w:rPr>
                      <w:rFonts w:ascii="Arial" w:eastAsia="Times New Roman" w:hAnsi="Arial" w:cs="Arial"/>
                      <w:color w:val="272727"/>
                      <w:sz w:val="24"/>
                      <w:szCs w:val="24"/>
                    </w:rPr>
                    <w:br/>
                  </w:r>
                  <w:r w:rsidRPr="00731CBC">
                    <w:rPr>
                      <w:rFonts w:ascii="Arial" w:eastAsia="Times New Roman" w:hAnsi="Arial" w:cs="Arial"/>
                      <w:color w:val="272727"/>
                      <w:sz w:val="24"/>
                      <w:szCs w:val="24"/>
                    </w:rPr>
                    <w:br/>
                    <w:t>ساعد عمل البنك الدولي في جذب استثمارات خاصة واسعة النطاق، لاسيما في الموارد المتجددة. وتم جلب قدر كبير من التمويل الجديد لمساندة الاستثمارات الجديدة في مجال توليد الكهرباء، وكذلك في مجال التوزيع الخاص. ومن المتوقع أن تستمر الحكومة التركية والبنك الدولي في الحفاظ على شراكتهما الهامة القائمة على أساس الأولويات التركية، مع قيام البنك الدولي للإنشاء والتعمير بتقديم المشورة المتعلقة بالسياسات، علاوة على التمويل الاستثماري في مجالات الطاقة المتجددة، وكفاءة استخدام الطاقة، والبنية الأساسية، وتغير المناخ، وأمن الإمدادات بشكل عام.</w:t>
                  </w:r>
                </w:p>
              </w:tc>
            </w:tr>
            <w:tr w:rsidR="00731CBC" w:rsidRPr="00731CBC">
              <w:trPr>
                <w:tblCellSpacing w:w="0" w:type="dxa"/>
                <w:jc w:val="right"/>
              </w:trPr>
              <w:tc>
                <w:tcPr>
                  <w:tcW w:w="0" w:type="auto"/>
                  <w:hideMark/>
                </w:tcPr>
                <w:p w:rsidR="00731CBC" w:rsidRPr="00731CBC" w:rsidRDefault="00731CBC" w:rsidP="00731CBC">
                  <w:pPr>
                    <w:bidi/>
                    <w:spacing w:after="0" w:line="240" w:lineRule="auto"/>
                    <w:rPr>
                      <w:rFonts w:ascii="Arial" w:eastAsia="Times New Roman" w:hAnsi="Arial" w:cs="Arial"/>
                      <w:color w:val="000000"/>
                      <w:sz w:val="18"/>
                      <w:szCs w:val="18"/>
                    </w:rPr>
                  </w:pPr>
                </w:p>
              </w:tc>
              <w:tc>
                <w:tcPr>
                  <w:tcW w:w="0" w:type="auto"/>
                  <w:vAlign w:val="center"/>
                  <w:hideMark/>
                </w:tcPr>
                <w:p w:rsidR="00731CBC" w:rsidRPr="00731CBC" w:rsidRDefault="00731CBC" w:rsidP="00731CBC">
                  <w:pPr>
                    <w:spacing w:after="0" w:line="240" w:lineRule="auto"/>
                    <w:rPr>
                      <w:rFonts w:ascii="Times New Roman" w:eastAsia="Times New Roman" w:hAnsi="Times New Roman" w:cs="Times New Roman"/>
                      <w:sz w:val="20"/>
                      <w:szCs w:val="20"/>
                    </w:rPr>
                  </w:pPr>
                </w:p>
              </w:tc>
              <w:tc>
                <w:tcPr>
                  <w:tcW w:w="0" w:type="auto"/>
                  <w:vAlign w:val="center"/>
                  <w:hideMark/>
                </w:tcPr>
                <w:p w:rsidR="00731CBC" w:rsidRPr="00731CBC" w:rsidRDefault="00731CBC" w:rsidP="00731CBC">
                  <w:pPr>
                    <w:spacing w:after="0" w:line="240" w:lineRule="auto"/>
                    <w:rPr>
                      <w:rFonts w:ascii="Times New Roman" w:eastAsia="Times New Roman" w:hAnsi="Times New Roman" w:cs="Times New Roman"/>
                      <w:sz w:val="20"/>
                      <w:szCs w:val="20"/>
                    </w:rPr>
                  </w:pPr>
                </w:p>
              </w:tc>
            </w:tr>
          </w:tbl>
          <w:p w:rsidR="00731CBC" w:rsidRPr="00731CBC" w:rsidRDefault="00731CBC" w:rsidP="00731CBC">
            <w:pPr>
              <w:bidi/>
              <w:spacing w:after="0" w:line="240" w:lineRule="auto"/>
              <w:jc w:val="right"/>
              <w:rPr>
                <w:rFonts w:ascii="Arial" w:eastAsia="Times New Roman" w:hAnsi="Arial" w:cs="Arial"/>
                <w:color w:val="000000"/>
                <w:sz w:val="18"/>
                <w:szCs w:val="18"/>
              </w:rPr>
            </w:pPr>
          </w:p>
        </w:tc>
      </w:tr>
    </w:tbl>
    <w:p w:rsidR="008934A2" w:rsidRPr="00731CBC" w:rsidRDefault="008934A2" w:rsidP="00731CBC">
      <w:pPr>
        <w:bidi/>
        <w:spacing w:after="240" w:line="240" w:lineRule="auto"/>
        <w:rPr>
          <w:rFonts w:ascii="Arial" w:eastAsia="Times New Roman" w:hAnsi="Arial" w:cs="Arial"/>
          <w:color w:val="000000"/>
          <w:sz w:val="18"/>
          <w:szCs w:val="18"/>
        </w:rPr>
      </w:pPr>
    </w:p>
    <w:sectPr w:rsidR="008934A2" w:rsidRPr="0073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0247"/>
    <w:multiLevelType w:val="multilevel"/>
    <w:tmpl w:val="370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C0279"/>
    <w:multiLevelType w:val="multilevel"/>
    <w:tmpl w:val="0F9A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17580"/>
    <w:multiLevelType w:val="multilevel"/>
    <w:tmpl w:val="FF6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BC"/>
    <w:rsid w:val="00731CBC"/>
    <w:rsid w:val="008934A2"/>
    <w:rsid w:val="00E0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72958-B1F2-4283-AB07-14ACCB7F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CBC"/>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731CBC"/>
    <w:pPr>
      <w:spacing w:after="0" w:line="240" w:lineRule="auto"/>
      <w:outlineLvl w:val="1"/>
    </w:pPr>
    <w:rPr>
      <w:rFonts w:ascii="Times New Roman" w:eastAsia="Times New Roman" w:hAnsi="Times New Roman" w:cs="Times New Roman"/>
      <w:color w:val="27272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CBC"/>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731CBC"/>
    <w:rPr>
      <w:rFonts w:ascii="Times New Roman" w:eastAsia="Times New Roman" w:hAnsi="Times New Roman" w:cs="Times New Roman"/>
      <w:color w:val="272727"/>
      <w:sz w:val="36"/>
      <w:szCs w:val="36"/>
    </w:rPr>
  </w:style>
  <w:style w:type="paragraph" w:styleId="NormalWeb">
    <w:name w:val="Normal (Web)"/>
    <w:basedOn w:val="Normal"/>
    <w:uiPriority w:val="99"/>
    <w:unhideWhenUsed/>
    <w:rsid w:val="00731CBC"/>
    <w:pPr>
      <w:spacing w:before="75" w:after="75" w:line="240" w:lineRule="auto"/>
    </w:pPr>
    <w:rPr>
      <w:rFonts w:ascii="Times New Roman" w:eastAsia="Times New Roman" w:hAnsi="Times New Roman" w:cs="Times New Roman"/>
      <w:sz w:val="29"/>
      <w:szCs w:val="29"/>
    </w:rPr>
  </w:style>
  <w:style w:type="paragraph" w:customStyle="1" w:styleId="quotestyle">
    <w:name w:val="quotestyle"/>
    <w:basedOn w:val="Normal"/>
    <w:rsid w:val="00731CBC"/>
    <w:pPr>
      <w:pBdr>
        <w:top w:val="single" w:sz="12" w:space="0" w:color="125186"/>
        <w:bottom w:val="single" w:sz="6" w:space="0" w:color="CCCCCC"/>
      </w:pBdr>
      <w:spacing w:before="75" w:after="75" w:line="240" w:lineRule="auto"/>
    </w:pPr>
    <w:rPr>
      <w:rFonts w:ascii="Georgia" w:eastAsia="Times New Roman" w:hAnsi="Georgia" w:cs="Times New Roman"/>
      <w:color w:val="666666"/>
      <w:sz w:val="24"/>
      <w:szCs w:val="24"/>
    </w:rPr>
  </w:style>
  <w:style w:type="paragraph" w:customStyle="1" w:styleId="nobg1">
    <w:name w:val="nobg1"/>
    <w:basedOn w:val="Normal"/>
    <w:rsid w:val="00731CBC"/>
    <w:pPr>
      <w:shd w:val="clear" w:color="auto" w:fill="FFFFFF"/>
      <w:spacing w:before="75" w:after="75" w:line="240" w:lineRule="auto"/>
    </w:pPr>
    <w:rPr>
      <w:rFonts w:ascii="Times New Roman" w:eastAsia="Times New Roman" w:hAnsi="Times New Roman" w:cs="Times New Roman"/>
      <w:b/>
      <w:bCs/>
      <w:caps/>
      <w:sz w:val="24"/>
      <w:szCs w:val="24"/>
    </w:rPr>
  </w:style>
  <w:style w:type="character" w:customStyle="1" w:styleId="header2">
    <w:name w:val="header2"/>
    <w:basedOn w:val="DefaultParagraphFont"/>
    <w:rsid w:val="00731CBC"/>
    <w:rPr>
      <w:b/>
      <w:bCs/>
      <w:caps/>
      <w:color w:val="FFFFFF"/>
      <w:sz w:val="31"/>
      <w:szCs w:val="31"/>
      <w:shd w:val="clear" w:color="auto" w:fill="9D0909"/>
    </w:rPr>
  </w:style>
  <w:style w:type="character" w:styleId="Strong">
    <w:name w:val="Strong"/>
    <w:basedOn w:val="DefaultParagraphFont"/>
    <w:uiPriority w:val="22"/>
    <w:qFormat/>
    <w:rsid w:val="00731CBC"/>
    <w:rPr>
      <w:b/>
      <w:bCs/>
    </w:rPr>
  </w:style>
  <w:style w:type="character" w:styleId="Emphasis">
    <w:name w:val="Emphasis"/>
    <w:basedOn w:val="DefaultParagraphFont"/>
    <w:uiPriority w:val="20"/>
    <w:qFormat/>
    <w:rsid w:val="00731CBC"/>
    <w:rPr>
      <w:i/>
      <w:iCs/>
    </w:rPr>
  </w:style>
  <w:style w:type="paragraph" w:styleId="BalloonText">
    <w:name w:val="Balloon Text"/>
    <w:basedOn w:val="Normal"/>
    <w:link w:val="BalloonTextChar"/>
    <w:uiPriority w:val="99"/>
    <w:semiHidden/>
    <w:unhideWhenUsed/>
    <w:rsid w:val="0073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6182">
      <w:bodyDiv w:val="1"/>
      <w:marLeft w:val="0"/>
      <w:marRight w:val="0"/>
      <w:marTop w:val="0"/>
      <w:marBottom w:val="0"/>
      <w:divBdr>
        <w:top w:val="none" w:sz="0" w:space="0" w:color="auto"/>
        <w:left w:val="none" w:sz="0" w:space="0" w:color="auto"/>
        <w:bottom w:val="none" w:sz="0" w:space="0" w:color="auto"/>
        <w:right w:val="none" w:sz="0" w:space="0" w:color="auto"/>
      </w:divBdr>
      <w:divsChild>
        <w:div w:id="1296909251">
          <w:marLeft w:val="0"/>
          <w:marRight w:val="0"/>
          <w:marTop w:val="0"/>
          <w:marBottom w:val="0"/>
          <w:divBdr>
            <w:top w:val="none" w:sz="0" w:space="0" w:color="auto"/>
            <w:left w:val="none" w:sz="0" w:space="0" w:color="auto"/>
            <w:bottom w:val="none" w:sz="0" w:space="0" w:color="auto"/>
            <w:right w:val="none" w:sz="0" w:space="0" w:color="auto"/>
          </w:divBdr>
          <w:divsChild>
            <w:div w:id="2009020461">
              <w:marLeft w:val="0"/>
              <w:marRight w:val="0"/>
              <w:marTop w:val="0"/>
              <w:marBottom w:val="0"/>
              <w:divBdr>
                <w:top w:val="none" w:sz="0" w:space="0" w:color="auto"/>
                <w:left w:val="none" w:sz="0" w:space="0" w:color="auto"/>
                <w:bottom w:val="none" w:sz="0" w:space="0" w:color="auto"/>
                <w:right w:val="none" w:sz="0" w:space="0" w:color="auto"/>
              </w:divBdr>
              <w:divsChild>
                <w:div w:id="634723186">
                  <w:marLeft w:val="0"/>
                  <w:marRight w:val="0"/>
                  <w:marTop w:val="0"/>
                  <w:marBottom w:val="0"/>
                  <w:divBdr>
                    <w:top w:val="none" w:sz="0" w:space="0" w:color="auto"/>
                    <w:left w:val="none" w:sz="0" w:space="0" w:color="auto"/>
                    <w:bottom w:val="none" w:sz="0" w:space="0" w:color="auto"/>
                    <w:right w:val="none" w:sz="0" w:space="0" w:color="auto"/>
                  </w:divBdr>
                </w:div>
                <w:div w:id="1801336122">
                  <w:marLeft w:val="0"/>
                  <w:marRight w:val="0"/>
                  <w:marTop w:val="0"/>
                  <w:marBottom w:val="0"/>
                  <w:divBdr>
                    <w:top w:val="none" w:sz="0" w:space="0" w:color="auto"/>
                    <w:left w:val="none" w:sz="0" w:space="0" w:color="auto"/>
                    <w:bottom w:val="none" w:sz="0" w:space="0" w:color="auto"/>
                    <w:right w:val="none" w:sz="0" w:space="0" w:color="auto"/>
                  </w:divBdr>
                </w:div>
              </w:divsChild>
            </w:div>
            <w:div w:id="993876711">
              <w:marLeft w:val="0"/>
              <w:marRight w:val="0"/>
              <w:marTop w:val="0"/>
              <w:marBottom w:val="0"/>
              <w:divBdr>
                <w:top w:val="single" w:sz="12" w:space="0" w:color="125186"/>
                <w:left w:val="none" w:sz="0" w:space="0" w:color="auto"/>
                <w:bottom w:val="single" w:sz="6" w:space="0" w:color="CCCCCC"/>
                <w:right w:val="none" w:sz="0" w:space="0" w:color="auto"/>
              </w:divBdr>
            </w:div>
            <w:div w:id="2113355198">
              <w:marLeft w:val="0"/>
              <w:marRight w:val="0"/>
              <w:marTop w:val="300"/>
              <w:marBottom w:val="300"/>
              <w:divBdr>
                <w:top w:val="none" w:sz="0" w:space="0" w:color="auto"/>
                <w:left w:val="none" w:sz="0" w:space="0" w:color="auto"/>
                <w:bottom w:val="none" w:sz="0" w:space="0" w:color="auto"/>
                <w:right w:val="none" w:sz="0" w:space="0" w:color="auto"/>
              </w:divBdr>
              <w:divsChild>
                <w:div w:id="1992707015">
                  <w:marLeft w:val="300"/>
                  <w:marRight w:val="0"/>
                  <w:marTop w:val="0"/>
                  <w:marBottom w:val="300"/>
                  <w:divBdr>
                    <w:top w:val="single" w:sz="12" w:space="0" w:color="125186"/>
                    <w:left w:val="single" w:sz="6" w:space="0" w:color="E3E3E3"/>
                    <w:bottom w:val="single" w:sz="6" w:space="0" w:color="E3E3E3"/>
                    <w:right w:val="single" w:sz="6" w:space="0" w:color="E3E3E3"/>
                  </w:divBdr>
                </w:div>
                <w:div w:id="1496796419">
                  <w:marLeft w:val="300"/>
                  <w:marRight w:val="0"/>
                  <w:marTop w:val="0"/>
                  <w:marBottom w:val="300"/>
                  <w:divBdr>
                    <w:top w:val="none" w:sz="0" w:space="0" w:color="auto"/>
                    <w:left w:val="none" w:sz="0" w:space="0" w:color="auto"/>
                    <w:bottom w:val="none" w:sz="0" w:space="0" w:color="auto"/>
                    <w:right w:val="none" w:sz="0" w:space="0" w:color="auto"/>
                  </w:divBdr>
                  <w:divsChild>
                    <w:div w:id="2009284128">
                      <w:marLeft w:val="0"/>
                      <w:marRight w:val="0"/>
                      <w:marTop w:val="0"/>
                      <w:marBottom w:val="300"/>
                      <w:divBdr>
                        <w:top w:val="single" w:sz="12" w:space="0" w:color="125186"/>
                        <w:left w:val="single" w:sz="6" w:space="0" w:color="DBDADA"/>
                        <w:bottom w:val="single" w:sz="6" w:space="0" w:color="DBDADA"/>
                        <w:right w:val="single" w:sz="6" w:space="0" w:color="DBDADA"/>
                      </w:divBdr>
                    </w:div>
                    <w:div w:id="1771969163">
                      <w:marLeft w:val="0"/>
                      <w:marRight w:val="0"/>
                      <w:marTop w:val="0"/>
                      <w:marBottom w:val="0"/>
                      <w:divBdr>
                        <w:top w:val="none" w:sz="0" w:space="0" w:color="auto"/>
                        <w:left w:val="none" w:sz="0" w:space="0" w:color="auto"/>
                        <w:bottom w:val="none" w:sz="0" w:space="0" w:color="auto"/>
                        <w:right w:val="none" w:sz="0" w:space="0" w:color="auto"/>
                      </w:divBdr>
                      <w:divsChild>
                        <w:div w:id="2069263798">
                          <w:marLeft w:val="0"/>
                          <w:marRight w:val="0"/>
                          <w:marTop w:val="0"/>
                          <w:marBottom w:val="0"/>
                          <w:divBdr>
                            <w:top w:val="none" w:sz="0" w:space="0" w:color="auto"/>
                            <w:left w:val="none" w:sz="0" w:space="0" w:color="auto"/>
                            <w:bottom w:val="none" w:sz="0" w:space="0" w:color="auto"/>
                            <w:right w:val="none" w:sz="0" w:space="0" w:color="auto"/>
                          </w:divBdr>
                        </w:div>
                      </w:divsChild>
                    </w:div>
                    <w:div w:id="1198160156">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18" Type="http://schemas.openxmlformats.org/officeDocument/2006/relationships/hyperlink" Target="http://www.tedas.gov.tr/"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dpt.gov.tr/" TargetMode="External"/><Relationship Id="rId7" Type="http://schemas.openxmlformats.org/officeDocument/2006/relationships/hyperlink" Target="http://siteresources.worldbank.org/NEWSARABIC/Resources/turkey_energy.pdf" TargetMode="External"/><Relationship Id="rId12" Type="http://schemas.openxmlformats.org/officeDocument/2006/relationships/hyperlink" Target="http://web.worldbank.org/WBSITE/EXTERNAL/NEWS/0,,contentMDK:22336529~pagePK:64257043~piPK:437376~theSitePK:4607,00.html" TargetMode="External"/><Relationship Id="rId17" Type="http://schemas.openxmlformats.org/officeDocument/2006/relationships/hyperlink" Target="http://www.eie.gov.tr/" TargetMode="External"/><Relationship Id="rId25" Type="http://schemas.openxmlformats.org/officeDocument/2006/relationships/hyperlink" Target="http://web.worldbank.org/external/projects/main?pagePK=64283627&amp;piPK=73230&amp;theSitePK=40941&amp;menuPK=228424&amp;Projectid=P112578" TargetMode="External"/><Relationship Id="rId2" Type="http://schemas.openxmlformats.org/officeDocument/2006/relationships/styles" Target="styles.xml"/><Relationship Id="rId16" Type="http://schemas.openxmlformats.org/officeDocument/2006/relationships/hyperlink" Target="http://web.worldbank.org/WBSITE/EXTERNAL/EXTARABICHOME/NEWSARABIC/www.botas.gov.tr" TargetMode="External"/><Relationship Id="rId20" Type="http://schemas.openxmlformats.org/officeDocument/2006/relationships/hyperlink" Target="http://www.hazine.gov.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web.worldbank.org/external/projects/main?pagePK=64283627&amp;piPK=73230&amp;theSitePK=40941&amp;menuPK=228424&amp;Projectid=P094176" TargetMode="External"/><Relationship Id="rId5" Type="http://schemas.openxmlformats.org/officeDocument/2006/relationships/image" Target="media/image1.gif"/><Relationship Id="rId15" Type="http://schemas.openxmlformats.org/officeDocument/2006/relationships/hyperlink" Target="http://www.enerjibakanligi.gov.tr/" TargetMode="External"/><Relationship Id="rId23" Type="http://schemas.openxmlformats.org/officeDocument/2006/relationships/hyperlink" Target="http://web.worldbank.org/external/projects/main?pagePK=64283627&amp;piPK=73230&amp;theSitePK=40941&amp;menuPK=228424&amp;Projectid=P048852" TargetMode="External"/><Relationship Id="rId28" Type="http://schemas.openxmlformats.org/officeDocument/2006/relationships/fontTable" Target="fontTable.xml"/><Relationship Id="rId10" Type="http://schemas.openxmlformats.org/officeDocument/2006/relationships/hyperlink" Target="http://digitalmedia.worldbank.org/SSP/web/cleantechtr/" TargetMode="External"/><Relationship Id="rId19" Type="http://schemas.openxmlformats.org/officeDocument/2006/relationships/hyperlink" Target="http://www.epdk.gov.tr/" TargetMode="External"/><Relationship Id="rId4" Type="http://schemas.openxmlformats.org/officeDocument/2006/relationships/webSettings" Target="webSettings.xml"/><Relationship Id="rId9" Type="http://schemas.openxmlformats.org/officeDocument/2006/relationships/hyperlink" Target="http://siteresources.worldbank.org/NEWSARABIC/Resources/turkey_energy.pdf" TargetMode="External"/><Relationship Id="rId14" Type="http://schemas.openxmlformats.org/officeDocument/2006/relationships/hyperlink" Target="http://www.worldbank.org.tr/" TargetMode="External"/><Relationship Id="rId22" Type="http://schemas.openxmlformats.org/officeDocument/2006/relationships/hyperlink" Target="http://www.steam.com.tr/eng" TargetMode="External"/><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5462</Characters>
  <Application>Microsoft Office Word</Application>
  <DocSecurity>0</DocSecurity>
  <Lines>45</Lines>
  <Paragraphs>12</Paragraphs>
  <ScaleCrop>false</ScaleCrop>
  <Company>The World Bank Group</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2014-09-12T19:36:00Z</dcterms:created>
  <dcterms:modified xsi:type="dcterms:W3CDTF">2015-03-26T16:39:00Z</dcterms:modified>
</cp:coreProperties>
</file>